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5AC8" w14:textId="4BD37E6D" w:rsidR="00C83B27" w:rsidRPr="0012790E" w:rsidRDefault="0035635A" w:rsidP="00C83B27">
      <w:pPr>
        <w:pStyle w:val="Heading1"/>
      </w:pPr>
      <w:r w:rsidRPr="0012790E">
        <w:tab/>
      </w:r>
      <w:r w:rsidR="00C83B27" w:rsidRPr="0012790E">
        <w:rPr>
          <w:color w:val="000000"/>
          <w:sz w:val="30"/>
          <w:szCs w:val="30"/>
        </w:rPr>
        <w:t>Part 1: Receipt Measures</w:t>
      </w:r>
    </w:p>
    <w:p w14:paraId="5548C2CD" w14:textId="3310BE2F" w:rsidR="00C83B27" w:rsidRPr="0012790E" w:rsidRDefault="0035635A" w:rsidP="00C83B27">
      <w:pPr>
        <w:pStyle w:val="TableHeading"/>
      </w:pPr>
      <w:r w:rsidRPr="0012790E">
        <w:t xml:space="preserve">Table 1: Receipt measures since the </w:t>
      </w:r>
      <w:r w:rsidR="00C83B27" w:rsidRPr="0012790E">
        <w:t>2023–24</w:t>
      </w:r>
      <w:r w:rsidRPr="0012790E">
        <w:t xml:space="preserve"> MYEFO</w:t>
      </w:r>
      <w:r w:rsidR="00C83B27" w:rsidRPr="0012790E">
        <w:rPr>
          <w:rFonts w:ascii="Cambria Math" w:hAnsi="Cambria Math" w:cs="Cambria Math"/>
          <w:vertAlign w:val="superscript"/>
        </w:rPr>
        <w:t>(a)</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C83B27" w:rsidRPr="0012790E" w14:paraId="39FB3052" w14:textId="77777777" w:rsidTr="00982184">
        <w:trPr>
          <w:tblHeader/>
        </w:trPr>
        <w:tc>
          <w:tcPr>
            <w:tcW w:w="3470" w:type="dxa"/>
            <w:tcBorders>
              <w:top w:val="single" w:sz="4" w:space="0" w:color="293F5B"/>
            </w:tcBorders>
            <w:shd w:val="clear" w:color="auto" w:fill="auto"/>
            <w:vAlign w:val="bottom"/>
          </w:tcPr>
          <w:p w14:paraId="7EF7D4D8" w14:textId="022526C9" w:rsidR="00C83B27" w:rsidRPr="0012790E" w:rsidRDefault="00C83B27" w:rsidP="00C83B27">
            <w:pPr>
              <w:pStyle w:val="Summarytabletextrightaligned"/>
              <w:rPr>
                <w:szCs w:val="16"/>
              </w:rPr>
            </w:pPr>
          </w:p>
        </w:tc>
        <w:tc>
          <w:tcPr>
            <w:tcW w:w="851" w:type="dxa"/>
            <w:tcBorders>
              <w:top w:val="single" w:sz="4" w:space="0" w:color="293F5B"/>
            </w:tcBorders>
            <w:vAlign w:val="bottom"/>
          </w:tcPr>
          <w:p w14:paraId="04AD53B0" w14:textId="77777777" w:rsidR="00C83B27" w:rsidRPr="0012790E" w:rsidRDefault="00C83B27" w:rsidP="00C83B27">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08704C1A" w14:textId="77777777" w:rsidR="00C83B27" w:rsidRPr="0012790E" w:rsidRDefault="00C83B27" w:rsidP="00C83B27">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572427A8" w14:textId="77777777" w:rsidR="00C83B27" w:rsidRPr="0012790E" w:rsidRDefault="00C83B27" w:rsidP="00C83B27">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21124A4D" w14:textId="77777777" w:rsidR="00C83B27" w:rsidRPr="0012790E" w:rsidRDefault="00C83B27" w:rsidP="00C83B27">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55B91F86" w14:textId="77777777" w:rsidR="00C83B27" w:rsidRPr="0012790E" w:rsidRDefault="00C83B27" w:rsidP="00C83B27">
            <w:pPr>
              <w:pStyle w:val="Summarytabletextrightaligned"/>
              <w:rPr>
                <w:szCs w:val="16"/>
              </w:rPr>
            </w:pPr>
            <w:r w:rsidRPr="0012790E">
              <w:rPr>
                <w:szCs w:val="16"/>
              </w:rPr>
              <w:t>2027</w:t>
            </w:r>
            <w:r w:rsidRPr="0012790E">
              <w:rPr>
                <w:szCs w:val="16"/>
              </w:rPr>
              <w:noBreakHyphen/>
              <w:t>28</w:t>
            </w:r>
          </w:p>
        </w:tc>
      </w:tr>
      <w:tr w:rsidR="00C83B27" w:rsidRPr="0012790E" w14:paraId="7242DE94" w14:textId="77777777" w:rsidTr="00982184">
        <w:trPr>
          <w:tblHeader/>
        </w:trPr>
        <w:tc>
          <w:tcPr>
            <w:tcW w:w="3470" w:type="dxa"/>
            <w:shd w:val="clear" w:color="auto" w:fill="auto"/>
            <w:vAlign w:val="bottom"/>
          </w:tcPr>
          <w:p w14:paraId="7672010C" w14:textId="3370AACE" w:rsidR="00C83B27" w:rsidRPr="0012790E" w:rsidRDefault="00C83B27" w:rsidP="00C83B27">
            <w:pPr>
              <w:pStyle w:val="Summarytabletextrightaligned"/>
            </w:pPr>
          </w:p>
        </w:tc>
        <w:tc>
          <w:tcPr>
            <w:tcW w:w="851" w:type="dxa"/>
            <w:tcBorders>
              <w:bottom w:val="single" w:sz="4" w:space="0" w:color="293F5B"/>
            </w:tcBorders>
            <w:vAlign w:val="bottom"/>
          </w:tcPr>
          <w:p w14:paraId="0E9F1808" w14:textId="77777777" w:rsidR="00C83B27" w:rsidRPr="0012790E" w:rsidRDefault="00C83B27" w:rsidP="00C83B27">
            <w:pPr>
              <w:pStyle w:val="Summarytabletextrightaligned"/>
            </w:pPr>
            <w:r w:rsidRPr="0012790E">
              <w:t>$m</w:t>
            </w:r>
          </w:p>
        </w:tc>
        <w:tc>
          <w:tcPr>
            <w:tcW w:w="851" w:type="dxa"/>
            <w:tcBorders>
              <w:bottom w:val="single" w:sz="4" w:space="0" w:color="293F5B"/>
            </w:tcBorders>
            <w:shd w:val="clear" w:color="auto" w:fill="E6F2FF"/>
            <w:vAlign w:val="bottom"/>
          </w:tcPr>
          <w:p w14:paraId="0869A953" w14:textId="77777777" w:rsidR="00C83B27" w:rsidRPr="0012790E" w:rsidRDefault="00C83B27" w:rsidP="00C83B27">
            <w:pPr>
              <w:pStyle w:val="Summarytabletextrightaligned"/>
            </w:pPr>
            <w:r w:rsidRPr="0012790E">
              <w:t>$m</w:t>
            </w:r>
          </w:p>
        </w:tc>
        <w:tc>
          <w:tcPr>
            <w:tcW w:w="851" w:type="dxa"/>
            <w:tcBorders>
              <w:bottom w:val="single" w:sz="4" w:space="0" w:color="293F5B"/>
            </w:tcBorders>
            <w:vAlign w:val="bottom"/>
          </w:tcPr>
          <w:p w14:paraId="58919464" w14:textId="77777777" w:rsidR="00C83B27" w:rsidRPr="0012790E" w:rsidRDefault="00C83B27" w:rsidP="00C83B27">
            <w:pPr>
              <w:pStyle w:val="Summarytabletextrightaligned"/>
            </w:pPr>
            <w:r w:rsidRPr="0012790E">
              <w:t>$m</w:t>
            </w:r>
          </w:p>
        </w:tc>
        <w:tc>
          <w:tcPr>
            <w:tcW w:w="851" w:type="dxa"/>
            <w:tcBorders>
              <w:bottom w:val="single" w:sz="4" w:space="0" w:color="293F5B"/>
            </w:tcBorders>
            <w:vAlign w:val="bottom"/>
          </w:tcPr>
          <w:p w14:paraId="63F6A5DB" w14:textId="77777777" w:rsidR="00C83B27" w:rsidRPr="0012790E" w:rsidRDefault="00C83B27" w:rsidP="00C83B27">
            <w:pPr>
              <w:pStyle w:val="Summarytabletextrightaligned"/>
            </w:pPr>
            <w:r w:rsidRPr="0012790E">
              <w:t>$m</w:t>
            </w:r>
          </w:p>
        </w:tc>
        <w:tc>
          <w:tcPr>
            <w:tcW w:w="851" w:type="dxa"/>
            <w:tcBorders>
              <w:bottom w:val="single" w:sz="4" w:space="0" w:color="293F5B"/>
            </w:tcBorders>
            <w:vAlign w:val="bottom"/>
          </w:tcPr>
          <w:p w14:paraId="0845A11F" w14:textId="77777777" w:rsidR="00C83B27" w:rsidRPr="0012790E" w:rsidRDefault="00C83B27" w:rsidP="00C83B27">
            <w:pPr>
              <w:pStyle w:val="Summarytabletextrightaligned"/>
            </w:pPr>
            <w:r w:rsidRPr="0012790E">
              <w:t>$m</w:t>
            </w:r>
          </w:p>
        </w:tc>
      </w:tr>
      <w:tr w:rsidR="00C83B27" w:rsidRPr="0012790E" w14:paraId="1AF1946F" w14:textId="77777777" w:rsidTr="00982184">
        <w:trPr>
          <w:tblHeader/>
        </w:trPr>
        <w:tc>
          <w:tcPr>
            <w:tcW w:w="3470" w:type="dxa"/>
            <w:shd w:val="clear" w:color="auto" w:fill="auto"/>
            <w:vAlign w:val="bottom"/>
          </w:tcPr>
          <w:p w14:paraId="6192B65D" w14:textId="77777777" w:rsidR="00C83B27" w:rsidRPr="0012790E" w:rsidRDefault="00C83B27" w:rsidP="00C83B27">
            <w:pPr>
              <w:pStyle w:val="SummaryPortfolioTitle-BP2"/>
            </w:pPr>
            <w:r w:rsidRPr="0012790E">
              <w:t>AGRICULTURE, FISHERIES AND FORESTRY</w:t>
            </w:r>
          </w:p>
        </w:tc>
        <w:tc>
          <w:tcPr>
            <w:tcW w:w="851" w:type="dxa"/>
            <w:tcBorders>
              <w:top w:val="single" w:sz="4" w:space="0" w:color="293F5B"/>
            </w:tcBorders>
            <w:vAlign w:val="bottom"/>
          </w:tcPr>
          <w:p w14:paraId="546B0838" w14:textId="77777777" w:rsidR="00C83B27" w:rsidRPr="0012790E" w:rsidRDefault="00C83B27" w:rsidP="00C83B27">
            <w:pPr>
              <w:pStyle w:val="MeasureTableTextRightAlignedBefore6ptAfter1pt"/>
              <w:rPr>
                <w:b/>
                <w:bCs/>
              </w:rPr>
            </w:pPr>
          </w:p>
        </w:tc>
        <w:tc>
          <w:tcPr>
            <w:tcW w:w="851" w:type="dxa"/>
            <w:tcBorders>
              <w:top w:val="single" w:sz="4" w:space="0" w:color="293F5B"/>
            </w:tcBorders>
            <w:shd w:val="clear" w:color="auto" w:fill="E6F2FF"/>
            <w:vAlign w:val="bottom"/>
          </w:tcPr>
          <w:p w14:paraId="29271E8B"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5CCB77F0"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04C509EF"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161ABDD7" w14:textId="77777777" w:rsidR="00C83B27" w:rsidRPr="0012790E" w:rsidRDefault="00C83B27" w:rsidP="00C83B27">
            <w:pPr>
              <w:pStyle w:val="MeasureTableTextRightAlignedBefore6ptAfter1pt"/>
              <w:rPr>
                <w:b/>
                <w:bCs/>
              </w:rPr>
            </w:pPr>
          </w:p>
        </w:tc>
      </w:tr>
      <w:tr w:rsidR="00C83B27" w:rsidRPr="0012790E" w14:paraId="376D0268" w14:textId="77777777" w:rsidTr="00982184">
        <w:trPr>
          <w:tblHeader/>
        </w:trPr>
        <w:tc>
          <w:tcPr>
            <w:tcW w:w="3470" w:type="dxa"/>
            <w:shd w:val="clear" w:color="auto" w:fill="auto"/>
            <w:vAlign w:val="bottom"/>
          </w:tcPr>
          <w:p w14:paraId="3FD26315" w14:textId="5267556E" w:rsidR="00C83B27" w:rsidRPr="0012790E" w:rsidRDefault="00C83B27" w:rsidP="00C83B27">
            <w:pPr>
              <w:pStyle w:val="SummaryAgencyTitle-BP2"/>
              <w:rPr>
                <w:iCs/>
              </w:rPr>
            </w:pPr>
            <w:r w:rsidRPr="0012790E">
              <w:rPr>
                <w:iCs/>
              </w:rPr>
              <w:t>Department of Agriculture, Fisheries and Forestry</w:t>
            </w:r>
          </w:p>
        </w:tc>
        <w:tc>
          <w:tcPr>
            <w:tcW w:w="851" w:type="dxa"/>
            <w:vAlign w:val="bottom"/>
          </w:tcPr>
          <w:p w14:paraId="052FEA1C" w14:textId="77777777" w:rsidR="00C83B27" w:rsidRPr="0012790E" w:rsidRDefault="00C83B27" w:rsidP="00C83B27">
            <w:pPr>
              <w:pStyle w:val="SummaryAgencyTitle-BP2"/>
              <w:rPr>
                <w:iCs/>
              </w:rPr>
            </w:pPr>
          </w:p>
        </w:tc>
        <w:tc>
          <w:tcPr>
            <w:tcW w:w="851" w:type="dxa"/>
            <w:shd w:val="clear" w:color="auto" w:fill="E6F2FF"/>
            <w:vAlign w:val="bottom"/>
          </w:tcPr>
          <w:p w14:paraId="1A34E09B" w14:textId="77777777" w:rsidR="00C83B27" w:rsidRPr="0012790E" w:rsidRDefault="00C83B27" w:rsidP="00C83B27">
            <w:pPr>
              <w:pStyle w:val="SummaryAgencyTitle-BP2"/>
              <w:rPr>
                <w:iCs/>
              </w:rPr>
            </w:pPr>
          </w:p>
        </w:tc>
        <w:tc>
          <w:tcPr>
            <w:tcW w:w="851" w:type="dxa"/>
            <w:vAlign w:val="bottom"/>
          </w:tcPr>
          <w:p w14:paraId="79996921" w14:textId="77777777" w:rsidR="00C83B27" w:rsidRPr="0012790E" w:rsidRDefault="00C83B27" w:rsidP="00C83B27">
            <w:pPr>
              <w:pStyle w:val="SummaryAgencyTitle-BP2"/>
              <w:rPr>
                <w:iCs/>
              </w:rPr>
            </w:pPr>
          </w:p>
        </w:tc>
        <w:tc>
          <w:tcPr>
            <w:tcW w:w="851" w:type="dxa"/>
            <w:vAlign w:val="bottom"/>
          </w:tcPr>
          <w:p w14:paraId="0D631A7E" w14:textId="77777777" w:rsidR="00C83B27" w:rsidRPr="0012790E" w:rsidRDefault="00C83B27" w:rsidP="00C83B27">
            <w:pPr>
              <w:pStyle w:val="SummaryAgencyTitle-BP2"/>
              <w:rPr>
                <w:iCs/>
              </w:rPr>
            </w:pPr>
          </w:p>
        </w:tc>
        <w:tc>
          <w:tcPr>
            <w:tcW w:w="851" w:type="dxa"/>
            <w:vAlign w:val="bottom"/>
          </w:tcPr>
          <w:p w14:paraId="2DFBFEDC" w14:textId="77777777" w:rsidR="00C83B27" w:rsidRPr="0012790E" w:rsidRDefault="00C83B27" w:rsidP="00C83B27">
            <w:pPr>
              <w:pStyle w:val="SummaryAgencyTitle-BP2"/>
              <w:rPr>
                <w:iCs/>
              </w:rPr>
            </w:pPr>
          </w:p>
        </w:tc>
      </w:tr>
      <w:tr w:rsidR="00C83B27" w:rsidRPr="0012790E" w14:paraId="7D6BB9E2" w14:textId="77777777" w:rsidTr="00982184">
        <w:trPr>
          <w:tblHeader/>
        </w:trPr>
        <w:tc>
          <w:tcPr>
            <w:tcW w:w="3470" w:type="dxa"/>
            <w:shd w:val="clear" w:color="auto" w:fill="auto"/>
            <w:vAlign w:val="bottom"/>
          </w:tcPr>
          <w:p w14:paraId="70D475F4" w14:textId="2F4D65E7" w:rsidR="00C83B27" w:rsidRPr="0012790E" w:rsidRDefault="00C83B27" w:rsidP="00C83B27">
            <w:pPr>
              <w:pStyle w:val="SummaryMeasureTitlewithTheme"/>
            </w:pPr>
            <w:r w:rsidRPr="0012790E">
              <w:t>Agriculture – other priorities(b)</w:t>
            </w:r>
          </w:p>
        </w:tc>
        <w:tc>
          <w:tcPr>
            <w:tcW w:w="851" w:type="dxa"/>
            <w:vAlign w:val="bottom"/>
          </w:tcPr>
          <w:p w14:paraId="21BE1451" w14:textId="77777777" w:rsidR="00C83B27" w:rsidRPr="0012790E" w:rsidRDefault="00C83B27" w:rsidP="00C83B27">
            <w:pPr>
              <w:pStyle w:val="Summarytabletextrightaligned"/>
              <w:rPr>
                <w:szCs w:val="16"/>
              </w:rPr>
            </w:pPr>
            <w:r w:rsidRPr="0012790E">
              <w:rPr>
                <w:szCs w:val="16"/>
              </w:rPr>
              <w:noBreakHyphen/>
              <w:t>1.7</w:t>
            </w:r>
          </w:p>
        </w:tc>
        <w:tc>
          <w:tcPr>
            <w:tcW w:w="851" w:type="dxa"/>
            <w:shd w:val="clear" w:color="auto" w:fill="E6F2FF"/>
            <w:vAlign w:val="bottom"/>
          </w:tcPr>
          <w:p w14:paraId="141E38E0" w14:textId="77777777" w:rsidR="00C83B27" w:rsidRPr="0012790E" w:rsidRDefault="00C83B27" w:rsidP="00C83B27">
            <w:pPr>
              <w:pStyle w:val="Summarytabletextrightaligned"/>
              <w:rPr>
                <w:szCs w:val="16"/>
              </w:rPr>
            </w:pPr>
            <w:r w:rsidRPr="0012790E">
              <w:rPr>
                <w:szCs w:val="16"/>
              </w:rPr>
              <w:noBreakHyphen/>
              <w:t>1.1</w:t>
            </w:r>
          </w:p>
        </w:tc>
        <w:tc>
          <w:tcPr>
            <w:tcW w:w="851" w:type="dxa"/>
            <w:vAlign w:val="bottom"/>
          </w:tcPr>
          <w:p w14:paraId="6678ADDC" w14:textId="77777777" w:rsidR="00C83B27" w:rsidRPr="0012790E" w:rsidRDefault="00C83B27" w:rsidP="00C83B27">
            <w:pPr>
              <w:pStyle w:val="Summarytabletextrightaligned"/>
              <w:rPr>
                <w:szCs w:val="16"/>
              </w:rPr>
            </w:pPr>
            <w:r w:rsidRPr="0012790E">
              <w:rPr>
                <w:szCs w:val="16"/>
              </w:rPr>
              <w:noBreakHyphen/>
              <w:t>0.2</w:t>
            </w:r>
          </w:p>
        </w:tc>
        <w:tc>
          <w:tcPr>
            <w:tcW w:w="851" w:type="dxa"/>
            <w:vAlign w:val="bottom"/>
          </w:tcPr>
          <w:p w14:paraId="3EB2AB83" w14:textId="77777777" w:rsidR="00C83B27" w:rsidRPr="0012790E" w:rsidRDefault="00C83B27" w:rsidP="00C83B27">
            <w:pPr>
              <w:pStyle w:val="Summarytabletextrightaligned"/>
              <w:rPr>
                <w:szCs w:val="16"/>
              </w:rPr>
            </w:pPr>
            <w:r w:rsidRPr="0012790E">
              <w:rPr>
                <w:szCs w:val="16"/>
              </w:rPr>
              <w:t>0.2</w:t>
            </w:r>
          </w:p>
        </w:tc>
        <w:tc>
          <w:tcPr>
            <w:tcW w:w="851" w:type="dxa"/>
            <w:vAlign w:val="bottom"/>
          </w:tcPr>
          <w:p w14:paraId="676A8B37" w14:textId="77777777" w:rsidR="00C83B27" w:rsidRPr="0012790E" w:rsidRDefault="00C83B27" w:rsidP="00C83B27">
            <w:pPr>
              <w:pStyle w:val="Summarytabletextrightaligned"/>
              <w:rPr>
                <w:szCs w:val="16"/>
              </w:rPr>
            </w:pPr>
            <w:r w:rsidRPr="0012790E">
              <w:rPr>
                <w:szCs w:val="16"/>
              </w:rPr>
              <w:t>0.2</w:t>
            </w:r>
          </w:p>
        </w:tc>
      </w:tr>
      <w:tr w:rsidR="00C83B27" w:rsidRPr="0012790E" w14:paraId="003716EE" w14:textId="77777777" w:rsidTr="00982184">
        <w:trPr>
          <w:tblHeader/>
        </w:trPr>
        <w:tc>
          <w:tcPr>
            <w:tcW w:w="3470" w:type="dxa"/>
            <w:shd w:val="clear" w:color="auto" w:fill="auto"/>
            <w:vAlign w:val="bottom"/>
          </w:tcPr>
          <w:p w14:paraId="770E96BC" w14:textId="474B2B28" w:rsidR="00C83B27" w:rsidRPr="0012790E" w:rsidRDefault="00C83B27" w:rsidP="00C83B27">
            <w:pPr>
              <w:pStyle w:val="SummaryMeasureTitlewithTheme"/>
            </w:pPr>
            <w:r w:rsidRPr="0012790E">
              <w:t>Amendments to existing measures(b)</w:t>
            </w:r>
          </w:p>
        </w:tc>
        <w:tc>
          <w:tcPr>
            <w:tcW w:w="851" w:type="dxa"/>
            <w:tcBorders>
              <w:bottom w:val="single" w:sz="4" w:space="0" w:color="293F5B"/>
            </w:tcBorders>
            <w:vAlign w:val="bottom"/>
          </w:tcPr>
          <w:p w14:paraId="05B99C57" w14:textId="77777777" w:rsidR="00C83B27" w:rsidRPr="0012790E" w:rsidRDefault="00C83B27" w:rsidP="00C83B27">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3CAF7AC4" w14:textId="77777777" w:rsidR="00C83B27" w:rsidRPr="0012790E" w:rsidRDefault="00C83B27" w:rsidP="00C83B27">
            <w:pPr>
              <w:pStyle w:val="Summarytabletextrightaligned"/>
              <w:rPr>
                <w:szCs w:val="16"/>
              </w:rPr>
            </w:pPr>
            <w:r w:rsidRPr="0012790E">
              <w:rPr>
                <w:szCs w:val="16"/>
              </w:rPr>
              <w:noBreakHyphen/>
              <w:t>0.9</w:t>
            </w:r>
          </w:p>
        </w:tc>
        <w:tc>
          <w:tcPr>
            <w:tcW w:w="851" w:type="dxa"/>
            <w:tcBorders>
              <w:bottom w:val="single" w:sz="4" w:space="0" w:color="293F5B"/>
            </w:tcBorders>
            <w:vAlign w:val="bottom"/>
          </w:tcPr>
          <w:p w14:paraId="33057DC8" w14:textId="77777777" w:rsidR="00C83B27" w:rsidRPr="0012790E" w:rsidRDefault="00C83B27" w:rsidP="00C83B27">
            <w:pPr>
              <w:pStyle w:val="Summarytabletextrightaligned"/>
              <w:rPr>
                <w:szCs w:val="16"/>
              </w:rPr>
            </w:pPr>
            <w:r w:rsidRPr="0012790E">
              <w:rPr>
                <w:szCs w:val="16"/>
              </w:rPr>
              <w:noBreakHyphen/>
              <w:t>0.9</w:t>
            </w:r>
          </w:p>
        </w:tc>
        <w:tc>
          <w:tcPr>
            <w:tcW w:w="851" w:type="dxa"/>
            <w:tcBorders>
              <w:bottom w:val="single" w:sz="4" w:space="0" w:color="293F5B"/>
            </w:tcBorders>
            <w:vAlign w:val="bottom"/>
          </w:tcPr>
          <w:p w14:paraId="74B72D8E" w14:textId="77777777" w:rsidR="00C83B27" w:rsidRPr="0012790E" w:rsidRDefault="00C83B27" w:rsidP="00C83B27">
            <w:pPr>
              <w:pStyle w:val="Summarytabletextrightaligned"/>
              <w:rPr>
                <w:szCs w:val="16"/>
              </w:rPr>
            </w:pPr>
            <w:r w:rsidRPr="0012790E">
              <w:rPr>
                <w:szCs w:val="16"/>
              </w:rPr>
              <w:noBreakHyphen/>
              <w:t>0.9</w:t>
            </w:r>
          </w:p>
        </w:tc>
        <w:tc>
          <w:tcPr>
            <w:tcW w:w="851" w:type="dxa"/>
            <w:tcBorders>
              <w:bottom w:val="single" w:sz="4" w:space="0" w:color="293F5B"/>
            </w:tcBorders>
            <w:vAlign w:val="bottom"/>
          </w:tcPr>
          <w:p w14:paraId="325BA0DD" w14:textId="77777777" w:rsidR="00C83B27" w:rsidRPr="0012790E" w:rsidRDefault="00C83B27" w:rsidP="00C83B27">
            <w:pPr>
              <w:pStyle w:val="Summarytabletextrightaligned"/>
              <w:rPr>
                <w:szCs w:val="16"/>
              </w:rPr>
            </w:pPr>
            <w:r w:rsidRPr="0012790E">
              <w:rPr>
                <w:szCs w:val="16"/>
              </w:rPr>
              <w:noBreakHyphen/>
              <w:t>1.0</w:t>
            </w:r>
          </w:p>
        </w:tc>
      </w:tr>
      <w:tr w:rsidR="00C83B27" w:rsidRPr="0012790E" w14:paraId="170FC1D3" w14:textId="77777777" w:rsidTr="00982184">
        <w:trPr>
          <w:tblHeader/>
        </w:trPr>
        <w:tc>
          <w:tcPr>
            <w:tcW w:w="3470" w:type="dxa"/>
            <w:shd w:val="clear" w:color="auto" w:fill="auto"/>
            <w:vAlign w:val="bottom"/>
          </w:tcPr>
          <w:p w14:paraId="695F7FBF" w14:textId="77777777" w:rsidR="00C83B27" w:rsidRPr="0012790E" w:rsidRDefault="00C83B27" w:rsidP="00C83B27">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0FB4BF5F" w14:textId="77777777" w:rsidR="00C83B27" w:rsidRPr="0012790E" w:rsidRDefault="00C83B27" w:rsidP="00C83B27">
            <w:pPr>
              <w:pStyle w:val="Summarytabletextrightalignedbold"/>
              <w:rPr>
                <w:bCs/>
                <w:szCs w:val="16"/>
              </w:rPr>
            </w:pPr>
            <w:r w:rsidRPr="0012790E">
              <w:rPr>
                <w:bCs/>
                <w:szCs w:val="16"/>
              </w:rPr>
              <w:noBreakHyphen/>
              <w:t>1.7</w:t>
            </w:r>
          </w:p>
        </w:tc>
        <w:tc>
          <w:tcPr>
            <w:tcW w:w="851" w:type="dxa"/>
            <w:tcBorders>
              <w:top w:val="single" w:sz="4" w:space="0" w:color="293F5B"/>
              <w:bottom w:val="single" w:sz="4" w:space="0" w:color="293F5B"/>
            </w:tcBorders>
            <w:shd w:val="clear" w:color="auto" w:fill="E6F2FF"/>
            <w:vAlign w:val="bottom"/>
          </w:tcPr>
          <w:p w14:paraId="241E5217" w14:textId="77777777" w:rsidR="00C83B27" w:rsidRPr="0012790E" w:rsidRDefault="00C83B27" w:rsidP="00C83B27">
            <w:pPr>
              <w:pStyle w:val="Summarytabletextrightalignedbold"/>
              <w:rPr>
                <w:bCs/>
                <w:szCs w:val="16"/>
              </w:rPr>
            </w:pPr>
            <w:r w:rsidRPr="0012790E">
              <w:rPr>
                <w:bCs/>
                <w:szCs w:val="16"/>
              </w:rPr>
              <w:noBreakHyphen/>
              <w:t>2.0</w:t>
            </w:r>
          </w:p>
        </w:tc>
        <w:tc>
          <w:tcPr>
            <w:tcW w:w="851" w:type="dxa"/>
            <w:tcBorders>
              <w:top w:val="single" w:sz="4" w:space="0" w:color="293F5B"/>
              <w:bottom w:val="single" w:sz="4" w:space="0" w:color="293F5B"/>
            </w:tcBorders>
            <w:vAlign w:val="bottom"/>
          </w:tcPr>
          <w:p w14:paraId="3A400722" w14:textId="77777777" w:rsidR="00C83B27" w:rsidRPr="0012790E" w:rsidRDefault="00C83B27" w:rsidP="00C83B27">
            <w:pPr>
              <w:pStyle w:val="Summarytabletextrightalignedbold"/>
              <w:rPr>
                <w:bCs/>
                <w:szCs w:val="16"/>
              </w:rPr>
            </w:pPr>
            <w:r w:rsidRPr="0012790E">
              <w:rPr>
                <w:bCs/>
                <w:szCs w:val="16"/>
              </w:rPr>
              <w:noBreakHyphen/>
              <w:t>1.1</w:t>
            </w:r>
          </w:p>
        </w:tc>
        <w:tc>
          <w:tcPr>
            <w:tcW w:w="851" w:type="dxa"/>
            <w:tcBorders>
              <w:top w:val="single" w:sz="4" w:space="0" w:color="293F5B"/>
              <w:bottom w:val="single" w:sz="4" w:space="0" w:color="293F5B"/>
            </w:tcBorders>
            <w:vAlign w:val="bottom"/>
          </w:tcPr>
          <w:p w14:paraId="455E87D5" w14:textId="77777777" w:rsidR="00C83B27" w:rsidRPr="0012790E" w:rsidRDefault="00C83B27" w:rsidP="00C83B27">
            <w:pPr>
              <w:pStyle w:val="Summarytabletextrightalignedbold"/>
              <w:rPr>
                <w:bCs/>
                <w:szCs w:val="16"/>
              </w:rPr>
            </w:pPr>
            <w:r w:rsidRPr="0012790E">
              <w:rPr>
                <w:bCs/>
                <w:szCs w:val="16"/>
              </w:rPr>
              <w:noBreakHyphen/>
              <w:t>0.8</w:t>
            </w:r>
          </w:p>
        </w:tc>
        <w:tc>
          <w:tcPr>
            <w:tcW w:w="851" w:type="dxa"/>
            <w:tcBorders>
              <w:top w:val="single" w:sz="4" w:space="0" w:color="293F5B"/>
              <w:bottom w:val="single" w:sz="4" w:space="0" w:color="293F5B"/>
            </w:tcBorders>
            <w:vAlign w:val="bottom"/>
          </w:tcPr>
          <w:p w14:paraId="568DC01B" w14:textId="77777777" w:rsidR="00C83B27" w:rsidRPr="0012790E" w:rsidRDefault="00C83B27" w:rsidP="00C83B27">
            <w:pPr>
              <w:pStyle w:val="Summarytabletextrightalignedbold"/>
              <w:rPr>
                <w:bCs/>
                <w:szCs w:val="16"/>
              </w:rPr>
            </w:pPr>
            <w:r w:rsidRPr="0012790E">
              <w:rPr>
                <w:bCs/>
                <w:szCs w:val="16"/>
              </w:rPr>
              <w:noBreakHyphen/>
              <w:t>0.8</w:t>
            </w:r>
          </w:p>
        </w:tc>
      </w:tr>
      <w:tr w:rsidR="00C83B27" w:rsidRPr="0012790E" w14:paraId="1BCD85CF" w14:textId="77777777" w:rsidTr="00982184">
        <w:trPr>
          <w:tblHeader/>
        </w:trPr>
        <w:tc>
          <w:tcPr>
            <w:tcW w:w="3470" w:type="dxa"/>
            <w:shd w:val="clear" w:color="auto" w:fill="auto"/>
            <w:vAlign w:val="bottom"/>
          </w:tcPr>
          <w:p w14:paraId="4AAEB119" w14:textId="77777777" w:rsidR="00C83B27" w:rsidRPr="0012790E" w:rsidRDefault="00C83B27" w:rsidP="00C83B27">
            <w:pPr>
              <w:pStyle w:val="SummaryPortfolioTitle-BP2"/>
            </w:pPr>
            <w:r w:rsidRPr="0012790E">
              <w:t>ATTORNEY</w:t>
            </w:r>
            <w:r w:rsidRPr="0012790E">
              <w:noBreakHyphen/>
              <w:t>GENERAL'S</w:t>
            </w:r>
          </w:p>
        </w:tc>
        <w:tc>
          <w:tcPr>
            <w:tcW w:w="851" w:type="dxa"/>
            <w:tcBorders>
              <w:top w:val="single" w:sz="4" w:space="0" w:color="293F5B"/>
            </w:tcBorders>
            <w:vAlign w:val="bottom"/>
          </w:tcPr>
          <w:p w14:paraId="2ACCF416" w14:textId="77777777" w:rsidR="00C83B27" w:rsidRPr="0012790E" w:rsidRDefault="00C83B27" w:rsidP="00C83B27">
            <w:pPr>
              <w:pStyle w:val="MeasureTableTextRightAlignedBefore6ptAfter1pt"/>
              <w:rPr>
                <w:b/>
                <w:bCs/>
              </w:rPr>
            </w:pPr>
          </w:p>
        </w:tc>
        <w:tc>
          <w:tcPr>
            <w:tcW w:w="851" w:type="dxa"/>
            <w:tcBorders>
              <w:top w:val="single" w:sz="4" w:space="0" w:color="293F5B"/>
            </w:tcBorders>
            <w:shd w:val="clear" w:color="auto" w:fill="E6F2FF"/>
            <w:vAlign w:val="bottom"/>
          </w:tcPr>
          <w:p w14:paraId="13BCA7F7"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47847C82"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40A94F88"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3A5CF91C" w14:textId="77777777" w:rsidR="00C83B27" w:rsidRPr="0012790E" w:rsidRDefault="00C83B27" w:rsidP="00C83B27">
            <w:pPr>
              <w:pStyle w:val="MeasureTableTextRightAlignedBefore6ptAfter1pt"/>
              <w:rPr>
                <w:b/>
                <w:bCs/>
              </w:rPr>
            </w:pPr>
          </w:p>
        </w:tc>
      </w:tr>
      <w:tr w:rsidR="00C83B27" w:rsidRPr="0012790E" w14:paraId="1D67E260" w14:textId="77777777" w:rsidTr="00982184">
        <w:trPr>
          <w:tblHeader/>
        </w:trPr>
        <w:tc>
          <w:tcPr>
            <w:tcW w:w="3470" w:type="dxa"/>
            <w:shd w:val="clear" w:color="auto" w:fill="auto"/>
            <w:vAlign w:val="bottom"/>
          </w:tcPr>
          <w:p w14:paraId="4445883B" w14:textId="77777777" w:rsidR="00C83B27" w:rsidRPr="0012790E" w:rsidRDefault="00C83B27" w:rsidP="00C83B27">
            <w:pPr>
              <w:pStyle w:val="SummaryAgencyTitle-BP2"/>
              <w:rPr>
                <w:iCs/>
              </w:rPr>
            </w:pPr>
            <w:r w:rsidRPr="0012790E">
              <w:rPr>
                <w:iCs/>
              </w:rPr>
              <w:t>Federal Court of Australia</w:t>
            </w:r>
          </w:p>
        </w:tc>
        <w:tc>
          <w:tcPr>
            <w:tcW w:w="851" w:type="dxa"/>
            <w:vAlign w:val="bottom"/>
          </w:tcPr>
          <w:p w14:paraId="3A8825A3" w14:textId="77777777" w:rsidR="00C83B27" w:rsidRPr="0012790E" w:rsidRDefault="00C83B27" w:rsidP="00C83B27">
            <w:pPr>
              <w:pStyle w:val="SummaryAgencyTitle-BP2"/>
              <w:rPr>
                <w:iCs/>
              </w:rPr>
            </w:pPr>
          </w:p>
        </w:tc>
        <w:tc>
          <w:tcPr>
            <w:tcW w:w="851" w:type="dxa"/>
            <w:shd w:val="clear" w:color="auto" w:fill="E6F2FF"/>
            <w:vAlign w:val="bottom"/>
          </w:tcPr>
          <w:p w14:paraId="1418AEC4" w14:textId="77777777" w:rsidR="00C83B27" w:rsidRPr="0012790E" w:rsidRDefault="00C83B27" w:rsidP="00C83B27">
            <w:pPr>
              <w:pStyle w:val="SummaryAgencyTitle-BP2"/>
              <w:rPr>
                <w:iCs/>
              </w:rPr>
            </w:pPr>
          </w:p>
        </w:tc>
        <w:tc>
          <w:tcPr>
            <w:tcW w:w="851" w:type="dxa"/>
            <w:vAlign w:val="bottom"/>
          </w:tcPr>
          <w:p w14:paraId="11F552CC" w14:textId="77777777" w:rsidR="00C83B27" w:rsidRPr="0012790E" w:rsidRDefault="00C83B27" w:rsidP="00C83B27">
            <w:pPr>
              <w:pStyle w:val="SummaryAgencyTitle-BP2"/>
              <w:rPr>
                <w:iCs/>
              </w:rPr>
            </w:pPr>
          </w:p>
        </w:tc>
        <w:tc>
          <w:tcPr>
            <w:tcW w:w="851" w:type="dxa"/>
            <w:vAlign w:val="bottom"/>
          </w:tcPr>
          <w:p w14:paraId="0B761B6D" w14:textId="77777777" w:rsidR="00C83B27" w:rsidRPr="0012790E" w:rsidRDefault="00C83B27" w:rsidP="00C83B27">
            <w:pPr>
              <w:pStyle w:val="SummaryAgencyTitle-BP2"/>
              <w:rPr>
                <w:iCs/>
              </w:rPr>
            </w:pPr>
          </w:p>
        </w:tc>
        <w:tc>
          <w:tcPr>
            <w:tcW w:w="851" w:type="dxa"/>
            <w:vAlign w:val="bottom"/>
          </w:tcPr>
          <w:p w14:paraId="4D06EABB" w14:textId="77777777" w:rsidR="00C83B27" w:rsidRPr="0012790E" w:rsidRDefault="00C83B27" w:rsidP="00C83B27">
            <w:pPr>
              <w:pStyle w:val="SummaryAgencyTitle-BP2"/>
              <w:rPr>
                <w:iCs/>
              </w:rPr>
            </w:pPr>
          </w:p>
        </w:tc>
      </w:tr>
      <w:tr w:rsidR="00C83B27" w:rsidRPr="0012790E" w14:paraId="4D9C0054" w14:textId="77777777" w:rsidTr="00982184">
        <w:trPr>
          <w:tblHeader/>
        </w:trPr>
        <w:tc>
          <w:tcPr>
            <w:tcW w:w="3470" w:type="dxa"/>
            <w:shd w:val="clear" w:color="auto" w:fill="auto"/>
            <w:vAlign w:val="bottom"/>
          </w:tcPr>
          <w:p w14:paraId="61014E75" w14:textId="36599254" w:rsidR="00C83B27" w:rsidRPr="0012790E" w:rsidRDefault="00C83B27" w:rsidP="00C83B27">
            <w:pPr>
              <w:pStyle w:val="SummaryMeasureTitlewithTheme"/>
            </w:pPr>
            <w:r w:rsidRPr="0012790E">
              <w:t>Establishment of the Administrative Review Tribunal and Addressing Extremely High Migration Backlogs in the Courts(b)</w:t>
            </w:r>
          </w:p>
        </w:tc>
        <w:tc>
          <w:tcPr>
            <w:tcW w:w="851" w:type="dxa"/>
            <w:tcBorders>
              <w:bottom w:val="single" w:sz="4" w:space="0" w:color="293F5B"/>
            </w:tcBorders>
            <w:vAlign w:val="bottom"/>
          </w:tcPr>
          <w:p w14:paraId="0A2BD618" w14:textId="77777777" w:rsidR="00C83B27" w:rsidRPr="0012790E" w:rsidRDefault="00C83B27" w:rsidP="00C83B27">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4EC1064C" w14:textId="77777777" w:rsidR="00C83B27" w:rsidRPr="0012790E" w:rsidRDefault="00C83B27" w:rsidP="00C83B27">
            <w:pPr>
              <w:pStyle w:val="Summarytabletextrightaligned"/>
              <w:rPr>
                <w:szCs w:val="16"/>
              </w:rPr>
            </w:pPr>
            <w:r w:rsidRPr="0012790E">
              <w:rPr>
                <w:szCs w:val="16"/>
              </w:rPr>
              <w:t>0.9</w:t>
            </w:r>
          </w:p>
        </w:tc>
        <w:tc>
          <w:tcPr>
            <w:tcW w:w="851" w:type="dxa"/>
            <w:tcBorders>
              <w:bottom w:val="single" w:sz="4" w:space="0" w:color="293F5B"/>
            </w:tcBorders>
            <w:vAlign w:val="bottom"/>
          </w:tcPr>
          <w:p w14:paraId="5E1B788F" w14:textId="77777777" w:rsidR="00C83B27" w:rsidRPr="0012790E" w:rsidRDefault="00C83B27" w:rsidP="00C83B27">
            <w:pPr>
              <w:pStyle w:val="Summarytabletextrightaligned"/>
              <w:rPr>
                <w:szCs w:val="16"/>
              </w:rPr>
            </w:pPr>
            <w:r w:rsidRPr="0012790E">
              <w:rPr>
                <w:szCs w:val="16"/>
              </w:rPr>
              <w:t>1.5</w:t>
            </w:r>
          </w:p>
        </w:tc>
        <w:tc>
          <w:tcPr>
            <w:tcW w:w="851" w:type="dxa"/>
            <w:tcBorders>
              <w:bottom w:val="single" w:sz="4" w:space="0" w:color="293F5B"/>
            </w:tcBorders>
            <w:vAlign w:val="bottom"/>
          </w:tcPr>
          <w:p w14:paraId="5EECF5D1" w14:textId="77777777" w:rsidR="00C83B27" w:rsidRPr="0012790E" w:rsidRDefault="00C83B27" w:rsidP="00C83B27">
            <w:pPr>
              <w:pStyle w:val="Summarytabletextrightaligned"/>
              <w:rPr>
                <w:szCs w:val="16"/>
              </w:rPr>
            </w:pPr>
            <w:r w:rsidRPr="0012790E">
              <w:rPr>
                <w:szCs w:val="16"/>
              </w:rPr>
              <w:t>6.3</w:t>
            </w:r>
          </w:p>
        </w:tc>
        <w:tc>
          <w:tcPr>
            <w:tcW w:w="851" w:type="dxa"/>
            <w:tcBorders>
              <w:bottom w:val="single" w:sz="4" w:space="0" w:color="293F5B"/>
            </w:tcBorders>
            <w:vAlign w:val="bottom"/>
          </w:tcPr>
          <w:p w14:paraId="439F3408" w14:textId="77777777" w:rsidR="00C83B27" w:rsidRPr="0012790E" w:rsidRDefault="00C83B27" w:rsidP="00C83B27">
            <w:pPr>
              <w:pStyle w:val="Summarytabletextrightaligned"/>
              <w:rPr>
                <w:szCs w:val="16"/>
              </w:rPr>
            </w:pPr>
            <w:r w:rsidRPr="0012790E">
              <w:rPr>
                <w:szCs w:val="16"/>
              </w:rPr>
              <w:t>6.5</w:t>
            </w:r>
          </w:p>
        </w:tc>
      </w:tr>
      <w:tr w:rsidR="00C83B27" w:rsidRPr="0012790E" w14:paraId="34F46034" w14:textId="77777777" w:rsidTr="00982184">
        <w:trPr>
          <w:tblHeader/>
        </w:trPr>
        <w:tc>
          <w:tcPr>
            <w:tcW w:w="3470" w:type="dxa"/>
            <w:shd w:val="clear" w:color="auto" w:fill="auto"/>
            <w:vAlign w:val="bottom"/>
          </w:tcPr>
          <w:p w14:paraId="547530FB" w14:textId="77777777" w:rsidR="00C83B27" w:rsidRPr="0012790E" w:rsidRDefault="00C83B27" w:rsidP="00C83B27">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2EE4EE84" w14:textId="77777777" w:rsidR="00C83B27" w:rsidRPr="0012790E" w:rsidRDefault="00C83B27" w:rsidP="00C83B27">
            <w:pPr>
              <w:pStyle w:val="Summarytabletextrightalignedbold"/>
              <w:rPr>
                <w:bCs/>
                <w:szCs w:val="16"/>
              </w:rPr>
            </w:pPr>
            <w:r w:rsidRPr="0012790E">
              <w:rPr>
                <w:bCs/>
                <w:szCs w:val="16"/>
              </w:rPr>
              <w:noBreakHyphen/>
            </w:r>
          </w:p>
        </w:tc>
        <w:tc>
          <w:tcPr>
            <w:tcW w:w="851" w:type="dxa"/>
            <w:tcBorders>
              <w:top w:val="single" w:sz="4" w:space="0" w:color="293F5B"/>
              <w:bottom w:val="single" w:sz="4" w:space="0" w:color="293F5B"/>
            </w:tcBorders>
            <w:shd w:val="clear" w:color="auto" w:fill="E6F2FF"/>
            <w:vAlign w:val="bottom"/>
          </w:tcPr>
          <w:p w14:paraId="1F9F15EC" w14:textId="77777777" w:rsidR="00C83B27" w:rsidRPr="0012790E" w:rsidRDefault="00C83B27" w:rsidP="00C83B27">
            <w:pPr>
              <w:pStyle w:val="Summarytabletextrightalignedbold"/>
              <w:rPr>
                <w:bCs/>
                <w:szCs w:val="16"/>
              </w:rPr>
            </w:pPr>
            <w:r w:rsidRPr="0012790E">
              <w:rPr>
                <w:bCs/>
                <w:szCs w:val="16"/>
              </w:rPr>
              <w:t>0.9</w:t>
            </w:r>
          </w:p>
        </w:tc>
        <w:tc>
          <w:tcPr>
            <w:tcW w:w="851" w:type="dxa"/>
            <w:tcBorders>
              <w:top w:val="single" w:sz="4" w:space="0" w:color="293F5B"/>
              <w:bottom w:val="single" w:sz="4" w:space="0" w:color="293F5B"/>
            </w:tcBorders>
            <w:vAlign w:val="bottom"/>
          </w:tcPr>
          <w:p w14:paraId="3518BBA7" w14:textId="77777777" w:rsidR="00C83B27" w:rsidRPr="0012790E" w:rsidRDefault="00C83B27" w:rsidP="00C83B27">
            <w:pPr>
              <w:pStyle w:val="Summarytabletextrightalignedbold"/>
              <w:rPr>
                <w:bCs/>
                <w:szCs w:val="16"/>
              </w:rPr>
            </w:pPr>
            <w:r w:rsidRPr="0012790E">
              <w:rPr>
                <w:bCs/>
                <w:szCs w:val="16"/>
              </w:rPr>
              <w:t>1.5</w:t>
            </w:r>
          </w:p>
        </w:tc>
        <w:tc>
          <w:tcPr>
            <w:tcW w:w="851" w:type="dxa"/>
            <w:tcBorders>
              <w:top w:val="single" w:sz="4" w:space="0" w:color="293F5B"/>
              <w:bottom w:val="single" w:sz="4" w:space="0" w:color="293F5B"/>
            </w:tcBorders>
            <w:vAlign w:val="bottom"/>
          </w:tcPr>
          <w:p w14:paraId="10E3C2FF" w14:textId="77777777" w:rsidR="00C83B27" w:rsidRPr="0012790E" w:rsidRDefault="00C83B27" w:rsidP="00C83B27">
            <w:pPr>
              <w:pStyle w:val="Summarytabletextrightalignedbold"/>
              <w:rPr>
                <w:bCs/>
                <w:szCs w:val="16"/>
              </w:rPr>
            </w:pPr>
            <w:r w:rsidRPr="0012790E">
              <w:rPr>
                <w:bCs/>
                <w:szCs w:val="16"/>
              </w:rPr>
              <w:t>6.3</w:t>
            </w:r>
          </w:p>
        </w:tc>
        <w:tc>
          <w:tcPr>
            <w:tcW w:w="851" w:type="dxa"/>
            <w:tcBorders>
              <w:top w:val="single" w:sz="4" w:space="0" w:color="293F5B"/>
              <w:bottom w:val="single" w:sz="4" w:space="0" w:color="293F5B"/>
            </w:tcBorders>
            <w:vAlign w:val="bottom"/>
          </w:tcPr>
          <w:p w14:paraId="0CBC7580" w14:textId="77777777" w:rsidR="00C83B27" w:rsidRPr="0012790E" w:rsidRDefault="00C83B27" w:rsidP="00C83B27">
            <w:pPr>
              <w:pStyle w:val="Summarytabletextrightalignedbold"/>
              <w:rPr>
                <w:bCs/>
                <w:szCs w:val="16"/>
              </w:rPr>
            </w:pPr>
            <w:r w:rsidRPr="0012790E">
              <w:rPr>
                <w:bCs/>
                <w:szCs w:val="16"/>
              </w:rPr>
              <w:t>6.5</w:t>
            </w:r>
          </w:p>
        </w:tc>
      </w:tr>
      <w:tr w:rsidR="00C83B27" w:rsidRPr="0012790E" w14:paraId="18BCBD22" w14:textId="77777777" w:rsidTr="00982184">
        <w:trPr>
          <w:tblHeader/>
        </w:trPr>
        <w:tc>
          <w:tcPr>
            <w:tcW w:w="3470" w:type="dxa"/>
            <w:shd w:val="clear" w:color="auto" w:fill="auto"/>
            <w:vAlign w:val="bottom"/>
          </w:tcPr>
          <w:p w14:paraId="21218736" w14:textId="4BAC2631" w:rsidR="00C83B27" w:rsidRPr="0012790E" w:rsidRDefault="00C83B27" w:rsidP="00C83B27">
            <w:pPr>
              <w:pStyle w:val="SummaryPortfolioTitle-BP2"/>
            </w:pPr>
            <w:r w:rsidRPr="0012790E">
              <w:t>CLIMATE CHANGE, ENERGY, THE ENVIRONMENT AND WATER</w:t>
            </w:r>
          </w:p>
        </w:tc>
        <w:tc>
          <w:tcPr>
            <w:tcW w:w="851" w:type="dxa"/>
            <w:tcBorders>
              <w:top w:val="single" w:sz="4" w:space="0" w:color="293F5B"/>
            </w:tcBorders>
            <w:vAlign w:val="bottom"/>
          </w:tcPr>
          <w:p w14:paraId="1E4CE2FC" w14:textId="77777777" w:rsidR="00C83B27" w:rsidRPr="0012790E" w:rsidRDefault="00C83B27" w:rsidP="00C83B27">
            <w:pPr>
              <w:pStyle w:val="MeasureTableTextRightAlignedBefore6ptAfter1pt"/>
              <w:rPr>
                <w:b/>
                <w:bCs/>
              </w:rPr>
            </w:pPr>
          </w:p>
        </w:tc>
        <w:tc>
          <w:tcPr>
            <w:tcW w:w="851" w:type="dxa"/>
            <w:tcBorders>
              <w:top w:val="single" w:sz="4" w:space="0" w:color="293F5B"/>
            </w:tcBorders>
            <w:shd w:val="clear" w:color="auto" w:fill="E6F2FF"/>
            <w:vAlign w:val="bottom"/>
          </w:tcPr>
          <w:p w14:paraId="06AC9226"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256F82EA"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41FE0CF2"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4A4373C2" w14:textId="77777777" w:rsidR="00C83B27" w:rsidRPr="0012790E" w:rsidRDefault="00C83B27" w:rsidP="00C83B27">
            <w:pPr>
              <w:pStyle w:val="MeasureTableTextRightAlignedBefore6ptAfter1pt"/>
              <w:rPr>
                <w:b/>
                <w:bCs/>
              </w:rPr>
            </w:pPr>
          </w:p>
        </w:tc>
      </w:tr>
      <w:tr w:rsidR="00C83B27" w:rsidRPr="0012790E" w14:paraId="15459605" w14:textId="77777777" w:rsidTr="00982184">
        <w:trPr>
          <w:tblHeader/>
        </w:trPr>
        <w:tc>
          <w:tcPr>
            <w:tcW w:w="3470" w:type="dxa"/>
            <w:shd w:val="clear" w:color="auto" w:fill="auto"/>
            <w:vAlign w:val="bottom"/>
          </w:tcPr>
          <w:p w14:paraId="0E9D45DE" w14:textId="77777777" w:rsidR="00C83B27" w:rsidRPr="0012790E" w:rsidRDefault="00C83B27" w:rsidP="00C83B27">
            <w:pPr>
              <w:pStyle w:val="SummaryAgencyTitle-BP2"/>
              <w:rPr>
                <w:iCs/>
              </w:rPr>
            </w:pPr>
            <w:r w:rsidRPr="0012790E">
              <w:rPr>
                <w:iCs/>
              </w:rPr>
              <w:t>Clean Energy Regulator</w:t>
            </w:r>
          </w:p>
        </w:tc>
        <w:tc>
          <w:tcPr>
            <w:tcW w:w="851" w:type="dxa"/>
            <w:vAlign w:val="bottom"/>
          </w:tcPr>
          <w:p w14:paraId="428E0D9F" w14:textId="77777777" w:rsidR="00C83B27" w:rsidRPr="0012790E" w:rsidRDefault="00C83B27" w:rsidP="00C83B27">
            <w:pPr>
              <w:pStyle w:val="SummaryAgencyTitle-BP2"/>
              <w:rPr>
                <w:iCs/>
              </w:rPr>
            </w:pPr>
          </w:p>
        </w:tc>
        <w:tc>
          <w:tcPr>
            <w:tcW w:w="851" w:type="dxa"/>
            <w:shd w:val="clear" w:color="auto" w:fill="E6F2FF"/>
            <w:vAlign w:val="bottom"/>
          </w:tcPr>
          <w:p w14:paraId="5EAD5A89" w14:textId="77777777" w:rsidR="00C83B27" w:rsidRPr="0012790E" w:rsidRDefault="00C83B27" w:rsidP="00C83B27">
            <w:pPr>
              <w:pStyle w:val="SummaryAgencyTitle-BP2"/>
              <w:rPr>
                <w:iCs/>
              </w:rPr>
            </w:pPr>
          </w:p>
        </w:tc>
        <w:tc>
          <w:tcPr>
            <w:tcW w:w="851" w:type="dxa"/>
            <w:vAlign w:val="bottom"/>
          </w:tcPr>
          <w:p w14:paraId="3B772870" w14:textId="77777777" w:rsidR="00C83B27" w:rsidRPr="0012790E" w:rsidRDefault="00C83B27" w:rsidP="00C83B27">
            <w:pPr>
              <w:pStyle w:val="SummaryAgencyTitle-BP2"/>
              <w:rPr>
                <w:iCs/>
              </w:rPr>
            </w:pPr>
          </w:p>
        </w:tc>
        <w:tc>
          <w:tcPr>
            <w:tcW w:w="851" w:type="dxa"/>
            <w:vAlign w:val="bottom"/>
          </w:tcPr>
          <w:p w14:paraId="65573564" w14:textId="77777777" w:rsidR="00C83B27" w:rsidRPr="0012790E" w:rsidRDefault="00C83B27" w:rsidP="00C83B27">
            <w:pPr>
              <w:pStyle w:val="SummaryAgencyTitle-BP2"/>
              <w:rPr>
                <w:iCs/>
              </w:rPr>
            </w:pPr>
          </w:p>
        </w:tc>
        <w:tc>
          <w:tcPr>
            <w:tcW w:w="851" w:type="dxa"/>
            <w:vAlign w:val="bottom"/>
          </w:tcPr>
          <w:p w14:paraId="5DA81BF6" w14:textId="77777777" w:rsidR="00C83B27" w:rsidRPr="0012790E" w:rsidRDefault="00C83B27" w:rsidP="00C83B27">
            <w:pPr>
              <w:pStyle w:val="SummaryAgencyTitle-BP2"/>
              <w:rPr>
                <w:iCs/>
              </w:rPr>
            </w:pPr>
          </w:p>
        </w:tc>
      </w:tr>
      <w:tr w:rsidR="00C83B27" w:rsidRPr="0012790E" w14:paraId="26A30257" w14:textId="77777777" w:rsidTr="00982184">
        <w:trPr>
          <w:tblHeader/>
        </w:trPr>
        <w:tc>
          <w:tcPr>
            <w:tcW w:w="3470" w:type="dxa"/>
            <w:shd w:val="clear" w:color="auto" w:fill="auto"/>
            <w:vAlign w:val="bottom"/>
          </w:tcPr>
          <w:p w14:paraId="6C14546A" w14:textId="76211AB3" w:rsidR="00C83B27" w:rsidRPr="0012790E" w:rsidRDefault="00C83B27" w:rsidP="00C83B27">
            <w:pPr>
              <w:pStyle w:val="SummaryMeasureTitlewithTheme"/>
            </w:pPr>
            <w:r w:rsidRPr="0012790E">
              <w:t>Future Made in Australia – Making Australia a Renewable Energy Superpower(b)</w:t>
            </w:r>
          </w:p>
        </w:tc>
        <w:tc>
          <w:tcPr>
            <w:tcW w:w="851" w:type="dxa"/>
            <w:vAlign w:val="bottom"/>
          </w:tcPr>
          <w:p w14:paraId="62F75D6B"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46C7B5E6"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769A2533"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1291FDE8"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05C661CF" w14:textId="77777777" w:rsidR="00C83B27" w:rsidRPr="0012790E" w:rsidRDefault="00C83B27" w:rsidP="00C83B27">
            <w:pPr>
              <w:pStyle w:val="Summarytabletextrightaligned"/>
              <w:rPr>
                <w:szCs w:val="16"/>
              </w:rPr>
            </w:pPr>
            <w:r w:rsidRPr="0012790E">
              <w:rPr>
                <w:szCs w:val="16"/>
              </w:rPr>
              <w:t>0.1</w:t>
            </w:r>
          </w:p>
        </w:tc>
      </w:tr>
      <w:tr w:rsidR="00C83B27" w:rsidRPr="0012790E" w14:paraId="1ACA0DBE" w14:textId="77777777" w:rsidTr="00982184">
        <w:trPr>
          <w:tblHeader/>
        </w:trPr>
        <w:tc>
          <w:tcPr>
            <w:tcW w:w="3470" w:type="dxa"/>
            <w:shd w:val="clear" w:color="auto" w:fill="auto"/>
            <w:vAlign w:val="bottom"/>
          </w:tcPr>
          <w:p w14:paraId="7B0CA2F8" w14:textId="345B1147" w:rsidR="00C83B27" w:rsidRPr="0012790E" w:rsidRDefault="00C83B27" w:rsidP="00C83B27">
            <w:pPr>
              <w:pStyle w:val="SummaryMeasureTitlewithTheme"/>
            </w:pPr>
            <w:r w:rsidRPr="0012790E">
              <w:t>Improving the Australian Carbon Credit Unit Scheme(b)</w:t>
            </w:r>
          </w:p>
        </w:tc>
        <w:tc>
          <w:tcPr>
            <w:tcW w:w="851" w:type="dxa"/>
            <w:vAlign w:val="bottom"/>
          </w:tcPr>
          <w:p w14:paraId="2ED50832" w14:textId="77777777" w:rsidR="00C83B27" w:rsidRPr="0012790E" w:rsidRDefault="00C83B27" w:rsidP="00C83B27">
            <w:pPr>
              <w:pStyle w:val="Summarytabletextrightaligned"/>
              <w:rPr>
                <w:szCs w:val="16"/>
              </w:rPr>
            </w:pPr>
            <w:r w:rsidRPr="0012790E">
              <w:rPr>
                <w:szCs w:val="16"/>
              </w:rPr>
              <w:noBreakHyphen/>
              <w:t>8.5</w:t>
            </w:r>
          </w:p>
        </w:tc>
        <w:tc>
          <w:tcPr>
            <w:tcW w:w="851" w:type="dxa"/>
            <w:shd w:val="clear" w:color="auto" w:fill="E6F2FF"/>
            <w:vAlign w:val="bottom"/>
          </w:tcPr>
          <w:p w14:paraId="3DA822A2" w14:textId="77777777" w:rsidR="00C83B27" w:rsidRPr="0012790E" w:rsidRDefault="00C83B27" w:rsidP="00C83B27">
            <w:pPr>
              <w:pStyle w:val="Summarytabletextrightaligned"/>
              <w:rPr>
                <w:szCs w:val="16"/>
              </w:rPr>
            </w:pPr>
            <w:r w:rsidRPr="0012790E">
              <w:rPr>
                <w:szCs w:val="16"/>
              </w:rPr>
              <w:noBreakHyphen/>
              <w:t>1.2</w:t>
            </w:r>
          </w:p>
        </w:tc>
        <w:tc>
          <w:tcPr>
            <w:tcW w:w="851" w:type="dxa"/>
            <w:vAlign w:val="bottom"/>
          </w:tcPr>
          <w:p w14:paraId="76456ABA"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601C6584"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3C6F7436" w14:textId="77777777" w:rsidR="00C83B27" w:rsidRPr="0012790E" w:rsidRDefault="00C83B27" w:rsidP="00C83B27">
            <w:pPr>
              <w:pStyle w:val="Summarytabletextrightaligned"/>
              <w:rPr>
                <w:szCs w:val="16"/>
              </w:rPr>
            </w:pPr>
            <w:r w:rsidRPr="0012790E">
              <w:rPr>
                <w:szCs w:val="16"/>
              </w:rPr>
              <w:noBreakHyphen/>
            </w:r>
          </w:p>
        </w:tc>
      </w:tr>
      <w:tr w:rsidR="00C83B27" w:rsidRPr="0012790E" w14:paraId="109565D0" w14:textId="77777777" w:rsidTr="00982184">
        <w:trPr>
          <w:tblHeader/>
        </w:trPr>
        <w:tc>
          <w:tcPr>
            <w:tcW w:w="3470" w:type="dxa"/>
            <w:shd w:val="clear" w:color="auto" w:fill="auto"/>
            <w:vAlign w:val="bottom"/>
          </w:tcPr>
          <w:p w14:paraId="41C81759" w14:textId="05272F4F" w:rsidR="00C83B27" w:rsidRPr="0012790E" w:rsidRDefault="00C83B27" w:rsidP="00C83B27">
            <w:pPr>
              <w:pStyle w:val="SummaryAgencyTitle-BP2"/>
              <w:rPr>
                <w:iCs/>
              </w:rPr>
            </w:pPr>
            <w:r w:rsidRPr="0012790E">
              <w:rPr>
                <w:iCs/>
              </w:rPr>
              <w:t>Department of Climate Change, Energy, the Environment and Water</w:t>
            </w:r>
          </w:p>
        </w:tc>
        <w:tc>
          <w:tcPr>
            <w:tcW w:w="851" w:type="dxa"/>
            <w:vAlign w:val="bottom"/>
          </w:tcPr>
          <w:p w14:paraId="34348182" w14:textId="77777777" w:rsidR="00C83B27" w:rsidRPr="0012790E" w:rsidRDefault="00C83B27" w:rsidP="00C83B27">
            <w:pPr>
              <w:pStyle w:val="SummaryAgencyTitle-BP2"/>
              <w:rPr>
                <w:iCs/>
              </w:rPr>
            </w:pPr>
          </w:p>
        </w:tc>
        <w:tc>
          <w:tcPr>
            <w:tcW w:w="851" w:type="dxa"/>
            <w:shd w:val="clear" w:color="auto" w:fill="E6F2FF"/>
            <w:vAlign w:val="bottom"/>
          </w:tcPr>
          <w:p w14:paraId="5D591956" w14:textId="77777777" w:rsidR="00C83B27" w:rsidRPr="0012790E" w:rsidRDefault="00C83B27" w:rsidP="00C83B27">
            <w:pPr>
              <w:pStyle w:val="SummaryAgencyTitle-BP2"/>
              <w:rPr>
                <w:iCs/>
              </w:rPr>
            </w:pPr>
          </w:p>
        </w:tc>
        <w:tc>
          <w:tcPr>
            <w:tcW w:w="851" w:type="dxa"/>
            <w:vAlign w:val="bottom"/>
          </w:tcPr>
          <w:p w14:paraId="3E2DF287" w14:textId="77777777" w:rsidR="00C83B27" w:rsidRPr="0012790E" w:rsidRDefault="00C83B27" w:rsidP="00C83B27">
            <w:pPr>
              <w:pStyle w:val="SummaryAgencyTitle-BP2"/>
              <w:rPr>
                <w:iCs/>
              </w:rPr>
            </w:pPr>
          </w:p>
        </w:tc>
        <w:tc>
          <w:tcPr>
            <w:tcW w:w="851" w:type="dxa"/>
            <w:vAlign w:val="bottom"/>
          </w:tcPr>
          <w:p w14:paraId="03BDE94F" w14:textId="77777777" w:rsidR="00C83B27" w:rsidRPr="0012790E" w:rsidRDefault="00C83B27" w:rsidP="00C83B27">
            <w:pPr>
              <w:pStyle w:val="SummaryAgencyTitle-BP2"/>
              <w:rPr>
                <w:iCs/>
              </w:rPr>
            </w:pPr>
          </w:p>
        </w:tc>
        <w:tc>
          <w:tcPr>
            <w:tcW w:w="851" w:type="dxa"/>
            <w:vAlign w:val="bottom"/>
          </w:tcPr>
          <w:p w14:paraId="27AC1B05" w14:textId="77777777" w:rsidR="00C83B27" w:rsidRPr="0012790E" w:rsidRDefault="00C83B27" w:rsidP="00C83B27">
            <w:pPr>
              <w:pStyle w:val="SummaryAgencyTitle-BP2"/>
              <w:rPr>
                <w:iCs/>
              </w:rPr>
            </w:pPr>
          </w:p>
        </w:tc>
      </w:tr>
      <w:tr w:rsidR="00C83B27" w:rsidRPr="0012790E" w14:paraId="38E3E8DA" w14:textId="77777777" w:rsidTr="00982184">
        <w:trPr>
          <w:tblHeader/>
        </w:trPr>
        <w:tc>
          <w:tcPr>
            <w:tcW w:w="3470" w:type="dxa"/>
            <w:shd w:val="clear" w:color="auto" w:fill="auto"/>
            <w:vAlign w:val="bottom"/>
          </w:tcPr>
          <w:p w14:paraId="69AFC9B6" w14:textId="7440666B" w:rsidR="00C83B27" w:rsidRPr="0012790E" w:rsidRDefault="00C83B27" w:rsidP="00C83B27">
            <w:pPr>
              <w:pStyle w:val="SummaryMeasureTitlewithTheme"/>
            </w:pPr>
            <w:r w:rsidRPr="0012790E">
              <w:t>Climate Change, Energy, the Environment and Water – cost recovery arrangements(b)</w:t>
            </w:r>
          </w:p>
        </w:tc>
        <w:tc>
          <w:tcPr>
            <w:tcW w:w="851" w:type="dxa"/>
            <w:vAlign w:val="bottom"/>
          </w:tcPr>
          <w:p w14:paraId="17DA30F3"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289487FC" w14:textId="77777777" w:rsidR="00C83B27" w:rsidRPr="0012790E" w:rsidRDefault="00C83B27" w:rsidP="00C83B27">
            <w:pPr>
              <w:pStyle w:val="Summarytabletextrightaligned"/>
              <w:rPr>
                <w:szCs w:val="16"/>
              </w:rPr>
            </w:pPr>
            <w:r w:rsidRPr="0012790E">
              <w:rPr>
                <w:szCs w:val="16"/>
              </w:rPr>
              <w:noBreakHyphen/>
              <w:t>1.6</w:t>
            </w:r>
          </w:p>
        </w:tc>
        <w:tc>
          <w:tcPr>
            <w:tcW w:w="851" w:type="dxa"/>
            <w:vAlign w:val="bottom"/>
          </w:tcPr>
          <w:p w14:paraId="6531A0BE" w14:textId="77777777" w:rsidR="00C83B27" w:rsidRPr="0012790E" w:rsidRDefault="00C83B27" w:rsidP="00C83B27">
            <w:pPr>
              <w:pStyle w:val="Summarytabletextrightaligned"/>
              <w:rPr>
                <w:szCs w:val="16"/>
              </w:rPr>
            </w:pPr>
            <w:r w:rsidRPr="0012790E">
              <w:rPr>
                <w:szCs w:val="16"/>
              </w:rPr>
              <w:noBreakHyphen/>
              <w:t>1.8</w:t>
            </w:r>
          </w:p>
        </w:tc>
        <w:tc>
          <w:tcPr>
            <w:tcW w:w="851" w:type="dxa"/>
            <w:vAlign w:val="bottom"/>
          </w:tcPr>
          <w:p w14:paraId="3BF07CD4" w14:textId="77777777" w:rsidR="00C83B27" w:rsidRPr="0012790E" w:rsidRDefault="00C83B27" w:rsidP="00C83B27">
            <w:pPr>
              <w:pStyle w:val="Summarytabletextrightaligned"/>
              <w:rPr>
                <w:szCs w:val="16"/>
              </w:rPr>
            </w:pPr>
            <w:r w:rsidRPr="0012790E">
              <w:rPr>
                <w:szCs w:val="16"/>
              </w:rPr>
              <w:noBreakHyphen/>
              <w:t>1.9</w:t>
            </w:r>
          </w:p>
        </w:tc>
        <w:tc>
          <w:tcPr>
            <w:tcW w:w="851" w:type="dxa"/>
            <w:vAlign w:val="bottom"/>
          </w:tcPr>
          <w:p w14:paraId="13F1A8C2" w14:textId="77777777" w:rsidR="00C83B27" w:rsidRPr="0012790E" w:rsidRDefault="00C83B27" w:rsidP="00C83B27">
            <w:pPr>
              <w:pStyle w:val="Summarytabletextrightaligned"/>
              <w:rPr>
                <w:szCs w:val="16"/>
              </w:rPr>
            </w:pPr>
            <w:r w:rsidRPr="0012790E">
              <w:rPr>
                <w:szCs w:val="16"/>
              </w:rPr>
              <w:t>1.3</w:t>
            </w:r>
          </w:p>
        </w:tc>
      </w:tr>
      <w:tr w:rsidR="00C83B27" w:rsidRPr="0012790E" w14:paraId="32D18E6D" w14:textId="77777777" w:rsidTr="00982184">
        <w:trPr>
          <w:tblHeader/>
        </w:trPr>
        <w:tc>
          <w:tcPr>
            <w:tcW w:w="3470" w:type="dxa"/>
            <w:shd w:val="clear" w:color="auto" w:fill="auto"/>
            <w:vAlign w:val="bottom"/>
          </w:tcPr>
          <w:p w14:paraId="1C73311F" w14:textId="2F124E30" w:rsidR="00C83B27" w:rsidRPr="0012790E" w:rsidRDefault="00C83B27" w:rsidP="00C83B27">
            <w:pPr>
              <w:pStyle w:val="SummaryMeasureTitlewithTheme"/>
            </w:pPr>
            <w:r w:rsidRPr="0012790E">
              <w:t>Future Made in Australia – Strengthening Approvals Processes(b)</w:t>
            </w:r>
          </w:p>
        </w:tc>
        <w:tc>
          <w:tcPr>
            <w:tcW w:w="851" w:type="dxa"/>
            <w:tcBorders>
              <w:bottom w:val="single" w:sz="4" w:space="0" w:color="293F5B"/>
            </w:tcBorders>
            <w:vAlign w:val="bottom"/>
          </w:tcPr>
          <w:p w14:paraId="0A303C85" w14:textId="77777777" w:rsidR="00C83B27" w:rsidRPr="0012790E" w:rsidRDefault="00C83B27" w:rsidP="00C83B27">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778E6E04" w14:textId="77777777" w:rsidR="00C83B27" w:rsidRPr="0012790E" w:rsidRDefault="00C83B27" w:rsidP="00C83B27">
            <w:pPr>
              <w:pStyle w:val="Summarytabletextrightaligned"/>
              <w:rPr>
                <w:szCs w:val="16"/>
              </w:rPr>
            </w:pPr>
            <w:r w:rsidRPr="0012790E">
              <w:rPr>
                <w:szCs w:val="16"/>
              </w:rPr>
              <w:noBreakHyphen/>
            </w:r>
          </w:p>
        </w:tc>
        <w:tc>
          <w:tcPr>
            <w:tcW w:w="851" w:type="dxa"/>
            <w:tcBorders>
              <w:bottom w:val="single" w:sz="4" w:space="0" w:color="293F5B"/>
            </w:tcBorders>
            <w:vAlign w:val="bottom"/>
          </w:tcPr>
          <w:p w14:paraId="2E1F7608" w14:textId="77777777" w:rsidR="00C83B27" w:rsidRPr="0012790E" w:rsidRDefault="00C83B27" w:rsidP="00C83B27">
            <w:pPr>
              <w:pStyle w:val="Summarytabletextrightaligned"/>
              <w:rPr>
                <w:szCs w:val="16"/>
              </w:rPr>
            </w:pPr>
            <w:r w:rsidRPr="0012790E">
              <w:rPr>
                <w:szCs w:val="16"/>
              </w:rPr>
              <w:noBreakHyphen/>
            </w:r>
          </w:p>
        </w:tc>
        <w:tc>
          <w:tcPr>
            <w:tcW w:w="851" w:type="dxa"/>
            <w:tcBorders>
              <w:bottom w:val="single" w:sz="4" w:space="0" w:color="293F5B"/>
            </w:tcBorders>
            <w:vAlign w:val="bottom"/>
          </w:tcPr>
          <w:p w14:paraId="07FFDE03" w14:textId="77777777" w:rsidR="00C83B27" w:rsidRPr="0012790E" w:rsidRDefault="00C83B27" w:rsidP="00C83B27">
            <w:pPr>
              <w:pStyle w:val="Summarytabletextrightaligned"/>
              <w:rPr>
                <w:szCs w:val="16"/>
              </w:rPr>
            </w:pPr>
            <w:r w:rsidRPr="0012790E">
              <w:rPr>
                <w:szCs w:val="16"/>
              </w:rPr>
              <w:noBreakHyphen/>
            </w:r>
          </w:p>
        </w:tc>
        <w:tc>
          <w:tcPr>
            <w:tcW w:w="851" w:type="dxa"/>
            <w:tcBorders>
              <w:bottom w:val="single" w:sz="4" w:space="0" w:color="293F5B"/>
            </w:tcBorders>
            <w:vAlign w:val="bottom"/>
          </w:tcPr>
          <w:p w14:paraId="7DF4C90A" w14:textId="77777777" w:rsidR="00C83B27" w:rsidRPr="0012790E" w:rsidRDefault="00C83B27" w:rsidP="00C83B27">
            <w:pPr>
              <w:pStyle w:val="Summarytabletextrightaligned"/>
              <w:rPr>
                <w:szCs w:val="16"/>
              </w:rPr>
            </w:pPr>
            <w:r w:rsidRPr="0012790E">
              <w:rPr>
                <w:szCs w:val="16"/>
              </w:rPr>
              <w:noBreakHyphen/>
            </w:r>
          </w:p>
        </w:tc>
      </w:tr>
      <w:tr w:rsidR="00C83B27" w:rsidRPr="0012790E" w14:paraId="44B10FE4" w14:textId="77777777" w:rsidTr="00982184">
        <w:trPr>
          <w:tblHeader/>
        </w:trPr>
        <w:tc>
          <w:tcPr>
            <w:tcW w:w="3470" w:type="dxa"/>
            <w:shd w:val="clear" w:color="auto" w:fill="auto"/>
            <w:vAlign w:val="bottom"/>
          </w:tcPr>
          <w:p w14:paraId="2C4235DF" w14:textId="77777777" w:rsidR="00C83B27" w:rsidRPr="0012790E" w:rsidRDefault="00C83B27" w:rsidP="00C83B27">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031989E7" w14:textId="77777777" w:rsidR="00C83B27" w:rsidRPr="0012790E" w:rsidRDefault="00C83B27" w:rsidP="00C83B27">
            <w:pPr>
              <w:pStyle w:val="Summarytabletextrightalignedbold"/>
              <w:rPr>
                <w:bCs/>
                <w:szCs w:val="16"/>
              </w:rPr>
            </w:pPr>
            <w:r w:rsidRPr="0012790E">
              <w:rPr>
                <w:bCs/>
                <w:szCs w:val="16"/>
              </w:rPr>
              <w:noBreakHyphen/>
              <w:t>8.5</w:t>
            </w:r>
          </w:p>
        </w:tc>
        <w:tc>
          <w:tcPr>
            <w:tcW w:w="851" w:type="dxa"/>
            <w:tcBorders>
              <w:top w:val="single" w:sz="4" w:space="0" w:color="293F5B"/>
              <w:bottom w:val="single" w:sz="4" w:space="0" w:color="293F5B"/>
            </w:tcBorders>
            <w:shd w:val="clear" w:color="auto" w:fill="E6F2FF"/>
            <w:vAlign w:val="bottom"/>
          </w:tcPr>
          <w:p w14:paraId="05CC06E3" w14:textId="77777777" w:rsidR="00C83B27" w:rsidRPr="0012790E" w:rsidRDefault="00C83B27" w:rsidP="00C83B27">
            <w:pPr>
              <w:pStyle w:val="Summarytabletextrightalignedbold"/>
              <w:rPr>
                <w:bCs/>
                <w:szCs w:val="16"/>
              </w:rPr>
            </w:pPr>
            <w:r w:rsidRPr="0012790E">
              <w:rPr>
                <w:bCs/>
                <w:szCs w:val="16"/>
              </w:rPr>
              <w:noBreakHyphen/>
              <w:t>2.9</w:t>
            </w:r>
          </w:p>
        </w:tc>
        <w:tc>
          <w:tcPr>
            <w:tcW w:w="851" w:type="dxa"/>
            <w:tcBorders>
              <w:top w:val="single" w:sz="4" w:space="0" w:color="293F5B"/>
              <w:bottom w:val="single" w:sz="4" w:space="0" w:color="293F5B"/>
            </w:tcBorders>
            <w:vAlign w:val="bottom"/>
          </w:tcPr>
          <w:p w14:paraId="7F30ED22" w14:textId="77777777" w:rsidR="00C83B27" w:rsidRPr="0012790E" w:rsidRDefault="00C83B27" w:rsidP="00C83B27">
            <w:pPr>
              <w:pStyle w:val="Summarytabletextrightalignedbold"/>
              <w:rPr>
                <w:bCs/>
                <w:szCs w:val="16"/>
              </w:rPr>
            </w:pPr>
            <w:r w:rsidRPr="0012790E">
              <w:rPr>
                <w:bCs/>
                <w:szCs w:val="16"/>
              </w:rPr>
              <w:noBreakHyphen/>
              <w:t>1.8</w:t>
            </w:r>
          </w:p>
        </w:tc>
        <w:tc>
          <w:tcPr>
            <w:tcW w:w="851" w:type="dxa"/>
            <w:tcBorders>
              <w:top w:val="single" w:sz="4" w:space="0" w:color="293F5B"/>
              <w:bottom w:val="single" w:sz="4" w:space="0" w:color="293F5B"/>
            </w:tcBorders>
            <w:vAlign w:val="bottom"/>
          </w:tcPr>
          <w:p w14:paraId="13062ACE" w14:textId="77777777" w:rsidR="00C83B27" w:rsidRPr="0012790E" w:rsidRDefault="00C83B27" w:rsidP="00C83B27">
            <w:pPr>
              <w:pStyle w:val="Summarytabletextrightalignedbold"/>
              <w:rPr>
                <w:bCs/>
                <w:szCs w:val="16"/>
              </w:rPr>
            </w:pPr>
            <w:r w:rsidRPr="0012790E">
              <w:rPr>
                <w:bCs/>
                <w:szCs w:val="16"/>
              </w:rPr>
              <w:noBreakHyphen/>
              <w:t>1.9</w:t>
            </w:r>
          </w:p>
        </w:tc>
        <w:tc>
          <w:tcPr>
            <w:tcW w:w="851" w:type="dxa"/>
            <w:tcBorders>
              <w:top w:val="single" w:sz="4" w:space="0" w:color="293F5B"/>
              <w:bottom w:val="single" w:sz="4" w:space="0" w:color="293F5B"/>
            </w:tcBorders>
            <w:vAlign w:val="bottom"/>
          </w:tcPr>
          <w:p w14:paraId="6EA4D5F5" w14:textId="77777777" w:rsidR="00C83B27" w:rsidRPr="0012790E" w:rsidRDefault="00C83B27" w:rsidP="00C83B27">
            <w:pPr>
              <w:pStyle w:val="Summarytabletextrightalignedbold"/>
              <w:rPr>
                <w:bCs/>
                <w:szCs w:val="16"/>
              </w:rPr>
            </w:pPr>
            <w:r w:rsidRPr="0012790E">
              <w:rPr>
                <w:bCs/>
                <w:szCs w:val="16"/>
              </w:rPr>
              <w:t>1.4</w:t>
            </w:r>
          </w:p>
        </w:tc>
      </w:tr>
      <w:tr w:rsidR="00C83B27" w:rsidRPr="0012790E" w14:paraId="77B617E4" w14:textId="77777777" w:rsidTr="00982184">
        <w:trPr>
          <w:tblHeader/>
        </w:trPr>
        <w:tc>
          <w:tcPr>
            <w:tcW w:w="3470" w:type="dxa"/>
            <w:shd w:val="clear" w:color="auto" w:fill="auto"/>
            <w:vAlign w:val="bottom"/>
          </w:tcPr>
          <w:p w14:paraId="2F747FD2" w14:textId="77777777" w:rsidR="00C83B27" w:rsidRPr="0012790E" w:rsidRDefault="00C83B27" w:rsidP="00C83B27">
            <w:pPr>
              <w:pStyle w:val="SummaryPortfolioTitle-BP2"/>
            </w:pPr>
            <w:r w:rsidRPr="0012790E">
              <w:t>DEFENCE</w:t>
            </w:r>
          </w:p>
        </w:tc>
        <w:tc>
          <w:tcPr>
            <w:tcW w:w="851" w:type="dxa"/>
            <w:tcBorders>
              <w:top w:val="single" w:sz="4" w:space="0" w:color="293F5B"/>
            </w:tcBorders>
            <w:vAlign w:val="bottom"/>
          </w:tcPr>
          <w:p w14:paraId="23587342" w14:textId="77777777" w:rsidR="00C83B27" w:rsidRPr="0012790E" w:rsidRDefault="00C83B27" w:rsidP="00C83B27">
            <w:pPr>
              <w:pStyle w:val="MeasureTableTextRightAlignedBefore6ptAfter1pt"/>
              <w:rPr>
                <w:b/>
                <w:bCs/>
              </w:rPr>
            </w:pPr>
          </w:p>
        </w:tc>
        <w:tc>
          <w:tcPr>
            <w:tcW w:w="851" w:type="dxa"/>
            <w:tcBorders>
              <w:top w:val="single" w:sz="4" w:space="0" w:color="293F5B"/>
            </w:tcBorders>
            <w:shd w:val="clear" w:color="auto" w:fill="E6F2FF"/>
            <w:vAlign w:val="bottom"/>
          </w:tcPr>
          <w:p w14:paraId="134A67E5"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28808985"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6628782C"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39972D6A" w14:textId="77777777" w:rsidR="00C83B27" w:rsidRPr="0012790E" w:rsidRDefault="00C83B27" w:rsidP="00C83B27">
            <w:pPr>
              <w:pStyle w:val="MeasureTableTextRightAlignedBefore6ptAfter1pt"/>
              <w:rPr>
                <w:b/>
                <w:bCs/>
              </w:rPr>
            </w:pPr>
          </w:p>
        </w:tc>
      </w:tr>
      <w:tr w:rsidR="00C83B27" w:rsidRPr="0012790E" w14:paraId="48D8CE86" w14:textId="77777777" w:rsidTr="00982184">
        <w:trPr>
          <w:tblHeader/>
        </w:trPr>
        <w:tc>
          <w:tcPr>
            <w:tcW w:w="3470" w:type="dxa"/>
            <w:shd w:val="clear" w:color="auto" w:fill="auto"/>
            <w:vAlign w:val="bottom"/>
          </w:tcPr>
          <w:p w14:paraId="114F150A" w14:textId="77777777" w:rsidR="00C83B27" w:rsidRPr="0012790E" w:rsidRDefault="00C83B27" w:rsidP="00C83B27">
            <w:pPr>
              <w:pStyle w:val="SummaryAgencyTitle-BP2"/>
              <w:rPr>
                <w:iCs/>
              </w:rPr>
            </w:pPr>
            <w:r w:rsidRPr="0012790E">
              <w:rPr>
                <w:iCs/>
              </w:rPr>
              <w:t>Department of Defence</w:t>
            </w:r>
          </w:p>
        </w:tc>
        <w:tc>
          <w:tcPr>
            <w:tcW w:w="851" w:type="dxa"/>
            <w:vAlign w:val="bottom"/>
          </w:tcPr>
          <w:p w14:paraId="21E6D53C" w14:textId="77777777" w:rsidR="00C83B27" w:rsidRPr="0012790E" w:rsidRDefault="00C83B27" w:rsidP="00C83B27">
            <w:pPr>
              <w:pStyle w:val="SummaryAgencyTitle-BP2"/>
              <w:rPr>
                <w:iCs/>
              </w:rPr>
            </w:pPr>
          </w:p>
        </w:tc>
        <w:tc>
          <w:tcPr>
            <w:tcW w:w="851" w:type="dxa"/>
            <w:shd w:val="clear" w:color="auto" w:fill="E6F2FF"/>
            <w:vAlign w:val="bottom"/>
          </w:tcPr>
          <w:p w14:paraId="2F8F25E8" w14:textId="77777777" w:rsidR="00C83B27" w:rsidRPr="0012790E" w:rsidRDefault="00C83B27" w:rsidP="00C83B27">
            <w:pPr>
              <w:pStyle w:val="SummaryAgencyTitle-BP2"/>
              <w:rPr>
                <w:iCs/>
              </w:rPr>
            </w:pPr>
          </w:p>
        </w:tc>
        <w:tc>
          <w:tcPr>
            <w:tcW w:w="851" w:type="dxa"/>
            <w:vAlign w:val="bottom"/>
          </w:tcPr>
          <w:p w14:paraId="21ADF738" w14:textId="77777777" w:rsidR="00C83B27" w:rsidRPr="0012790E" w:rsidRDefault="00C83B27" w:rsidP="00C83B27">
            <w:pPr>
              <w:pStyle w:val="SummaryAgencyTitle-BP2"/>
              <w:rPr>
                <w:iCs/>
              </w:rPr>
            </w:pPr>
          </w:p>
        </w:tc>
        <w:tc>
          <w:tcPr>
            <w:tcW w:w="851" w:type="dxa"/>
            <w:vAlign w:val="bottom"/>
          </w:tcPr>
          <w:p w14:paraId="29F1F331" w14:textId="77777777" w:rsidR="00C83B27" w:rsidRPr="0012790E" w:rsidRDefault="00C83B27" w:rsidP="00C83B27">
            <w:pPr>
              <w:pStyle w:val="SummaryAgencyTitle-BP2"/>
              <w:rPr>
                <w:iCs/>
              </w:rPr>
            </w:pPr>
          </w:p>
        </w:tc>
        <w:tc>
          <w:tcPr>
            <w:tcW w:w="851" w:type="dxa"/>
            <w:vAlign w:val="bottom"/>
          </w:tcPr>
          <w:p w14:paraId="420B5C18" w14:textId="77777777" w:rsidR="00C83B27" w:rsidRPr="0012790E" w:rsidRDefault="00C83B27" w:rsidP="00C83B27">
            <w:pPr>
              <w:pStyle w:val="SummaryAgencyTitle-BP2"/>
              <w:rPr>
                <w:iCs/>
              </w:rPr>
            </w:pPr>
          </w:p>
        </w:tc>
      </w:tr>
      <w:tr w:rsidR="00C83B27" w:rsidRPr="0012790E" w14:paraId="0D464BA0" w14:textId="77777777" w:rsidTr="00982184">
        <w:trPr>
          <w:tblHeader/>
        </w:trPr>
        <w:tc>
          <w:tcPr>
            <w:tcW w:w="3470" w:type="dxa"/>
            <w:shd w:val="clear" w:color="auto" w:fill="auto"/>
            <w:vAlign w:val="bottom"/>
          </w:tcPr>
          <w:p w14:paraId="4D3F598C" w14:textId="51E776E6" w:rsidR="00C83B27" w:rsidRPr="0012790E" w:rsidRDefault="00C83B27" w:rsidP="00C83B27">
            <w:pPr>
              <w:pStyle w:val="SummaryMeasureTitlewithTheme"/>
            </w:pPr>
            <w:r w:rsidRPr="0012790E">
              <w:t>Defence Export – Boxer Heavy Weapons Carrier for Germany(b)</w:t>
            </w:r>
          </w:p>
        </w:tc>
        <w:tc>
          <w:tcPr>
            <w:tcW w:w="851" w:type="dxa"/>
            <w:tcBorders>
              <w:bottom w:val="single" w:sz="4" w:space="0" w:color="293F5B"/>
            </w:tcBorders>
            <w:vAlign w:val="bottom"/>
          </w:tcPr>
          <w:p w14:paraId="125B4101" w14:textId="77777777" w:rsidR="00C83B27" w:rsidRPr="0012790E" w:rsidRDefault="00C83B27" w:rsidP="00C83B27">
            <w:pPr>
              <w:pStyle w:val="Summarytabletextrightaligned"/>
              <w:rPr>
                <w:szCs w:val="16"/>
              </w:rPr>
            </w:pPr>
            <w:r w:rsidRPr="0012790E">
              <w:rPr>
                <w:szCs w:val="16"/>
              </w:rPr>
              <w:t>3.3</w:t>
            </w:r>
          </w:p>
        </w:tc>
        <w:tc>
          <w:tcPr>
            <w:tcW w:w="851" w:type="dxa"/>
            <w:tcBorders>
              <w:bottom w:val="single" w:sz="4" w:space="0" w:color="293F5B"/>
            </w:tcBorders>
            <w:shd w:val="clear" w:color="auto" w:fill="E6F2FF"/>
            <w:vAlign w:val="bottom"/>
          </w:tcPr>
          <w:p w14:paraId="51D9817A" w14:textId="77777777" w:rsidR="00C83B27" w:rsidRPr="0012790E" w:rsidRDefault="00C83B27" w:rsidP="00C83B27">
            <w:pPr>
              <w:pStyle w:val="Summarytabletextrightaligned"/>
              <w:rPr>
                <w:szCs w:val="16"/>
              </w:rPr>
            </w:pPr>
            <w:r w:rsidRPr="0012790E">
              <w:rPr>
                <w:szCs w:val="16"/>
              </w:rPr>
              <w:t>2.0</w:t>
            </w:r>
          </w:p>
        </w:tc>
        <w:tc>
          <w:tcPr>
            <w:tcW w:w="851" w:type="dxa"/>
            <w:tcBorders>
              <w:bottom w:val="single" w:sz="4" w:space="0" w:color="293F5B"/>
            </w:tcBorders>
            <w:vAlign w:val="bottom"/>
          </w:tcPr>
          <w:p w14:paraId="2049156A" w14:textId="77777777" w:rsidR="00C83B27" w:rsidRPr="0012790E" w:rsidRDefault="00C83B27" w:rsidP="00C83B27">
            <w:pPr>
              <w:pStyle w:val="Summarytabletextrightaligned"/>
              <w:rPr>
                <w:szCs w:val="16"/>
              </w:rPr>
            </w:pPr>
            <w:r w:rsidRPr="0012790E">
              <w:rPr>
                <w:szCs w:val="16"/>
              </w:rPr>
              <w:t>2.0</w:t>
            </w:r>
          </w:p>
        </w:tc>
        <w:tc>
          <w:tcPr>
            <w:tcW w:w="851" w:type="dxa"/>
            <w:tcBorders>
              <w:bottom w:val="single" w:sz="4" w:space="0" w:color="293F5B"/>
            </w:tcBorders>
            <w:vAlign w:val="bottom"/>
          </w:tcPr>
          <w:p w14:paraId="2EC75328" w14:textId="77777777" w:rsidR="00C83B27" w:rsidRPr="0012790E" w:rsidRDefault="00C83B27" w:rsidP="00C83B27">
            <w:pPr>
              <w:pStyle w:val="Summarytabletextrightaligned"/>
              <w:rPr>
                <w:szCs w:val="16"/>
              </w:rPr>
            </w:pPr>
            <w:r w:rsidRPr="0012790E">
              <w:rPr>
                <w:szCs w:val="16"/>
              </w:rPr>
              <w:t>2.0</w:t>
            </w:r>
          </w:p>
        </w:tc>
        <w:tc>
          <w:tcPr>
            <w:tcW w:w="851" w:type="dxa"/>
            <w:tcBorders>
              <w:bottom w:val="single" w:sz="4" w:space="0" w:color="293F5B"/>
            </w:tcBorders>
            <w:vAlign w:val="bottom"/>
          </w:tcPr>
          <w:p w14:paraId="2FCE0298" w14:textId="77777777" w:rsidR="00C83B27" w:rsidRPr="0012790E" w:rsidRDefault="00C83B27" w:rsidP="00C83B27">
            <w:pPr>
              <w:pStyle w:val="Summarytabletextrightaligned"/>
              <w:rPr>
                <w:szCs w:val="16"/>
              </w:rPr>
            </w:pPr>
            <w:r w:rsidRPr="0012790E">
              <w:rPr>
                <w:szCs w:val="16"/>
              </w:rPr>
              <w:t>2.0</w:t>
            </w:r>
          </w:p>
        </w:tc>
      </w:tr>
      <w:tr w:rsidR="00C83B27" w:rsidRPr="0012790E" w14:paraId="605AC4C2" w14:textId="77777777" w:rsidTr="00982184">
        <w:trPr>
          <w:tblHeader/>
        </w:trPr>
        <w:tc>
          <w:tcPr>
            <w:tcW w:w="3470" w:type="dxa"/>
            <w:shd w:val="clear" w:color="auto" w:fill="auto"/>
            <w:vAlign w:val="bottom"/>
          </w:tcPr>
          <w:p w14:paraId="558441BA" w14:textId="77777777" w:rsidR="00C83B27" w:rsidRPr="0012790E" w:rsidRDefault="00C83B27" w:rsidP="00C83B27">
            <w:pPr>
              <w:pStyle w:val="Summarytabletextleftalignedbold"/>
            </w:pPr>
            <w:r w:rsidRPr="0012790E">
              <w:t>Portfolio total</w:t>
            </w:r>
          </w:p>
        </w:tc>
        <w:tc>
          <w:tcPr>
            <w:tcW w:w="851" w:type="dxa"/>
            <w:tcBorders>
              <w:top w:val="single" w:sz="4" w:space="0" w:color="293F5B"/>
              <w:bottom w:val="single" w:sz="4" w:space="0" w:color="auto"/>
            </w:tcBorders>
            <w:vAlign w:val="bottom"/>
          </w:tcPr>
          <w:p w14:paraId="4DDA512A" w14:textId="77777777" w:rsidR="00C83B27" w:rsidRPr="0012790E" w:rsidRDefault="00C83B27" w:rsidP="00C83B27">
            <w:pPr>
              <w:pStyle w:val="Summarytabletextrightalignedbold"/>
              <w:rPr>
                <w:bCs/>
                <w:szCs w:val="16"/>
              </w:rPr>
            </w:pPr>
            <w:r w:rsidRPr="0012790E">
              <w:rPr>
                <w:bCs/>
                <w:szCs w:val="16"/>
              </w:rPr>
              <w:t>3.3</w:t>
            </w:r>
          </w:p>
        </w:tc>
        <w:tc>
          <w:tcPr>
            <w:tcW w:w="851" w:type="dxa"/>
            <w:tcBorders>
              <w:top w:val="single" w:sz="4" w:space="0" w:color="293F5B"/>
              <w:bottom w:val="single" w:sz="4" w:space="0" w:color="auto"/>
            </w:tcBorders>
            <w:shd w:val="clear" w:color="auto" w:fill="E6F2FF"/>
            <w:vAlign w:val="bottom"/>
          </w:tcPr>
          <w:p w14:paraId="4B6894DE" w14:textId="77777777" w:rsidR="00C83B27" w:rsidRPr="0012790E" w:rsidRDefault="00C83B27" w:rsidP="00C83B27">
            <w:pPr>
              <w:pStyle w:val="Summarytabletextrightalignedbold"/>
              <w:rPr>
                <w:bCs/>
                <w:szCs w:val="16"/>
              </w:rPr>
            </w:pPr>
            <w:r w:rsidRPr="0012790E">
              <w:rPr>
                <w:bCs/>
                <w:szCs w:val="16"/>
              </w:rPr>
              <w:t>2.0</w:t>
            </w:r>
          </w:p>
        </w:tc>
        <w:tc>
          <w:tcPr>
            <w:tcW w:w="851" w:type="dxa"/>
            <w:tcBorders>
              <w:top w:val="single" w:sz="4" w:space="0" w:color="293F5B"/>
              <w:bottom w:val="single" w:sz="4" w:space="0" w:color="auto"/>
            </w:tcBorders>
            <w:vAlign w:val="bottom"/>
          </w:tcPr>
          <w:p w14:paraId="0623F5F9" w14:textId="77777777" w:rsidR="00C83B27" w:rsidRPr="0012790E" w:rsidRDefault="00C83B27" w:rsidP="00C83B27">
            <w:pPr>
              <w:pStyle w:val="Summarytabletextrightalignedbold"/>
              <w:rPr>
                <w:bCs/>
                <w:szCs w:val="16"/>
              </w:rPr>
            </w:pPr>
            <w:r w:rsidRPr="0012790E">
              <w:rPr>
                <w:bCs/>
                <w:szCs w:val="16"/>
              </w:rPr>
              <w:t>2.0</w:t>
            </w:r>
          </w:p>
        </w:tc>
        <w:tc>
          <w:tcPr>
            <w:tcW w:w="851" w:type="dxa"/>
            <w:tcBorders>
              <w:top w:val="single" w:sz="4" w:space="0" w:color="293F5B"/>
              <w:bottom w:val="single" w:sz="4" w:space="0" w:color="auto"/>
            </w:tcBorders>
            <w:vAlign w:val="bottom"/>
          </w:tcPr>
          <w:p w14:paraId="2CA00575" w14:textId="77777777" w:rsidR="00C83B27" w:rsidRPr="0012790E" w:rsidRDefault="00C83B27" w:rsidP="00C83B27">
            <w:pPr>
              <w:pStyle w:val="Summarytabletextrightalignedbold"/>
              <w:rPr>
                <w:bCs/>
                <w:szCs w:val="16"/>
              </w:rPr>
            </w:pPr>
            <w:r w:rsidRPr="0012790E">
              <w:rPr>
                <w:bCs/>
                <w:szCs w:val="16"/>
              </w:rPr>
              <w:t>2.0</w:t>
            </w:r>
          </w:p>
        </w:tc>
        <w:tc>
          <w:tcPr>
            <w:tcW w:w="851" w:type="dxa"/>
            <w:tcBorders>
              <w:top w:val="single" w:sz="4" w:space="0" w:color="293F5B"/>
              <w:bottom w:val="single" w:sz="4" w:space="0" w:color="auto"/>
            </w:tcBorders>
            <w:vAlign w:val="bottom"/>
          </w:tcPr>
          <w:p w14:paraId="11FE3598" w14:textId="77777777" w:rsidR="00C83B27" w:rsidRPr="0012790E" w:rsidRDefault="00C83B27" w:rsidP="00C83B27">
            <w:pPr>
              <w:pStyle w:val="Summarytabletextrightalignedbold"/>
              <w:rPr>
                <w:bCs/>
                <w:szCs w:val="16"/>
              </w:rPr>
            </w:pPr>
            <w:r w:rsidRPr="0012790E">
              <w:rPr>
                <w:bCs/>
                <w:szCs w:val="16"/>
              </w:rPr>
              <w:t>2.0</w:t>
            </w:r>
          </w:p>
        </w:tc>
      </w:tr>
      <w:tr w:rsidR="000F33E0" w:rsidRPr="0012790E" w14:paraId="366C56FB" w14:textId="77777777" w:rsidTr="00982184">
        <w:trPr>
          <w:trHeight w:val="329"/>
          <w:tblHeader/>
        </w:trPr>
        <w:tc>
          <w:tcPr>
            <w:tcW w:w="3470" w:type="dxa"/>
            <w:shd w:val="clear" w:color="auto" w:fill="auto"/>
            <w:vAlign w:val="bottom"/>
          </w:tcPr>
          <w:p w14:paraId="7EA2AA27" w14:textId="26F84A95" w:rsidR="000F33E0" w:rsidRPr="0012790E" w:rsidRDefault="000F33E0" w:rsidP="000F33E0">
            <w:pPr>
              <w:pStyle w:val="Summarytabletextleftalignedbold"/>
            </w:pPr>
            <w:r w:rsidRPr="0012790E">
              <w:t>EDUCATION</w:t>
            </w:r>
          </w:p>
        </w:tc>
        <w:tc>
          <w:tcPr>
            <w:tcW w:w="851" w:type="dxa"/>
            <w:tcBorders>
              <w:top w:val="single" w:sz="4" w:space="0" w:color="auto"/>
            </w:tcBorders>
            <w:vAlign w:val="bottom"/>
          </w:tcPr>
          <w:p w14:paraId="4166A6A9" w14:textId="77777777" w:rsidR="000F33E0" w:rsidRPr="0012790E" w:rsidRDefault="000F33E0" w:rsidP="000F33E0">
            <w:pPr>
              <w:pStyle w:val="Summarytabletextrightalignedbold"/>
              <w:rPr>
                <w:bCs/>
                <w:szCs w:val="16"/>
              </w:rPr>
            </w:pPr>
          </w:p>
        </w:tc>
        <w:tc>
          <w:tcPr>
            <w:tcW w:w="851" w:type="dxa"/>
            <w:tcBorders>
              <w:top w:val="single" w:sz="4" w:space="0" w:color="auto"/>
            </w:tcBorders>
            <w:shd w:val="clear" w:color="auto" w:fill="E6F2FF"/>
            <w:vAlign w:val="bottom"/>
          </w:tcPr>
          <w:p w14:paraId="1A146B0D" w14:textId="77777777" w:rsidR="000F33E0" w:rsidRPr="0012790E" w:rsidRDefault="000F33E0" w:rsidP="000F33E0">
            <w:pPr>
              <w:pStyle w:val="Summarytabletextrightalignedbold"/>
              <w:rPr>
                <w:bCs/>
                <w:szCs w:val="16"/>
              </w:rPr>
            </w:pPr>
          </w:p>
        </w:tc>
        <w:tc>
          <w:tcPr>
            <w:tcW w:w="851" w:type="dxa"/>
            <w:tcBorders>
              <w:top w:val="single" w:sz="4" w:space="0" w:color="auto"/>
            </w:tcBorders>
            <w:vAlign w:val="bottom"/>
          </w:tcPr>
          <w:p w14:paraId="1C5B9A68" w14:textId="77777777" w:rsidR="000F33E0" w:rsidRPr="0012790E" w:rsidRDefault="000F33E0" w:rsidP="000F33E0">
            <w:pPr>
              <w:pStyle w:val="Summarytabletextrightalignedbold"/>
              <w:rPr>
                <w:bCs/>
                <w:szCs w:val="16"/>
              </w:rPr>
            </w:pPr>
          </w:p>
        </w:tc>
        <w:tc>
          <w:tcPr>
            <w:tcW w:w="851" w:type="dxa"/>
            <w:tcBorders>
              <w:top w:val="single" w:sz="4" w:space="0" w:color="auto"/>
            </w:tcBorders>
            <w:vAlign w:val="bottom"/>
          </w:tcPr>
          <w:p w14:paraId="013F429B" w14:textId="77777777" w:rsidR="000F33E0" w:rsidRPr="0012790E" w:rsidRDefault="000F33E0" w:rsidP="000F33E0">
            <w:pPr>
              <w:pStyle w:val="Summarytabletextrightalignedbold"/>
              <w:rPr>
                <w:bCs/>
                <w:szCs w:val="16"/>
              </w:rPr>
            </w:pPr>
          </w:p>
        </w:tc>
        <w:tc>
          <w:tcPr>
            <w:tcW w:w="851" w:type="dxa"/>
            <w:tcBorders>
              <w:top w:val="single" w:sz="4" w:space="0" w:color="auto"/>
            </w:tcBorders>
            <w:vAlign w:val="bottom"/>
          </w:tcPr>
          <w:p w14:paraId="72EAD7F9" w14:textId="77777777" w:rsidR="000F33E0" w:rsidRPr="0012790E" w:rsidRDefault="000F33E0" w:rsidP="000F33E0">
            <w:pPr>
              <w:pStyle w:val="Summarytabletextrightalignedbold"/>
              <w:rPr>
                <w:bCs/>
                <w:szCs w:val="16"/>
              </w:rPr>
            </w:pPr>
          </w:p>
        </w:tc>
      </w:tr>
      <w:tr w:rsidR="000F33E0" w:rsidRPr="0012790E" w14:paraId="0EFCB475" w14:textId="77777777" w:rsidTr="00982184">
        <w:trPr>
          <w:tblHeader/>
        </w:trPr>
        <w:tc>
          <w:tcPr>
            <w:tcW w:w="3470" w:type="dxa"/>
            <w:shd w:val="clear" w:color="auto" w:fill="auto"/>
            <w:vAlign w:val="bottom"/>
          </w:tcPr>
          <w:p w14:paraId="703CC297" w14:textId="1E51F67F" w:rsidR="000F33E0" w:rsidRPr="0012790E" w:rsidRDefault="000F33E0" w:rsidP="000F33E0">
            <w:pPr>
              <w:pStyle w:val="SummaryAgencyTitle-BP2"/>
            </w:pPr>
            <w:r w:rsidRPr="0012790E">
              <w:t>Department of Education</w:t>
            </w:r>
          </w:p>
        </w:tc>
        <w:tc>
          <w:tcPr>
            <w:tcW w:w="851" w:type="dxa"/>
            <w:vAlign w:val="bottom"/>
          </w:tcPr>
          <w:p w14:paraId="66021D4E" w14:textId="77777777" w:rsidR="000F33E0" w:rsidRPr="0012790E" w:rsidRDefault="000F33E0" w:rsidP="000F33E0">
            <w:pPr>
              <w:pStyle w:val="Summarytabletextrightalignedbold"/>
              <w:rPr>
                <w:bCs/>
                <w:szCs w:val="16"/>
              </w:rPr>
            </w:pPr>
          </w:p>
        </w:tc>
        <w:tc>
          <w:tcPr>
            <w:tcW w:w="851" w:type="dxa"/>
            <w:shd w:val="clear" w:color="auto" w:fill="E6F2FF"/>
            <w:vAlign w:val="bottom"/>
          </w:tcPr>
          <w:p w14:paraId="7A2B1C50" w14:textId="77777777" w:rsidR="000F33E0" w:rsidRPr="0012790E" w:rsidRDefault="000F33E0" w:rsidP="000F33E0">
            <w:pPr>
              <w:pStyle w:val="Summarytabletextrightalignedbold"/>
              <w:rPr>
                <w:bCs/>
                <w:szCs w:val="16"/>
              </w:rPr>
            </w:pPr>
          </w:p>
        </w:tc>
        <w:tc>
          <w:tcPr>
            <w:tcW w:w="851" w:type="dxa"/>
            <w:vAlign w:val="bottom"/>
          </w:tcPr>
          <w:p w14:paraId="62EA273D" w14:textId="77777777" w:rsidR="000F33E0" w:rsidRPr="0012790E" w:rsidRDefault="000F33E0" w:rsidP="000F33E0">
            <w:pPr>
              <w:pStyle w:val="Summarytabletextrightalignedbold"/>
              <w:rPr>
                <w:bCs/>
                <w:szCs w:val="16"/>
              </w:rPr>
            </w:pPr>
          </w:p>
        </w:tc>
        <w:tc>
          <w:tcPr>
            <w:tcW w:w="851" w:type="dxa"/>
            <w:vAlign w:val="bottom"/>
          </w:tcPr>
          <w:p w14:paraId="4BF04ADE" w14:textId="77777777" w:rsidR="000F33E0" w:rsidRPr="0012790E" w:rsidRDefault="000F33E0" w:rsidP="000F33E0">
            <w:pPr>
              <w:pStyle w:val="Summarytabletextrightalignedbold"/>
              <w:rPr>
                <w:bCs/>
                <w:szCs w:val="16"/>
              </w:rPr>
            </w:pPr>
          </w:p>
        </w:tc>
        <w:tc>
          <w:tcPr>
            <w:tcW w:w="851" w:type="dxa"/>
            <w:vAlign w:val="bottom"/>
          </w:tcPr>
          <w:p w14:paraId="5C74FC37" w14:textId="77777777" w:rsidR="000F33E0" w:rsidRPr="0012790E" w:rsidRDefault="000F33E0" w:rsidP="000F33E0">
            <w:pPr>
              <w:pStyle w:val="Summarytabletextrightalignedbold"/>
              <w:rPr>
                <w:bCs/>
                <w:szCs w:val="16"/>
              </w:rPr>
            </w:pPr>
          </w:p>
        </w:tc>
      </w:tr>
      <w:tr w:rsidR="000F33E0" w:rsidRPr="0012790E" w14:paraId="159BB30E" w14:textId="77777777" w:rsidTr="00982184">
        <w:trPr>
          <w:tblHeader/>
        </w:trPr>
        <w:tc>
          <w:tcPr>
            <w:tcW w:w="3470" w:type="dxa"/>
            <w:shd w:val="clear" w:color="auto" w:fill="auto"/>
            <w:vAlign w:val="bottom"/>
          </w:tcPr>
          <w:p w14:paraId="5EB9BECD" w14:textId="65F165B9" w:rsidR="000F33E0" w:rsidRPr="0012790E" w:rsidRDefault="000F33E0" w:rsidP="000F33E0">
            <w:pPr>
              <w:pStyle w:val="SummaryMeasureTitlewithTheme"/>
            </w:pPr>
            <w:r w:rsidRPr="0012790E">
              <w:t>Australian Universities Accord – tertiary education system reforms(b)</w:t>
            </w:r>
          </w:p>
        </w:tc>
        <w:tc>
          <w:tcPr>
            <w:tcW w:w="851" w:type="dxa"/>
            <w:tcBorders>
              <w:bottom w:val="single" w:sz="4" w:space="0" w:color="auto"/>
            </w:tcBorders>
            <w:vAlign w:val="bottom"/>
          </w:tcPr>
          <w:p w14:paraId="16D9B78F" w14:textId="6A606CED" w:rsidR="000F33E0" w:rsidRPr="0012790E" w:rsidRDefault="000F33E0" w:rsidP="000F33E0">
            <w:pPr>
              <w:pStyle w:val="Summarytabletextrightaligned"/>
              <w:rPr>
                <w:bCs/>
                <w:szCs w:val="16"/>
              </w:rPr>
            </w:pPr>
            <w:r w:rsidRPr="0012790E">
              <w:rPr>
                <w:szCs w:val="16"/>
              </w:rPr>
              <w:noBreakHyphen/>
              <w:t>18.9</w:t>
            </w:r>
          </w:p>
        </w:tc>
        <w:tc>
          <w:tcPr>
            <w:tcW w:w="851" w:type="dxa"/>
            <w:tcBorders>
              <w:bottom w:val="single" w:sz="4" w:space="0" w:color="auto"/>
            </w:tcBorders>
            <w:shd w:val="clear" w:color="auto" w:fill="E6F2FF"/>
            <w:vAlign w:val="bottom"/>
          </w:tcPr>
          <w:p w14:paraId="3963B0CE" w14:textId="103FB8CF" w:rsidR="000F33E0" w:rsidRPr="0012790E" w:rsidRDefault="000F33E0" w:rsidP="000F33E0">
            <w:pPr>
              <w:pStyle w:val="Summarytabletextrightaligned"/>
              <w:rPr>
                <w:bCs/>
                <w:szCs w:val="16"/>
              </w:rPr>
            </w:pPr>
            <w:r w:rsidRPr="0012790E">
              <w:rPr>
                <w:szCs w:val="16"/>
              </w:rPr>
              <w:noBreakHyphen/>
              <w:t>90.7</w:t>
            </w:r>
          </w:p>
        </w:tc>
        <w:tc>
          <w:tcPr>
            <w:tcW w:w="851" w:type="dxa"/>
            <w:tcBorders>
              <w:bottom w:val="single" w:sz="4" w:space="0" w:color="auto"/>
            </w:tcBorders>
            <w:vAlign w:val="bottom"/>
          </w:tcPr>
          <w:p w14:paraId="4082B018" w14:textId="77A1A893" w:rsidR="000F33E0" w:rsidRPr="0012790E" w:rsidRDefault="000F33E0" w:rsidP="000F33E0">
            <w:pPr>
              <w:pStyle w:val="Summarytabletextrightaligned"/>
              <w:rPr>
                <w:bCs/>
                <w:szCs w:val="16"/>
              </w:rPr>
            </w:pPr>
            <w:r w:rsidRPr="0012790E">
              <w:rPr>
                <w:szCs w:val="16"/>
              </w:rPr>
              <w:noBreakHyphen/>
              <w:t>17.0</w:t>
            </w:r>
          </w:p>
        </w:tc>
        <w:tc>
          <w:tcPr>
            <w:tcW w:w="851" w:type="dxa"/>
            <w:tcBorders>
              <w:bottom w:val="single" w:sz="4" w:space="0" w:color="auto"/>
            </w:tcBorders>
            <w:vAlign w:val="bottom"/>
          </w:tcPr>
          <w:p w14:paraId="70AA59B7" w14:textId="0FCD0545" w:rsidR="000F33E0" w:rsidRPr="0012790E" w:rsidRDefault="000F33E0" w:rsidP="000F33E0">
            <w:pPr>
              <w:pStyle w:val="Summarytabletextrightaligned"/>
              <w:rPr>
                <w:bCs/>
                <w:szCs w:val="16"/>
              </w:rPr>
            </w:pPr>
            <w:r w:rsidRPr="0012790E">
              <w:rPr>
                <w:szCs w:val="16"/>
              </w:rPr>
              <w:noBreakHyphen/>
              <w:t>29.4</w:t>
            </w:r>
          </w:p>
        </w:tc>
        <w:tc>
          <w:tcPr>
            <w:tcW w:w="851" w:type="dxa"/>
            <w:tcBorders>
              <w:bottom w:val="single" w:sz="4" w:space="0" w:color="auto"/>
            </w:tcBorders>
            <w:vAlign w:val="bottom"/>
          </w:tcPr>
          <w:p w14:paraId="5240A8E1" w14:textId="474FD0E7" w:rsidR="000F33E0" w:rsidRPr="0012790E" w:rsidRDefault="000F33E0" w:rsidP="000F33E0">
            <w:pPr>
              <w:pStyle w:val="Summarytabletextrightaligned"/>
              <w:rPr>
                <w:bCs/>
                <w:szCs w:val="16"/>
              </w:rPr>
            </w:pPr>
            <w:r w:rsidRPr="0012790E">
              <w:rPr>
                <w:szCs w:val="16"/>
              </w:rPr>
              <w:noBreakHyphen/>
              <w:t>35.3</w:t>
            </w:r>
          </w:p>
        </w:tc>
      </w:tr>
      <w:tr w:rsidR="000F33E0" w:rsidRPr="0012790E" w14:paraId="51C0C2A1" w14:textId="77777777" w:rsidTr="00982184">
        <w:trPr>
          <w:tblHeader/>
        </w:trPr>
        <w:tc>
          <w:tcPr>
            <w:tcW w:w="3470" w:type="dxa"/>
            <w:tcBorders>
              <w:bottom w:val="single" w:sz="4" w:space="0" w:color="293F5B"/>
            </w:tcBorders>
            <w:shd w:val="clear" w:color="auto" w:fill="auto"/>
            <w:vAlign w:val="bottom"/>
          </w:tcPr>
          <w:p w14:paraId="52EA1C67" w14:textId="1F2F1AE2" w:rsidR="000F33E0" w:rsidRPr="0012790E" w:rsidRDefault="000F33E0" w:rsidP="000F33E0">
            <w:pPr>
              <w:pStyle w:val="Summarytabletextleftalignedbold"/>
            </w:pPr>
            <w:r w:rsidRPr="0012790E">
              <w:t>Portfolio total</w:t>
            </w:r>
          </w:p>
        </w:tc>
        <w:tc>
          <w:tcPr>
            <w:tcW w:w="851" w:type="dxa"/>
            <w:tcBorders>
              <w:top w:val="single" w:sz="4" w:space="0" w:color="auto"/>
              <w:bottom w:val="single" w:sz="4" w:space="0" w:color="293F5B"/>
            </w:tcBorders>
            <w:vAlign w:val="bottom"/>
          </w:tcPr>
          <w:p w14:paraId="7A506DC3" w14:textId="6D27128F" w:rsidR="000F33E0" w:rsidRPr="0012790E" w:rsidRDefault="000F33E0" w:rsidP="000F33E0">
            <w:pPr>
              <w:pStyle w:val="Summarytabletextrightalignedbold"/>
              <w:rPr>
                <w:bCs/>
                <w:szCs w:val="16"/>
              </w:rPr>
            </w:pPr>
            <w:r w:rsidRPr="0012790E">
              <w:rPr>
                <w:bCs/>
                <w:szCs w:val="16"/>
              </w:rPr>
              <w:noBreakHyphen/>
              <w:t>18.9</w:t>
            </w:r>
          </w:p>
        </w:tc>
        <w:tc>
          <w:tcPr>
            <w:tcW w:w="851" w:type="dxa"/>
            <w:tcBorders>
              <w:top w:val="single" w:sz="4" w:space="0" w:color="auto"/>
              <w:bottom w:val="single" w:sz="4" w:space="0" w:color="293F5B"/>
            </w:tcBorders>
            <w:shd w:val="clear" w:color="auto" w:fill="E6F2FF"/>
            <w:vAlign w:val="bottom"/>
          </w:tcPr>
          <w:p w14:paraId="7A8FC394" w14:textId="0EFFFC93" w:rsidR="000F33E0" w:rsidRPr="0012790E" w:rsidRDefault="000F33E0" w:rsidP="000F33E0">
            <w:pPr>
              <w:pStyle w:val="Summarytabletextrightalignedbold"/>
              <w:rPr>
                <w:bCs/>
                <w:szCs w:val="16"/>
              </w:rPr>
            </w:pPr>
            <w:r w:rsidRPr="0012790E">
              <w:rPr>
                <w:bCs/>
                <w:szCs w:val="16"/>
              </w:rPr>
              <w:noBreakHyphen/>
              <w:t>90.7</w:t>
            </w:r>
          </w:p>
        </w:tc>
        <w:tc>
          <w:tcPr>
            <w:tcW w:w="851" w:type="dxa"/>
            <w:tcBorders>
              <w:top w:val="single" w:sz="4" w:space="0" w:color="auto"/>
              <w:bottom w:val="single" w:sz="4" w:space="0" w:color="293F5B"/>
            </w:tcBorders>
            <w:vAlign w:val="bottom"/>
          </w:tcPr>
          <w:p w14:paraId="784EFAC6" w14:textId="0D895A5D" w:rsidR="000F33E0" w:rsidRPr="0012790E" w:rsidRDefault="000F33E0" w:rsidP="000F33E0">
            <w:pPr>
              <w:pStyle w:val="Summarytabletextrightalignedbold"/>
              <w:rPr>
                <w:bCs/>
                <w:szCs w:val="16"/>
              </w:rPr>
            </w:pPr>
            <w:r w:rsidRPr="0012790E">
              <w:rPr>
                <w:bCs/>
                <w:szCs w:val="16"/>
              </w:rPr>
              <w:noBreakHyphen/>
              <w:t>17.0</w:t>
            </w:r>
          </w:p>
        </w:tc>
        <w:tc>
          <w:tcPr>
            <w:tcW w:w="851" w:type="dxa"/>
            <w:tcBorders>
              <w:top w:val="single" w:sz="4" w:space="0" w:color="auto"/>
              <w:bottom w:val="single" w:sz="4" w:space="0" w:color="293F5B"/>
            </w:tcBorders>
            <w:vAlign w:val="bottom"/>
          </w:tcPr>
          <w:p w14:paraId="08F7816F" w14:textId="695C55C8" w:rsidR="000F33E0" w:rsidRPr="0012790E" w:rsidRDefault="000F33E0" w:rsidP="000F33E0">
            <w:pPr>
              <w:pStyle w:val="Summarytabletextrightalignedbold"/>
              <w:rPr>
                <w:bCs/>
                <w:szCs w:val="16"/>
              </w:rPr>
            </w:pPr>
            <w:r w:rsidRPr="0012790E">
              <w:rPr>
                <w:bCs/>
                <w:szCs w:val="16"/>
              </w:rPr>
              <w:noBreakHyphen/>
              <w:t>29.4</w:t>
            </w:r>
          </w:p>
        </w:tc>
        <w:tc>
          <w:tcPr>
            <w:tcW w:w="851" w:type="dxa"/>
            <w:tcBorders>
              <w:top w:val="single" w:sz="4" w:space="0" w:color="auto"/>
              <w:bottom w:val="single" w:sz="4" w:space="0" w:color="293F5B"/>
            </w:tcBorders>
            <w:vAlign w:val="bottom"/>
          </w:tcPr>
          <w:p w14:paraId="1A2D2A69" w14:textId="1653DC1C" w:rsidR="000F33E0" w:rsidRPr="0012790E" w:rsidRDefault="000F33E0" w:rsidP="000F33E0">
            <w:pPr>
              <w:pStyle w:val="Summarytabletextrightalignedbold"/>
              <w:rPr>
                <w:bCs/>
                <w:szCs w:val="16"/>
              </w:rPr>
            </w:pPr>
            <w:r w:rsidRPr="0012790E">
              <w:rPr>
                <w:bCs/>
                <w:szCs w:val="16"/>
              </w:rPr>
              <w:noBreakHyphen/>
              <w:t>35.3</w:t>
            </w:r>
          </w:p>
        </w:tc>
      </w:tr>
    </w:tbl>
    <w:p w14:paraId="45B4236A" w14:textId="77777777" w:rsidR="00C83B27" w:rsidRPr="0012790E" w:rsidRDefault="00C83B27" w:rsidP="00C83B27">
      <w:pPr>
        <w:pStyle w:val="TableHeadingcontinued"/>
        <w:sectPr w:rsidR="00C83B27" w:rsidRPr="0012790E" w:rsidSect="00D34B96">
          <w:headerReference w:type="even" r:id="rId11"/>
          <w:headerReference w:type="default" r:id="rId12"/>
          <w:footerReference w:type="even" r:id="rId13"/>
          <w:footerReference w:type="default" r:id="rId14"/>
          <w:footerReference w:type="first" r:id="rId15"/>
          <w:pgSz w:w="11905" w:h="16837" w:code="9"/>
          <w:pgMar w:top="2835" w:right="2098" w:bottom="2466" w:left="2098" w:header="1814" w:footer="1814" w:gutter="0"/>
          <w:cols w:space="720"/>
          <w:noEndnote/>
          <w:titlePg/>
          <w:docGrid w:linePitch="272"/>
        </w:sectPr>
      </w:pPr>
    </w:p>
    <w:p w14:paraId="48A32CA1" w14:textId="7860C47E" w:rsidR="00C83B27" w:rsidRPr="0012790E" w:rsidRDefault="00C83B27" w:rsidP="00C83B27">
      <w:pPr>
        <w:pStyle w:val="TableHeadingcontinued"/>
        <w:rPr>
          <w:bCs/>
        </w:rPr>
      </w:pPr>
      <w:r w:rsidRPr="0012790E">
        <w:lastRenderedPageBreak/>
        <w:t>Table 1: Receipt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C83B27" w:rsidRPr="0012790E" w14:paraId="272B3332" w14:textId="77777777" w:rsidTr="00987265">
        <w:trPr>
          <w:tblHeader/>
        </w:trPr>
        <w:tc>
          <w:tcPr>
            <w:tcW w:w="3470" w:type="dxa"/>
            <w:tcBorders>
              <w:top w:val="single" w:sz="4" w:space="0" w:color="293F5B"/>
            </w:tcBorders>
            <w:shd w:val="clear" w:color="auto" w:fill="auto"/>
            <w:vAlign w:val="bottom"/>
          </w:tcPr>
          <w:p w14:paraId="4DDF1C39" w14:textId="664D9002" w:rsidR="00C83B27" w:rsidRPr="0012790E" w:rsidRDefault="00C83B27">
            <w:pPr>
              <w:pStyle w:val="Summarytabletextrightaligned"/>
              <w:rPr>
                <w:szCs w:val="16"/>
              </w:rPr>
            </w:pPr>
          </w:p>
        </w:tc>
        <w:tc>
          <w:tcPr>
            <w:tcW w:w="851" w:type="dxa"/>
            <w:tcBorders>
              <w:top w:val="single" w:sz="4" w:space="0" w:color="293F5B"/>
            </w:tcBorders>
            <w:vAlign w:val="bottom"/>
          </w:tcPr>
          <w:p w14:paraId="034A8C6E" w14:textId="77777777" w:rsidR="00C83B27" w:rsidRPr="0012790E" w:rsidRDefault="00C83B27">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5DFA03A5" w14:textId="77777777" w:rsidR="00C83B27" w:rsidRPr="0012790E" w:rsidRDefault="00C83B27">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5B6AA6CF" w14:textId="77777777" w:rsidR="00C83B27" w:rsidRPr="0012790E" w:rsidRDefault="00C83B27">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258E4A30" w14:textId="77777777" w:rsidR="00C83B27" w:rsidRPr="0012790E" w:rsidRDefault="00C83B27">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5EC0D7FF" w14:textId="77777777" w:rsidR="00C83B27" w:rsidRPr="0012790E" w:rsidRDefault="00C83B27">
            <w:pPr>
              <w:pStyle w:val="Summarytabletextrightaligned"/>
              <w:rPr>
                <w:szCs w:val="16"/>
              </w:rPr>
            </w:pPr>
            <w:r w:rsidRPr="0012790E">
              <w:rPr>
                <w:szCs w:val="16"/>
              </w:rPr>
              <w:t>2027</w:t>
            </w:r>
            <w:r w:rsidRPr="0012790E">
              <w:rPr>
                <w:szCs w:val="16"/>
              </w:rPr>
              <w:noBreakHyphen/>
              <w:t>28</w:t>
            </w:r>
          </w:p>
        </w:tc>
      </w:tr>
      <w:tr w:rsidR="00C83B27" w:rsidRPr="0012790E" w14:paraId="3D3791F2" w14:textId="77777777" w:rsidTr="00987265">
        <w:trPr>
          <w:tblHeader/>
        </w:trPr>
        <w:tc>
          <w:tcPr>
            <w:tcW w:w="3470" w:type="dxa"/>
            <w:shd w:val="clear" w:color="auto" w:fill="auto"/>
            <w:vAlign w:val="bottom"/>
          </w:tcPr>
          <w:p w14:paraId="2DAA8154" w14:textId="045571D6" w:rsidR="00C83B27" w:rsidRPr="0012790E" w:rsidRDefault="00C83B27">
            <w:pPr>
              <w:pStyle w:val="Summarytabletextrightaligned"/>
            </w:pPr>
          </w:p>
        </w:tc>
        <w:tc>
          <w:tcPr>
            <w:tcW w:w="851" w:type="dxa"/>
            <w:tcBorders>
              <w:bottom w:val="single" w:sz="4" w:space="0" w:color="293F5B"/>
            </w:tcBorders>
            <w:vAlign w:val="bottom"/>
          </w:tcPr>
          <w:p w14:paraId="01304438" w14:textId="77777777" w:rsidR="00C83B27" w:rsidRPr="0012790E" w:rsidRDefault="00C83B27">
            <w:pPr>
              <w:pStyle w:val="Summarytabletextrightaligned"/>
            </w:pPr>
            <w:r w:rsidRPr="0012790E">
              <w:t>$m</w:t>
            </w:r>
          </w:p>
        </w:tc>
        <w:tc>
          <w:tcPr>
            <w:tcW w:w="851" w:type="dxa"/>
            <w:tcBorders>
              <w:bottom w:val="single" w:sz="4" w:space="0" w:color="293F5B"/>
            </w:tcBorders>
            <w:shd w:val="clear" w:color="auto" w:fill="E6F2FF"/>
            <w:vAlign w:val="bottom"/>
          </w:tcPr>
          <w:p w14:paraId="33B5BD82" w14:textId="77777777" w:rsidR="00C83B27" w:rsidRPr="0012790E" w:rsidRDefault="00C83B27">
            <w:pPr>
              <w:pStyle w:val="Summarytabletextrightaligned"/>
            </w:pPr>
            <w:r w:rsidRPr="0012790E">
              <w:t>$m</w:t>
            </w:r>
          </w:p>
        </w:tc>
        <w:tc>
          <w:tcPr>
            <w:tcW w:w="851" w:type="dxa"/>
            <w:tcBorders>
              <w:bottom w:val="single" w:sz="4" w:space="0" w:color="293F5B"/>
            </w:tcBorders>
            <w:vAlign w:val="bottom"/>
          </w:tcPr>
          <w:p w14:paraId="5E3401A9" w14:textId="77777777" w:rsidR="00C83B27" w:rsidRPr="0012790E" w:rsidRDefault="00C83B27">
            <w:pPr>
              <w:pStyle w:val="Summarytabletextrightaligned"/>
            </w:pPr>
            <w:r w:rsidRPr="0012790E">
              <w:t>$m</w:t>
            </w:r>
          </w:p>
        </w:tc>
        <w:tc>
          <w:tcPr>
            <w:tcW w:w="851" w:type="dxa"/>
            <w:tcBorders>
              <w:bottom w:val="single" w:sz="4" w:space="0" w:color="293F5B"/>
            </w:tcBorders>
            <w:vAlign w:val="bottom"/>
          </w:tcPr>
          <w:p w14:paraId="0C30A925" w14:textId="77777777" w:rsidR="00C83B27" w:rsidRPr="0012790E" w:rsidRDefault="00C83B27">
            <w:pPr>
              <w:pStyle w:val="Summarytabletextrightaligned"/>
            </w:pPr>
            <w:r w:rsidRPr="0012790E">
              <w:t>$m</w:t>
            </w:r>
          </w:p>
        </w:tc>
        <w:tc>
          <w:tcPr>
            <w:tcW w:w="851" w:type="dxa"/>
            <w:tcBorders>
              <w:bottom w:val="single" w:sz="4" w:space="0" w:color="293F5B"/>
            </w:tcBorders>
            <w:vAlign w:val="bottom"/>
          </w:tcPr>
          <w:p w14:paraId="41D5AC16" w14:textId="77777777" w:rsidR="00C83B27" w:rsidRPr="0012790E" w:rsidRDefault="00C83B27">
            <w:pPr>
              <w:pStyle w:val="Summarytabletextrightaligned"/>
            </w:pPr>
            <w:r w:rsidRPr="0012790E">
              <w:t>$m</w:t>
            </w:r>
          </w:p>
        </w:tc>
      </w:tr>
      <w:tr w:rsidR="00C83B27" w:rsidRPr="0012790E" w14:paraId="604F5869" w14:textId="77777777" w:rsidTr="54937204">
        <w:tc>
          <w:tcPr>
            <w:tcW w:w="3470" w:type="dxa"/>
            <w:shd w:val="clear" w:color="auto" w:fill="auto"/>
            <w:vAlign w:val="bottom"/>
          </w:tcPr>
          <w:p w14:paraId="24A81AB8" w14:textId="2A898F7F" w:rsidR="00C83B27" w:rsidRPr="0012790E" w:rsidRDefault="00C83B27" w:rsidP="00C83B27">
            <w:pPr>
              <w:pStyle w:val="SummaryPortfolioTitle-BP2"/>
            </w:pPr>
            <w:r w:rsidRPr="0012790E">
              <w:t>EMPLOYMENT AND WORKPLACE RELATIONS</w:t>
            </w:r>
          </w:p>
        </w:tc>
        <w:tc>
          <w:tcPr>
            <w:tcW w:w="851" w:type="dxa"/>
            <w:tcBorders>
              <w:top w:val="single" w:sz="4" w:space="0" w:color="293F5B"/>
            </w:tcBorders>
            <w:vAlign w:val="bottom"/>
          </w:tcPr>
          <w:p w14:paraId="6015DB29" w14:textId="77777777" w:rsidR="00C83B27" w:rsidRPr="0012790E" w:rsidRDefault="00C83B27" w:rsidP="00C83B27">
            <w:pPr>
              <w:pStyle w:val="MeasureTableTextRightAlignedBefore6ptAfter1pt"/>
              <w:rPr>
                <w:b/>
                <w:bCs/>
              </w:rPr>
            </w:pPr>
          </w:p>
        </w:tc>
        <w:tc>
          <w:tcPr>
            <w:tcW w:w="851" w:type="dxa"/>
            <w:tcBorders>
              <w:top w:val="single" w:sz="4" w:space="0" w:color="293F5B"/>
            </w:tcBorders>
            <w:shd w:val="clear" w:color="auto" w:fill="E6F2FF"/>
            <w:vAlign w:val="bottom"/>
          </w:tcPr>
          <w:p w14:paraId="41859753"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3D0B266A"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6FCD937C"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3C9FFA3A" w14:textId="77777777" w:rsidR="00C83B27" w:rsidRPr="0012790E" w:rsidRDefault="00C83B27" w:rsidP="00C83B27">
            <w:pPr>
              <w:pStyle w:val="MeasureTableTextRightAlignedBefore6ptAfter1pt"/>
              <w:rPr>
                <w:b/>
                <w:bCs/>
              </w:rPr>
            </w:pPr>
          </w:p>
        </w:tc>
      </w:tr>
      <w:tr w:rsidR="00C83B27" w:rsidRPr="0012790E" w14:paraId="24092771" w14:textId="77777777" w:rsidTr="54937204">
        <w:tc>
          <w:tcPr>
            <w:tcW w:w="3470" w:type="dxa"/>
            <w:shd w:val="clear" w:color="auto" w:fill="auto"/>
            <w:vAlign w:val="bottom"/>
          </w:tcPr>
          <w:p w14:paraId="0416F7F2" w14:textId="2D107917" w:rsidR="00C83B27" w:rsidRPr="0012790E" w:rsidRDefault="00C83B27" w:rsidP="00C83B27">
            <w:pPr>
              <w:pStyle w:val="SummaryAgencyTitle-BP2"/>
              <w:rPr>
                <w:iCs/>
              </w:rPr>
            </w:pPr>
            <w:r w:rsidRPr="0012790E">
              <w:rPr>
                <w:iCs/>
              </w:rPr>
              <w:t>Department of Employment and Workplace Relations</w:t>
            </w:r>
          </w:p>
        </w:tc>
        <w:tc>
          <w:tcPr>
            <w:tcW w:w="851" w:type="dxa"/>
            <w:vAlign w:val="bottom"/>
          </w:tcPr>
          <w:p w14:paraId="0032AD26" w14:textId="77777777" w:rsidR="00C83B27" w:rsidRPr="0012790E" w:rsidRDefault="00C83B27" w:rsidP="00C83B27">
            <w:pPr>
              <w:pStyle w:val="SummaryAgencyTitle-BP2"/>
              <w:rPr>
                <w:iCs/>
              </w:rPr>
            </w:pPr>
          </w:p>
        </w:tc>
        <w:tc>
          <w:tcPr>
            <w:tcW w:w="851" w:type="dxa"/>
            <w:shd w:val="clear" w:color="auto" w:fill="E6F2FF"/>
            <w:vAlign w:val="bottom"/>
          </w:tcPr>
          <w:p w14:paraId="33294C8D" w14:textId="77777777" w:rsidR="00C83B27" w:rsidRPr="0012790E" w:rsidRDefault="00C83B27" w:rsidP="00C83B27">
            <w:pPr>
              <w:pStyle w:val="SummaryAgencyTitle-BP2"/>
              <w:rPr>
                <w:iCs/>
              </w:rPr>
            </w:pPr>
          </w:p>
        </w:tc>
        <w:tc>
          <w:tcPr>
            <w:tcW w:w="851" w:type="dxa"/>
            <w:vAlign w:val="bottom"/>
          </w:tcPr>
          <w:p w14:paraId="526A8B33" w14:textId="77777777" w:rsidR="00C83B27" w:rsidRPr="0012790E" w:rsidRDefault="00C83B27" w:rsidP="00C83B27">
            <w:pPr>
              <w:pStyle w:val="SummaryAgencyTitle-BP2"/>
              <w:rPr>
                <w:iCs/>
              </w:rPr>
            </w:pPr>
          </w:p>
        </w:tc>
        <w:tc>
          <w:tcPr>
            <w:tcW w:w="851" w:type="dxa"/>
            <w:vAlign w:val="bottom"/>
          </w:tcPr>
          <w:p w14:paraId="5C6B0F59" w14:textId="77777777" w:rsidR="00C83B27" w:rsidRPr="0012790E" w:rsidRDefault="00C83B27" w:rsidP="00C83B27">
            <w:pPr>
              <w:pStyle w:val="SummaryAgencyTitle-BP2"/>
              <w:rPr>
                <w:iCs/>
              </w:rPr>
            </w:pPr>
          </w:p>
        </w:tc>
        <w:tc>
          <w:tcPr>
            <w:tcW w:w="851" w:type="dxa"/>
            <w:vAlign w:val="bottom"/>
          </w:tcPr>
          <w:p w14:paraId="1238B1C9" w14:textId="77777777" w:rsidR="00C83B27" w:rsidRPr="0012790E" w:rsidRDefault="00C83B27" w:rsidP="00C83B27">
            <w:pPr>
              <w:pStyle w:val="SummaryAgencyTitle-BP2"/>
              <w:rPr>
                <w:iCs/>
              </w:rPr>
            </w:pPr>
          </w:p>
        </w:tc>
      </w:tr>
      <w:tr w:rsidR="00C83B27" w:rsidRPr="0012790E" w14:paraId="660476D6" w14:textId="77777777" w:rsidTr="54937204">
        <w:tc>
          <w:tcPr>
            <w:tcW w:w="3470" w:type="dxa"/>
            <w:shd w:val="clear" w:color="auto" w:fill="auto"/>
            <w:vAlign w:val="bottom"/>
          </w:tcPr>
          <w:p w14:paraId="5ADC2013" w14:textId="1E916E28" w:rsidR="00C83B27" w:rsidRPr="0012790E" w:rsidRDefault="00C83B27" w:rsidP="00C83B27">
            <w:pPr>
              <w:pStyle w:val="SummaryMeasureTitlewithTheme"/>
            </w:pPr>
            <w:r w:rsidRPr="0012790E">
              <w:t>Amendments to the National Vocational Education and Training Regulator Act 2011(b)</w:t>
            </w:r>
          </w:p>
        </w:tc>
        <w:tc>
          <w:tcPr>
            <w:tcW w:w="851" w:type="dxa"/>
            <w:vAlign w:val="bottom"/>
          </w:tcPr>
          <w:p w14:paraId="49C76147"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00EBBB9C" w14:textId="77777777" w:rsidR="00C83B27" w:rsidRPr="0012790E" w:rsidRDefault="00C83B27" w:rsidP="00C83B27">
            <w:pPr>
              <w:pStyle w:val="Summarytabletextrightaligned"/>
              <w:rPr>
                <w:szCs w:val="16"/>
              </w:rPr>
            </w:pPr>
            <w:r w:rsidRPr="0012790E">
              <w:rPr>
                <w:szCs w:val="16"/>
              </w:rPr>
              <w:t>0.3</w:t>
            </w:r>
          </w:p>
        </w:tc>
        <w:tc>
          <w:tcPr>
            <w:tcW w:w="851" w:type="dxa"/>
            <w:vAlign w:val="bottom"/>
          </w:tcPr>
          <w:p w14:paraId="6E8908D7" w14:textId="77777777" w:rsidR="00C83B27" w:rsidRPr="0012790E" w:rsidRDefault="00C83B27" w:rsidP="00C83B27">
            <w:pPr>
              <w:pStyle w:val="Summarytabletextrightaligned"/>
              <w:rPr>
                <w:szCs w:val="16"/>
              </w:rPr>
            </w:pPr>
            <w:r w:rsidRPr="0012790E">
              <w:rPr>
                <w:szCs w:val="16"/>
              </w:rPr>
              <w:t>0.6</w:t>
            </w:r>
          </w:p>
        </w:tc>
        <w:tc>
          <w:tcPr>
            <w:tcW w:w="851" w:type="dxa"/>
            <w:vAlign w:val="bottom"/>
          </w:tcPr>
          <w:p w14:paraId="1A2510A7" w14:textId="77777777" w:rsidR="00C83B27" w:rsidRPr="0012790E" w:rsidRDefault="00C83B27" w:rsidP="00C83B27">
            <w:pPr>
              <w:pStyle w:val="Summarytabletextrightaligned"/>
              <w:rPr>
                <w:szCs w:val="16"/>
              </w:rPr>
            </w:pPr>
            <w:r w:rsidRPr="0012790E">
              <w:rPr>
                <w:szCs w:val="16"/>
              </w:rPr>
              <w:t>1.0</w:t>
            </w:r>
          </w:p>
        </w:tc>
        <w:tc>
          <w:tcPr>
            <w:tcW w:w="851" w:type="dxa"/>
            <w:vAlign w:val="bottom"/>
          </w:tcPr>
          <w:p w14:paraId="1AFC8EF1" w14:textId="77777777" w:rsidR="00C83B27" w:rsidRPr="0012790E" w:rsidRDefault="00C83B27" w:rsidP="00C83B27">
            <w:pPr>
              <w:pStyle w:val="Summarytabletextrightaligned"/>
              <w:rPr>
                <w:szCs w:val="16"/>
              </w:rPr>
            </w:pPr>
            <w:r w:rsidRPr="0012790E">
              <w:rPr>
                <w:szCs w:val="16"/>
              </w:rPr>
              <w:t>1.1</w:t>
            </w:r>
          </w:p>
        </w:tc>
      </w:tr>
      <w:tr w:rsidR="00C83B27" w:rsidRPr="0012790E" w14:paraId="406A9C03" w14:textId="77777777" w:rsidTr="54937204">
        <w:tc>
          <w:tcPr>
            <w:tcW w:w="3470" w:type="dxa"/>
            <w:shd w:val="clear" w:color="auto" w:fill="auto"/>
            <w:vAlign w:val="bottom"/>
          </w:tcPr>
          <w:p w14:paraId="5EB78E01" w14:textId="2BB9B796" w:rsidR="00C83B27" w:rsidRPr="0012790E" w:rsidRDefault="00C83B27" w:rsidP="00C83B27">
            <w:pPr>
              <w:pStyle w:val="SummaryMeasureTitlewithTheme"/>
            </w:pPr>
            <w:r w:rsidRPr="0012790E">
              <w:t>Australian Apprenticeships Incentive System – further support(b)</w:t>
            </w:r>
          </w:p>
        </w:tc>
        <w:tc>
          <w:tcPr>
            <w:tcW w:w="851" w:type="dxa"/>
            <w:vAlign w:val="bottom"/>
          </w:tcPr>
          <w:p w14:paraId="42CF924E"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302CA14A"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3B345D63" w14:textId="77777777" w:rsidR="00C83B27" w:rsidRPr="0012790E" w:rsidRDefault="00C83B27" w:rsidP="00C83B27">
            <w:pPr>
              <w:pStyle w:val="Summarytabletextrightaligned"/>
              <w:rPr>
                <w:szCs w:val="16"/>
              </w:rPr>
            </w:pPr>
            <w:r w:rsidRPr="0012790E">
              <w:rPr>
                <w:szCs w:val="16"/>
              </w:rPr>
              <w:t>..</w:t>
            </w:r>
          </w:p>
        </w:tc>
        <w:tc>
          <w:tcPr>
            <w:tcW w:w="851" w:type="dxa"/>
            <w:vAlign w:val="bottom"/>
          </w:tcPr>
          <w:p w14:paraId="62EF8012" w14:textId="77777777" w:rsidR="00C83B27" w:rsidRPr="0012790E" w:rsidRDefault="00C83B27" w:rsidP="00C83B27">
            <w:pPr>
              <w:pStyle w:val="Summarytabletextrightaligned"/>
              <w:rPr>
                <w:szCs w:val="16"/>
              </w:rPr>
            </w:pPr>
            <w:r w:rsidRPr="0012790E">
              <w:rPr>
                <w:szCs w:val="16"/>
              </w:rPr>
              <w:t>..</w:t>
            </w:r>
          </w:p>
        </w:tc>
        <w:tc>
          <w:tcPr>
            <w:tcW w:w="851" w:type="dxa"/>
            <w:vAlign w:val="bottom"/>
          </w:tcPr>
          <w:p w14:paraId="19111BF7" w14:textId="77777777" w:rsidR="00C83B27" w:rsidRPr="0012790E" w:rsidRDefault="00C83B27" w:rsidP="00C83B27">
            <w:pPr>
              <w:pStyle w:val="Summarytabletextrightaligned"/>
              <w:rPr>
                <w:szCs w:val="16"/>
              </w:rPr>
            </w:pPr>
            <w:r w:rsidRPr="0012790E">
              <w:rPr>
                <w:szCs w:val="16"/>
              </w:rPr>
              <w:t>..</w:t>
            </w:r>
          </w:p>
        </w:tc>
      </w:tr>
      <w:tr w:rsidR="00C83B27" w:rsidRPr="0012790E" w14:paraId="2C96132A" w14:textId="77777777" w:rsidTr="54937204">
        <w:tc>
          <w:tcPr>
            <w:tcW w:w="3470" w:type="dxa"/>
            <w:shd w:val="clear" w:color="auto" w:fill="auto"/>
            <w:vAlign w:val="bottom"/>
          </w:tcPr>
          <w:p w14:paraId="0E32899B" w14:textId="2997C472" w:rsidR="00C83B27" w:rsidRPr="0012790E" w:rsidRDefault="00C83B27" w:rsidP="00C83B27">
            <w:pPr>
              <w:pStyle w:val="SummaryMeasureTitlewithTheme"/>
            </w:pPr>
            <w:r w:rsidRPr="0012790E">
              <w:t>Australian Universities Accord – tertiary education system reforms(b)</w:t>
            </w:r>
          </w:p>
        </w:tc>
        <w:tc>
          <w:tcPr>
            <w:tcW w:w="851" w:type="dxa"/>
            <w:vAlign w:val="bottom"/>
          </w:tcPr>
          <w:p w14:paraId="43D5B422" w14:textId="77777777" w:rsidR="00C83B27" w:rsidRPr="0012790E" w:rsidRDefault="00C83B27" w:rsidP="00C83B27">
            <w:pPr>
              <w:pStyle w:val="Summarytabletextrightaligned"/>
              <w:rPr>
                <w:szCs w:val="16"/>
              </w:rPr>
            </w:pPr>
            <w:r w:rsidRPr="0012790E">
              <w:rPr>
                <w:szCs w:val="16"/>
              </w:rPr>
              <w:noBreakHyphen/>
              <w:t>2.9</w:t>
            </w:r>
          </w:p>
        </w:tc>
        <w:tc>
          <w:tcPr>
            <w:tcW w:w="851" w:type="dxa"/>
            <w:shd w:val="clear" w:color="auto" w:fill="E6F2FF"/>
            <w:vAlign w:val="bottom"/>
          </w:tcPr>
          <w:p w14:paraId="786C585C" w14:textId="77777777" w:rsidR="00C83B27" w:rsidRPr="0012790E" w:rsidRDefault="00C83B27" w:rsidP="00C83B27">
            <w:pPr>
              <w:pStyle w:val="Summarytabletextrightaligned"/>
              <w:rPr>
                <w:szCs w:val="16"/>
              </w:rPr>
            </w:pPr>
            <w:r w:rsidRPr="0012790E">
              <w:rPr>
                <w:szCs w:val="16"/>
              </w:rPr>
              <w:noBreakHyphen/>
              <w:t>13.8</w:t>
            </w:r>
          </w:p>
        </w:tc>
        <w:tc>
          <w:tcPr>
            <w:tcW w:w="851" w:type="dxa"/>
            <w:vAlign w:val="bottom"/>
          </w:tcPr>
          <w:p w14:paraId="6F86C3B8" w14:textId="77777777" w:rsidR="00C83B27" w:rsidRPr="0012790E" w:rsidRDefault="00C83B27" w:rsidP="00C83B27">
            <w:pPr>
              <w:pStyle w:val="Summarytabletextrightaligned"/>
              <w:rPr>
                <w:szCs w:val="16"/>
              </w:rPr>
            </w:pPr>
            <w:r w:rsidRPr="0012790E">
              <w:rPr>
                <w:szCs w:val="16"/>
              </w:rPr>
              <w:noBreakHyphen/>
              <w:t>9.6</w:t>
            </w:r>
          </w:p>
        </w:tc>
        <w:tc>
          <w:tcPr>
            <w:tcW w:w="851" w:type="dxa"/>
            <w:vAlign w:val="bottom"/>
          </w:tcPr>
          <w:p w14:paraId="200F6541" w14:textId="77777777" w:rsidR="00C83B27" w:rsidRPr="0012790E" w:rsidRDefault="00C83B27" w:rsidP="00C83B27">
            <w:pPr>
              <w:pStyle w:val="Summarytabletextrightaligned"/>
              <w:rPr>
                <w:szCs w:val="16"/>
              </w:rPr>
            </w:pPr>
            <w:r w:rsidRPr="0012790E">
              <w:rPr>
                <w:szCs w:val="16"/>
              </w:rPr>
              <w:noBreakHyphen/>
              <w:t>10.4</w:t>
            </w:r>
          </w:p>
        </w:tc>
        <w:tc>
          <w:tcPr>
            <w:tcW w:w="851" w:type="dxa"/>
            <w:vAlign w:val="bottom"/>
          </w:tcPr>
          <w:p w14:paraId="09AC2863" w14:textId="77777777" w:rsidR="00C83B27" w:rsidRPr="0012790E" w:rsidRDefault="00C83B27" w:rsidP="00C83B27">
            <w:pPr>
              <w:pStyle w:val="Summarytabletextrightaligned"/>
              <w:rPr>
                <w:szCs w:val="16"/>
              </w:rPr>
            </w:pPr>
            <w:r w:rsidRPr="0012790E">
              <w:rPr>
                <w:szCs w:val="16"/>
              </w:rPr>
              <w:noBreakHyphen/>
              <w:t>10.5</w:t>
            </w:r>
          </w:p>
        </w:tc>
      </w:tr>
      <w:tr w:rsidR="00C83B27" w:rsidRPr="0012790E" w14:paraId="00DF8BB5" w14:textId="77777777" w:rsidTr="54937204">
        <w:tc>
          <w:tcPr>
            <w:tcW w:w="3470" w:type="dxa"/>
            <w:shd w:val="clear" w:color="auto" w:fill="auto"/>
            <w:vAlign w:val="bottom"/>
          </w:tcPr>
          <w:p w14:paraId="47148BD8" w14:textId="2A287D0B" w:rsidR="00C83B27" w:rsidRPr="0012790E" w:rsidRDefault="00C83B27" w:rsidP="00C83B27">
            <w:pPr>
              <w:pStyle w:val="SummaryMeasureTitlewithTheme"/>
            </w:pPr>
            <w:r w:rsidRPr="0012790E">
              <w:t>Employment and Workplace Relations – reprioritisation(b)</w:t>
            </w:r>
          </w:p>
        </w:tc>
        <w:tc>
          <w:tcPr>
            <w:tcW w:w="851" w:type="dxa"/>
            <w:vAlign w:val="bottom"/>
          </w:tcPr>
          <w:p w14:paraId="7A45BCA0" w14:textId="77777777" w:rsidR="00C83B27" w:rsidRPr="0012790E" w:rsidRDefault="00C83B27" w:rsidP="00C83B27">
            <w:pPr>
              <w:pStyle w:val="Summarytabletextrightaligned"/>
              <w:rPr>
                <w:szCs w:val="16"/>
              </w:rPr>
            </w:pPr>
            <w:r w:rsidRPr="0012790E">
              <w:rPr>
                <w:szCs w:val="16"/>
              </w:rPr>
              <w:t>..</w:t>
            </w:r>
          </w:p>
        </w:tc>
        <w:tc>
          <w:tcPr>
            <w:tcW w:w="851" w:type="dxa"/>
            <w:shd w:val="clear" w:color="auto" w:fill="E6F2FF"/>
            <w:vAlign w:val="bottom"/>
          </w:tcPr>
          <w:p w14:paraId="60623A30" w14:textId="77777777" w:rsidR="00C83B27" w:rsidRPr="0012790E" w:rsidRDefault="00C83B27" w:rsidP="00C83B27">
            <w:pPr>
              <w:pStyle w:val="Summarytabletextrightaligned"/>
              <w:rPr>
                <w:szCs w:val="16"/>
              </w:rPr>
            </w:pPr>
            <w:r w:rsidRPr="0012790E">
              <w:rPr>
                <w:szCs w:val="16"/>
              </w:rPr>
              <w:t>..</w:t>
            </w:r>
          </w:p>
        </w:tc>
        <w:tc>
          <w:tcPr>
            <w:tcW w:w="851" w:type="dxa"/>
            <w:vAlign w:val="bottom"/>
          </w:tcPr>
          <w:p w14:paraId="335F2B37" w14:textId="77777777" w:rsidR="00C83B27" w:rsidRPr="0012790E" w:rsidRDefault="00C83B27" w:rsidP="00C83B27">
            <w:pPr>
              <w:pStyle w:val="Summarytabletextrightaligned"/>
              <w:rPr>
                <w:szCs w:val="16"/>
              </w:rPr>
            </w:pPr>
            <w:r w:rsidRPr="0012790E">
              <w:rPr>
                <w:szCs w:val="16"/>
              </w:rPr>
              <w:t>..</w:t>
            </w:r>
          </w:p>
        </w:tc>
        <w:tc>
          <w:tcPr>
            <w:tcW w:w="851" w:type="dxa"/>
            <w:vAlign w:val="bottom"/>
          </w:tcPr>
          <w:p w14:paraId="6509A669" w14:textId="77777777" w:rsidR="00C83B27" w:rsidRPr="0012790E" w:rsidRDefault="00C83B27" w:rsidP="00C83B27">
            <w:pPr>
              <w:pStyle w:val="Summarytabletextrightaligned"/>
              <w:rPr>
                <w:szCs w:val="16"/>
              </w:rPr>
            </w:pPr>
            <w:r w:rsidRPr="0012790E">
              <w:rPr>
                <w:szCs w:val="16"/>
              </w:rPr>
              <w:t>..</w:t>
            </w:r>
          </w:p>
        </w:tc>
        <w:tc>
          <w:tcPr>
            <w:tcW w:w="851" w:type="dxa"/>
            <w:vAlign w:val="bottom"/>
          </w:tcPr>
          <w:p w14:paraId="3E41E449" w14:textId="77777777" w:rsidR="00C83B27" w:rsidRPr="0012790E" w:rsidRDefault="00C83B27" w:rsidP="00C83B27">
            <w:pPr>
              <w:pStyle w:val="Summarytabletextrightaligned"/>
              <w:rPr>
                <w:szCs w:val="16"/>
              </w:rPr>
            </w:pPr>
            <w:r w:rsidRPr="0012790E">
              <w:rPr>
                <w:szCs w:val="16"/>
              </w:rPr>
              <w:t>..</w:t>
            </w:r>
          </w:p>
        </w:tc>
      </w:tr>
      <w:tr w:rsidR="00C83B27" w:rsidRPr="0012790E" w14:paraId="17EBFB34" w14:textId="77777777" w:rsidTr="54937204">
        <w:tc>
          <w:tcPr>
            <w:tcW w:w="3470" w:type="dxa"/>
            <w:shd w:val="clear" w:color="auto" w:fill="auto"/>
            <w:vAlign w:val="bottom"/>
          </w:tcPr>
          <w:p w14:paraId="2B6C6730" w14:textId="487A03B2" w:rsidR="00C83B27" w:rsidRPr="0012790E" w:rsidRDefault="00C83B27" w:rsidP="00C83B27">
            <w:pPr>
              <w:pStyle w:val="SummaryMeasureTitlewithTheme"/>
            </w:pPr>
            <w:r w:rsidRPr="0012790E">
              <w:t>Workplace Relations(b)</w:t>
            </w:r>
          </w:p>
        </w:tc>
        <w:tc>
          <w:tcPr>
            <w:tcW w:w="851" w:type="dxa"/>
            <w:vAlign w:val="bottom"/>
          </w:tcPr>
          <w:p w14:paraId="78BF6CF9"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62C48786" w14:textId="77777777" w:rsidR="00C83B27" w:rsidRPr="0012790E" w:rsidRDefault="00C83B27" w:rsidP="00C83B27">
            <w:pPr>
              <w:pStyle w:val="Summarytabletextrightaligned"/>
              <w:rPr>
                <w:szCs w:val="16"/>
              </w:rPr>
            </w:pPr>
            <w:r w:rsidRPr="0012790E">
              <w:rPr>
                <w:szCs w:val="16"/>
              </w:rPr>
              <w:t>2.4</w:t>
            </w:r>
          </w:p>
        </w:tc>
        <w:tc>
          <w:tcPr>
            <w:tcW w:w="851" w:type="dxa"/>
            <w:vAlign w:val="bottom"/>
          </w:tcPr>
          <w:p w14:paraId="28901A0A" w14:textId="77777777" w:rsidR="00C83B27" w:rsidRPr="0012790E" w:rsidRDefault="00C83B27" w:rsidP="00C83B27">
            <w:pPr>
              <w:pStyle w:val="Summarytabletextrightaligned"/>
              <w:rPr>
                <w:szCs w:val="16"/>
              </w:rPr>
            </w:pPr>
            <w:r w:rsidRPr="0012790E">
              <w:rPr>
                <w:szCs w:val="16"/>
              </w:rPr>
              <w:t>5.0</w:t>
            </w:r>
          </w:p>
        </w:tc>
        <w:tc>
          <w:tcPr>
            <w:tcW w:w="851" w:type="dxa"/>
            <w:vAlign w:val="bottom"/>
          </w:tcPr>
          <w:p w14:paraId="3B43BCDD" w14:textId="77777777" w:rsidR="00C83B27" w:rsidRPr="0012790E" w:rsidRDefault="00C83B27" w:rsidP="00C83B27">
            <w:pPr>
              <w:pStyle w:val="Summarytabletextrightaligned"/>
              <w:rPr>
                <w:szCs w:val="16"/>
              </w:rPr>
            </w:pPr>
            <w:r w:rsidRPr="0012790E">
              <w:rPr>
                <w:szCs w:val="16"/>
              </w:rPr>
              <w:t>9.4</w:t>
            </w:r>
          </w:p>
        </w:tc>
        <w:tc>
          <w:tcPr>
            <w:tcW w:w="851" w:type="dxa"/>
            <w:vAlign w:val="bottom"/>
          </w:tcPr>
          <w:p w14:paraId="30B12BD9" w14:textId="77777777" w:rsidR="00C83B27" w:rsidRPr="0012790E" w:rsidRDefault="00C83B27" w:rsidP="00C83B27">
            <w:pPr>
              <w:pStyle w:val="Summarytabletextrightaligned"/>
              <w:rPr>
                <w:szCs w:val="16"/>
              </w:rPr>
            </w:pPr>
            <w:r w:rsidRPr="0012790E">
              <w:rPr>
                <w:szCs w:val="16"/>
              </w:rPr>
              <w:t>13.3</w:t>
            </w:r>
          </w:p>
        </w:tc>
      </w:tr>
      <w:tr w:rsidR="00C83B27" w:rsidRPr="0012790E" w14:paraId="66973828" w14:textId="77777777" w:rsidTr="54937204">
        <w:tc>
          <w:tcPr>
            <w:tcW w:w="3470" w:type="dxa"/>
            <w:shd w:val="clear" w:color="auto" w:fill="auto"/>
            <w:vAlign w:val="bottom"/>
          </w:tcPr>
          <w:p w14:paraId="40A70E87" w14:textId="77777777" w:rsidR="00C83B27" w:rsidRPr="0012790E" w:rsidRDefault="00C83B27" w:rsidP="00C83B27">
            <w:pPr>
              <w:pStyle w:val="SummaryAgencyTitle-BP2"/>
              <w:rPr>
                <w:iCs/>
              </w:rPr>
            </w:pPr>
            <w:r w:rsidRPr="0012790E">
              <w:rPr>
                <w:iCs/>
              </w:rPr>
              <w:t>Office of the Fair Work Ombudsman</w:t>
            </w:r>
          </w:p>
        </w:tc>
        <w:tc>
          <w:tcPr>
            <w:tcW w:w="851" w:type="dxa"/>
            <w:vAlign w:val="bottom"/>
          </w:tcPr>
          <w:p w14:paraId="63E53944" w14:textId="77777777" w:rsidR="00C83B27" w:rsidRPr="0012790E" w:rsidRDefault="00C83B27" w:rsidP="00C83B27">
            <w:pPr>
              <w:pStyle w:val="SummaryAgencyTitle-BP2"/>
              <w:rPr>
                <w:iCs/>
              </w:rPr>
            </w:pPr>
          </w:p>
        </w:tc>
        <w:tc>
          <w:tcPr>
            <w:tcW w:w="851" w:type="dxa"/>
            <w:shd w:val="clear" w:color="auto" w:fill="E6F2FF"/>
            <w:vAlign w:val="bottom"/>
          </w:tcPr>
          <w:p w14:paraId="6BD2D8F1" w14:textId="77777777" w:rsidR="00C83B27" w:rsidRPr="0012790E" w:rsidRDefault="00C83B27" w:rsidP="00C83B27">
            <w:pPr>
              <w:pStyle w:val="SummaryAgencyTitle-BP2"/>
              <w:rPr>
                <w:iCs/>
              </w:rPr>
            </w:pPr>
          </w:p>
        </w:tc>
        <w:tc>
          <w:tcPr>
            <w:tcW w:w="851" w:type="dxa"/>
            <w:vAlign w:val="bottom"/>
          </w:tcPr>
          <w:p w14:paraId="12D97D54" w14:textId="77777777" w:rsidR="00C83B27" w:rsidRPr="0012790E" w:rsidRDefault="00C83B27" w:rsidP="00C83B27">
            <w:pPr>
              <w:pStyle w:val="SummaryAgencyTitle-BP2"/>
              <w:rPr>
                <w:iCs/>
              </w:rPr>
            </w:pPr>
          </w:p>
        </w:tc>
        <w:tc>
          <w:tcPr>
            <w:tcW w:w="851" w:type="dxa"/>
            <w:vAlign w:val="bottom"/>
          </w:tcPr>
          <w:p w14:paraId="3CA9C905" w14:textId="77777777" w:rsidR="00C83B27" w:rsidRPr="0012790E" w:rsidRDefault="00C83B27" w:rsidP="00C83B27">
            <w:pPr>
              <w:pStyle w:val="SummaryAgencyTitle-BP2"/>
              <w:rPr>
                <w:iCs/>
              </w:rPr>
            </w:pPr>
          </w:p>
        </w:tc>
        <w:tc>
          <w:tcPr>
            <w:tcW w:w="851" w:type="dxa"/>
            <w:vAlign w:val="bottom"/>
          </w:tcPr>
          <w:p w14:paraId="5891A5EC" w14:textId="77777777" w:rsidR="00C83B27" w:rsidRPr="0012790E" w:rsidRDefault="00C83B27" w:rsidP="00C83B27">
            <w:pPr>
              <w:pStyle w:val="SummaryAgencyTitle-BP2"/>
              <w:rPr>
                <w:iCs/>
              </w:rPr>
            </w:pPr>
          </w:p>
        </w:tc>
      </w:tr>
      <w:tr w:rsidR="00C83B27" w:rsidRPr="0012790E" w14:paraId="34395707" w14:textId="77777777" w:rsidTr="54937204">
        <w:tc>
          <w:tcPr>
            <w:tcW w:w="3470" w:type="dxa"/>
            <w:shd w:val="clear" w:color="auto" w:fill="auto"/>
            <w:vAlign w:val="bottom"/>
          </w:tcPr>
          <w:p w14:paraId="395AF88D" w14:textId="0BEC9DE2" w:rsidR="00C83B27" w:rsidRPr="0012790E" w:rsidRDefault="00C83B27" w:rsidP="00C83B27">
            <w:pPr>
              <w:pStyle w:val="SummaryMeasureTitlewithTheme"/>
            </w:pPr>
            <w:r w:rsidRPr="0012790E">
              <w:t>Workplace Relations(b)</w:t>
            </w:r>
          </w:p>
        </w:tc>
        <w:tc>
          <w:tcPr>
            <w:tcW w:w="851" w:type="dxa"/>
            <w:tcBorders>
              <w:bottom w:val="single" w:sz="4" w:space="0" w:color="293F5B"/>
            </w:tcBorders>
            <w:vAlign w:val="bottom"/>
          </w:tcPr>
          <w:p w14:paraId="71FE08A5" w14:textId="77777777" w:rsidR="00C83B27" w:rsidRPr="0012790E" w:rsidRDefault="00C83B27" w:rsidP="00C83B27">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399E9076" w14:textId="77777777" w:rsidR="00C83B27" w:rsidRPr="0012790E" w:rsidRDefault="00C83B27" w:rsidP="00C83B27">
            <w:pPr>
              <w:pStyle w:val="Summarytabletextrightaligned"/>
              <w:rPr>
                <w:szCs w:val="16"/>
              </w:rPr>
            </w:pPr>
            <w:r w:rsidRPr="0012790E">
              <w:rPr>
                <w:szCs w:val="16"/>
              </w:rPr>
              <w:noBreakHyphen/>
              <w:t>2.4</w:t>
            </w:r>
          </w:p>
        </w:tc>
        <w:tc>
          <w:tcPr>
            <w:tcW w:w="851" w:type="dxa"/>
            <w:tcBorders>
              <w:bottom w:val="single" w:sz="4" w:space="0" w:color="293F5B"/>
            </w:tcBorders>
            <w:vAlign w:val="bottom"/>
          </w:tcPr>
          <w:p w14:paraId="1318D5B6" w14:textId="77777777" w:rsidR="00C83B27" w:rsidRPr="0012790E" w:rsidRDefault="00C83B27" w:rsidP="00C83B27">
            <w:pPr>
              <w:pStyle w:val="Summarytabletextrightaligned"/>
              <w:rPr>
                <w:szCs w:val="16"/>
              </w:rPr>
            </w:pPr>
            <w:r w:rsidRPr="0012790E">
              <w:rPr>
                <w:szCs w:val="16"/>
              </w:rPr>
              <w:noBreakHyphen/>
              <w:t>5.4</w:t>
            </w:r>
          </w:p>
        </w:tc>
        <w:tc>
          <w:tcPr>
            <w:tcW w:w="851" w:type="dxa"/>
            <w:tcBorders>
              <w:bottom w:val="single" w:sz="4" w:space="0" w:color="293F5B"/>
            </w:tcBorders>
            <w:vAlign w:val="bottom"/>
          </w:tcPr>
          <w:p w14:paraId="3ACB6E99" w14:textId="77777777" w:rsidR="00C83B27" w:rsidRPr="0012790E" w:rsidRDefault="00C83B27" w:rsidP="00C83B27">
            <w:pPr>
              <w:pStyle w:val="Summarytabletextrightaligned"/>
              <w:rPr>
                <w:szCs w:val="16"/>
              </w:rPr>
            </w:pPr>
            <w:r w:rsidRPr="0012790E">
              <w:rPr>
                <w:szCs w:val="16"/>
              </w:rPr>
              <w:noBreakHyphen/>
              <w:t>3.9</w:t>
            </w:r>
          </w:p>
        </w:tc>
        <w:tc>
          <w:tcPr>
            <w:tcW w:w="851" w:type="dxa"/>
            <w:tcBorders>
              <w:bottom w:val="single" w:sz="4" w:space="0" w:color="293F5B"/>
            </w:tcBorders>
            <w:vAlign w:val="bottom"/>
          </w:tcPr>
          <w:p w14:paraId="295EC85D" w14:textId="77777777" w:rsidR="00C83B27" w:rsidRPr="0012790E" w:rsidRDefault="00C83B27" w:rsidP="00C83B27">
            <w:pPr>
              <w:pStyle w:val="Summarytabletextrightaligned"/>
              <w:rPr>
                <w:szCs w:val="16"/>
              </w:rPr>
            </w:pPr>
            <w:r w:rsidRPr="0012790E">
              <w:rPr>
                <w:szCs w:val="16"/>
              </w:rPr>
              <w:noBreakHyphen/>
              <w:t>3.9</w:t>
            </w:r>
          </w:p>
        </w:tc>
      </w:tr>
      <w:tr w:rsidR="00C83B27" w:rsidRPr="0012790E" w14:paraId="55D78FD2" w14:textId="77777777" w:rsidTr="54937204">
        <w:tc>
          <w:tcPr>
            <w:tcW w:w="3470" w:type="dxa"/>
            <w:shd w:val="clear" w:color="auto" w:fill="auto"/>
            <w:vAlign w:val="bottom"/>
          </w:tcPr>
          <w:p w14:paraId="3A8D0C50" w14:textId="77777777" w:rsidR="00C83B27" w:rsidRPr="0012790E" w:rsidRDefault="00C83B27" w:rsidP="00C83B27">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501E3BBE" w14:textId="77777777" w:rsidR="00C83B27" w:rsidRPr="0012790E" w:rsidRDefault="00C83B27" w:rsidP="00C83B27">
            <w:pPr>
              <w:pStyle w:val="Summarytabletextrightalignedbold"/>
              <w:rPr>
                <w:bCs/>
                <w:szCs w:val="16"/>
              </w:rPr>
            </w:pPr>
            <w:r w:rsidRPr="0012790E">
              <w:rPr>
                <w:bCs/>
                <w:szCs w:val="16"/>
              </w:rPr>
              <w:noBreakHyphen/>
              <w:t>2.9</w:t>
            </w:r>
          </w:p>
        </w:tc>
        <w:tc>
          <w:tcPr>
            <w:tcW w:w="851" w:type="dxa"/>
            <w:tcBorders>
              <w:top w:val="single" w:sz="4" w:space="0" w:color="293F5B"/>
              <w:bottom w:val="single" w:sz="4" w:space="0" w:color="293F5B"/>
            </w:tcBorders>
            <w:shd w:val="clear" w:color="auto" w:fill="E6F2FF"/>
            <w:vAlign w:val="bottom"/>
          </w:tcPr>
          <w:p w14:paraId="32E6CA55" w14:textId="77777777" w:rsidR="00C83B27" w:rsidRPr="0012790E" w:rsidRDefault="00C83B27" w:rsidP="00C83B27">
            <w:pPr>
              <w:pStyle w:val="Summarytabletextrightalignedbold"/>
              <w:rPr>
                <w:bCs/>
                <w:szCs w:val="16"/>
              </w:rPr>
            </w:pPr>
            <w:r w:rsidRPr="0012790E">
              <w:rPr>
                <w:bCs/>
                <w:szCs w:val="16"/>
              </w:rPr>
              <w:noBreakHyphen/>
              <w:t>13.5</w:t>
            </w:r>
          </w:p>
        </w:tc>
        <w:tc>
          <w:tcPr>
            <w:tcW w:w="851" w:type="dxa"/>
            <w:tcBorders>
              <w:top w:val="single" w:sz="4" w:space="0" w:color="293F5B"/>
              <w:bottom w:val="single" w:sz="4" w:space="0" w:color="293F5B"/>
            </w:tcBorders>
            <w:vAlign w:val="bottom"/>
          </w:tcPr>
          <w:p w14:paraId="5AECDE58" w14:textId="77777777" w:rsidR="00C83B27" w:rsidRPr="0012790E" w:rsidRDefault="00C83B27" w:rsidP="00C83B27">
            <w:pPr>
              <w:pStyle w:val="Summarytabletextrightalignedbold"/>
              <w:rPr>
                <w:bCs/>
                <w:szCs w:val="16"/>
              </w:rPr>
            </w:pPr>
            <w:r w:rsidRPr="0012790E">
              <w:rPr>
                <w:bCs/>
                <w:szCs w:val="16"/>
              </w:rPr>
              <w:noBreakHyphen/>
              <w:t>9.4</w:t>
            </w:r>
          </w:p>
        </w:tc>
        <w:tc>
          <w:tcPr>
            <w:tcW w:w="851" w:type="dxa"/>
            <w:tcBorders>
              <w:top w:val="single" w:sz="4" w:space="0" w:color="293F5B"/>
              <w:bottom w:val="single" w:sz="4" w:space="0" w:color="293F5B"/>
            </w:tcBorders>
            <w:vAlign w:val="bottom"/>
          </w:tcPr>
          <w:p w14:paraId="4C1AAA0A" w14:textId="77777777" w:rsidR="00C83B27" w:rsidRPr="0012790E" w:rsidRDefault="00C83B27" w:rsidP="00C83B27">
            <w:pPr>
              <w:pStyle w:val="Summarytabletextrightalignedbold"/>
              <w:rPr>
                <w:bCs/>
                <w:szCs w:val="16"/>
              </w:rPr>
            </w:pPr>
            <w:r w:rsidRPr="0012790E">
              <w:rPr>
                <w:bCs/>
                <w:szCs w:val="16"/>
              </w:rPr>
              <w:noBreakHyphen/>
              <w:t>3.8</w:t>
            </w:r>
          </w:p>
        </w:tc>
        <w:tc>
          <w:tcPr>
            <w:tcW w:w="851" w:type="dxa"/>
            <w:tcBorders>
              <w:top w:val="single" w:sz="4" w:space="0" w:color="293F5B"/>
              <w:bottom w:val="single" w:sz="4" w:space="0" w:color="293F5B"/>
            </w:tcBorders>
            <w:vAlign w:val="bottom"/>
          </w:tcPr>
          <w:p w14:paraId="35FA13D5" w14:textId="77777777" w:rsidR="00C83B27" w:rsidRPr="0012790E" w:rsidRDefault="00C83B27" w:rsidP="00C83B27">
            <w:pPr>
              <w:pStyle w:val="Summarytabletextrightalignedbold"/>
              <w:rPr>
                <w:bCs/>
                <w:szCs w:val="16"/>
              </w:rPr>
            </w:pPr>
            <w:r w:rsidRPr="0012790E">
              <w:rPr>
                <w:bCs/>
                <w:szCs w:val="16"/>
              </w:rPr>
              <w:t>..</w:t>
            </w:r>
          </w:p>
        </w:tc>
      </w:tr>
      <w:tr w:rsidR="00C83B27" w:rsidRPr="0012790E" w14:paraId="79ED1E43" w14:textId="77777777" w:rsidTr="54937204">
        <w:tc>
          <w:tcPr>
            <w:tcW w:w="3470" w:type="dxa"/>
            <w:shd w:val="clear" w:color="auto" w:fill="auto"/>
            <w:vAlign w:val="bottom"/>
          </w:tcPr>
          <w:p w14:paraId="49D95848" w14:textId="77777777" w:rsidR="00C83B27" w:rsidRPr="0012790E" w:rsidRDefault="00C83B27" w:rsidP="00C83B27">
            <w:pPr>
              <w:pStyle w:val="SummaryPortfolioTitle-BP2"/>
            </w:pPr>
            <w:r w:rsidRPr="0012790E">
              <w:t>FINANCE</w:t>
            </w:r>
          </w:p>
        </w:tc>
        <w:tc>
          <w:tcPr>
            <w:tcW w:w="851" w:type="dxa"/>
            <w:tcBorders>
              <w:top w:val="single" w:sz="4" w:space="0" w:color="293F5B"/>
            </w:tcBorders>
            <w:vAlign w:val="bottom"/>
          </w:tcPr>
          <w:p w14:paraId="321C9BD9" w14:textId="77777777" w:rsidR="00C83B27" w:rsidRPr="0012790E" w:rsidRDefault="00C83B27" w:rsidP="00C83B27">
            <w:pPr>
              <w:pStyle w:val="MeasureTableTextRightAlignedBefore6ptAfter1pt"/>
              <w:rPr>
                <w:b/>
                <w:bCs/>
              </w:rPr>
            </w:pPr>
          </w:p>
        </w:tc>
        <w:tc>
          <w:tcPr>
            <w:tcW w:w="851" w:type="dxa"/>
            <w:tcBorders>
              <w:top w:val="single" w:sz="4" w:space="0" w:color="293F5B"/>
            </w:tcBorders>
            <w:shd w:val="clear" w:color="auto" w:fill="E6F2FF"/>
            <w:vAlign w:val="bottom"/>
          </w:tcPr>
          <w:p w14:paraId="0E939792"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4F2A774F"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2B2FDF2D"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66919424" w14:textId="77777777" w:rsidR="00C83B27" w:rsidRPr="0012790E" w:rsidRDefault="00C83B27" w:rsidP="00C83B27">
            <w:pPr>
              <w:pStyle w:val="MeasureTableTextRightAlignedBefore6ptAfter1pt"/>
              <w:rPr>
                <w:b/>
                <w:bCs/>
              </w:rPr>
            </w:pPr>
          </w:p>
        </w:tc>
      </w:tr>
      <w:tr w:rsidR="00C83B27" w:rsidRPr="0012790E" w14:paraId="2EE08FED" w14:textId="77777777" w:rsidTr="54937204">
        <w:tc>
          <w:tcPr>
            <w:tcW w:w="3470" w:type="dxa"/>
            <w:shd w:val="clear" w:color="auto" w:fill="auto"/>
            <w:vAlign w:val="bottom"/>
          </w:tcPr>
          <w:p w14:paraId="0ACD508E" w14:textId="77777777" w:rsidR="00C83B27" w:rsidRPr="0012790E" w:rsidRDefault="00C83B27" w:rsidP="00C83B27">
            <w:pPr>
              <w:pStyle w:val="SummaryAgencyTitle-BP2"/>
              <w:rPr>
                <w:iCs/>
              </w:rPr>
            </w:pPr>
            <w:r w:rsidRPr="0012790E">
              <w:rPr>
                <w:iCs/>
              </w:rPr>
              <w:t>Department of Finance</w:t>
            </w:r>
          </w:p>
        </w:tc>
        <w:tc>
          <w:tcPr>
            <w:tcW w:w="851" w:type="dxa"/>
            <w:vAlign w:val="bottom"/>
          </w:tcPr>
          <w:p w14:paraId="01981C13" w14:textId="77777777" w:rsidR="00C83B27" w:rsidRPr="0012790E" w:rsidRDefault="00C83B27" w:rsidP="00C83B27">
            <w:pPr>
              <w:pStyle w:val="SummaryAgencyTitle-BP2"/>
              <w:rPr>
                <w:iCs/>
              </w:rPr>
            </w:pPr>
          </w:p>
        </w:tc>
        <w:tc>
          <w:tcPr>
            <w:tcW w:w="851" w:type="dxa"/>
            <w:shd w:val="clear" w:color="auto" w:fill="E6F2FF"/>
            <w:vAlign w:val="bottom"/>
          </w:tcPr>
          <w:p w14:paraId="4379B921" w14:textId="77777777" w:rsidR="00C83B27" w:rsidRPr="0012790E" w:rsidRDefault="00C83B27" w:rsidP="00C83B27">
            <w:pPr>
              <w:pStyle w:val="SummaryAgencyTitle-BP2"/>
              <w:rPr>
                <w:iCs/>
              </w:rPr>
            </w:pPr>
          </w:p>
        </w:tc>
        <w:tc>
          <w:tcPr>
            <w:tcW w:w="851" w:type="dxa"/>
            <w:vAlign w:val="bottom"/>
          </w:tcPr>
          <w:p w14:paraId="2FBFF19F" w14:textId="77777777" w:rsidR="00C83B27" w:rsidRPr="0012790E" w:rsidRDefault="00C83B27" w:rsidP="00C83B27">
            <w:pPr>
              <w:pStyle w:val="SummaryAgencyTitle-BP2"/>
              <w:rPr>
                <w:iCs/>
              </w:rPr>
            </w:pPr>
          </w:p>
        </w:tc>
        <w:tc>
          <w:tcPr>
            <w:tcW w:w="851" w:type="dxa"/>
            <w:vAlign w:val="bottom"/>
          </w:tcPr>
          <w:p w14:paraId="71A51C67" w14:textId="77777777" w:rsidR="00C83B27" w:rsidRPr="0012790E" w:rsidRDefault="00C83B27" w:rsidP="00C83B27">
            <w:pPr>
              <w:pStyle w:val="SummaryAgencyTitle-BP2"/>
              <w:rPr>
                <w:iCs/>
              </w:rPr>
            </w:pPr>
          </w:p>
        </w:tc>
        <w:tc>
          <w:tcPr>
            <w:tcW w:w="851" w:type="dxa"/>
            <w:vAlign w:val="bottom"/>
          </w:tcPr>
          <w:p w14:paraId="663F8BBC" w14:textId="77777777" w:rsidR="00C83B27" w:rsidRPr="0012790E" w:rsidRDefault="00C83B27" w:rsidP="00C83B27">
            <w:pPr>
              <w:pStyle w:val="SummaryAgencyTitle-BP2"/>
              <w:rPr>
                <w:iCs/>
              </w:rPr>
            </w:pPr>
          </w:p>
        </w:tc>
      </w:tr>
      <w:tr w:rsidR="00C83B27" w:rsidRPr="0012790E" w14:paraId="63076499" w14:textId="77777777" w:rsidTr="54937204">
        <w:tc>
          <w:tcPr>
            <w:tcW w:w="3470" w:type="dxa"/>
            <w:shd w:val="clear" w:color="auto" w:fill="auto"/>
            <w:vAlign w:val="bottom"/>
          </w:tcPr>
          <w:p w14:paraId="72207C9B" w14:textId="0F718EE4" w:rsidR="00C83B27" w:rsidRPr="0012790E" w:rsidRDefault="00C83B27" w:rsidP="00C83B27">
            <w:pPr>
              <w:pStyle w:val="SummaryMeasureTitlewithTheme"/>
            </w:pPr>
            <w:r w:rsidRPr="0012790E">
              <w:t>Snowy Hydro Limited(b)</w:t>
            </w:r>
          </w:p>
        </w:tc>
        <w:tc>
          <w:tcPr>
            <w:tcW w:w="851" w:type="dxa"/>
            <w:tcBorders>
              <w:bottom w:val="single" w:sz="4" w:space="0" w:color="293F5B"/>
            </w:tcBorders>
            <w:vAlign w:val="bottom"/>
          </w:tcPr>
          <w:p w14:paraId="63594A8E" w14:textId="77777777" w:rsidR="00C83B27" w:rsidRPr="0012790E" w:rsidRDefault="00C83B27" w:rsidP="00C83B27">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738E1A5A" w14:textId="77777777" w:rsidR="00C83B27" w:rsidRPr="0012790E" w:rsidRDefault="00C83B27" w:rsidP="54937204">
            <w:pPr>
              <w:pStyle w:val="Summarytabletextrightaligned"/>
              <w:rPr>
                <w:lang w:val="en-US"/>
              </w:rPr>
            </w:pPr>
            <w:r w:rsidRPr="54937204">
              <w:rPr>
                <w:lang w:val="en-US"/>
              </w:rPr>
              <w:t>nfp</w:t>
            </w:r>
          </w:p>
        </w:tc>
        <w:tc>
          <w:tcPr>
            <w:tcW w:w="851" w:type="dxa"/>
            <w:tcBorders>
              <w:bottom w:val="single" w:sz="4" w:space="0" w:color="293F5B"/>
            </w:tcBorders>
            <w:vAlign w:val="bottom"/>
          </w:tcPr>
          <w:p w14:paraId="2D95D6B2" w14:textId="77777777" w:rsidR="00C83B27" w:rsidRPr="0012790E" w:rsidRDefault="00C83B27" w:rsidP="54937204">
            <w:pPr>
              <w:pStyle w:val="Summarytabletextrightaligned"/>
              <w:rPr>
                <w:lang w:val="en-US"/>
              </w:rPr>
            </w:pPr>
            <w:r w:rsidRPr="54937204">
              <w:rPr>
                <w:lang w:val="en-US"/>
              </w:rPr>
              <w:t>nfp</w:t>
            </w:r>
          </w:p>
        </w:tc>
        <w:tc>
          <w:tcPr>
            <w:tcW w:w="851" w:type="dxa"/>
            <w:tcBorders>
              <w:bottom w:val="single" w:sz="4" w:space="0" w:color="293F5B"/>
            </w:tcBorders>
            <w:vAlign w:val="bottom"/>
          </w:tcPr>
          <w:p w14:paraId="685A48FF" w14:textId="77777777" w:rsidR="00C83B27" w:rsidRPr="0012790E" w:rsidRDefault="00C83B27" w:rsidP="54937204">
            <w:pPr>
              <w:pStyle w:val="Summarytabletextrightaligned"/>
              <w:rPr>
                <w:lang w:val="en-US"/>
              </w:rPr>
            </w:pPr>
            <w:r w:rsidRPr="54937204">
              <w:rPr>
                <w:lang w:val="en-US"/>
              </w:rPr>
              <w:t>nfp</w:t>
            </w:r>
          </w:p>
        </w:tc>
        <w:tc>
          <w:tcPr>
            <w:tcW w:w="851" w:type="dxa"/>
            <w:tcBorders>
              <w:bottom w:val="single" w:sz="4" w:space="0" w:color="293F5B"/>
            </w:tcBorders>
            <w:vAlign w:val="bottom"/>
          </w:tcPr>
          <w:p w14:paraId="6AAF52C6" w14:textId="77777777" w:rsidR="00C83B27" w:rsidRPr="0012790E" w:rsidRDefault="00C83B27" w:rsidP="54937204">
            <w:pPr>
              <w:pStyle w:val="Summarytabletextrightaligned"/>
              <w:rPr>
                <w:lang w:val="en-US"/>
              </w:rPr>
            </w:pPr>
            <w:r w:rsidRPr="54937204">
              <w:rPr>
                <w:lang w:val="en-US"/>
              </w:rPr>
              <w:t>nfp</w:t>
            </w:r>
          </w:p>
        </w:tc>
      </w:tr>
      <w:tr w:rsidR="00C83B27" w:rsidRPr="0012790E" w14:paraId="6C50B31D" w14:textId="77777777" w:rsidTr="54937204">
        <w:tc>
          <w:tcPr>
            <w:tcW w:w="3470" w:type="dxa"/>
            <w:shd w:val="clear" w:color="auto" w:fill="auto"/>
            <w:vAlign w:val="bottom"/>
          </w:tcPr>
          <w:p w14:paraId="19E89D28" w14:textId="77777777" w:rsidR="00C83B27" w:rsidRPr="0012790E" w:rsidRDefault="00C83B27" w:rsidP="00C83B27">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0BE1CAD2" w14:textId="77777777" w:rsidR="00C83B27" w:rsidRPr="0012790E" w:rsidRDefault="00C83B27" w:rsidP="00C83B27">
            <w:pPr>
              <w:pStyle w:val="Summarytabletextrightalignedbold"/>
              <w:rPr>
                <w:bCs/>
                <w:szCs w:val="16"/>
              </w:rPr>
            </w:pPr>
            <w:r w:rsidRPr="0012790E">
              <w:rPr>
                <w:bCs/>
                <w:szCs w:val="16"/>
              </w:rPr>
              <w:noBreakHyphen/>
            </w:r>
          </w:p>
        </w:tc>
        <w:tc>
          <w:tcPr>
            <w:tcW w:w="851" w:type="dxa"/>
            <w:tcBorders>
              <w:top w:val="single" w:sz="4" w:space="0" w:color="293F5B"/>
              <w:bottom w:val="single" w:sz="4" w:space="0" w:color="293F5B"/>
            </w:tcBorders>
            <w:shd w:val="clear" w:color="auto" w:fill="E6F2FF"/>
            <w:vAlign w:val="bottom"/>
          </w:tcPr>
          <w:p w14:paraId="702E921C" w14:textId="77777777" w:rsidR="00C83B27" w:rsidRPr="0012790E" w:rsidRDefault="00C83B27" w:rsidP="00C83B27">
            <w:pPr>
              <w:pStyle w:val="Summarytabletextrightalignedbold"/>
              <w:rPr>
                <w:bCs/>
                <w:szCs w:val="16"/>
              </w:rPr>
            </w:pPr>
            <w:r w:rsidRPr="0012790E">
              <w:rPr>
                <w:bCs/>
                <w:szCs w:val="16"/>
              </w:rPr>
              <w:noBreakHyphen/>
            </w:r>
          </w:p>
        </w:tc>
        <w:tc>
          <w:tcPr>
            <w:tcW w:w="851" w:type="dxa"/>
            <w:tcBorders>
              <w:top w:val="single" w:sz="4" w:space="0" w:color="293F5B"/>
              <w:bottom w:val="single" w:sz="4" w:space="0" w:color="293F5B"/>
            </w:tcBorders>
            <w:vAlign w:val="bottom"/>
          </w:tcPr>
          <w:p w14:paraId="45A82260" w14:textId="77777777" w:rsidR="00C83B27" w:rsidRPr="0012790E" w:rsidRDefault="00C83B27" w:rsidP="00C83B27">
            <w:pPr>
              <w:pStyle w:val="Summarytabletextrightalignedbold"/>
              <w:rPr>
                <w:bCs/>
                <w:szCs w:val="16"/>
              </w:rPr>
            </w:pPr>
            <w:r w:rsidRPr="0012790E">
              <w:rPr>
                <w:bCs/>
                <w:szCs w:val="16"/>
              </w:rPr>
              <w:noBreakHyphen/>
            </w:r>
          </w:p>
        </w:tc>
        <w:tc>
          <w:tcPr>
            <w:tcW w:w="851" w:type="dxa"/>
            <w:tcBorders>
              <w:top w:val="single" w:sz="4" w:space="0" w:color="293F5B"/>
              <w:bottom w:val="single" w:sz="4" w:space="0" w:color="293F5B"/>
            </w:tcBorders>
            <w:vAlign w:val="bottom"/>
          </w:tcPr>
          <w:p w14:paraId="5E3B8D6C" w14:textId="77777777" w:rsidR="00C83B27" w:rsidRPr="0012790E" w:rsidRDefault="00C83B27" w:rsidP="00C83B27">
            <w:pPr>
              <w:pStyle w:val="Summarytabletextrightalignedbold"/>
              <w:rPr>
                <w:bCs/>
                <w:szCs w:val="16"/>
              </w:rPr>
            </w:pPr>
            <w:r w:rsidRPr="0012790E">
              <w:rPr>
                <w:bCs/>
                <w:szCs w:val="16"/>
              </w:rPr>
              <w:noBreakHyphen/>
            </w:r>
          </w:p>
        </w:tc>
        <w:tc>
          <w:tcPr>
            <w:tcW w:w="851" w:type="dxa"/>
            <w:tcBorders>
              <w:top w:val="single" w:sz="4" w:space="0" w:color="293F5B"/>
              <w:bottom w:val="single" w:sz="4" w:space="0" w:color="293F5B"/>
            </w:tcBorders>
            <w:vAlign w:val="bottom"/>
          </w:tcPr>
          <w:p w14:paraId="2DAD4C31" w14:textId="77777777" w:rsidR="00C83B27" w:rsidRPr="0012790E" w:rsidRDefault="00C83B27" w:rsidP="00C83B27">
            <w:pPr>
              <w:pStyle w:val="Summarytabletextrightalignedbold"/>
              <w:rPr>
                <w:bCs/>
                <w:szCs w:val="16"/>
              </w:rPr>
            </w:pPr>
            <w:r w:rsidRPr="0012790E">
              <w:rPr>
                <w:bCs/>
                <w:szCs w:val="16"/>
              </w:rPr>
              <w:noBreakHyphen/>
            </w:r>
          </w:p>
        </w:tc>
      </w:tr>
      <w:tr w:rsidR="00C83B27" w:rsidRPr="0012790E" w14:paraId="2C52F70B" w14:textId="77777777" w:rsidTr="54937204">
        <w:tc>
          <w:tcPr>
            <w:tcW w:w="3470" w:type="dxa"/>
            <w:shd w:val="clear" w:color="auto" w:fill="auto"/>
            <w:vAlign w:val="bottom"/>
          </w:tcPr>
          <w:p w14:paraId="2D15A959" w14:textId="77777777" w:rsidR="00C83B27" w:rsidRPr="0012790E" w:rsidRDefault="00C83B27" w:rsidP="00C83B27">
            <w:pPr>
              <w:pStyle w:val="SummaryPortfolioTitle-BP2"/>
            </w:pPr>
            <w:r w:rsidRPr="0012790E">
              <w:t>FOREIGN AFFAIRS AND TRADE</w:t>
            </w:r>
          </w:p>
        </w:tc>
        <w:tc>
          <w:tcPr>
            <w:tcW w:w="851" w:type="dxa"/>
            <w:tcBorders>
              <w:top w:val="single" w:sz="4" w:space="0" w:color="293F5B"/>
            </w:tcBorders>
            <w:vAlign w:val="bottom"/>
          </w:tcPr>
          <w:p w14:paraId="330E781A" w14:textId="77777777" w:rsidR="00C83B27" w:rsidRPr="0012790E" w:rsidRDefault="00C83B27" w:rsidP="00C83B27">
            <w:pPr>
              <w:pStyle w:val="MeasureTableTextRightAlignedBefore6ptAfter1pt"/>
              <w:rPr>
                <w:b/>
                <w:bCs/>
              </w:rPr>
            </w:pPr>
          </w:p>
        </w:tc>
        <w:tc>
          <w:tcPr>
            <w:tcW w:w="851" w:type="dxa"/>
            <w:tcBorders>
              <w:top w:val="single" w:sz="4" w:space="0" w:color="293F5B"/>
            </w:tcBorders>
            <w:shd w:val="clear" w:color="auto" w:fill="E6F2FF"/>
            <w:vAlign w:val="bottom"/>
          </w:tcPr>
          <w:p w14:paraId="4D223CD6"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3584AAD8"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3D9AF6C9"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7CFA6072" w14:textId="77777777" w:rsidR="00C83B27" w:rsidRPr="0012790E" w:rsidRDefault="00C83B27" w:rsidP="00C83B27">
            <w:pPr>
              <w:pStyle w:val="MeasureTableTextRightAlignedBefore6ptAfter1pt"/>
              <w:rPr>
                <w:b/>
                <w:bCs/>
              </w:rPr>
            </w:pPr>
          </w:p>
        </w:tc>
      </w:tr>
      <w:tr w:rsidR="00C83B27" w:rsidRPr="0012790E" w14:paraId="3866F4CC" w14:textId="77777777" w:rsidTr="54937204">
        <w:tc>
          <w:tcPr>
            <w:tcW w:w="3470" w:type="dxa"/>
            <w:shd w:val="clear" w:color="auto" w:fill="auto"/>
            <w:vAlign w:val="bottom"/>
          </w:tcPr>
          <w:p w14:paraId="686EA797" w14:textId="77777777" w:rsidR="00C83B27" w:rsidRPr="0012790E" w:rsidRDefault="00C83B27" w:rsidP="00C83B27">
            <w:pPr>
              <w:pStyle w:val="SummaryAgencyTitle-BP2"/>
              <w:rPr>
                <w:iCs/>
              </w:rPr>
            </w:pPr>
            <w:r w:rsidRPr="0012790E">
              <w:rPr>
                <w:iCs/>
              </w:rPr>
              <w:t>Department of Foreign Affairs and Trade</w:t>
            </w:r>
          </w:p>
        </w:tc>
        <w:tc>
          <w:tcPr>
            <w:tcW w:w="851" w:type="dxa"/>
            <w:vAlign w:val="bottom"/>
          </w:tcPr>
          <w:p w14:paraId="78203F51" w14:textId="77777777" w:rsidR="00C83B27" w:rsidRPr="0012790E" w:rsidRDefault="00C83B27" w:rsidP="00C83B27">
            <w:pPr>
              <w:pStyle w:val="SummaryAgencyTitle-BP2"/>
              <w:rPr>
                <w:iCs/>
              </w:rPr>
            </w:pPr>
          </w:p>
        </w:tc>
        <w:tc>
          <w:tcPr>
            <w:tcW w:w="851" w:type="dxa"/>
            <w:shd w:val="clear" w:color="auto" w:fill="E6F2FF"/>
            <w:vAlign w:val="bottom"/>
          </w:tcPr>
          <w:p w14:paraId="082A031C" w14:textId="77777777" w:rsidR="00C83B27" w:rsidRPr="0012790E" w:rsidRDefault="00C83B27" w:rsidP="00C83B27">
            <w:pPr>
              <w:pStyle w:val="SummaryAgencyTitle-BP2"/>
              <w:rPr>
                <w:iCs/>
              </w:rPr>
            </w:pPr>
          </w:p>
        </w:tc>
        <w:tc>
          <w:tcPr>
            <w:tcW w:w="851" w:type="dxa"/>
            <w:vAlign w:val="bottom"/>
          </w:tcPr>
          <w:p w14:paraId="4EC6063D" w14:textId="77777777" w:rsidR="00C83B27" w:rsidRPr="0012790E" w:rsidRDefault="00C83B27" w:rsidP="00C83B27">
            <w:pPr>
              <w:pStyle w:val="SummaryAgencyTitle-BP2"/>
              <w:rPr>
                <w:iCs/>
              </w:rPr>
            </w:pPr>
          </w:p>
        </w:tc>
        <w:tc>
          <w:tcPr>
            <w:tcW w:w="851" w:type="dxa"/>
            <w:vAlign w:val="bottom"/>
          </w:tcPr>
          <w:p w14:paraId="1DEA2D6D" w14:textId="77777777" w:rsidR="00C83B27" w:rsidRPr="0012790E" w:rsidRDefault="00C83B27" w:rsidP="00C83B27">
            <w:pPr>
              <w:pStyle w:val="SummaryAgencyTitle-BP2"/>
              <w:rPr>
                <w:iCs/>
              </w:rPr>
            </w:pPr>
          </w:p>
        </w:tc>
        <w:tc>
          <w:tcPr>
            <w:tcW w:w="851" w:type="dxa"/>
            <w:vAlign w:val="bottom"/>
          </w:tcPr>
          <w:p w14:paraId="3BDD6B37" w14:textId="77777777" w:rsidR="00C83B27" w:rsidRPr="0012790E" w:rsidRDefault="00C83B27" w:rsidP="00C83B27">
            <w:pPr>
              <w:pStyle w:val="SummaryAgencyTitle-BP2"/>
              <w:rPr>
                <w:iCs/>
              </w:rPr>
            </w:pPr>
          </w:p>
        </w:tc>
      </w:tr>
      <w:tr w:rsidR="00C83B27" w:rsidRPr="0012790E" w14:paraId="7242F207" w14:textId="77777777" w:rsidTr="54937204">
        <w:tc>
          <w:tcPr>
            <w:tcW w:w="3470" w:type="dxa"/>
            <w:shd w:val="clear" w:color="auto" w:fill="auto"/>
            <w:vAlign w:val="bottom"/>
          </w:tcPr>
          <w:p w14:paraId="422636B5" w14:textId="1283859E" w:rsidR="00C83B27" w:rsidRPr="0012790E" w:rsidRDefault="00C83B27" w:rsidP="00C83B27">
            <w:pPr>
              <w:pStyle w:val="SummaryMeasureTitlewithTheme"/>
            </w:pPr>
            <w:r w:rsidRPr="0012790E">
              <w:t>Fast</w:t>
            </w:r>
            <w:r w:rsidRPr="0012790E">
              <w:noBreakHyphen/>
              <w:t>Track Passport – establishment(b)</w:t>
            </w:r>
          </w:p>
        </w:tc>
        <w:tc>
          <w:tcPr>
            <w:tcW w:w="851" w:type="dxa"/>
            <w:vAlign w:val="bottom"/>
          </w:tcPr>
          <w:p w14:paraId="4F0DA83A"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59FB972E"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23E39EF2"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6E557E95"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60E5FDB5" w14:textId="77777777" w:rsidR="00C83B27" w:rsidRPr="0012790E" w:rsidRDefault="00C83B27" w:rsidP="00C83B27">
            <w:pPr>
              <w:pStyle w:val="Summarytabletextrightaligned"/>
              <w:rPr>
                <w:szCs w:val="16"/>
              </w:rPr>
            </w:pPr>
            <w:r w:rsidRPr="0012790E">
              <w:rPr>
                <w:szCs w:val="16"/>
              </w:rPr>
              <w:noBreakHyphen/>
            </w:r>
          </w:p>
        </w:tc>
      </w:tr>
      <w:tr w:rsidR="00C83B27" w:rsidRPr="0012790E" w14:paraId="02E47060" w14:textId="77777777" w:rsidTr="54937204">
        <w:tc>
          <w:tcPr>
            <w:tcW w:w="3470" w:type="dxa"/>
            <w:shd w:val="clear" w:color="auto" w:fill="auto"/>
            <w:vAlign w:val="bottom"/>
          </w:tcPr>
          <w:p w14:paraId="31B3E3B2" w14:textId="7C1768D3" w:rsidR="00C83B27" w:rsidRPr="0012790E" w:rsidRDefault="00C83B27" w:rsidP="00C83B27">
            <w:pPr>
              <w:pStyle w:val="SummaryAgencyTitle-BP2"/>
              <w:rPr>
                <w:iCs/>
              </w:rPr>
            </w:pPr>
            <w:r w:rsidRPr="0012790E">
              <w:rPr>
                <w:iCs/>
              </w:rPr>
              <w:t>Export Finance and Insurance Corporation (National Interest component)</w:t>
            </w:r>
          </w:p>
        </w:tc>
        <w:tc>
          <w:tcPr>
            <w:tcW w:w="851" w:type="dxa"/>
            <w:vAlign w:val="bottom"/>
          </w:tcPr>
          <w:p w14:paraId="5D32F256" w14:textId="77777777" w:rsidR="00C83B27" w:rsidRPr="0012790E" w:rsidRDefault="00C83B27" w:rsidP="00C83B27">
            <w:pPr>
              <w:pStyle w:val="SummaryAgencyTitle-BP2"/>
              <w:rPr>
                <w:iCs/>
              </w:rPr>
            </w:pPr>
          </w:p>
        </w:tc>
        <w:tc>
          <w:tcPr>
            <w:tcW w:w="851" w:type="dxa"/>
            <w:shd w:val="clear" w:color="auto" w:fill="E6F2FF"/>
            <w:vAlign w:val="bottom"/>
          </w:tcPr>
          <w:p w14:paraId="0687C2CF" w14:textId="77777777" w:rsidR="00C83B27" w:rsidRPr="0012790E" w:rsidRDefault="00C83B27" w:rsidP="00C83B27">
            <w:pPr>
              <w:pStyle w:val="SummaryAgencyTitle-BP2"/>
              <w:rPr>
                <w:iCs/>
              </w:rPr>
            </w:pPr>
          </w:p>
        </w:tc>
        <w:tc>
          <w:tcPr>
            <w:tcW w:w="851" w:type="dxa"/>
            <w:vAlign w:val="bottom"/>
          </w:tcPr>
          <w:p w14:paraId="21493274" w14:textId="77777777" w:rsidR="00C83B27" w:rsidRPr="0012790E" w:rsidRDefault="00C83B27" w:rsidP="00C83B27">
            <w:pPr>
              <w:pStyle w:val="SummaryAgencyTitle-BP2"/>
              <w:rPr>
                <w:iCs/>
              </w:rPr>
            </w:pPr>
          </w:p>
        </w:tc>
        <w:tc>
          <w:tcPr>
            <w:tcW w:w="851" w:type="dxa"/>
            <w:vAlign w:val="bottom"/>
          </w:tcPr>
          <w:p w14:paraId="102148E9" w14:textId="77777777" w:rsidR="00C83B27" w:rsidRPr="0012790E" w:rsidRDefault="00C83B27" w:rsidP="00C83B27">
            <w:pPr>
              <w:pStyle w:val="SummaryAgencyTitle-BP2"/>
              <w:rPr>
                <w:iCs/>
              </w:rPr>
            </w:pPr>
          </w:p>
        </w:tc>
        <w:tc>
          <w:tcPr>
            <w:tcW w:w="851" w:type="dxa"/>
            <w:vAlign w:val="bottom"/>
          </w:tcPr>
          <w:p w14:paraId="67F6D208" w14:textId="77777777" w:rsidR="00C83B27" w:rsidRPr="0012790E" w:rsidRDefault="00C83B27" w:rsidP="00C83B27">
            <w:pPr>
              <w:pStyle w:val="SummaryAgencyTitle-BP2"/>
              <w:rPr>
                <w:iCs/>
              </w:rPr>
            </w:pPr>
          </w:p>
        </w:tc>
      </w:tr>
      <w:tr w:rsidR="00C83B27" w:rsidRPr="0012790E" w14:paraId="356B705E" w14:textId="77777777" w:rsidTr="54937204">
        <w:tc>
          <w:tcPr>
            <w:tcW w:w="3470" w:type="dxa"/>
            <w:shd w:val="clear" w:color="auto" w:fill="auto"/>
            <w:vAlign w:val="bottom"/>
          </w:tcPr>
          <w:p w14:paraId="328433D3" w14:textId="28E2B89E" w:rsidR="00C83B27" w:rsidRPr="0012790E" w:rsidRDefault="00C83B27" w:rsidP="00C83B27">
            <w:pPr>
              <w:pStyle w:val="SummaryMeasureTitlewithTheme"/>
            </w:pPr>
            <w:r w:rsidRPr="0012790E">
              <w:t>Enhancing Pacific Infrastructure and Engagement(b)</w:t>
            </w:r>
          </w:p>
        </w:tc>
        <w:tc>
          <w:tcPr>
            <w:tcW w:w="851" w:type="dxa"/>
            <w:vAlign w:val="bottom"/>
          </w:tcPr>
          <w:p w14:paraId="14C4FD52" w14:textId="77777777" w:rsidR="00C83B27" w:rsidRPr="0012790E" w:rsidRDefault="00C83B27" w:rsidP="54937204">
            <w:pPr>
              <w:pStyle w:val="Summarytabletextrightaligned"/>
              <w:rPr>
                <w:lang w:val="en-US"/>
              </w:rPr>
            </w:pPr>
            <w:r w:rsidRPr="54937204">
              <w:rPr>
                <w:lang w:val="en-US"/>
              </w:rPr>
              <w:t>nfp</w:t>
            </w:r>
          </w:p>
        </w:tc>
        <w:tc>
          <w:tcPr>
            <w:tcW w:w="851" w:type="dxa"/>
            <w:shd w:val="clear" w:color="auto" w:fill="E6F2FF"/>
            <w:vAlign w:val="bottom"/>
          </w:tcPr>
          <w:p w14:paraId="6436FA32" w14:textId="77777777" w:rsidR="00C83B27" w:rsidRPr="0012790E" w:rsidRDefault="00C83B27" w:rsidP="54937204">
            <w:pPr>
              <w:pStyle w:val="Summarytabletextrightaligned"/>
              <w:rPr>
                <w:lang w:val="en-US"/>
              </w:rPr>
            </w:pPr>
            <w:r w:rsidRPr="54937204">
              <w:rPr>
                <w:lang w:val="en-US"/>
              </w:rPr>
              <w:t>nfp</w:t>
            </w:r>
          </w:p>
        </w:tc>
        <w:tc>
          <w:tcPr>
            <w:tcW w:w="851" w:type="dxa"/>
            <w:vAlign w:val="bottom"/>
          </w:tcPr>
          <w:p w14:paraId="2C292DFA" w14:textId="77777777" w:rsidR="00C83B27" w:rsidRPr="0012790E" w:rsidRDefault="00C83B27" w:rsidP="54937204">
            <w:pPr>
              <w:pStyle w:val="Summarytabletextrightaligned"/>
              <w:rPr>
                <w:lang w:val="en-US"/>
              </w:rPr>
            </w:pPr>
            <w:r w:rsidRPr="54937204">
              <w:rPr>
                <w:lang w:val="en-US"/>
              </w:rPr>
              <w:t>nfp</w:t>
            </w:r>
          </w:p>
        </w:tc>
        <w:tc>
          <w:tcPr>
            <w:tcW w:w="851" w:type="dxa"/>
            <w:vAlign w:val="bottom"/>
          </w:tcPr>
          <w:p w14:paraId="42D5932E" w14:textId="77777777" w:rsidR="00C83B27" w:rsidRPr="0012790E" w:rsidRDefault="00C83B27" w:rsidP="54937204">
            <w:pPr>
              <w:pStyle w:val="Summarytabletextrightaligned"/>
              <w:rPr>
                <w:lang w:val="en-US"/>
              </w:rPr>
            </w:pPr>
            <w:r w:rsidRPr="54937204">
              <w:rPr>
                <w:lang w:val="en-US"/>
              </w:rPr>
              <w:t>nfp</w:t>
            </w:r>
          </w:p>
        </w:tc>
        <w:tc>
          <w:tcPr>
            <w:tcW w:w="851" w:type="dxa"/>
            <w:vAlign w:val="bottom"/>
          </w:tcPr>
          <w:p w14:paraId="167C30DE" w14:textId="77777777" w:rsidR="00C83B27" w:rsidRPr="0012790E" w:rsidRDefault="00C83B27" w:rsidP="54937204">
            <w:pPr>
              <w:pStyle w:val="Summarytabletextrightaligned"/>
              <w:rPr>
                <w:lang w:val="en-US"/>
              </w:rPr>
            </w:pPr>
            <w:r w:rsidRPr="54937204">
              <w:rPr>
                <w:lang w:val="en-US"/>
              </w:rPr>
              <w:t>nfp</w:t>
            </w:r>
          </w:p>
        </w:tc>
      </w:tr>
      <w:tr w:rsidR="00C83B27" w:rsidRPr="0012790E" w14:paraId="19273E56" w14:textId="77777777" w:rsidTr="54937204">
        <w:tc>
          <w:tcPr>
            <w:tcW w:w="3470" w:type="dxa"/>
            <w:shd w:val="clear" w:color="auto" w:fill="auto"/>
            <w:vAlign w:val="bottom"/>
          </w:tcPr>
          <w:p w14:paraId="0FA74BA3" w14:textId="23658531" w:rsidR="00C83B27" w:rsidRPr="0012790E" w:rsidRDefault="00C83B27" w:rsidP="00C83B27">
            <w:pPr>
              <w:pStyle w:val="SummaryMeasureTitlewithTheme"/>
            </w:pPr>
            <w:r w:rsidRPr="0012790E">
              <w:t>Future Made in Australia – Investing in Innovation, Science and Digital Capabilities(b)</w:t>
            </w:r>
          </w:p>
        </w:tc>
        <w:tc>
          <w:tcPr>
            <w:tcW w:w="851" w:type="dxa"/>
            <w:vAlign w:val="bottom"/>
          </w:tcPr>
          <w:p w14:paraId="200D768C" w14:textId="493DBB72" w:rsidR="00C83B27" w:rsidRPr="0012790E" w:rsidRDefault="00586FDB" w:rsidP="00C83B27">
            <w:pPr>
              <w:pStyle w:val="Summarytabletextrightaligned"/>
            </w:pPr>
            <w:r w:rsidRPr="6F38BAFE">
              <w:rPr>
                <w:lang w:val="en-US"/>
              </w:rPr>
              <w:t>nfp</w:t>
            </w:r>
          </w:p>
        </w:tc>
        <w:tc>
          <w:tcPr>
            <w:tcW w:w="851" w:type="dxa"/>
            <w:shd w:val="clear" w:color="auto" w:fill="E6F2FF"/>
            <w:vAlign w:val="bottom"/>
          </w:tcPr>
          <w:p w14:paraId="3F899387" w14:textId="604CD975" w:rsidR="00C83B27" w:rsidRPr="0012790E" w:rsidRDefault="00586FDB" w:rsidP="00C83B27">
            <w:pPr>
              <w:pStyle w:val="Summarytabletextrightaligned"/>
            </w:pPr>
            <w:r w:rsidRPr="6F38BAFE">
              <w:rPr>
                <w:lang w:val="en-US"/>
              </w:rPr>
              <w:t>nfp</w:t>
            </w:r>
          </w:p>
        </w:tc>
        <w:tc>
          <w:tcPr>
            <w:tcW w:w="851" w:type="dxa"/>
            <w:vAlign w:val="bottom"/>
          </w:tcPr>
          <w:p w14:paraId="1BED8480" w14:textId="7F3F3D8F" w:rsidR="00C83B27" w:rsidRPr="0012790E" w:rsidRDefault="00586FDB" w:rsidP="00C83B27">
            <w:pPr>
              <w:pStyle w:val="Summarytabletextrightaligned"/>
            </w:pPr>
            <w:r w:rsidRPr="6F38BAFE">
              <w:rPr>
                <w:lang w:val="en-US"/>
              </w:rPr>
              <w:t>nfp</w:t>
            </w:r>
          </w:p>
        </w:tc>
        <w:tc>
          <w:tcPr>
            <w:tcW w:w="851" w:type="dxa"/>
            <w:vAlign w:val="bottom"/>
          </w:tcPr>
          <w:p w14:paraId="0200EFE8" w14:textId="382991E8" w:rsidR="00C83B27" w:rsidRPr="0012790E" w:rsidRDefault="00586FDB" w:rsidP="00C83B27">
            <w:pPr>
              <w:pStyle w:val="Summarytabletextrightaligned"/>
            </w:pPr>
            <w:r w:rsidRPr="6F38BAFE">
              <w:rPr>
                <w:lang w:val="en-US"/>
              </w:rPr>
              <w:t>nfp</w:t>
            </w:r>
          </w:p>
        </w:tc>
        <w:tc>
          <w:tcPr>
            <w:tcW w:w="851" w:type="dxa"/>
            <w:vAlign w:val="bottom"/>
          </w:tcPr>
          <w:p w14:paraId="79003CBE" w14:textId="2DCF4DF8" w:rsidR="00C83B27" w:rsidRPr="0012790E" w:rsidRDefault="00586FDB" w:rsidP="00C83B27">
            <w:pPr>
              <w:pStyle w:val="Summarytabletextrightaligned"/>
            </w:pPr>
            <w:r w:rsidRPr="6F38BAFE">
              <w:rPr>
                <w:lang w:val="en-US"/>
              </w:rPr>
              <w:t>nfp</w:t>
            </w:r>
          </w:p>
        </w:tc>
      </w:tr>
      <w:tr w:rsidR="00C83B27" w:rsidRPr="0012790E" w14:paraId="1DAF1E12" w14:textId="77777777" w:rsidTr="54937204">
        <w:tc>
          <w:tcPr>
            <w:tcW w:w="3470" w:type="dxa"/>
            <w:shd w:val="clear" w:color="auto" w:fill="auto"/>
            <w:vAlign w:val="bottom"/>
          </w:tcPr>
          <w:p w14:paraId="6F06F702" w14:textId="780BDA62" w:rsidR="00C83B27" w:rsidRPr="0012790E" w:rsidRDefault="00C83B27" w:rsidP="00C83B27">
            <w:pPr>
              <w:pStyle w:val="SummaryMeasureTitlewithTheme"/>
            </w:pPr>
            <w:r w:rsidRPr="0012790E">
              <w:t>Future Made in Australia – Making Australia a Renewable Energy Superpower(b)</w:t>
            </w:r>
          </w:p>
        </w:tc>
        <w:tc>
          <w:tcPr>
            <w:tcW w:w="851" w:type="dxa"/>
            <w:tcBorders>
              <w:bottom w:val="single" w:sz="4" w:space="0" w:color="293F5B"/>
            </w:tcBorders>
            <w:vAlign w:val="bottom"/>
          </w:tcPr>
          <w:p w14:paraId="793F066D" w14:textId="77777777" w:rsidR="00C83B27" w:rsidRPr="0012790E" w:rsidRDefault="00C83B27" w:rsidP="54937204">
            <w:pPr>
              <w:pStyle w:val="Summarytabletextrightaligned"/>
              <w:rPr>
                <w:lang w:val="en-US"/>
              </w:rPr>
            </w:pPr>
            <w:r w:rsidRPr="54937204">
              <w:rPr>
                <w:lang w:val="en-US"/>
              </w:rPr>
              <w:t>nfp</w:t>
            </w:r>
          </w:p>
        </w:tc>
        <w:tc>
          <w:tcPr>
            <w:tcW w:w="851" w:type="dxa"/>
            <w:tcBorders>
              <w:bottom w:val="single" w:sz="4" w:space="0" w:color="293F5B"/>
            </w:tcBorders>
            <w:shd w:val="clear" w:color="auto" w:fill="E6F2FF"/>
            <w:vAlign w:val="bottom"/>
          </w:tcPr>
          <w:p w14:paraId="01E689CC" w14:textId="77777777" w:rsidR="00C83B27" w:rsidRPr="0012790E" w:rsidRDefault="00C83B27" w:rsidP="54937204">
            <w:pPr>
              <w:pStyle w:val="Summarytabletextrightaligned"/>
              <w:rPr>
                <w:lang w:val="en-US"/>
              </w:rPr>
            </w:pPr>
            <w:r w:rsidRPr="54937204">
              <w:rPr>
                <w:lang w:val="en-US"/>
              </w:rPr>
              <w:t>nfp</w:t>
            </w:r>
          </w:p>
        </w:tc>
        <w:tc>
          <w:tcPr>
            <w:tcW w:w="851" w:type="dxa"/>
            <w:tcBorders>
              <w:bottom w:val="single" w:sz="4" w:space="0" w:color="293F5B"/>
            </w:tcBorders>
            <w:vAlign w:val="bottom"/>
          </w:tcPr>
          <w:p w14:paraId="044116E1" w14:textId="77777777" w:rsidR="00C83B27" w:rsidRPr="0012790E" w:rsidRDefault="00C83B27" w:rsidP="54937204">
            <w:pPr>
              <w:pStyle w:val="Summarytabletextrightaligned"/>
              <w:rPr>
                <w:lang w:val="en-US"/>
              </w:rPr>
            </w:pPr>
            <w:r w:rsidRPr="54937204">
              <w:rPr>
                <w:lang w:val="en-US"/>
              </w:rPr>
              <w:t>nfp</w:t>
            </w:r>
          </w:p>
        </w:tc>
        <w:tc>
          <w:tcPr>
            <w:tcW w:w="851" w:type="dxa"/>
            <w:tcBorders>
              <w:bottom w:val="single" w:sz="4" w:space="0" w:color="293F5B"/>
            </w:tcBorders>
            <w:vAlign w:val="bottom"/>
          </w:tcPr>
          <w:p w14:paraId="501758F5" w14:textId="77777777" w:rsidR="00C83B27" w:rsidRPr="0012790E" w:rsidRDefault="00C83B27" w:rsidP="54937204">
            <w:pPr>
              <w:pStyle w:val="Summarytabletextrightaligned"/>
              <w:rPr>
                <w:lang w:val="en-US"/>
              </w:rPr>
            </w:pPr>
            <w:r w:rsidRPr="54937204">
              <w:rPr>
                <w:lang w:val="en-US"/>
              </w:rPr>
              <w:t>nfp</w:t>
            </w:r>
          </w:p>
        </w:tc>
        <w:tc>
          <w:tcPr>
            <w:tcW w:w="851" w:type="dxa"/>
            <w:tcBorders>
              <w:bottom w:val="single" w:sz="4" w:space="0" w:color="293F5B"/>
            </w:tcBorders>
            <w:vAlign w:val="bottom"/>
          </w:tcPr>
          <w:p w14:paraId="2ABC87B6" w14:textId="77777777" w:rsidR="00C83B27" w:rsidRPr="0012790E" w:rsidRDefault="00C83B27" w:rsidP="54937204">
            <w:pPr>
              <w:pStyle w:val="Summarytabletextrightaligned"/>
              <w:rPr>
                <w:lang w:val="en-US"/>
              </w:rPr>
            </w:pPr>
            <w:r w:rsidRPr="54937204">
              <w:rPr>
                <w:lang w:val="en-US"/>
              </w:rPr>
              <w:t>nfp</w:t>
            </w:r>
          </w:p>
        </w:tc>
      </w:tr>
      <w:tr w:rsidR="00C83B27" w:rsidRPr="0012790E" w14:paraId="67D7807B" w14:textId="77777777" w:rsidTr="54937204">
        <w:tc>
          <w:tcPr>
            <w:tcW w:w="3470" w:type="dxa"/>
            <w:shd w:val="clear" w:color="auto" w:fill="auto"/>
            <w:vAlign w:val="bottom"/>
          </w:tcPr>
          <w:p w14:paraId="65A0EE2C" w14:textId="77777777" w:rsidR="00C83B27" w:rsidRPr="0012790E" w:rsidRDefault="00C83B27" w:rsidP="00C83B27">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69DE0558" w14:textId="77777777" w:rsidR="00C83B27" w:rsidRPr="0012790E" w:rsidRDefault="00C83B27" w:rsidP="00C83B27">
            <w:pPr>
              <w:pStyle w:val="Summarytabletextrightalignedbold"/>
              <w:rPr>
                <w:bCs/>
                <w:szCs w:val="16"/>
              </w:rPr>
            </w:pPr>
            <w:r w:rsidRPr="0012790E">
              <w:rPr>
                <w:bCs/>
                <w:szCs w:val="16"/>
              </w:rPr>
              <w:noBreakHyphen/>
            </w:r>
          </w:p>
        </w:tc>
        <w:tc>
          <w:tcPr>
            <w:tcW w:w="851" w:type="dxa"/>
            <w:tcBorders>
              <w:top w:val="single" w:sz="4" w:space="0" w:color="293F5B"/>
              <w:bottom w:val="single" w:sz="4" w:space="0" w:color="293F5B"/>
            </w:tcBorders>
            <w:shd w:val="clear" w:color="auto" w:fill="E6F2FF"/>
            <w:vAlign w:val="bottom"/>
          </w:tcPr>
          <w:p w14:paraId="057FE860" w14:textId="77777777" w:rsidR="00C83B27" w:rsidRPr="0012790E" w:rsidRDefault="00C83B27" w:rsidP="00C83B27">
            <w:pPr>
              <w:pStyle w:val="Summarytabletextrightalignedbold"/>
              <w:rPr>
                <w:bCs/>
                <w:szCs w:val="16"/>
              </w:rPr>
            </w:pPr>
            <w:r w:rsidRPr="0012790E">
              <w:rPr>
                <w:bCs/>
                <w:szCs w:val="16"/>
              </w:rPr>
              <w:noBreakHyphen/>
            </w:r>
          </w:p>
        </w:tc>
        <w:tc>
          <w:tcPr>
            <w:tcW w:w="851" w:type="dxa"/>
            <w:tcBorders>
              <w:top w:val="single" w:sz="4" w:space="0" w:color="293F5B"/>
              <w:bottom w:val="single" w:sz="4" w:space="0" w:color="293F5B"/>
            </w:tcBorders>
            <w:vAlign w:val="bottom"/>
          </w:tcPr>
          <w:p w14:paraId="17025177" w14:textId="77777777" w:rsidR="00C83B27" w:rsidRPr="0012790E" w:rsidRDefault="00C83B27" w:rsidP="00C83B27">
            <w:pPr>
              <w:pStyle w:val="Summarytabletextrightalignedbold"/>
              <w:rPr>
                <w:bCs/>
                <w:szCs w:val="16"/>
              </w:rPr>
            </w:pPr>
            <w:r w:rsidRPr="0012790E">
              <w:rPr>
                <w:bCs/>
                <w:szCs w:val="16"/>
              </w:rPr>
              <w:noBreakHyphen/>
            </w:r>
          </w:p>
        </w:tc>
        <w:tc>
          <w:tcPr>
            <w:tcW w:w="851" w:type="dxa"/>
            <w:tcBorders>
              <w:top w:val="single" w:sz="4" w:space="0" w:color="293F5B"/>
              <w:bottom w:val="single" w:sz="4" w:space="0" w:color="293F5B"/>
            </w:tcBorders>
            <w:vAlign w:val="bottom"/>
          </w:tcPr>
          <w:p w14:paraId="4EFC0A9C" w14:textId="77777777" w:rsidR="00C83B27" w:rsidRPr="0012790E" w:rsidRDefault="00C83B27" w:rsidP="00C83B27">
            <w:pPr>
              <w:pStyle w:val="Summarytabletextrightalignedbold"/>
              <w:rPr>
                <w:bCs/>
                <w:szCs w:val="16"/>
              </w:rPr>
            </w:pPr>
            <w:r w:rsidRPr="0012790E">
              <w:rPr>
                <w:bCs/>
                <w:szCs w:val="16"/>
              </w:rPr>
              <w:noBreakHyphen/>
            </w:r>
          </w:p>
        </w:tc>
        <w:tc>
          <w:tcPr>
            <w:tcW w:w="851" w:type="dxa"/>
            <w:tcBorders>
              <w:top w:val="single" w:sz="4" w:space="0" w:color="293F5B"/>
              <w:bottom w:val="single" w:sz="4" w:space="0" w:color="293F5B"/>
            </w:tcBorders>
            <w:vAlign w:val="bottom"/>
          </w:tcPr>
          <w:p w14:paraId="362FEE58" w14:textId="04EEF106" w:rsidR="00C83B27" w:rsidRPr="0012790E" w:rsidRDefault="00586FDB" w:rsidP="00C83B27">
            <w:pPr>
              <w:pStyle w:val="Summarytabletextrightalignedbold"/>
              <w:rPr>
                <w:bCs/>
                <w:szCs w:val="16"/>
              </w:rPr>
            </w:pPr>
            <w:r>
              <w:rPr>
                <w:bCs/>
                <w:szCs w:val="16"/>
              </w:rPr>
              <w:t>-</w:t>
            </w:r>
          </w:p>
        </w:tc>
      </w:tr>
      <w:tr w:rsidR="00C83B27" w:rsidRPr="0012790E" w14:paraId="6BA3E1C9" w14:textId="77777777" w:rsidTr="54937204">
        <w:tc>
          <w:tcPr>
            <w:tcW w:w="3470" w:type="dxa"/>
            <w:shd w:val="clear" w:color="auto" w:fill="auto"/>
            <w:vAlign w:val="bottom"/>
          </w:tcPr>
          <w:p w14:paraId="3E4E726B" w14:textId="77777777" w:rsidR="00C83B27" w:rsidRPr="0012790E" w:rsidRDefault="00C83B27" w:rsidP="00C83B27">
            <w:pPr>
              <w:pStyle w:val="SummaryPortfolioTitle-BP2"/>
            </w:pPr>
            <w:r w:rsidRPr="0012790E">
              <w:t>HEALTH AND AGED CARE</w:t>
            </w:r>
          </w:p>
        </w:tc>
        <w:tc>
          <w:tcPr>
            <w:tcW w:w="851" w:type="dxa"/>
            <w:tcBorders>
              <w:top w:val="single" w:sz="4" w:space="0" w:color="293F5B"/>
            </w:tcBorders>
            <w:vAlign w:val="bottom"/>
          </w:tcPr>
          <w:p w14:paraId="62884477" w14:textId="77777777" w:rsidR="00C83B27" w:rsidRPr="0012790E" w:rsidRDefault="00C83B27" w:rsidP="00C83B27">
            <w:pPr>
              <w:pStyle w:val="MeasureTableTextRightAlignedBefore6ptAfter1pt"/>
              <w:rPr>
                <w:b/>
                <w:bCs/>
              </w:rPr>
            </w:pPr>
          </w:p>
        </w:tc>
        <w:tc>
          <w:tcPr>
            <w:tcW w:w="851" w:type="dxa"/>
            <w:tcBorders>
              <w:top w:val="single" w:sz="4" w:space="0" w:color="293F5B"/>
            </w:tcBorders>
            <w:shd w:val="clear" w:color="auto" w:fill="E6F2FF"/>
            <w:vAlign w:val="bottom"/>
          </w:tcPr>
          <w:p w14:paraId="20B78204"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3B03A5CD"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15FC74DA"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111B9EB3" w14:textId="77777777" w:rsidR="00C83B27" w:rsidRPr="0012790E" w:rsidRDefault="00C83B27" w:rsidP="00C83B27">
            <w:pPr>
              <w:pStyle w:val="MeasureTableTextRightAlignedBefore6ptAfter1pt"/>
              <w:rPr>
                <w:b/>
                <w:bCs/>
              </w:rPr>
            </w:pPr>
          </w:p>
        </w:tc>
      </w:tr>
      <w:tr w:rsidR="00C83B27" w:rsidRPr="0012790E" w14:paraId="26BB9C7E" w14:textId="77777777" w:rsidTr="54937204">
        <w:tc>
          <w:tcPr>
            <w:tcW w:w="3470" w:type="dxa"/>
            <w:shd w:val="clear" w:color="auto" w:fill="auto"/>
            <w:vAlign w:val="bottom"/>
          </w:tcPr>
          <w:p w14:paraId="3F0E54DF" w14:textId="77777777" w:rsidR="00C83B27" w:rsidRPr="0012790E" w:rsidRDefault="00C83B27" w:rsidP="00C83B27">
            <w:pPr>
              <w:pStyle w:val="SummaryAgencyTitle-BP2"/>
              <w:rPr>
                <w:iCs/>
              </w:rPr>
            </w:pPr>
            <w:r w:rsidRPr="0012790E">
              <w:rPr>
                <w:iCs/>
              </w:rPr>
              <w:t>Department of Health and Aged Care</w:t>
            </w:r>
          </w:p>
        </w:tc>
        <w:tc>
          <w:tcPr>
            <w:tcW w:w="851" w:type="dxa"/>
            <w:vAlign w:val="bottom"/>
          </w:tcPr>
          <w:p w14:paraId="23DAB4FF" w14:textId="77777777" w:rsidR="00C83B27" w:rsidRPr="0012790E" w:rsidRDefault="00C83B27" w:rsidP="00C83B27">
            <w:pPr>
              <w:pStyle w:val="SummaryAgencyTitle-BP2"/>
              <w:rPr>
                <w:iCs/>
              </w:rPr>
            </w:pPr>
          </w:p>
        </w:tc>
        <w:tc>
          <w:tcPr>
            <w:tcW w:w="851" w:type="dxa"/>
            <w:shd w:val="clear" w:color="auto" w:fill="E6F2FF"/>
            <w:vAlign w:val="bottom"/>
          </w:tcPr>
          <w:p w14:paraId="185E6724" w14:textId="77777777" w:rsidR="00C83B27" w:rsidRPr="0012790E" w:rsidRDefault="00C83B27" w:rsidP="00C83B27">
            <w:pPr>
              <w:pStyle w:val="SummaryAgencyTitle-BP2"/>
              <w:rPr>
                <w:iCs/>
              </w:rPr>
            </w:pPr>
          </w:p>
        </w:tc>
        <w:tc>
          <w:tcPr>
            <w:tcW w:w="851" w:type="dxa"/>
            <w:vAlign w:val="bottom"/>
          </w:tcPr>
          <w:p w14:paraId="78A79502" w14:textId="77777777" w:rsidR="00C83B27" w:rsidRPr="0012790E" w:rsidRDefault="00C83B27" w:rsidP="00C83B27">
            <w:pPr>
              <w:pStyle w:val="SummaryAgencyTitle-BP2"/>
              <w:rPr>
                <w:iCs/>
              </w:rPr>
            </w:pPr>
          </w:p>
        </w:tc>
        <w:tc>
          <w:tcPr>
            <w:tcW w:w="851" w:type="dxa"/>
            <w:vAlign w:val="bottom"/>
          </w:tcPr>
          <w:p w14:paraId="500C7220" w14:textId="77777777" w:rsidR="00C83B27" w:rsidRPr="0012790E" w:rsidRDefault="00C83B27" w:rsidP="00C83B27">
            <w:pPr>
              <w:pStyle w:val="SummaryAgencyTitle-BP2"/>
              <w:rPr>
                <w:iCs/>
              </w:rPr>
            </w:pPr>
          </w:p>
        </w:tc>
        <w:tc>
          <w:tcPr>
            <w:tcW w:w="851" w:type="dxa"/>
            <w:vAlign w:val="bottom"/>
          </w:tcPr>
          <w:p w14:paraId="08830DF8" w14:textId="77777777" w:rsidR="00C83B27" w:rsidRPr="0012790E" w:rsidRDefault="00C83B27" w:rsidP="00C83B27">
            <w:pPr>
              <w:pStyle w:val="SummaryAgencyTitle-BP2"/>
              <w:rPr>
                <w:iCs/>
              </w:rPr>
            </w:pPr>
          </w:p>
        </w:tc>
      </w:tr>
      <w:tr w:rsidR="00C83B27" w:rsidRPr="0012790E" w14:paraId="231D67A5" w14:textId="77777777" w:rsidTr="54937204">
        <w:tc>
          <w:tcPr>
            <w:tcW w:w="3470" w:type="dxa"/>
            <w:shd w:val="clear" w:color="auto" w:fill="auto"/>
            <w:vAlign w:val="bottom"/>
          </w:tcPr>
          <w:p w14:paraId="75F03CDE" w14:textId="68B34A3E" w:rsidR="00C83B27" w:rsidRPr="0012790E" w:rsidRDefault="00C83B27" w:rsidP="00C83B27">
            <w:pPr>
              <w:pStyle w:val="SummaryMeasureTitlewithTheme"/>
            </w:pPr>
            <w:r w:rsidRPr="0012790E">
              <w:t>National Joint Replacement Registry – additional funding(b)</w:t>
            </w:r>
          </w:p>
        </w:tc>
        <w:tc>
          <w:tcPr>
            <w:tcW w:w="851" w:type="dxa"/>
            <w:vAlign w:val="bottom"/>
          </w:tcPr>
          <w:p w14:paraId="1C5BFC79"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0FF1701F" w14:textId="77777777" w:rsidR="00C83B27" w:rsidRPr="0012790E" w:rsidRDefault="00C83B27" w:rsidP="00C83B27">
            <w:pPr>
              <w:pStyle w:val="Summarytabletextrightaligned"/>
              <w:rPr>
                <w:szCs w:val="16"/>
              </w:rPr>
            </w:pPr>
            <w:r w:rsidRPr="0012790E">
              <w:rPr>
                <w:szCs w:val="16"/>
              </w:rPr>
              <w:t>0.3</w:t>
            </w:r>
          </w:p>
        </w:tc>
        <w:tc>
          <w:tcPr>
            <w:tcW w:w="851" w:type="dxa"/>
            <w:vAlign w:val="bottom"/>
          </w:tcPr>
          <w:p w14:paraId="3C6717A6" w14:textId="77777777" w:rsidR="00C83B27" w:rsidRPr="0012790E" w:rsidRDefault="00C83B27" w:rsidP="00C83B27">
            <w:pPr>
              <w:pStyle w:val="Summarytabletextrightaligned"/>
              <w:rPr>
                <w:szCs w:val="16"/>
              </w:rPr>
            </w:pPr>
            <w:r w:rsidRPr="0012790E">
              <w:rPr>
                <w:szCs w:val="16"/>
              </w:rPr>
              <w:t>0.3</w:t>
            </w:r>
          </w:p>
        </w:tc>
        <w:tc>
          <w:tcPr>
            <w:tcW w:w="851" w:type="dxa"/>
            <w:vAlign w:val="bottom"/>
          </w:tcPr>
          <w:p w14:paraId="5A031298" w14:textId="77777777" w:rsidR="00C83B27" w:rsidRPr="0012790E" w:rsidRDefault="00C83B27" w:rsidP="00C83B27">
            <w:pPr>
              <w:pStyle w:val="Summarytabletextrightaligned"/>
              <w:rPr>
                <w:szCs w:val="16"/>
              </w:rPr>
            </w:pPr>
            <w:r w:rsidRPr="0012790E">
              <w:rPr>
                <w:szCs w:val="16"/>
              </w:rPr>
              <w:t>0.3</w:t>
            </w:r>
          </w:p>
        </w:tc>
        <w:tc>
          <w:tcPr>
            <w:tcW w:w="851" w:type="dxa"/>
            <w:vAlign w:val="bottom"/>
          </w:tcPr>
          <w:p w14:paraId="42ED4283" w14:textId="77777777" w:rsidR="00C83B27" w:rsidRPr="0012790E" w:rsidRDefault="00C83B27" w:rsidP="00C83B27">
            <w:pPr>
              <w:pStyle w:val="Summarytabletextrightaligned"/>
              <w:rPr>
                <w:szCs w:val="16"/>
              </w:rPr>
            </w:pPr>
            <w:r w:rsidRPr="0012790E">
              <w:rPr>
                <w:szCs w:val="16"/>
              </w:rPr>
              <w:t>0.3</w:t>
            </w:r>
          </w:p>
        </w:tc>
      </w:tr>
      <w:tr w:rsidR="00C83B27" w:rsidRPr="0012790E" w14:paraId="5B987F20" w14:textId="77777777" w:rsidTr="00424B86">
        <w:tc>
          <w:tcPr>
            <w:tcW w:w="3470" w:type="dxa"/>
            <w:shd w:val="clear" w:color="auto" w:fill="auto"/>
            <w:vAlign w:val="bottom"/>
          </w:tcPr>
          <w:p w14:paraId="6897E5D3" w14:textId="04944792" w:rsidR="00C83B27" w:rsidRPr="0012790E" w:rsidRDefault="00C83B27" w:rsidP="00C83B27">
            <w:pPr>
              <w:pStyle w:val="SummaryMeasureTitlewithTheme"/>
            </w:pPr>
            <w:r w:rsidRPr="0012790E">
              <w:t>Pharmaceutical Benefits Scheme (PBS) – new and amended listings(b)</w:t>
            </w:r>
          </w:p>
        </w:tc>
        <w:tc>
          <w:tcPr>
            <w:tcW w:w="851" w:type="dxa"/>
            <w:vAlign w:val="bottom"/>
          </w:tcPr>
          <w:p w14:paraId="2658AF60" w14:textId="77777777" w:rsidR="00C83B27" w:rsidRPr="0012790E" w:rsidRDefault="00C83B27" w:rsidP="54937204">
            <w:pPr>
              <w:pStyle w:val="Summarytabletextrightaligned"/>
              <w:rPr>
                <w:lang w:val="en-US"/>
              </w:rPr>
            </w:pPr>
            <w:r w:rsidRPr="54937204">
              <w:rPr>
                <w:lang w:val="en-US"/>
              </w:rPr>
              <w:t>nfp</w:t>
            </w:r>
          </w:p>
        </w:tc>
        <w:tc>
          <w:tcPr>
            <w:tcW w:w="851" w:type="dxa"/>
            <w:shd w:val="clear" w:color="auto" w:fill="E6F2FF"/>
            <w:vAlign w:val="bottom"/>
          </w:tcPr>
          <w:p w14:paraId="334CBE42" w14:textId="77777777" w:rsidR="00C83B27" w:rsidRPr="0012790E" w:rsidRDefault="00C83B27" w:rsidP="54937204">
            <w:pPr>
              <w:pStyle w:val="Summarytabletextrightaligned"/>
              <w:rPr>
                <w:lang w:val="en-US"/>
              </w:rPr>
            </w:pPr>
            <w:r w:rsidRPr="54937204">
              <w:rPr>
                <w:lang w:val="en-US"/>
              </w:rPr>
              <w:t>nfp</w:t>
            </w:r>
          </w:p>
        </w:tc>
        <w:tc>
          <w:tcPr>
            <w:tcW w:w="851" w:type="dxa"/>
            <w:vAlign w:val="bottom"/>
          </w:tcPr>
          <w:p w14:paraId="222BAF4A" w14:textId="77777777" w:rsidR="00C83B27" w:rsidRPr="0012790E" w:rsidRDefault="00C83B27" w:rsidP="54937204">
            <w:pPr>
              <w:pStyle w:val="Summarytabletextrightaligned"/>
              <w:rPr>
                <w:lang w:val="en-US"/>
              </w:rPr>
            </w:pPr>
            <w:r w:rsidRPr="54937204">
              <w:rPr>
                <w:lang w:val="en-US"/>
              </w:rPr>
              <w:t>nfp</w:t>
            </w:r>
          </w:p>
        </w:tc>
        <w:tc>
          <w:tcPr>
            <w:tcW w:w="851" w:type="dxa"/>
            <w:vAlign w:val="bottom"/>
          </w:tcPr>
          <w:p w14:paraId="00F05E09" w14:textId="77777777" w:rsidR="00C83B27" w:rsidRPr="0012790E" w:rsidRDefault="00C83B27" w:rsidP="54937204">
            <w:pPr>
              <w:pStyle w:val="Summarytabletextrightaligned"/>
              <w:rPr>
                <w:lang w:val="en-US"/>
              </w:rPr>
            </w:pPr>
            <w:r w:rsidRPr="54937204">
              <w:rPr>
                <w:lang w:val="en-US"/>
              </w:rPr>
              <w:t>nfp</w:t>
            </w:r>
          </w:p>
        </w:tc>
        <w:tc>
          <w:tcPr>
            <w:tcW w:w="851" w:type="dxa"/>
            <w:vAlign w:val="bottom"/>
          </w:tcPr>
          <w:p w14:paraId="205442EF" w14:textId="77777777" w:rsidR="00C83B27" w:rsidRPr="0012790E" w:rsidRDefault="00C83B27" w:rsidP="54937204">
            <w:pPr>
              <w:pStyle w:val="Summarytabletextrightaligned"/>
              <w:rPr>
                <w:lang w:val="en-US"/>
              </w:rPr>
            </w:pPr>
            <w:r w:rsidRPr="54937204">
              <w:rPr>
                <w:lang w:val="en-US"/>
              </w:rPr>
              <w:t>nfp</w:t>
            </w:r>
          </w:p>
        </w:tc>
      </w:tr>
      <w:tr w:rsidR="00424B86" w:rsidRPr="0012790E" w14:paraId="15628353" w14:textId="77777777" w:rsidTr="00424B86">
        <w:tc>
          <w:tcPr>
            <w:tcW w:w="3470" w:type="dxa"/>
            <w:shd w:val="clear" w:color="auto" w:fill="auto"/>
            <w:vAlign w:val="bottom"/>
          </w:tcPr>
          <w:p w14:paraId="5A34BC13" w14:textId="524BEA92" w:rsidR="00424B86" w:rsidRPr="0012790E" w:rsidRDefault="00424B86" w:rsidP="00424B86">
            <w:pPr>
              <w:pStyle w:val="SummaryMeasureTitlewithTheme"/>
            </w:pPr>
            <w:r w:rsidRPr="0012790E">
              <w:t>Securing Cheaper Medicines(b)</w:t>
            </w:r>
          </w:p>
        </w:tc>
        <w:tc>
          <w:tcPr>
            <w:tcW w:w="851" w:type="dxa"/>
            <w:vAlign w:val="bottom"/>
          </w:tcPr>
          <w:p w14:paraId="34201C0A" w14:textId="4572BA2E" w:rsidR="00424B86" w:rsidRPr="54937204" w:rsidRDefault="00424B86" w:rsidP="00424B86">
            <w:pPr>
              <w:pStyle w:val="Summarytabletextrightaligned"/>
              <w:rPr>
                <w:lang w:val="en-US"/>
              </w:rPr>
            </w:pPr>
            <w:r w:rsidRPr="0012790E">
              <w:rPr>
                <w:szCs w:val="16"/>
              </w:rPr>
              <w:noBreakHyphen/>
            </w:r>
          </w:p>
        </w:tc>
        <w:tc>
          <w:tcPr>
            <w:tcW w:w="851" w:type="dxa"/>
            <w:shd w:val="clear" w:color="auto" w:fill="E6F2FF"/>
            <w:vAlign w:val="bottom"/>
          </w:tcPr>
          <w:p w14:paraId="4EE07E21" w14:textId="5D5D5A10" w:rsidR="00424B86" w:rsidRPr="54937204" w:rsidRDefault="00424B86" w:rsidP="00424B86">
            <w:pPr>
              <w:pStyle w:val="Summarytabletextrightaligned"/>
              <w:rPr>
                <w:lang w:val="en-US"/>
              </w:rPr>
            </w:pPr>
            <w:r w:rsidRPr="0012790E">
              <w:rPr>
                <w:szCs w:val="16"/>
              </w:rPr>
              <w:t>1.2</w:t>
            </w:r>
          </w:p>
        </w:tc>
        <w:tc>
          <w:tcPr>
            <w:tcW w:w="851" w:type="dxa"/>
            <w:vAlign w:val="bottom"/>
          </w:tcPr>
          <w:p w14:paraId="1553914E" w14:textId="61551278" w:rsidR="00424B86" w:rsidRPr="54937204" w:rsidRDefault="00424B86" w:rsidP="00424B86">
            <w:pPr>
              <w:pStyle w:val="Summarytabletextrightaligned"/>
              <w:rPr>
                <w:lang w:val="en-US"/>
              </w:rPr>
            </w:pPr>
            <w:r w:rsidRPr="0012790E">
              <w:rPr>
                <w:szCs w:val="16"/>
              </w:rPr>
              <w:t>2.8</w:t>
            </w:r>
          </w:p>
        </w:tc>
        <w:tc>
          <w:tcPr>
            <w:tcW w:w="851" w:type="dxa"/>
            <w:vAlign w:val="bottom"/>
          </w:tcPr>
          <w:p w14:paraId="41FA2498" w14:textId="17B26CB3" w:rsidR="00424B86" w:rsidRPr="54937204" w:rsidRDefault="00424B86" w:rsidP="00424B86">
            <w:pPr>
              <w:pStyle w:val="Summarytabletextrightaligned"/>
              <w:rPr>
                <w:lang w:val="en-US"/>
              </w:rPr>
            </w:pPr>
            <w:r w:rsidRPr="0012790E">
              <w:rPr>
                <w:szCs w:val="16"/>
              </w:rPr>
              <w:t>3.9</w:t>
            </w:r>
          </w:p>
        </w:tc>
        <w:tc>
          <w:tcPr>
            <w:tcW w:w="851" w:type="dxa"/>
            <w:vAlign w:val="bottom"/>
          </w:tcPr>
          <w:p w14:paraId="345AAB18" w14:textId="3300C01B" w:rsidR="00424B86" w:rsidRPr="54937204" w:rsidRDefault="00424B86" w:rsidP="00424B86">
            <w:pPr>
              <w:pStyle w:val="Summarytabletextrightaligned"/>
              <w:rPr>
                <w:lang w:val="en-US"/>
              </w:rPr>
            </w:pPr>
            <w:r w:rsidRPr="0012790E">
              <w:rPr>
                <w:szCs w:val="16"/>
              </w:rPr>
              <w:t>4.8</w:t>
            </w:r>
          </w:p>
        </w:tc>
      </w:tr>
      <w:tr w:rsidR="00424B86" w:rsidRPr="0012790E" w14:paraId="63474760" w14:textId="77777777" w:rsidTr="00424B86">
        <w:tc>
          <w:tcPr>
            <w:tcW w:w="3470" w:type="dxa"/>
            <w:shd w:val="clear" w:color="auto" w:fill="auto"/>
            <w:vAlign w:val="bottom"/>
          </w:tcPr>
          <w:p w14:paraId="46055C82" w14:textId="3ED6A4AD" w:rsidR="00424B86" w:rsidRPr="0012790E" w:rsidRDefault="00424B86" w:rsidP="00424B86">
            <w:pPr>
              <w:pStyle w:val="SummaryMeasureTitlewithTheme"/>
            </w:pPr>
            <w:r w:rsidRPr="0012790E">
              <w:t>Strengthening Medicare(b)</w:t>
            </w:r>
          </w:p>
        </w:tc>
        <w:tc>
          <w:tcPr>
            <w:tcW w:w="851" w:type="dxa"/>
            <w:tcBorders>
              <w:bottom w:val="single" w:sz="4" w:space="0" w:color="auto"/>
            </w:tcBorders>
            <w:vAlign w:val="bottom"/>
          </w:tcPr>
          <w:p w14:paraId="56BAD093" w14:textId="4B7844A8" w:rsidR="00424B86" w:rsidRPr="54937204" w:rsidRDefault="00424B86" w:rsidP="00424B86">
            <w:pPr>
              <w:pStyle w:val="Summarytabletextrightaligned"/>
              <w:rPr>
                <w:lang w:val="en-US"/>
              </w:rPr>
            </w:pPr>
            <w:r w:rsidRPr="0012790E">
              <w:rPr>
                <w:szCs w:val="16"/>
              </w:rPr>
              <w:noBreakHyphen/>
            </w:r>
          </w:p>
        </w:tc>
        <w:tc>
          <w:tcPr>
            <w:tcW w:w="851" w:type="dxa"/>
            <w:tcBorders>
              <w:bottom w:val="single" w:sz="4" w:space="0" w:color="auto"/>
            </w:tcBorders>
            <w:shd w:val="clear" w:color="auto" w:fill="E6F2FF"/>
            <w:vAlign w:val="bottom"/>
          </w:tcPr>
          <w:p w14:paraId="57E08013" w14:textId="5FEEC9A1" w:rsidR="00424B86" w:rsidRPr="54937204" w:rsidRDefault="00424B86" w:rsidP="00424B86">
            <w:pPr>
              <w:pStyle w:val="Summarytabletextrightaligned"/>
              <w:rPr>
                <w:lang w:val="en-US"/>
              </w:rPr>
            </w:pPr>
            <w:r w:rsidRPr="0012790E">
              <w:rPr>
                <w:szCs w:val="16"/>
              </w:rPr>
              <w:t>0.2</w:t>
            </w:r>
          </w:p>
        </w:tc>
        <w:tc>
          <w:tcPr>
            <w:tcW w:w="851" w:type="dxa"/>
            <w:tcBorders>
              <w:bottom w:val="single" w:sz="4" w:space="0" w:color="auto"/>
            </w:tcBorders>
            <w:vAlign w:val="bottom"/>
          </w:tcPr>
          <w:p w14:paraId="5A9E4F96" w14:textId="66BA1534" w:rsidR="00424B86" w:rsidRPr="54937204" w:rsidRDefault="00424B86" w:rsidP="00424B86">
            <w:pPr>
              <w:pStyle w:val="Summarytabletextrightaligned"/>
              <w:rPr>
                <w:lang w:val="en-US"/>
              </w:rPr>
            </w:pPr>
            <w:r w:rsidRPr="0012790E">
              <w:rPr>
                <w:szCs w:val="16"/>
              </w:rPr>
              <w:noBreakHyphen/>
              <w:t>0.7</w:t>
            </w:r>
          </w:p>
        </w:tc>
        <w:tc>
          <w:tcPr>
            <w:tcW w:w="851" w:type="dxa"/>
            <w:tcBorders>
              <w:bottom w:val="single" w:sz="4" w:space="0" w:color="auto"/>
            </w:tcBorders>
            <w:vAlign w:val="bottom"/>
          </w:tcPr>
          <w:p w14:paraId="066022E9" w14:textId="0BCC656E" w:rsidR="00424B86" w:rsidRPr="54937204" w:rsidRDefault="00424B86" w:rsidP="00424B86">
            <w:pPr>
              <w:pStyle w:val="Summarytabletextrightaligned"/>
              <w:rPr>
                <w:lang w:val="en-US"/>
              </w:rPr>
            </w:pPr>
            <w:r w:rsidRPr="0012790E">
              <w:rPr>
                <w:szCs w:val="16"/>
              </w:rPr>
              <w:noBreakHyphen/>
              <w:t>0.7</w:t>
            </w:r>
          </w:p>
        </w:tc>
        <w:tc>
          <w:tcPr>
            <w:tcW w:w="851" w:type="dxa"/>
            <w:tcBorders>
              <w:bottom w:val="single" w:sz="4" w:space="0" w:color="auto"/>
            </w:tcBorders>
            <w:vAlign w:val="bottom"/>
          </w:tcPr>
          <w:p w14:paraId="3127E9F6" w14:textId="3B5BD1E7" w:rsidR="00424B86" w:rsidRPr="54937204" w:rsidRDefault="00424B86" w:rsidP="00424B86">
            <w:pPr>
              <w:pStyle w:val="Summarytabletextrightaligned"/>
              <w:rPr>
                <w:lang w:val="en-US"/>
              </w:rPr>
            </w:pPr>
            <w:r w:rsidRPr="0012790E">
              <w:rPr>
                <w:szCs w:val="16"/>
              </w:rPr>
              <w:noBreakHyphen/>
              <w:t>0.7</w:t>
            </w:r>
          </w:p>
        </w:tc>
      </w:tr>
      <w:tr w:rsidR="00424B86" w:rsidRPr="0012790E" w14:paraId="42512E9C" w14:textId="77777777" w:rsidTr="00424B86">
        <w:tc>
          <w:tcPr>
            <w:tcW w:w="3470" w:type="dxa"/>
            <w:tcBorders>
              <w:bottom w:val="single" w:sz="4" w:space="0" w:color="293F5B"/>
            </w:tcBorders>
            <w:shd w:val="clear" w:color="auto" w:fill="auto"/>
            <w:vAlign w:val="bottom"/>
          </w:tcPr>
          <w:p w14:paraId="0F176201" w14:textId="1CC0236C" w:rsidR="00424B86" w:rsidRPr="0012790E" w:rsidRDefault="00424B86" w:rsidP="00424B86">
            <w:pPr>
              <w:pStyle w:val="Summarytabletextleftalignedbold"/>
            </w:pPr>
            <w:r w:rsidRPr="0012790E">
              <w:t>Portfolio total</w:t>
            </w:r>
          </w:p>
        </w:tc>
        <w:tc>
          <w:tcPr>
            <w:tcW w:w="851" w:type="dxa"/>
            <w:tcBorders>
              <w:top w:val="single" w:sz="4" w:space="0" w:color="auto"/>
              <w:bottom w:val="single" w:sz="4" w:space="0" w:color="293F5B"/>
            </w:tcBorders>
            <w:vAlign w:val="bottom"/>
          </w:tcPr>
          <w:p w14:paraId="0F176DD9" w14:textId="4757D320" w:rsidR="00424B86" w:rsidRPr="0012790E" w:rsidRDefault="00424B86" w:rsidP="00424B86">
            <w:pPr>
              <w:pStyle w:val="Summarytabletextrightalignedbold"/>
            </w:pPr>
            <w:r w:rsidRPr="0012790E">
              <w:noBreakHyphen/>
            </w:r>
          </w:p>
        </w:tc>
        <w:tc>
          <w:tcPr>
            <w:tcW w:w="851" w:type="dxa"/>
            <w:tcBorders>
              <w:top w:val="single" w:sz="4" w:space="0" w:color="auto"/>
              <w:bottom w:val="single" w:sz="4" w:space="0" w:color="293F5B"/>
            </w:tcBorders>
            <w:shd w:val="clear" w:color="auto" w:fill="E6F2FF"/>
            <w:vAlign w:val="bottom"/>
          </w:tcPr>
          <w:p w14:paraId="10DDDB20" w14:textId="58341238" w:rsidR="00424B86" w:rsidRPr="0012790E" w:rsidRDefault="00424B86" w:rsidP="00424B86">
            <w:pPr>
              <w:pStyle w:val="Summarytabletextrightalignedbold"/>
            </w:pPr>
            <w:r w:rsidRPr="0012790E">
              <w:t>1.7</w:t>
            </w:r>
          </w:p>
        </w:tc>
        <w:tc>
          <w:tcPr>
            <w:tcW w:w="851" w:type="dxa"/>
            <w:tcBorders>
              <w:top w:val="single" w:sz="4" w:space="0" w:color="auto"/>
              <w:bottom w:val="single" w:sz="4" w:space="0" w:color="293F5B"/>
            </w:tcBorders>
            <w:vAlign w:val="bottom"/>
          </w:tcPr>
          <w:p w14:paraId="2A2C246E" w14:textId="39EC1C15" w:rsidR="00424B86" w:rsidRPr="0012790E" w:rsidRDefault="00424B86" w:rsidP="00424B86">
            <w:pPr>
              <w:pStyle w:val="Summarytabletextrightalignedbold"/>
            </w:pPr>
            <w:r w:rsidRPr="0012790E">
              <w:t>2.5</w:t>
            </w:r>
          </w:p>
        </w:tc>
        <w:tc>
          <w:tcPr>
            <w:tcW w:w="851" w:type="dxa"/>
            <w:tcBorders>
              <w:top w:val="single" w:sz="4" w:space="0" w:color="auto"/>
              <w:bottom w:val="single" w:sz="4" w:space="0" w:color="293F5B"/>
            </w:tcBorders>
            <w:vAlign w:val="bottom"/>
          </w:tcPr>
          <w:p w14:paraId="7A7E6693" w14:textId="7DA2DA1A" w:rsidR="00424B86" w:rsidRPr="0012790E" w:rsidRDefault="00424B86" w:rsidP="00424B86">
            <w:pPr>
              <w:pStyle w:val="Summarytabletextrightalignedbold"/>
            </w:pPr>
            <w:r w:rsidRPr="0012790E">
              <w:t>3.5</w:t>
            </w:r>
          </w:p>
        </w:tc>
        <w:tc>
          <w:tcPr>
            <w:tcW w:w="851" w:type="dxa"/>
            <w:tcBorders>
              <w:top w:val="single" w:sz="4" w:space="0" w:color="auto"/>
              <w:bottom w:val="single" w:sz="4" w:space="0" w:color="293F5B"/>
            </w:tcBorders>
            <w:vAlign w:val="bottom"/>
          </w:tcPr>
          <w:p w14:paraId="5E3214B4" w14:textId="751C4F65" w:rsidR="00424B86" w:rsidRPr="0012790E" w:rsidRDefault="00424B86" w:rsidP="00424B86">
            <w:pPr>
              <w:pStyle w:val="Summarytabletextrightalignedbold"/>
            </w:pPr>
            <w:r w:rsidRPr="0012790E">
              <w:t>4.5</w:t>
            </w:r>
          </w:p>
        </w:tc>
      </w:tr>
    </w:tbl>
    <w:p w14:paraId="47677B77" w14:textId="77777777" w:rsidR="00C83B27" w:rsidRPr="0012790E" w:rsidRDefault="00C83B27" w:rsidP="00C83B27">
      <w:pPr>
        <w:pStyle w:val="TableHeadingcontinued"/>
        <w:sectPr w:rsidR="00C83B27" w:rsidRPr="0012790E" w:rsidSect="00EA5BFE">
          <w:pgSz w:w="11905" w:h="16837"/>
          <w:pgMar w:top="2835" w:right="2098" w:bottom="2466" w:left="2098" w:header="1814" w:footer="1814" w:gutter="0"/>
          <w:cols w:space="720"/>
          <w:noEndnote/>
          <w:docGrid w:linePitch="272"/>
        </w:sectPr>
      </w:pPr>
    </w:p>
    <w:p w14:paraId="00AE2A2D" w14:textId="413EFED4" w:rsidR="00C83B27" w:rsidRPr="0012790E" w:rsidRDefault="00C83B27" w:rsidP="00C83B27">
      <w:pPr>
        <w:pStyle w:val="TableHeadingcontinued"/>
        <w:rPr>
          <w:szCs w:val="16"/>
        </w:rPr>
      </w:pPr>
      <w:r w:rsidRPr="0012790E">
        <w:lastRenderedPageBreak/>
        <w:t>Table 1: Receipt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C83B27" w:rsidRPr="0012790E" w14:paraId="06D3F0AB" w14:textId="77777777" w:rsidTr="54937204">
        <w:tc>
          <w:tcPr>
            <w:tcW w:w="3470" w:type="dxa"/>
            <w:tcBorders>
              <w:top w:val="single" w:sz="4" w:space="0" w:color="293F5B"/>
            </w:tcBorders>
            <w:shd w:val="clear" w:color="auto" w:fill="auto"/>
            <w:vAlign w:val="bottom"/>
          </w:tcPr>
          <w:p w14:paraId="2B0DD528" w14:textId="489A9643" w:rsidR="00C83B27" w:rsidRPr="0012790E" w:rsidRDefault="00C83B27">
            <w:pPr>
              <w:pStyle w:val="Summarytabletextrightaligned"/>
              <w:rPr>
                <w:szCs w:val="16"/>
              </w:rPr>
            </w:pPr>
          </w:p>
        </w:tc>
        <w:tc>
          <w:tcPr>
            <w:tcW w:w="851" w:type="dxa"/>
            <w:tcBorders>
              <w:top w:val="single" w:sz="4" w:space="0" w:color="293F5B"/>
            </w:tcBorders>
            <w:vAlign w:val="bottom"/>
          </w:tcPr>
          <w:p w14:paraId="4CB725E3" w14:textId="77777777" w:rsidR="00C83B27" w:rsidRPr="0012790E" w:rsidRDefault="00C83B27">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293564CF" w14:textId="77777777" w:rsidR="00C83B27" w:rsidRPr="0012790E" w:rsidRDefault="00C83B27">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00692FE5" w14:textId="77777777" w:rsidR="00C83B27" w:rsidRPr="0012790E" w:rsidRDefault="00C83B27">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5E5F1DBC" w14:textId="77777777" w:rsidR="00C83B27" w:rsidRPr="0012790E" w:rsidRDefault="00C83B27">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0204A253" w14:textId="77777777" w:rsidR="00C83B27" w:rsidRPr="0012790E" w:rsidRDefault="00C83B27">
            <w:pPr>
              <w:pStyle w:val="Summarytabletextrightaligned"/>
              <w:rPr>
                <w:szCs w:val="16"/>
              </w:rPr>
            </w:pPr>
            <w:r w:rsidRPr="0012790E">
              <w:rPr>
                <w:szCs w:val="16"/>
              </w:rPr>
              <w:t>2027</w:t>
            </w:r>
            <w:r w:rsidRPr="0012790E">
              <w:rPr>
                <w:szCs w:val="16"/>
              </w:rPr>
              <w:noBreakHyphen/>
              <w:t>28</w:t>
            </w:r>
          </w:p>
        </w:tc>
      </w:tr>
      <w:tr w:rsidR="00C83B27" w:rsidRPr="0012790E" w14:paraId="439CC96C" w14:textId="77777777" w:rsidTr="54937204">
        <w:tc>
          <w:tcPr>
            <w:tcW w:w="3470" w:type="dxa"/>
            <w:shd w:val="clear" w:color="auto" w:fill="auto"/>
            <w:vAlign w:val="bottom"/>
          </w:tcPr>
          <w:p w14:paraId="77E2C5F9" w14:textId="5CFCDFC7" w:rsidR="00C83B27" w:rsidRPr="0012790E" w:rsidRDefault="00C83B27">
            <w:pPr>
              <w:pStyle w:val="Summarytabletextrightaligned"/>
            </w:pPr>
          </w:p>
        </w:tc>
        <w:tc>
          <w:tcPr>
            <w:tcW w:w="851" w:type="dxa"/>
            <w:tcBorders>
              <w:bottom w:val="single" w:sz="4" w:space="0" w:color="293F5B"/>
            </w:tcBorders>
            <w:vAlign w:val="bottom"/>
          </w:tcPr>
          <w:p w14:paraId="51D1C82F" w14:textId="77777777" w:rsidR="00C83B27" w:rsidRPr="0012790E" w:rsidRDefault="00C83B27">
            <w:pPr>
              <w:pStyle w:val="Summarytabletextrightaligned"/>
            </w:pPr>
            <w:r w:rsidRPr="0012790E">
              <w:t>$m</w:t>
            </w:r>
          </w:p>
        </w:tc>
        <w:tc>
          <w:tcPr>
            <w:tcW w:w="851" w:type="dxa"/>
            <w:tcBorders>
              <w:bottom w:val="single" w:sz="4" w:space="0" w:color="293F5B"/>
            </w:tcBorders>
            <w:shd w:val="clear" w:color="auto" w:fill="E6F2FF"/>
            <w:vAlign w:val="bottom"/>
          </w:tcPr>
          <w:p w14:paraId="77F98E1C" w14:textId="77777777" w:rsidR="00C83B27" w:rsidRPr="0012790E" w:rsidRDefault="00C83B27">
            <w:pPr>
              <w:pStyle w:val="Summarytabletextrightaligned"/>
            </w:pPr>
            <w:r w:rsidRPr="0012790E">
              <w:t>$m</w:t>
            </w:r>
          </w:p>
        </w:tc>
        <w:tc>
          <w:tcPr>
            <w:tcW w:w="851" w:type="dxa"/>
            <w:tcBorders>
              <w:bottom w:val="single" w:sz="4" w:space="0" w:color="293F5B"/>
            </w:tcBorders>
            <w:vAlign w:val="bottom"/>
          </w:tcPr>
          <w:p w14:paraId="3BCDBC9C" w14:textId="77777777" w:rsidR="00C83B27" w:rsidRPr="0012790E" w:rsidRDefault="00C83B27">
            <w:pPr>
              <w:pStyle w:val="Summarytabletextrightaligned"/>
            </w:pPr>
            <w:r w:rsidRPr="0012790E">
              <w:t>$m</w:t>
            </w:r>
          </w:p>
        </w:tc>
        <w:tc>
          <w:tcPr>
            <w:tcW w:w="851" w:type="dxa"/>
            <w:tcBorders>
              <w:bottom w:val="single" w:sz="4" w:space="0" w:color="293F5B"/>
            </w:tcBorders>
            <w:vAlign w:val="bottom"/>
          </w:tcPr>
          <w:p w14:paraId="5EC99100" w14:textId="77777777" w:rsidR="00C83B27" w:rsidRPr="0012790E" w:rsidRDefault="00C83B27">
            <w:pPr>
              <w:pStyle w:val="Summarytabletextrightaligned"/>
            </w:pPr>
            <w:r w:rsidRPr="0012790E">
              <w:t>$m</w:t>
            </w:r>
          </w:p>
        </w:tc>
        <w:tc>
          <w:tcPr>
            <w:tcW w:w="851" w:type="dxa"/>
            <w:tcBorders>
              <w:bottom w:val="single" w:sz="4" w:space="0" w:color="293F5B"/>
            </w:tcBorders>
            <w:vAlign w:val="bottom"/>
          </w:tcPr>
          <w:p w14:paraId="75CC8F27" w14:textId="77777777" w:rsidR="00C83B27" w:rsidRPr="0012790E" w:rsidRDefault="00C83B27">
            <w:pPr>
              <w:pStyle w:val="Summarytabletextrightaligned"/>
            </w:pPr>
            <w:r w:rsidRPr="0012790E">
              <w:t>$m</w:t>
            </w:r>
          </w:p>
        </w:tc>
      </w:tr>
      <w:tr w:rsidR="00C83B27" w:rsidRPr="0012790E" w14:paraId="6B2D893F" w14:textId="77777777" w:rsidTr="54937204">
        <w:tc>
          <w:tcPr>
            <w:tcW w:w="3470" w:type="dxa"/>
            <w:shd w:val="clear" w:color="auto" w:fill="auto"/>
            <w:vAlign w:val="bottom"/>
          </w:tcPr>
          <w:p w14:paraId="787741FF" w14:textId="77777777" w:rsidR="00C83B27" w:rsidRPr="0012790E" w:rsidRDefault="00C83B27" w:rsidP="00C83B27">
            <w:pPr>
              <w:pStyle w:val="SummaryPortfolioTitle-BP2"/>
            </w:pPr>
            <w:r w:rsidRPr="0012790E">
              <w:t>HOME AFFAIRS</w:t>
            </w:r>
          </w:p>
        </w:tc>
        <w:tc>
          <w:tcPr>
            <w:tcW w:w="851" w:type="dxa"/>
            <w:tcBorders>
              <w:top w:val="single" w:sz="4" w:space="0" w:color="293F5B"/>
            </w:tcBorders>
            <w:vAlign w:val="bottom"/>
          </w:tcPr>
          <w:p w14:paraId="122BCBE7" w14:textId="77777777" w:rsidR="00C83B27" w:rsidRPr="0012790E" w:rsidRDefault="00C83B27" w:rsidP="00C83B27">
            <w:pPr>
              <w:pStyle w:val="MeasureTableTextRightAlignedBefore6ptAfter1pt"/>
              <w:rPr>
                <w:b/>
                <w:bCs/>
              </w:rPr>
            </w:pPr>
          </w:p>
        </w:tc>
        <w:tc>
          <w:tcPr>
            <w:tcW w:w="851" w:type="dxa"/>
            <w:tcBorders>
              <w:top w:val="single" w:sz="4" w:space="0" w:color="293F5B"/>
            </w:tcBorders>
            <w:shd w:val="clear" w:color="auto" w:fill="E6F2FF"/>
            <w:vAlign w:val="bottom"/>
          </w:tcPr>
          <w:p w14:paraId="353A157D"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10573B93"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7D951DBC"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5CA2C35C" w14:textId="77777777" w:rsidR="00C83B27" w:rsidRPr="0012790E" w:rsidRDefault="00C83B27" w:rsidP="00C83B27">
            <w:pPr>
              <w:pStyle w:val="MeasureTableTextRightAlignedBefore6ptAfter1pt"/>
              <w:rPr>
                <w:b/>
                <w:bCs/>
              </w:rPr>
            </w:pPr>
          </w:p>
        </w:tc>
      </w:tr>
      <w:tr w:rsidR="00C83B27" w:rsidRPr="0012790E" w14:paraId="552188A3" w14:textId="77777777" w:rsidTr="54937204">
        <w:tc>
          <w:tcPr>
            <w:tcW w:w="3470" w:type="dxa"/>
            <w:shd w:val="clear" w:color="auto" w:fill="auto"/>
            <w:vAlign w:val="bottom"/>
          </w:tcPr>
          <w:p w14:paraId="3DCCBCC3" w14:textId="77777777" w:rsidR="00C83B27" w:rsidRPr="0012790E" w:rsidRDefault="00C83B27" w:rsidP="00C83B27">
            <w:pPr>
              <w:pStyle w:val="SummaryAgencyTitle-BP2"/>
              <w:rPr>
                <w:iCs/>
              </w:rPr>
            </w:pPr>
            <w:r w:rsidRPr="0012790E">
              <w:rPr>
                <w:iCs/>
              </w:rPr>
              <w:t>Department of Home Affairs</w:t>
            </w:r>
          </w:p>
        </w:tc>
        <w:tc>
          <w:tcPr>
            <w:tcW w:w="851" w:type="dxa"/>
            <w:vAlign w:val="bottom"/>
          </w:tcPr>
          <w:p w14:paraId="72725F33" w14:textId="77777777" w:rsidR="00C83B27" w:rsidRPr="0012790E" w:rsidRDefault="00C83B27" w:rsidP="00C83B27">
            <w:pPr>
              <w:pStyle w:val="SummaryAgencyTitle-BP2"/>
              <w:rPr>
                <w:iCs/>
              </w:rPr>
            </w:pPr>
          </w:p>
        </w:tc>
        <w:tc>
          <w:tcPr>
            <w:tcW w:w="851" w:type="dxa"/>
            <w:shd w:val="clear" w:color="auto" w:fill="E6F2FF"/>
            <w:vAlign w:val="bottom"/>
          </w:tcPr>
          <w:p w14:paraId="28BB29FB" w14:textId="77777777" w:rsidR="00C83B27" w:rsidRPr="0012790E" w:rsidRDefault="00C83B27" w:rsidP="00C83B27">
            <w:pPr>
              <w:pStyle w:val="SummaryAgencyTitle-BP2"/>
              <w:rPr>
                <w:iCs/>
              </w:rPr>
            </w:pPr>
          </w:p>
        </w:tc>
        <w:tc>
          <w:tcPr>
            <w:tcW w:w="851" w:type="dxa"/>
            <w:vAlign w:val="bottom"/>
          </w:tcPr>
          <w:p w14:paraId="2F463ECD" w14:textId="77777777" w:rsidR="00C83B27" w:rsidRPr="0012790E" w:rsidRDefault="00C83B27" w:rsidP="00C83B27">
            <w:pPr>
              <w:pStyle w:val="SummaryAgencyTitle-BP2"/>
              <w:rPr>
                <w:iCs/>
              </w:rPr>
            </w:pPr>
          </w:p>
        </w:tc>
        <w:tc>
          <w:tcPr>
            <w:tcW w:w="851" w:type="dxa"/>
            <w:vAlign w:val="bottom"/>
          </w:tcPr>
          <w:p w14:paraId="34E4164A" w14:textId="77777777" w:rsidR="00C83B27" w:rsidRPr="0012790E" w:rsidRDefault="00C83B27" w:rsidP="00C83B27">
            <w:pPr>
              <w:pStyle w:val="SummaryAgencyTitle-BP2"/>
              <w:rPr>
                <w:iCs/>
              </w:rPr>
            </w:pPr>
          </w:p>
        </w:tc>
        <w:tc>
          <w:tcPr>
            <w:tcW w:w="851" w:type="dxa"/>
            <w:vAlign w:val="bottom"/>
          </w:tcPr>
          <w:p w14:paraId="2D37EA3A" w14:textId="77777777" w:rsidR="00C83B27" w:rsidRPr="0012790E" w:rsidRDefault="00C83B27" w:rsidP="00C83B27">
            <w:pPr>
              <w:pStyle w:val="SummaryAgencyTitle-BP2"/>
              <w:rPr>
                <w:iCs/>
              </w:rPr>
            </w:pPr>
          </w:p>
        </w:tc>
      </w:tr>
      <w:tr w:rsidR="00C83B27" w:rsidRPr="0012790E" w14:paraId="013D16EB" w14:textId="77777777" w:rsidTr="54937204">
        <w:tc>
          <w:tcPr>
            <w:tcW w:w="3470" w:type="dxa"/>
            <w:shd w:val="clear" w:color="auto" w:fill="auto"/>
            <w:vAlign w:val="bottom"/>
          </w:tcPr>
          <w:p w14:paraId="135DA10D" w14:textId="63C1CFF6" w:rsidR="00C83B27" w:rsidRPr="0012790E" w:rsidRDefault="00C83B27" w:rsidP="00C83B27">
            <w:pPr>
              <w:pStyle w:val="SummaryMeasureTitlewithTheme"/>
            </w:pPr>
            <w:r w:rsidRPr="0012790E">
              <w:t>Engineered Stone Import Prohibition(b)</w:t>
            </w:r>
          </w:p>
        </w:tc>
        <w:tc>
          <w:tcPr>
            <w:tcW w:w="851" w:type="dxa"/>
            <w:vAlign w:val="bottom"/>
          </w:tcPr>
          <w:p w14:paraId="09F82899"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103A3AE5" w14:textId="0E9346D1" w:rsidR="00C83B27" w:rsidRPr="0012790E" w:rsidRDefault="00D20DE7" w:rsidP="00C83B27">
            <w:pPr>
              <w:pStyle w:val="Summarytabletextrightaligned"/>
              <w:rPr>
                <w:szCs w:val="16"/>
              </w:rPr>
            </w:pPr>
            <w:r>
              <w:rPr>
                <w:szCs w:val="16"/>
              </w:rPr>
              <w:t>..</w:t>
            </w:r>
          </w:p>
        </w:tc>
        <w:tc>
          <w:tcPr>
            <w:tcW w:w="851" w:type="dxa"/>
            <w:vAlign w:val="bottom"/>
          </w:tcPr>
          <w:p w14:paraId="24F21758" w14:textId="43107EF1" w:rsidR="00C83B27" w:rsidRPr="0012790E" w:rsidRDefault="00D20DE7" w:rsidP="00C83B27">
            <w:pPr>
              <w:pStyle w:val="Summarytabletextrightaligned"/>
              <w:rPr>
                <w:szCs w:val="16"/>
              </w:rPr>
            </w:pPr>
            <w:r>
              <w:rPr>
                <w:szCs w:val="16"/>
              </w:rPr>
              <w:t>..</w:t>
            </w:r>
          </w:p>
        </w:tc>
        <w:tc>
          <w:tcPr>
            <w:tcW w:w="851" w:type="dxa"/>
            <w:vAlign w:val="bottom"/>
          </w:tcPr>
          <w:p w14:paraId="76764EA0" w14:textId="6AE2B42C" w:rsidR="00C83B27" w:rsidRPr="0012790E" w:rsidRDefault="00D20DE7" w:rsidP="00C83B27">
            <w:pPr>
              <w:pStyle w:val="Summarytabletextrightaligned"/>
              <w:rPr>
                <w:szCs w:val="16"/>
              </w:rPr>
            </w:pPr>
            <w:r>
              <w:rPr>
                <w:szCs w:val="16"/>
              </w:rPr>
              <w:t>..</w:t>
            </w:r>
          </w:p>
        </w:tc>
        <w:tc>
          <w:tcPr>
            <w:tcW w:w="851" w:type="dxa"/>
            <w:vAlign w:val="bottom"/>
          </w:tcPr>
          <w:p w14:paraId="33B35127" w14:textId="1626E6E9" w:rsidR="00C83B27" w:rsidRPr="0012790E" w:rsidRDefault="00D20DE7" w:rsidP="00C83B27">
            <w:pPr>
              <w:pStyle w:val="Summarytabletextrightaligned"/>
              <w:rPr>
                <w:szCs w:val="16"/>
              </w:rPr>
            </w:pPr>
            <w:r>
              <w:rPr>
                <w:szCs w:val="16"/>
              </w:rPr>
              <w:t>..</w:t>
            </w:r>
          </w:p>
        </w:tc>
      </w:tr>
      <w:tr w:rsidR="00C83B27" w:rsidRPr="0012790E" w14:paraId="348FC121" w14:textId="77777777" w:rsidTr="54937204">
        <w:tc>
          <w:tcPr>
            <w:tcW w:w="3470" w:type="dxa"/>
            <w:shd w:val="clear" w:color="auto" w:fill="auto"/>
            <w:vAlign w:val="bottom"/>
          </w:tcPr>
          <w:p w14:paraId="157FB342" w14:textId="6D7533E9" w:rsidR="00C83B27" w:rsidRPr="0012790E" w:rsidRDefault="00C83B27" w:rsidP="00C83B27">
            <w:pPr>
              <w:pStyle w:val="SummaryMeasureTitlewithTheme"/>
            </w:pPr>
            <w:r w:rsidRPr="0012790E">
              <w:t xml:space="preserve">Enhancing </w:t>
            </w:r>
            <w:r w:rsidR="00504CB5">
              <w:t>P</w:t>
            </w:r>
            <w:r w:rsidRPr="0012790E">
              <w:t>roductivity – abolishing nuisance tariffs</w:t>
            </w:r>
          </w:p>
        </w:tc>
        <w:tc>
          <w:tcPr>
            <w:tcW w:w="851" w:type="dxa"/>
            <w:vAlign w:val="bottom"/>
          </w:tcPr>
          <w:p w14:paraId="5F0C9C3E"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01D2CDA2" w14:textId="77777777" w:rsidR="00C83B27" w:rsidRPr="0012790E" w:rsidRDefault="00C83B27" w:rsidP="00C83B27">
            <w:pPr>
              <w:pStyle w:val="Summarytabletextrightaligned"/>
              <w:rPr>
                <w:szCs w:val="16"/>
              </w:rPr>
            </w:pPr>
            <w:r w:rsidRPr="0012790E">
              <w:rPr>
                <w:szCs w:val="16"/>
              </w:rPr>
              <w:noBreakHyphen/>
              <w:t>10.0</w:t>
            </w:r>
          </w:p>
        </w:tc>
        <w:tc>
          <w:tcPr>
            <w:tcW w:w="851" w:type="dxa"/>
            <w:vAlign w:val="bottom"/>
          </w:tcPr>
          <w:p w14:paraId="0F276638" w14:textId="77777777" w:rsidR="00C83B27" w:rsidRPr="0012790E" w:rsidRDefault="00C83B27" w:rsidP="00C83B27">
            <w:pPr>
              <w:pStyle w:val="Summarytabletextrightaligned"/>
              <w:rPr>
                <w:szCs w:val="16"/>
              </w:rPr>
            </w:pPr>
            <w:r w:rsidRPr="0012790E">
              <w:rPr>
                <w:szCs w:val="16"/>
              </w:rPr>
              <w:noBreakHyphen/>
              <w:t>10.0</w:t>
            </w:r>
          </w:p>
        </w:tc>
        <w:tc>
          <w:tcPr>
            <w:tcW w:w="851" w:type="dxa"/>
            <w:vAlign w:val="bottom"/>
          </w:tcPr>
          <w:p w14:paraId="758925D2" w14:textId="77777777" w:rsidR="00C83B27" w:rsidRPr="0012790E" w:rsidRDefault="00C83B27" w:rsidP="00C83B27">
            <w:pPr>
              <w:pStyle w:val="Summarytabletextrightaligned"/>
              <w:rPr>
                <w:szCs w:val="16"/>
              </w:rPr>
            </w:pPr>
            <w:r w:rsidRPr="0012790E">
              <w:rPr>
                <w:szCs w:val="16"/>
              </w:rPr>
              <w:noBreakHyphen/>
              <w:t>10.0</w:t>
            </w:r>
          </w:p>
        </w:tc>
        <w:tc>
          <w:tcPr>
            <w:tcW w:w="851" w:type="dxa"/>
            <w:vAlign w:val="bottom"/>
          </w:tcPr>
          <w:p w14:paraId="297CD1F7" w14:textId="77777777" w:rsidR="00C83B27" w:rsidRPr="0012790E" w:rsidRDefault="00C83B27" w:rsidP="00C83B27">
            <w:pPr>
              <w:pStyle w:val="Summarytabletextrightaligned"/>
              <w:rPr>
                <w:szCs w:val="16"/>
              </w:rPr>
            </w:pPr>
            <w:r w:rsidRPr="0012790E">
              <w:rPr>
                <w:szCs w:val="16"/>
              </w:rPr>
              <w:noBreakHyphen/>
              <w:t>11.0</w:t>
            </w:r>
          </w:p>
        </w:tc>
      </w:tr>
      <w:tr w:rsidR="00C83B27" w:rsidRPr="0012790E" w14:paraId="1E74CB90" w14:textId="77777777" w:rsidTr="54937204">
        <w:tc>
          <w:tcPr>
            <w:tcW w:w="3470" w:type="dxa"/>
            <w:shd w:val="clear" w:color="auto" w:fill="auto"/>
            <w:vAlign w:val="bottom"/>
          </w:tcPr>
          <w:p w14:paraId="47732335" w14:textId="346B6116" w:rsidR="00C83B27" w:rsidRPr="0012790E" w:rsidRDefault="00C83B27" w:rsidP="00C83B27">
            <w:pPr>
              <w:pStyle w:val="SummaryMeasureTitlewithTheme"/>
            </w:pPr>
            <w:r w:rsidRPr="0012790E">
              <w:t>Migration – Mobility Arrangement for Talented Early</w:t>
            </w:r>
            <w:r w:rsidRPr="0012790E">
              <w:noBreakHyphen/>
              <w:t>professionals Scheme (MATES) and extending the validity of the Business Visitor visa for Indian nationals(b)</w:t>
            </w:r>
          </w:p>
        </w:tc>
        <w:tc>
          <w:tcPr>
            <w:tcW w:w="851" w:type="dxa"/>
            <w:vAlign w:val="bottom"/>
          </w:tcPr>
          <w:p w14:paraId="271A7369"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3CCA3DBD" w14:textId="77777777" w:rsidR="00C83B27" w:rsidRPr="0012790E" w:rsidRDefault="00C83B27" w:rsidP="00C83B27">
            <w:pPr>
              <w:pStyle w:val="Summarytabletextrightaligned"/>
              <w:rPr>
                <w:szCs w:val="16"/>
              </w:rPr>
            </w:pPr>
            <w:r w:rsidRPr="0012790E">
              <w:rPr>
                <w:szCs w:val="16"/>
              </w:rPr>
              <w:t>5.0</w:t>
            </w:r>
          </w:p>
        </w:tc>
        <w:tc>
          <w:tcPr>
            <w:tcW w:w="851" w:type="dxa"/>
            <w:vAlign w:val="bottom"/>
          </w:tcPr>
          <w:p w14:paraId="35AF5726" w14:textId="77777777" w:rsidR="00C83B27" w:rsidRPr="0012790E" w:rsidRDefault="00C83B27" w:rsidP="00C83B27">
            <w:pPr>
              <w:pStyle w:val="Summarytabletextrightaligned"/>
              <w:rPr>
                <w:szCs w:val="16"/>
              </w:rPr>
            </w:pPr>
            <w:r w:rsidRPr="0012790E">
              <w:rPr>
                <w:szCs w:val="16"/>
              </w:rPr>
              <w:t>5.0</w:t>
            </w:r>
          </w:p>
        </w:tc>
        <w:tc>
          <w:tcPr>
            <w:tcW w:w="851" w:type="dxa"/>
            <w:vAlign w:val="bottom"/>
          </w:tcPr>
          <w:p w14:paraId="22AF1E54" w14:textId="77777777" w:rsidR="00C83B27" w:rsidRPr="0012790E" w:rsidRDefault="00C83B27" w:rsidP="00C83B27">
            <w:pPr>
              <w:pStyle w:val="Summarytabletextrightaligned"/>
              <w:rPr>
                <w:szCs w:val="16"/>
              </w:rPr>
            </w:pPr>
            <w:r w:rsidRPr="0012790E">
              <w:rPr>
                <w:szCs w:val="16"/>
              </w:rPr>
              <w:t>10.0</w:t>
            </w:r>
          </w:p>
        </w:tc>
        <w:tc>
          <w:tcPr>
            <w:tcW w:w="851" w:type="dxa"/>
            <w:vAlign w:val="bottom"/>
          </w:tcPr>
          <w:p w14:paraId="332B47F8" w14:textId="77777777" w:rsidR="00C83B27" w:rsidRPr="0012790E" w:rsidRDefault="00C83B27" w:rsidP="00C83B27">
            <w:pPr>
              <w:pStyle w:val="Summarytabletextrightaligned"/>
              <w:rPr>
                <w:szCs w:val="16"/>
              </w:rPr>
            </w:pPr>
            <w:r w:rsidRPr="0012790E">
              <w:rPr>
                <w:szCs w:val="16"/>
              </w:rPr>
              <w:t>10.0</w:t>
            </w:r>
          </w:p>
        </w:tc>
      </w:tr>
      <w:tr w:rsidR="00C83B27" w:rsidRPr="0012790E" w14:paraId="097CDFCD" w14:textId="77777777" w:rsidTr="54937204">
        <w:tc>
          <w:tcPr>
            <w:tcW w:w="3470" w:type="dxa"/>
            <w:shd w:val="clear" w:color="auto" w:fill="auto"/>
            <w:vAlign w:val="bottom"/>
          </w:tcPr>
          <w:p w14:paraId="60D2EB49" w14:textId="1D53FA9E" w:rsidR="00C83B27" w:rsidRPr="0012790E" w:rsidRDefault="00C83B27" w:rsidP="00C83B27">
            <w:pPr>
              <w:pStyle w:val="SummaryMeasureTitlewithTheme"/>
            </w:pPr>
            <w:r w:rsidRPr="0012790E">
              <w:t>Migration System Reforms(b)</w:t>
            </w:r>
          </w:p>
        </w:tc>
        <w:tc>
          <w:tcPr>
            <w:tcW w:w="851" w:type="dxa"/>
            <w:vAlign w:val="bottom"/>
          </w:tcPr>
          <w:p w14:paraId="169940E4"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105B177D" w14:textId="77777777" w:rsidR="00C83B27" w:rsidRPr="0012790E" w:rsidRDefault="00C83B27" w:rsidP="00C83B27">
            <w:pPr>
              <w:pStyle w:val="Summarytabletextrightaligned"/>
              <w:rPr>
                <w:szCs w:val="16"/>
              </w:rPr>
            </w:pPr>
            <w:r w:rsidRPr="0012790E">
              <w:rPr>
                <w:szCs w:val="16"/>
              </w:rPr>
              <w:noBreakHyphen/>
              <w:t>45.0</w:t>
            </w:r>
          </w:p>
        </w:tc>
        <w:tc>
          <w:tcPr>
            <w:tcW w:w="851" w:type="dxa"/>
            <w:vAlign w:val="bottom"/>
          </w:tcPr>
          <w:p w14:paraId="11A0D3C8" w14:textId="77777777" w:rsidR="00C83B27" w:rsidRPr="0012790E" w:rsidRDefault="00C83B27" w:rsidP="00C83B27">
            <w:pPr>
              <w:pStyle w:val="Summarytabletextrightaligned"/>
              <w:rPr>
                <w:szCs w:val="16"/>
              </w:rPr>
            </w:pPr>
            <w:r w:rsidRPr="0012790E">
              <w:rPr>
                <w:szCs w:val="16"/>
              </w:rPr>
              <w:noBreakHyphen/>
              <w:t>40.0</w:t>
            </w:r>
          </w:p>
        </w:tc>
        <w:tc>
          <w:tcPr>
            <w:tcW w:w="851" w:type="dxa"/>
            <w:vAlign w:val="bottom"/>
          </w:tcPr>
          <w:p w14:paraId="61E94A10" w14:textId="77777777" w:rsidR="00C83B27" w:rsidRPr="0012790E" w:rsidRDefault="00C83B27" w:rsidP="00C83B27">
            <w:pPr>
              <w:pStyle w:val="Summarytabletextrightaligned"/>
              <w:rPr>
                <w:szCs w:val="16"/>
              </w:rPr>
            </w:pPr>
            <w:r w:rsidRPr="0012790E">
              <w:rPr>
                <w:szCs w:val="16"/>
              </w:rPr>
              <w:noBreakHyphen/>
              <w:t>35.0</w:t>
            </w:r>
          </w:p>
        </w:tc>
        <w:tc>
          <w:tcPr>
            <w:tcW w:w="851" w:type="dxa"/>
            <w:vAlign w:val="bottom"/>
          </w:tcPr>
          <w:p w14:paraId="4DCB40AC" w14:textId="77777777" w:rsidR="00C83B27" w:rsidRPr="0012790E" w:rsidRDefault="00C83B27" w:rsidP="00C83B27">
            <w:pPr>
              <w:pStyle w:val="Summarytabletextrightaligned"/>
              <w:rPr>
                <w:szCs w:val="16"/>
              </w:rPr>
            </w:pPr>
            <w:r w:rsidRPr="0012790E">
              <w:rPr>
                <w:szCs w:val="16"/>
              </w:rPr>
              <w:noBreakHyphen/>
              <w:t>35.0</w:t>
            </w:r>
          </w:p>
        </w:tc>
      </w:tr>
      <w:tr w:rsidR="00C83B27" w:rsidRPr="0012790E" w14:paraId="28CE4F48" w14:textId="77777777" w:rsidTr="54937204">
        <w:tc>
          <w:tcPr>
            <w:tcW w:w="3470" w:type="dxa"/>
            <w:shd w:val="clear" w:color="auto" w:fill="auto"/>
            <w:vAlign w:val="bottom"/>
          </w:tcPr>
          <w:p w14:paraId="737E0FCE" w14:textId="6D3DBE56" w:rsidR="00C83B27" w:rsidRPr="0012790E" w:rsidRDefault="00C83B27" w:rsidP="00C83B27">
            <w:pPr>
              <w:pStyle w:val="SummaryMeasureTitlewithTheme"/>
            </w:pPr>
            <w:r w:rsidRPr="0012790E">
              <w:t>Permanent Migration Program – 2024</w:t>
            </w:r>
            <w:r w:rsidRPr="0012790E">
              <w:noBreakHyphen/>
              <w:t>25 planning levels and multi</w:t>
            </w:r>
            <w:r w:rsidRPr="0012790E">
              <w:noBreakHyphen/>
              <w:t>year planning(b)</w:t>
            </w:r>
          </w:p>
        </w:tc>
        <w:tc>
          <w:tcPr>
            <w:tcW w:w="851" w:type="dxa"/>
            <w:vAlign w:val="bottom"/>
          </w:tcPr>
          <w:p w14:paraId="463143CD"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6B02F3F3" w14:textId="77777777" w:rsidR="00C83B27" w:rsidRPr="0012790E" w:rsidRDefault="00C83B27" w:rsidP="00C83B27">
            <w:pPr>
              <w:pStyle w:val="Summarytabletextrightaligned"/>
              <w:rPr>
                <w:szCs w:val="16"/>
              </w:rPr>
            </w:pPr>
            <w:r w:rsidRPr="0012790E">
              <w:rPr>
                <w:szCs w:val="16"/>
              </w:rPr>
              <w:noBreakHyphen/>
              <w:t>25.0</w:t>
            </w:r>
          </w:p>
        </w:tc>
        <w:tc>
          <w:tcPr>
            <w:tcW w:w="851" w:type="dxa"/>
            <w:vAlign w:val="bottom"/>
          </w:tcPr>
          <w:p w14:paraId="6B55A15E" w14:textId="4455657C" w:rsidR="00C83B27" w:rsidRPr="0012790E" w:rsidRDefault="004D749D" w:rsidP="00C83B27">
            <w:pPr>
              <w:pStyle w:val="Summarytabletextrightaligned"/>
              <w:rPr>
                <w:szCs w:val="16"/>
              </w:rPr>
            </w:pPr>
            <w:r>
              <w:rPr>
                <w:szCs w:val="16"/>
              </w:rPr>
              <w:t>..</w:t>
            </w:r>
          </w:p>
        </w:tc>
        <w:tc>
          <w:tcPr>
            <w:tcW w:w="851" w:type="dxa"/>
            <w:vAlign w:val="bottom"/>
          </w:tcPr>
          <w:p w14:paraId="4F1C8929" w14:textId="1B2318FF" w:rsidR="00C83B27" w:rsidRPr="0012790E" w:rsidRDefault="004D749D" w:rsidP="00C83B27">
            <w:pPr>
              <w:pStyle w:val="Summarytabletextrightaligned"/>
              <w:rPr>
                <w:szCs w:val="16"/>
              </w:rPr>
            </w:pPr>
            <w:r>
              <w:rPr>
                <w:szCs w:val="16"/>
              </w:rPr>
              <w:t>..</w:t>
            </w:r>
          </w:p>
        </w:tc>
        <w:tc>
          <w:tcPr>
            <w:tcW w:w="851" w:type="dxa"/>
            <w:vAlign w:val="bottom"/>
          </w:tcPr>
          <w:p w14:paraId="14C6C709" w14:textId="2C82A509" w:rsidR="00C83B27" w:rsidRPr="0012790E" w:rsidRDefault="004D749D" w:rsidP="00C83B27">
            <w:pPr>
              <w:pStyle w:val="Summarytabletextrightaligned"/>
              <w:rPr>
                <w:szCs w:val="16"/>
              </w:rPr>
            </w:pPr>
            <w:r>
              <w:rPr>
                <w:szCs w:val="16"/>
              </w:rPr>
              <w:t>..</w:t>
            </w:r>
          </w:p>
        </w:tc>
      </w:tr>
      <w:tr w:rsidR="00C83B27" w:rsidRPr="0012790E" w14:paraId="0BD40502" w14:textId="77777777" w:rsidTr="54937204">
        <w:tc>
          <w:tcPr>
            <w:tcW w:w="3470" w:type="dxa"/>
            <w:shd w:val="clear" w:color="auto" w:fill="auto"/>
            <w:vAlign w:val="bottom"/>
          </w:tcPr>
          <w:p w14:paraId="4B4D4B7B" w14:textId="24C24803" w:rsidR="00C83B27" w:rsidRPr="0012790E" w:rsidRDefault="00C83B27" w:rsidP="00C83B27">
            <w:pPr>
              <w:pStyle w:val="SummaryMeasureTitlewithTheme"/>
            </w:pPr>
            <w:r w:rsidRPr="0012790E">
              <w:t>Southeast Asia Engagement – additional funding(b)</w:t>
            </w:r>
          </w:p>
        </w:tc>
        <w:tc>
          <w:tcPr>
            <w:tcW w:w="851" w:type="dxa"/>
            <w:vAlign w:val="bottom"/>
          </w:tcPr>
          <w:p w14:paraId="6F559A1A"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4205D147" w14:textId="77777777" w:rsidR="00C83B27" w:rsidRPr="0012790E" w:rsidRDefault="00C83B27" w:rsidP="00C83B27">
            <w:pPr>
              <w:pStyle w:val="Summarytabletextrightaligned"/>
              <w:rPr>
                <w:szCs w:val="16"/>
              </w:rPr>
            </w:pPr>
            <w:r w:rsidRPr="0012790E">
              <w:rPr>
                <w:szCs w:val="16"/>
              </w:rPr>
              <w:t>5.0</w:t>
            </w:r>
          </w:p>
        </w:tc>
        <w:tc>
          <w:tcPr>
            <w:tcW w:w="851" w:type="dxa"/>
            <w:vAlign w:val="bottom"/>
          </w:tcPr>
          <w:p w14:paraId="743A781E" w14:textId="77777777" w:rsidR="00C83B27" w:rsidRPr="0012790E" w:rsidRDefault="00C83B27" w:rsidP="00C83B27">
            <w:pPr>
              <w:pStyle w:val="Summarytabletextrightaligned"/>
              <w:rPr>
                <w:szCs w:val="16"/>
              </w:rPr>
            </w:pPr>
            <w:r w:rsidRPr="0012790E">
              <w:rPr>
                <w:szCs w:val="16"/>
              </w:rPr>
              <w:t>5.0</w:t>
            </w:r>
          </w:p>
        </w:tc>
        <w:tc>
          <w:tcPr>
            <w:tcW w:w="851" w:type="dxa"/>
            <w:vAlign w:val="bottom"/>
          </w:tcPr>
          <w:p w14:paraId="021F0340" w14:textId="77777777" w:rsidR="00C83B27" w:rsidRPr="0012790E" w:rsidRDefault="00C83B27" w:rsidP="00C83B27">
            <w:pPr>
              <w:pStyle w:val="Summarytabletextrightaligned"/>
              <w:rPr>
                <w:szCs w:val="16"/>
              </w:rPr>
            </w:pPr>
            <w:r w:rsidRPr="0012790E">
              <w:rPr>
                <w:szCs w:val="16"/>
              </w:rPr>
              <w:t>10.0</w:t>
            </w:r>
          </w:p>
        </w:tc>
        <w:tc>
          <w:tcPr>
            <w:tcW w:w="851" w:type="dxa"/>
            <w:vAlign w:val="bottom"/>
          </w:tcPr>
          <w:p w14:paraId="7ACC5489" w14:textId="77777777" w:rsidR="00C83B27" w:rsidRPr="0012790E" w:rsidRDefault="00C83B27" w:rsidP="00C83B27">
            <w:pPr>
              <w:pStyle w:val="Summarytabletextrightaligned"/>
              <w:rPr>
                <w:szCs w:val="16"/>
              </w:rPr>
            </w:pPr>
            <w:r w:rsidRPr="0012790E">
              <w:rPr>
                <w:szCs w:val="16"/>
              </w:rPr>
              <w:t>5.0</w:t>
            </w:r>
          </w:p>
        </w:tc>
      </w:tr>
      <w:tr w:rsidR="00C83B27" w:rsidRPr="0012790E" w14:paraId="1D6D9012" w14:textId="77777777" w:rsidTr="54937204">
        <w:tc>
          <w:tcPr>
            <w:tcW w:w="3470" w:type="dxa"/>
            <w:shd w:val="clear" w:color="auto" w:fill="auto"/>
            <w:vAlign w:val="bottom"/>
          </w:tcPr>
          <w:p w14:paraId="07F58AAA" w14:textId="190ED939" w:rsidR="00C83B27" w:rsidRPr="0012790E" w:rsidRDefault="00C83B27" w:rsidP="00C83B27">
            <w:pPr>
              <w:pStyle w:val="SummaryMeasureTitlewithTheme"/>
            </w:pPr>
            <w:r w:rsidRPr="0012790E">
              <w:t>Support for Ukraine – extending duty free access for goods imported from Ukraine</w:t>
            </w:r>
          </w:p>
        </w:tc>
        <w:tc>
          <w:tcPr>
            <w:tcW w:w="851" w:type="dxa"/>
            <w:vAlign w:val="bottom"/>
          </w:tcPr>
          <w:p w14:paraId="71D54138"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1D33FAA8" w14:textId="77777777" w:rsidR="00C83B27" w:rsidRPr="0012790E" w:rsidRDefault="00C83B27" w:rsidP="00C83B27">
            <w:pPr>
              <w:pStyle w:val="Summarytabletextrightaligned"/>
              <w:rPr>
                <w:szCs w:val="16"/>
              </w:rPr>
            </w:pPr>
            <w:r w:rsidRPr="0012790E">
              <w:rPr>
                <w:szCs w:val="16"/>
              </w:rPr>
              <w:noBreakHyphen/>
              <w:t>1.0</w:t>
            </w:r>
          </w:p>
        </w:tc>
        <w:tc>
          <w:tcPr>
            <w:tcW w:w="851" w:type="dxa"/>
            <w:vAlign w:val="bottom"/>
          </w:tcPr>
          <w:p w14:paraId="6E23B580" w14:textId="77777777" w:rsidR="00C83B27" w:rsidRPr="0012790E" w:rsidRDefault="00C83B27" w:rsidP="00C83B27">
            <w:pPr>
              <w:pStyle w:val="Summarytabletextrightaligned"/>
              <w:rPr>
                <w:szCs w:val="16"/>
              </w:rPr>
            </w:pPr>
            <w:r w:rsidRPr="0012790E">
              <w:rPr>
                <w:szCs w:val="16"/>
              </w:rPr>
              <w:noBreakHyphen/>
              <w:t>1.0</w:t>
            </w:r>
          </w:p>
        </w:tc>
        <w:tc>
          <w:tcPr>
            <w:tcW w:w="851" w:type="dxa"/>
            <w:vAlign w:val="bottom"/>
          </w:tcPr>
          <w:p w14:paraId="6AF6F1B9"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1EA43AB9" w14:textId="77777777" w:rsidR="00C83B27" w:rsidRPr="0012790E" w:rsidRDefault="00C83B27" w:rsidP="00C83B27">
            <w:pPr>
              <w:pStyle w:val="Summarytabletextrightaligned"/>
              <w:rPr>
                <w:szCs w:val="16"/>
              </w:rPr>
            </w:pPr>
            <w:r w:rsidRPr="0012790E">
              <w:rPr>
                <w:szCs w:val="16"/>
              </w:rPr>
              <w:noBreakHyphen/>
            </w:r>
          </w:p>
        </w:tc>
      </w:tr>
      <w:tr w:rsidR="00C83B27" w:rsidRPr="0012790E" w14:paraId="2184EB31" w14:textId="77777777" w:rsidTr="54937204">
        <w:tc>
          <w:tcPr>
            <w:tcW w:w="3470" w:type="dxa"/>
            <w:shd w:val="clear" w:color="auto" w:fill="auto"/>
            <w:vAlign w:val="bottom"/>
          </w:tcPr>
          <w:p w14:paraId="353FE6E9" w14:textId="2B021F2A" w:rsidR="00C83B27" w:rsidRPr="0012790E" w:rsidRDefault="00C83B27" w:rsidP="00C83B27">
            <w:pPr>
              <w:pStyle w:val="SummaryMeasureTitlewithTheme"/>
            </w:pPr>
            <w:r w:rsidRPr="0012790E">
              <w:t xml:space="preserve">Work and Holiday </w:t>
            </w:r>
            <w:r w:rsidR="00A00338">
              <w:t>V</w:t>
            </w:r>
            <w:r w:rsidRPr="0012790E">
              <w:t>isa – visa pre</w:t>
            </w:r>
            <w:r w:rsidRPr="0012790E">
              <w:noBreakHyphen/>
              <w:t>application process for certain Working Holiday Maker programs(b)</w:t>
            </w:r>
          </w:p>
        </w:tc>
        <w:tc>
          <w:tcPr>
            <w:tcW w:w="851" w:type="dxa"/>
            <w:tcBorders>
              <w:bottom w:val="single" w:sz="4" w:space="0" w:color="293F5B"/>
            </w:tcBorders>
            <w:vAlign w:val="bottom"/>
          </w:tcPr>
          <w:p w14:paraId="6F8A4B4A" w14:textId="77777777" w:rsidR="00C83B27" w:rsidRPr="0012790E" w:rsidRDefault="00C83B27" w:rsidP="00C83B27">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27773D23" w14:textId="77777777" w:rsidR="00C83B27" w:rsidRPr="0012790E" w:rsidRDefault="00C83B27" w:rsidP="00C83B27">
            <w:pPr>
              <w:pStyle w:val="Summarytabletextrightaligned"/>
              <w:rPr>
                <w:szCs w:val="16"/>
              </w:rPr>
            </w:pPr>
            <w:r w:rsidRPr="0012790E">
              <w:rPr>
                <w:szCs w:val="16"/>
              </w:rPr>
              <w:t>1.0</w:t>
            </w:r>
          </w:p>
        </w:tc>
        <w:tc>
          <w:tcPr>
            <w:tcW w:w="851" w:type="dxa"/>
            <w:tcBorders>
              <w:bottom w:val="single" w:sz="4" w:space="0" w:color="293F5B"/>
            </w:tcBorders>
            <w:vAlign w:val="bottom"/>
          </w:tcPr>
          <w:p w14:paraId="247126E2" w14:textId="77777777" w:rsidR="00C83B27" w:rsidRPr="0012790E" w:rsidRDefault="00C83B27" w:rsidP="00C83B27">
            <w:pPr>
              <w:pStyle w:val="Summarytabletextrightaligned"/>
              <w:rPr>
                <w:szCs w:val="16"/>
              </w:rPr>
            </w:pPr>
            <w:r w:rsidRPr="0012790E">
              <w:rPr>
                <w:szCs w:val="16"/>
              </w:rPr>
              <w:t>1.0</w:t>
            </w:r>
          </w:p>
        </w:tc>
        <w:tc>
          <w:tcPr>
            <w:tcW w:w="851" w:type="dxa"/>
            <w:tcBorders>
              <w:bottom w:val="single" w:sz="4" w:space="0" w:color="293F5B"/>
            </w:tcBorders>
            <w:vAlign w:val="bottom"/>
          </w:tcPr>
          <w:p w14:paraId="23ED644D" w14:textId="77777777" w:rsidR="00C83B27" w:rsidRPr="0012790E" w:rsidRDefault="00C83B27" w:rsidP="00C83B27">
            <w:pPr>
              <w:pStyle w:val="Summarytabletextrightaligned"/>
              <w:rPr>
                <w:szCs w:val="16"/>
              </w:rPr>
            </w:pPr>
            <w:r w:rsidRPr="0012790E">
              <w:rPr>
                <w:szCs w:val="16"/>
              </w:rPr>
              <w:t>1.0</w:t>
            </w:r>
          </w:p>
        </w:tc>
        <w:tc>
          <w:tcPr>
            <w:tcW w:w="851" w:type="dxa"/>
            <w:tcBorders>
              <w:bottom w:val="single" w:sz="4" w:space="0" w:color="293F5B"/>
            </w:tcBorders>
            <w:vAlign w:val="bottom"/>
          </w:tcPr>
          <w:p w14:paraId="652D9A4A" w14:textId="77777777" w:rsidR="00C83B27" w:rsidRPr="0012790E" w:rsidRDefault="00C83B27" w:rsidP="00C83B27">
            <w:pPr>
              <w:pStyle w:val="Summarytabletextrightaligned"/>
              <w:rPr>
                <w:szCs w:val="16"/>
              </w:rPr>
            </w:pPr>
            <w:r w:rsidRPr="0012790E">
              <w:rPr>
                <w:szCs w:val="16"/>
              </w:rPr>
              <w:t>1.0</w:t>
            </w:r>
          </w:p>
        </w:tc>
      </w:tr>
      <w:tr w:rsidR="00C83B27" w:rsidRPr="0012790E" w14:paraId="44AB5165" w14:textId="77777777" w:rsidTr="54937204">
        <w:tc>
          <w:tcPr>
            <w:tcW w:w="3470" w:type="dxa"/>
            <w:shd w:val="clear" w:color="auto" w:fill="auto"/>
            <w:vAlign w:val="bottom"/>
          </w:tcPr>
          <w:p w14:paraId="3CDDD8C5" w14:textId="77777777" w:rsidR="00C83B27" w:rsidRPr="0012790E" w:rsidRDefault="00C83B27" w:rsidP="00C83B27">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25D1DDA0" w14:textId="77777777" w:rsidR="00C83B27" w:rsidRPr="0012790E" w:rsidRDefault="00C83B27" w:rsidP="00C83B27">
            <w:pPr>
              <w:pStyle w:val="Summarytabletextrightalignedbold"/>
              <w:rPr>
                <w:bCs/>
                <w:szCs w:val="16"/>
              </w:rPr>
            </w:pPr>
            <w:r w:rsidRPr="0012790E">
              <w:rPr>
                <w:bCs/>
                <w:szCs w:val="16"/>
              </w:rPr>
              <w:noBreakHyphen/>
            </w:r>
          </w:p>
        </w:tc>
        <w:tc>
          <w:tcPr>
            <w:tcW w:w="851" w:type="dxa"/>
            <w:tcBorders>
              <w:top w:val="single" w:sz="4" w:space="0" w:color="293F5B"/>
              <w:bottom w:val="single" w:sz="4" w:space="0" w:color="293F5B"/>
            </w:tcBorders>
            <w:shd w:val="clear" w:color="auto" w:fill="E6F2FF"/>
            <w:vAlign w:val="bottom"/>
          </w:tcPr>
          <w:p w14:paraId="7F3017B7" w14:textId="77777777" w:rsidR="00C83B27" w:rsidRPr="0012790E" w:rsidRDefault="00C83B27" w:rsidP="00C83B27">
            <w:pPr>
              <w:pStyle w:val="Summarytabletextrightalignedbold"/>
              <w:rPr>
                <w:bCs/>
                <w:szCs w:val="16"/>
              </w:rPr>
            </w:pPr>
            <w:r w:rsidRPr="0012790E">
              <w:rPr>
                <w:bCs/>
                <w:szCs w:val="16"/>
              </w:rPr>
              <w:noBreakHyphen/>
              <w:t>70.0</w:t>
            </w:r>
          </w:p>
        </w:tc>
        <w:tc>
          <w:tcPr>
            <w:tcW w:w="851" w:type="dxa"/>
            <w:tcBorders>
              <w:top w:val="single" w:sz="4" w:space="0" w:color="293F5B"/>
              <w:bottom w:val="single" w:sz="4" w:space="0" w:color="293F5B"/>
            </w:tcBorders>
            <w:vAlign w:val="bottom"/>
          </w:tcPr>
          <w:p w14:paraId="730ACA74" w14:textId="77777777" w:rsidR="00C83B27" w:rsidRPr="0012790E" w:rsidRDefault="00C83B27" w:rsidP="00C83B27">
            <w:pPr>
              <w:pStyle w:val="Summarytabletextrightalignedbold"/>
              <w:rPr>
                <w:bCs/>
                <w:szCs w:val="16"/>
              </w:rPr>
            </w:pPr>
            <w:r w:rsidRPr="0012790E">
              <w:rPr>
                <w:bCs/>
                <w:szCs w:val="16"/>
              </w:rPr>
              <w:noBreakHyphen/>
              <w:t>40.0</w:t>
            </w:r>
          </w:p>
        </w:tc>
        <w:tc>
          <w:tcPr>
            <w:tcW w:w="851" w:type="dxa"/>
            <w:tcBorders>
              <w:top w:val="single" w:sz="4" w:space="0" w:color="293F5B"/>
              <w:bottom w:val="single" w:sz="4" w:space="0" w:color="293F5B"/>
            </w:tcBorders>
            <w:vAlign w:val="bottom"/>
          </w:tcPr>
          <w:p w14:paraId="0005B177" w14:textId="77777777" w:rsidR="00C83B27" w:rsidRPr="0012790E" w:rsidRDefault="00C83B27" w:rsidP="00C83B27">
            <w:pPr>
              <w:pStyle w:val="Summarytabletextrightalignedbold"/>
              <w:rPr>
                <w:bCs/>
                <w:szCs w:val="16"/>
              </w:rPr>
            </w:pPr>
            <w:r w:rsidRPr="0012790E">
              <w:rPr>
                <w:bCs/>
                <w:szCs w:val="16"/>
              </w:rPr>
              <w:noBreakHyphen/>
              <w:t>24.0</w:t>
            </w:r>
          </w:p>
        </w:tc>
        <w:tc>
          <w:tcPr>
            <w:tcW w:w="851" w:type="dxa"/>
            <w:tcBorders>
              <w:top w:val="single" w:sz="4" w:space="0" w:color="293F5B"/>
              <w:bottom w:val="single" w:sz="4" w:space="0" w:color="293F5B"/>
            </w:tcBorders>
            <w:vAlign w:val="bottom"/>
          </w:tcPr>
          <w:p w14:paraId="7575D64D" w14:textId="77777777" w:rsidR="00C83B27" w:rsidRPr="0012790E" w:rsidRDefault="00C83B27" w:rsidP="00C83B27">
            <w:pPr>
              <w:pStyle w:val="Summarytabletextrightalignedbold"/>
              <w:rPr>
                <w:bCs/>
                <w:szCs w:val="16"/>
              </w:rPr>
            </w:pPr>
            <w:r w:rsidRPr="0012790E">
              <w:rPr>
                <w:bCs/>
                <w:szCs w:val="16"/>
              </w:rPr>
              <w:noBreakHyphen/>
              <w:t>30.0</w:t>
            </w:r>
          </w:p>
        </w:tc>
      </w:tr>
      <w:tr w:rsidR="00C83B27" w:rsidRPr="0012790E" w14:paraId="0634030A" w14:textId="77777777" w:rsidTr="54937204">
        <w:tc>
          <w:tcPr>
            <w:tcW w:w="3470" w:type="dxa"/>
            <w:shd w:val="clear" w:color="auto" w:fill="auto"/>
            <w:vAlign w:val="bottom"/>
          </w:tcPr>
          <w:p w14:paraId="6D17F9B3" w14:textId="77777777" w:rsidR="00C83B27" w:rsidRPr="0012790E" w:rsidRDefault="00C83B27" w:rsidP="00C83B27">
            <w:pPr>
              <w:pStyle w:val="SummaryPortfolioTitle-BP2"/>
            </w:pPr>
            <w:r w:rsidRPr="0012790E">
              <w:t>INDUSTRY, SCIENCE AND RESOURCES</w:t>
            </w:r>
          </w:p>
        </w:tc>
        <w:tc>
          <w:tcPr>
            <w:tcW w:w="851" w:type="dxa"/>
            <w:tcBorders>
              <w:top w:val="single" w:sz="4" w:space="0" w:color="293F5B"/>
            </w:tcBorders>
            <w:vAlign w:val="bottom"/>
          </w:tcPr>
          <w:p w14:paraId="4BD3453B" w14:textId="77777777" w:rsidR="00C83B27" w:rsidRPr="0012790E" w:rsidRDefault="00C83B27" w:rsidP="00C83B27">
            <w:pPr>
              <w:pStyle w:val="MeasureTableTextRightAlignedBefore6ptAfter1pt"/>
              <w:rPr>
                <w:b/>
                <w:bCs/>
              </w:rPr>
            </w:pPr>
          </w:p>
        </w:tc>
        <w:tc>
          <w:tcPr>
            <w:tcW w:w="851" w:type="dxa"/>
            <w:tcBorders>
              <w:top w:val="single" w:sz="4" w:space="0" w:color="293F5B"/>
            </w:tcBorders>
            <w:shd w:val="clear" w:color="auto" w:fill="E6F2FF"/>
            <w:vAlign w:val="bottom"/>
          </w:tcPr>
          <w:p w14:paraId="0313D65C"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2B132672"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18B69E8A"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30ECC450" w14:textId="77777777" w:rsidR="00C83B27" w:rsidRPr="0012790E" w:rsidRDefault="00C83B27" w:rsidP="00C83B27">
            <w:pPr>
              <w:pStyle w:val="MeasureTableTextRightAlignedBefore6ptAfter1pt"/>
              <w:rPr>
                <w:b/>
                <w:bCs/>
              </w:rPr>
            </w:pPr>
          </w:p>
        </w:tc>
      </w:tr>
      <w:tr w:rsidR="00C83B27" w:rsidRPr="0012790E" w14:paraId="032D46EF" w14:textId="77777777" w:rsidTr="54937204">
        <w:tc>
          <w:tcPr>
            <w:tcW w:w="3470" w:type="dxa"/>
            <w:shd w:val="clear" w:color="auto" w:fill="auto"/>
            <w:vAlign w:val="bottom"/>
          </w:tcPr>
          <w:p w14:paraId="0B3538BB" w14:textId="77777777" w:rsidR="00C83B27" w:rsidRPr="0012790E" w:rsidRDefault="00C83B27" w:rsidP="00C83B27">
            <w:pPr>
              <w:pStyle w:val="SummaryAgencyTitle-BP2"/>
              <w:rPr>
                <w:iCs/>
              </w:rPr>
            </w:pPr>
            <w:r w:rsidRPr="0012790E">
              <w:rPr>
                <w:iCs/>
              </w:rPr>
              <w:t>Department of Industry, Science and Resources</w:t>
            </w:r>
          </w:p>
        </w:tc>
        <w:tc>
          <w:tcPr>
            <w:tcW w:w="851" w:type="dxa"/>
            <w:vAlign w:val="bottom"/>
          </w:tcPr>
          <w:p w14:paraId="13CE04D3" w14:textId="77777777" w:rsidR="00C83B27" w:rsidRPr="0012790E" w:rsidRDefault="00C83B27" w:rsidP="00C83B27">
            <w:pPr>
              <w:pStyle w:val="SummaryAgencyTitle-BP2"/>
              <w:rPr>
                <w:iCs/>
              </w:rPr>
            </w:pPr>
          </w:p>
        </w:tc>
        <w:tc>
          <w:tcPr>
            <w:tcW w:w="851" w:type="dxa"/>
            <w:shd w:val="clear" w:color="auto" w:fill="E6F2FF"/>
            <w:vAlign w:val="bottom"/>
          </w:tcPr>
          <w:p w14:paraId="619BD08B" w14:textId="77777777" w:rsidR="00C83B27" w:rsidRPr="0012790E" w:rsidRDefault="00C83B27" w:rsidP="00C83B27">
            <w:pPr>
              <w:pStyle w:val="SummaryAgencyTitle-BP2"/>
              <w:rPr>
                <w:iCs/>
              </w:rPr>
            </w:pPr>
          </w:p>
        </w:tc>
        <w:tc>
          <w:tcPr>
            <w:tcW w:w="851" w:type="dxa"/>
            <w:vAlign w:val="bottom"/>
          </w:tcPr>
          <w:p w14:paraId="319C3FAF" w14:textId="77777777" w:rsidR="00C83B27" w:rsidRPr="0012790E" w:rsidRDefault="00C83B27" w:rsidP="00C83B27">
            <w:pPr>
              <w:pStyle w:val="SummaryAgencyTitle-BP2"/>
              <w:rPr>
                <w:iCs/>
              </w:rPr>
            </w:pPr>
          </w:p>
        </w:tc>
        <w:tc>
          <w:tcPr>
            <w:tcW w:w="851" w:type="dxa"/>
            <w:vAlign w:val="bottom"/>
          </w:tcPr>
          <w:p w14:paraId="5243F896" w14:textId="77777777" w:rsidR="00C83B27" w:rsidRPr="0012790E" w:rsidRDefault="00C83B27" w:rsidP="00C83B27">
            <w:pPr>
              <w:pStyle w:val="SummaryAgencyTitle-BP2"/>
              <w:rPr>
                <w:iCs/>
              </w:rPr>
            </w:pPr>
          </w:p>
        </w:tc>
        <w:tc>
          <w:tcPr>
            <w:tcW w:w="851" w:type="dxa"/>
            <w:vAlign w:val="bottom"/>
          </w:tcPr>
          <w:p w14:paraId="14A46E6F" w14:textId="77777777" w:rsidR="00C83B27" w:rsidRPr="0012790E" w:rsidRDefault="00C83B27" w:rsidP="00C83B27">
            <w:pPr>
              <w:pStyle w:val="SummaryAgencyTitle-BP2"/>
              <w:rPr>
                <w:iCs/>
              </w:rPr>
            </w:pPr>
          </w:p>
        </w:tc>
      </w:tr>
      <w:tr w:rsidR="00C83B27" w:rsidRPr="0012790E" w14:paraId="3E338EAD" w14:textId="77777777" w:rsidTr="54937204">
        <w:tc>
          <w:tcPr>
            <w:tcW w:w="3470" w:type="dxa"/>
            <w:shd w:val="clear" w:color="auto" w:fill="auto"/>
            <w:vAlign w:val="bottom"/>
          </w:tcPr>
          <w:p w14:paraId="546D86F0" w14:textId="39C2489B" w:rsidR="00C83B27" w:rsidRPr="0012790E" w:rsidRDefault="00C83B27" w:rsidP="00C83B27">
            <w:pPr>
              <w:pStyle w:val="SummaryMeasureTitlewithTheme"/>
            </w:pPr>
            <w:r w:rsidRPr="0012790E">
              <w:t>Sport Integrity Australia – funding support(b)</w:t>
            </w:r>
          </w:p>
        </w:tc>
        <w:tc>
          <w:tcPr>
            <w:tcW w:w="851" w:type="dxa"/>
            <w:tcBorders>
              <w:bottom w:val="single" w:sz="4" w:space="0" w:color="293F5B"/>
            </w:tcBorders>
            <w:vAlign w:val="bottom"/>
          </w:tcPr>
          <w:p w14:paraId="08DE9881" w14:textId="77777777" w:rsidR="00C83B27" w:rsidRPr="0012790E" w:rsidRDefault="00C83B27" w:rsidP="00C83B27">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5E8D553E" w14:textId="77777777" w:rsidR="00C83B27" w:rsidRPr="0012790E" w:rsidRDefault="00C83B27" w:rsidP="00C83B27">
            <w:pPr>
              <w:pStyle w:val="Summarytabletextrightaligned"/>
              <w:rPr>
                <w:szCs w:val="16"/>
              </w:rPr>
            </w:pPr>
            <w:r w:rsidRPr="0012790E">
              <w:rPr>
                <w:szCs w:val="16"/>
              </w:rPr>
              <w:t>1.0</w:t>
            </w:r>
          </w:p>
        </w:tc>
        <w:tc>
          <w:tcPr>
            <w:tcW w:w="851" w:type="dxa"/>
            <w:tcBorders>
              <w:bottom w:val="single" w:sz="4" w:space="0" w:color="293F5B"/>
            </w:tcBorders>
            <w:vAlign w:val="bottom"/>
          </w:tcPr>
          <w:p w14:paraId="6F0C1731" w14:textId="77777777" w:rsidR="00C83B27" w:rsidRPr="0012790E" w:rsidRDefault="00C83B27" w:rsidP="00C83B27">
            <w:pPr>
              <w:pStyle w:val="Summarytabletextrightaligned"/>
              <w:rPr>
                <w:szCs w:val="16"/>
              </w:rPr>
            </w:pPr>
            <w:r w:rsidRPr="0012790E">
              <w:rPr>
                <w:szCs w:val="16"/>
              </w:rPr>
              <w:t>1.0</w:t>
            </w:r>
          </w:p>
        </w:tc>
        <w:tc>
          <w:tcPr>
            <w:tcW w:w="851" w:type="dxa"/>
            <w:tcBorders>
              <w:bottom w:val="single" w:sz="4" w:space="0" w:color="293F5B"/>
            </w:tcBorders>
            <w:vAlign w:val="bottom"/>
          </w:tcPr>
          <w:p w14:paraId="3DE2B3AE" w14:textId="77777777" w:rsidR="00C83B27" w:rsidRPr="0012790E" w:rsidRDefault="00C83B27" w:rsidP="00C83B27">
            <w:pPr>
              <w:pStyle w:val="Summarytabletextrightaligned"/>
              <w:rPr>
                <w:szCs w:val="16"/>
              </w:rPr>
            </w:pPr>
            <w:r w:rsidRPr="0012790E">
              <w:rPr>
                <w:szCs w:val="16"/>
              </w:rPr>
              <w:noBreakHyphen/>
            </w:r>
          </w:p>
        </w:tc>
        <w:tc>
          <w:tcPr>
            <w:tcW w:w="851" w:type="dxa"/>
            <w:tcBorders>
              <w:bottom w:val="single" w:sz="4" w:space="0" w:color="293F5B"/>
            </w:tcBorders>
            <w:vAlign w:val="bottom"/>
          </w:tcPr>
          <w:p w14:paraId="3D13DDDF" w14:textId="77777777" w:rsidR="00C83B27" w:rsidRPr="0012790E" w:rsidRDefault="00C83B27" w:rsidP="00C83B27">
            <w:pPr>
              <w:pStyle w:val="Summarytabletextrightaligned"/>
              <w:rPr>
                <w:szCs w:val="16"/>
              </w:rPr>
            </w:pPr>
            <w:r w:rsidRPr="0012790E">
              <w:rPr>
                <w:szCs w:val="16"/>
              </w:rPr>
              <w:noBreakHyphen/>
            </w:r>
          </w:p>
        </w:tc>
      </w:tr>
      <w:tr w:rsidR="00C83B27" w:rsidRPr="0012790E" w14:paraId="4EEECA4D" w14:textId="77777777" w:rsidTr="54937204">
        <w:tc>
          <w:tcPr>
            <w:tcW w:w="3470" w:type="dxa"/>
            <w:shd w:val="clear" w:color="auto" w:fill="auto"/>
            <w:vAlign w:val="bottom"/>
          </w:tcPr>
          <w:p w14:paraId="10B56BD7" w14:textId="77777777" w:rsidR="00C83B27" w:rsidRPr="0012790E" w:rsidRDefault="00C83B27" w:rsidP="00C83B27">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1AF6C317" w14:textId="77777777" w:rsidR="00C83B27" w:rsidRPr="0012790E" w:rsidRDefault="00C83B27" w:rsidP="00C83B27">
            <w:pPr>
              <w:pStyle w:val="Summarytabletextrightalignedbold"/>
              <w:rPr>
                <w:bCs/>
                <w:szCs w:val="16"/>
              </w:rPr>
            </w:pPr>
            <w:r w:rsidRPr="0012790E">
              <w:rPr>
                <w:bCs/>
                <w:szCs w:val="16"/>
              </w:rPr>
              <w:noBreakHyphen/>
            </w:r>
          </w:p>
        </w:tc>
        <w:tc>
          <w:tcPr>
            <w:tcW w:w="851" w:type="dxa"/>
            <w:tcBorders>
              <w:top w:val="single" w:sz="4" w:space="0" w:color="293F5B"/>
              <w:bottom w:val="single" w:sz="4" w:space="0" w:color="293F5B"/>
            </w:tcBorders>
            <w:shd w:val="clear" w:color="auto" w:fill="E6F2FF"/>
            <w:vAlign w:val="bottom"/>
          </w:tcPr>
          <w:p w14:paraId="07A714BD" w14:textId="77777777" w:rsidR="00C83B27" w:rsidRPr="0012790E" w:rsidRDefault="00C83B27" w:rsidP="00C83B27">
            <w:pPr>
              <w:pStyle w:val="Summarytabletextrightalignedbold"/>
              <w:rPr>
                <w:bCs/>
                <w:szCs w:val="16"/>
              </w:rPr>
            </w:pPr>
            <w:r w:rsidRPr="0012790E">
              <w:rPr>
                <w:bCs/>
                <w:szCs w:val="16"/>
              </w:rPr>
              <w:t>1.0</w:t>
            </w:r>
          </w:p>
        </w:tc>
        <w:tc>
          <w:tcPr>
            <w:tcW w:w="851" w:type="dxa"/>
            <w:tcBorders>
              <w:top w:val="single" w:sz="4" w:space="0" w:color="293F5B"/>
              <w:bottom w:val="single" w:sz="4" w:space="0" w:color="293F5B"/>
            </w:tcBorders>
            <w:vAlign w:val="bottom"/>
          </w:tcPr>
          <w:p w14:paraId="2FD33FCC" w14:textId="77777777" w:rsidR="00C83B27" w:rsidRPr="0012790E" w:rsidRDefault="00C83B27" w:rsidP="00C83B27">
            <w:pPr>
              <w:pStyle w:val="Summarytabletextrightalignedbold"/>
              <w:rPr>
                <w:bCs/>
                <w:szCs w:val="16"/>
              </w:rPr>
            </w:pPr>
            <w:r w:rsidRPr="0012790E">
              <w:rPr>
                <w:bCs/>
                <w:szCs w:val="16"/>
              </w:rPr>
              <w:t>1.0</w:t>
            </w:r>
          </w:p>
        </w:tc>
        <w:tc>
          <w:tcPr>
            <w:tcW w:w="851" w:type="dxa"/>
            <w:tcBorders>
              <w:top w:val="single" w:sz="4" w:space="0" w:color="293F5B"/>
              <w:bottom w:val="single" w:sz="4" w:space="0" w:color="293F5B"/>
            </w:tcBorders>
            <w:vAlign w:val="bottom"/>
          </w:tcPr>
          <w:p w14:paraId="5643443C" w14:textId="77777777" w:rsidR="00C83B27" w:rsidRPr="0012790E" w:rsidRDefault="00C83B27" w:rsidP="00C83B27">
            <w:pPr>
              <w:pStyle w:val="Summarytabletextrightalignedbold"/>
              <w:rPr>
                <w:bCs/>
                <w:szCs w:val="16"/>
              </w:rPr>
            </w:pPr>
            <w:r w:rsidRPr="0012790E">
              <w:rPr>
                <w:bCs/>
                <w:szCs w:val="16"/>
              </w:rPr>
              <w:noBreakHyphen/>
            </w:r>
          </w:p>
        </w:tc>
        <w:tc>
          <w:tcPr>
            <w:tcW w:w="851" w:type="dxa"/>
            <w:tcBorders>
              <w:top w:val="single" w:sz="4" w:space="0" w:color="293F5B"/>
              <w:bottom w:val="single" w:sz="4" w:space="0" w:color="293F5B"/>
            </w:tcBorders>
            <w:vAlign w:val="bottom"/>
          </w:tcPr>
          <w:p w14:paraId="6D9D8471" w14:textId="77777777" w:rsidR="00C83B27" w:rsidRPr="0012790E" w:rsidRDefault="00C83B27" w:rsidP="00C83B27">
            <w:pPr>
              <w:pStyle w:val="Summarytabletextrightalignedbold"/>
              <w:rPr>
                <w:bCs/>
                <w:szCs w:val="16"/>
              </w:rPr>
            </w:pPr>
            <w:r w:rsidRPr="0012790E">
              <w:rPr>
                <w:bCs/>
                <w:szCs w:val="16"/>
              </w:rPr>
              <w:noBreakHyphen/>
            </w:r>
          </w:p>
        </w:tc>
      </w:tr>
      <w:tr w:rsidR="00C83B27" w:rsidRPr="0012790E" w14:paraId="67E7F778" w14:textId="77777777" w:rsidTr="54937204">
        <w:tc>
          <w:tcPr>
            <w:tcW w:w="3470" w:type="dxa"/>
            <w:shd w:val="clear" w:color="auto" w:fill="auto"/>
            <w:vAlign w:val="bottom"/>
          </w:tcPr>
          <w:p w14:paraId="0E18FA10" w14:textId="16CFC935" w:rsidR="00C83B27" w:rsidRPr="0012790E" w:rsidRDefault="00C83B27" w:rsidP="00C83B27">
            <w:pPr>
              <w:pStyle w:val="SummaryPortfolioTitle-BP2"/>
            </w:pPr>
            <w:r w:rsidRPr="0012790E">
              <w:t>INFRASTRUCTURE, TRANSPORT, REGIONAL DEVELOPMENT, COMMUNICATIONS AND THE ARTS</w:t>
            </w:r>
          </w:p>
        </w:tc>
        <w:tc>
          <w:tcPr>
            <w:tcW w:w="851" w:type="dxa"/>
            <w:tcBorders>
              <w:top w:val="single" w:sz="4" w:space="0" w:color="293F5B"/>
            </w:tcBorders>
            <w:vAlign w:val="bottom"/>
          </w:tcPr>
          <w:p w14:paraId="6F3DF421" w14:textId="77777777" w:rsidR="00C83B27" w:rsidRPr="0012790E" w:rsidRDefault="00C83B27" w:rsidP="00C83B27">
            <w:pPr>
              <w:pStyle w:val="MeasureTableTextRightAlignedBefore6ptAfter1pt"/>
              <w:rPr>
                <w:b/>
                <w:bCs/>
              </w:rPr>
            </w:pPr>
          </w:p>
        </w:tc>
        <w:tc>
          <w:tcPr>
            <w:tcW w:w="851" w:type="dxa"/>
            <w:tcBorders>
              <w:top w:val="single" w:sz="4" w:space="0" w:color="293F5B"/>
            </w:tcBorders>
            <w:shd w:val="clear" w:color="auto" w:fill="E6F2FF"/>
            <w:vAlign w:val="bottom"/>
          </w:tcPr>
          <w:p w14:paraId="36CB784C"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36D2BB13"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4D5F9BF9"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67EF71A7" w14:textId="77777777" w:rsidR="00C83B27" w:rsidRPr="0012790E" w:rsidRDefault="00C83B27" w:rsidP="00C83B27">
            <w:pPr>
              <w:pStyle w:val="MeasureTableTextRightAlignedBefore6ptAfter1pt"/>
              <w:rPr>
                <w:b/>
                <w:bCs/>
              </w:rPr>
            </w:pPr>
          </w:p>
        </w:tc>
      </w:tr>
      <w:tr w:rsidR="00C83B27" w:rsidRPr="0012790E" w14:paraId="3A028B1A" w14:textId="77777777" w:rsidTr="54937204">
        <w:tc>
          <w:tcPr>
            <w:tcW w:w="3470" w:type="dxa"/>
            <w:shd w:val="clear" w:color="auto" w:fill="auto"/>
            <w:vAlign w:val="bottom"/>
          </w:tcPr>
          <w:p w14:paraId="75D9180A" w14:textId="77777777" w:rsidR="00C83B27" w:rsidRPr="0012790E" w:rsidRDefault="00C83B27" w:rsidP="00C83B27">
            <w:pPr>
              <w:pStyle w:val="SummaryAgencyTitle-BP2"/>
              <w:rPr>
                <w:iCs/>
              </w:rPr>
            </w:pPr>
            <w:r w:rsidRPr="0012790E">
              <w:rPr>
                <w:iCs/>
              </w:rPr>
              <w:t>Australian Communications and Media Authority</w:t>
            </w:r>
          </w:p>
        </w:tc>
        <w:tc>
          <w:tcPr>
            <w:tcW w:w="851" w:type="dxa"/>
            <w:vAlign w:val="bottom"/>
          </w:tcPr>
          <w:p w14:paraId="247C4074" w14:textId="77777777" w:rsidR="00C83B27" w:rsidRPr="0012790E" w:rsidRDefault="00C83B27" w:rsidP="00C83B27">
            <w:pPr>
              <w:pStyle w:val="SummaryAgencyTitle-BP2"/>
              <w:rPr>
                <w:iCs/>
              </w:rPr>
            </w:pPr>
          </w:p>
        </w:tc>
        <w:tc>
          <w:tcPr>
            <w:tcW w:w="851" w:type="dxa"/>
            <w:shd w:val="clear" w:color="auto" w:fill="E6F2FF"/>
            <w:vAlign w:val="bottom"/>
          </w:tcPr>
          <w:p w14:paraId="4DC16FB1" w14:textId="77777777" w:rsidR="00C83B27" w:rsidRPr="0012790E" w:rsidRDefault="00C83B27" w:rsidP="00C83B27">
            <w:pPr>
              <w:pStyle w:val="SummaryAgencyTitle-BP2"/>
              <w:rPr>
                <w:iCs/>
              </w:rPr>
            </w:pPr>
          </w:p>
        </w:tc>
        <w:tc>
          <w:tcPr>
            <w:tcW w:w="851" w:type="dxa"/>
            <w:vAlign w:val="bottom"/>
          </w:tcPr>
          <w:p w14:paraId="10E6B311" w14:textId="77777777" w:rsidR="00C83B27" w:rsidRPr="0012790E" w:rsidRDefault="00C83B27" w:rsidP="00C83B27">
            <w:pPr>
              <w:pStyle w:val="SummaryAgencyTitle-BP2"/>
              <w:rPr>
                <w:iCs/>
              </w:rPr>
            </w:pPr>
          </w:p>
        </w:tc>
        <w:tc>
          <w:tcPr>
            <w:tcW w:w="851" w:type="dxa"/>
            <w:vAlign w:val="bottom"/>
          </w:tcPr>
          <w:p w14:paraId="7D705DE0" w14:textId="77777777" w:rsidR="00C83B27" w:rsidRPr="0012790E" w:rsidRDefault="00C83B27" w:rsidP="00C83B27">
            <w:pPr>
              <w:pStyle w:val="SummaryAgencyTitle-BP2"/>
              <w:rPr>
                <w:iCs/>
              </w:rPr>
            </w:pPr>
          </w:p>
        </w:tc>
        <w:tc>
          <w:tcPr>
            <w:tcW w:w="851" w:type="dxa"/>
            <w:vAlign w:val="bottom"/>
          </w:tcPr>
          <w:p w14:paraId="5ACE5E3F" w14:textId="77777777" w:rsidR="00C83B27" w:rsidRPr="0012790E" w:rsidRDefault="00C83B27" w:rsidP="00C83B27">
            <w:pPr>
              <w:pStyle w:val="SummaryAgencyTitle-BP2"/>
              <w:rPr>
                <w:iCs/>
              </w:rPr>
            </w:pPr>
          </w:p>
        </w:tc>
      </w:tr>
      <w:tr w:rsidR="00C83B27" w:rsidRPr="0012790E" w14:paraId="0BA36605" w14:textId="77777777" w:rsidTr="54937204">
        <w:tc>
          <w:tcPr>
            <w:tcW w:w="3470" w:type="dxa"/>
            <w:shd w:val="clear" w:color="auto" w:fill="auto"/>
            <w:vAlign w:val="bottom"/>
          </w:tcPr>
          <w:p w14:paraId="0C8FFA6E" w14:textId="6D68278A" w:rsidR="00C83B27" w:rsidRPr="0012790E" w:rsidRDefault="00C83B27" w:rsidP="00C83B27">
            <w:pPr>
              <w:pStyle w:val="SummaryMeasureTitlewithTheme"/>
            </w:pPr>
            <w:r w:rsidRPr="0012790E">
              <w:t>Fighting Scams(b)</w:t>
            </w:r>
          </w:p>
        </w:tc>
        <w:tc>
          <w:tcPr>
            <w:tcW w:w="851" w:type="dxa"/>
            <w:vAlign w:val="bottom"/>
          </w:tcPr>
          <w:p w14:paraId="0A87069C"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79154E6F"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416EE844" w14:textId="77777777" w:rsidR="00C83B27" w:rsidRPr="0012790E" w:rsidRDefault="00C83B27" w:rsidP="00C83B27">
            <w:pPr>
              <w:pStyle w:val="Summarytabletextrightaligned"/>
              <w:rPr>
                <w:szCs w:val="16"/>
              </w:rPr>
            </w:pPr>
            <w:r w:rsidRPr="0012790E">
              <w:rPr>
                <w:szCs w:val="16"/>
              </w:rPr>
              <w:t>4.9</w:t>
            </w:r>
          </w:p>
        </w:tc>
        <w:tc>
          <w:tcPr>
            <w:tcW w:w="851" w:type="dxa"/>
            <w:vAlign w:val="bottom"/>
          </w:tcPr>
          <w:p w14:paraId="56D160ED" w14:textId="77777777" w:rsidR="00C83B27" w:rsidRPr="0012790E" w:rsidRDefault="00C83B27" w:rsidP="00C83B27">
            <w:pPr>
              <w:pStyle w:val="Summarytabletextrightaligned"/>
              <w:rPr>
                <w:szCs w:val="16"/>
              </w:rPr>
            </w:pPr>
            <w:r w:rsidRPr="0012790E">
              <w:rPr>
                <w:szCs w:val="16"/>
              </w:rPr>
              <w:t>2.5</w:t>
            </w:r>
          </w:p>
        </w:tc>
        <w:tc>
          <w:tcPr>
            <w:tcW w:w="851" w:type="dxa"/>
            <w:vAlign w:val="bottom"/>
          </w:tcPr>
          <w:p w14:paraId="39805757" w14:textId="77777777" w:rsidR="00C83B27" w:rsidRPr="0012790E" w:rsidRDefault="00C83B27" w:rsidP="00C83B27">
            <w:pPr>
              <w:pStyle w:val="Summarytabletextrightaligned"/>
              <w:rPr>
                <w:szCs w:val="16"/>
              </w:rPr>
            </w:pPr>
            <w:r w:rsidRPr="0012790E">
              <w:rPr>
                <w:szCs w:val="16"/>
              </w:rPr>
              <w:t>2.5</w:t>
            </w:r>
          </w:p>
        </w:tc>
      </w:tr>
      <w:tr w:rsidR="00C83B27" w:rsidRPr="0012790E" w14:paraId="6FE2D82D" w14:textId="77777777" w:rsidTr="54937204">
        <w:tc>
          <w:tcPr>
            <w:tcW w:w="3470" w:type="dxa"/>
            <w:shd w:val="clear" w:color="auto" w:fill="auto"/>
            <w:vAlign w:val="bottom"/>
          </w:tcPr>
          <w:p w14:paraId="50F02606" w14:textId="3BAD6DF1" w:rsidR="00C83B27" w:rsidRPr="0012790E" w:rsidRDefault="00C83B27" w:rsidP="00C83B27">
            <w:pPr>
              <w:pStyle w:val="SummaryAgencyTitle-BP2"/>
              <w:rPr>
                <w:iCs/>
              </w:rPr>
            </w:pPr>
            <w:r w:rsidRPr="0012790E">
              <w:rPr>
                <w:iCs/>
              </w:rPr>
              <w:t>Department of Infrastructure, Transport, Regional Development, Communications and the Arts</w:t>
            </w:r>
          </w:p>
        </w:tc>
        <w:tc>
          <w:tcPr>
            <w:tcW w:w="851" w:type="dxa"/>
            <w:vAlign w:val="bottom"/>
          </w:tcPr>
          <w:p w14:paraId="27EFA1BA" w14:textId="77777777" w:rsidR="00C83B27" w:rsidRPr="0012790E" w:rsidRDefault="00C83B27" w:rsidP="00C83B27">
            <w:pPr>
              <w:pStyle w:val="SummaryAgencyTitle-BP2"/>
              <w:rPr>
                <w:iCs/>
              </w:rPr>
            </w:pPr>
          </w:p>
        </w:tc>
        <w:tc>
          <w:tcPr>
            <w:tcW w:w="851" w:type="dxa"/>
            <w:shd w:val="clear" w:color="auto" w:fill="E6F2FF"/>
            <w:vAlign w:val="bottom"/>
          </w:tcPr>
          <w:p w14:paraId="2F1C257A" w14:textId="77777777" w:rsidR="00C83B27" w:rsidRPr="0012790E" w:rsidRDefault="00C83B27" w:rsidP="00C83B27">
            <w:pPr>
              <w:pStyle w:val="SummaryAgencyTitle-BP2"/>
              <w:rPr>
                <w:iCs/>
              </w:rPr>
            </w:pPr>
          </w:p>
        </w:tc>
        <w:tc>
          <w:tcPr>
            <w:tcW w:w="851" w:type="dxa"/>
            <w:vAlign w:val="bottom"/>
          </w:tcPr>
          <w:p w14:paraId="65D6890B" w14:textId="77777777" w:rsidR="00C83B27" w:rsidRPr="0012790E" w:rsidRDefault="00C83B27" w:rsidP="00C83B27">
            <w:pPr>
              <w:pStyle w:val="SummaryAgencyTitle-BP2"/>
              <w:rPr>
                <w:iCs/>
              </w:rPr>
            </w:pPr>
          </w:p>
        </w:tc>
        <w:tc>
          <w:tcPr>
            <w:tcW w:w="851" w:type="dxa"/>
            <w:vAlign w:val="bottom"/>
          </w:tcPr>
          <w:p w14:paraId="72544F06" w14:textId="77777777" w:rsidR="00C83B27" w:rsidRPr="0012790E" w:rsidRDefault="00C83B27" w:rsidP="00C83B27">
            <w:pPr>
              <w:pStyle w:val="SummaryAgencyTitle-BP2"/>
              <w:rPr>
                <w:iCs/>
              </w:rPr>
            </w:pPr>
          </w:p>
        </w:tc>
        <w:tc>
          <w:tcPr>
            <w:tcW w:w="851" w:type="dxa"/>
            <w:vAlign w:val="bottom"/>
          </w:tcPr>
          <w:p w14:paraId="276885D4" w14:textId="77777777" w:rsidR="00C83B27" w:rsidRPr="0012790E" w:rsidRDefault="00C83B27" w:rsidP="00C83B27">
            <w:pPr>
              <w:pStyle w:val="SummaryAgencyTitle-BP2"/>
              <w:rPr>
                <w:iCs/>
              </w:rPr>
            </w:pPr>
          </w:p>
        </w:tc>
      </w:tr>
      <w:tr w:rsidR="00C83B27" w:rsidRPr="0012790E" w14:paraId="510BC5A9" w14:textId="77777777" w:rsidTr="54937204">
        <w:tc>
          <w:tcPr>
            <w:tcW w:w="3470" w:type="dxa"/>
            <w:shd w:val="clear" w:color="auto" w:fill="auto"/>
            <w:vAlign w:val="bottom"/>
          </w:tcPr>
          <w:p w14:paraId="27CD6AFA" w14:textId="5C63E0F1" w:rsidR="00C83B27" w:rsidRPr="0012790E" w:rsidRDefault="00C83B27" w:rsidP="00C83B27">
            <w:pPr>
              <w:pStyle w:val="SummaryMeasureTitlewithTheme"/>
            </w:pPr>
            <w:r w:rsidRPr="0012790E">
              <w:t>Supporting Connectivity, Media and Communications(b)</w:t>
            </w:r>
          </w:p>
        </w:tc>
        <w:tc>
          <w:tcPr>
            <w:tcW w:w="851" w:type="dxa"/>
            <w:tcBorders>
              <w:bottom w:val="single" w:sz="4" w:space="0" w:color="293F5B"/>
            </w:tcBorders>
            <w:vAlign w:val="bottom"/>
          </w:tcPr>
          <w:p w14:paraId="0E8DC494" w14:textId="77777777" w:rsidR="00C83B27" w:rsidRPr="0012790E" w:rsidRDefault="00C83B27" w:rsidP="00C83B27">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6FBB15C3" w14:textId="77777777" w:rsidR="00C83B27" w:rsidRPr="0012790E" w:rsidRDefault="00C83B27" w:rsidP="54937204">
            <w:pPr>
              <w:pStyle w:val="Summarytabletextrightaligned"/>
              <w:rPr>
                <w:lang w:val="en-US"/>
              </w:rPr>
            </w:pPr>
            <w:r w:rsidRPr="54937204">
              <w:rPr>
                <w:lang w:val="en-US"/>
              </w:rPr>
              <w:t>nfp</w:t>
            </w:r>
          </w:p>
        </w:tc>
        <w:tc>
          <w:tcPr>
            <w:tcW w:w="851" w:type="dxa"/>
            <w:tcBorders>
              <w:bottom w:val="single" w:sz="4" w:space="0" w:color="293F5B"/>
            </w:tcBorders>
            <w:vAlign w:val="bottom"/>
          </w:tcPr>
          <w:p w14:paraId="773EDC49" w14:textId="77777777" w:rsidR="00C83B27" w:rsidRPr="0012790E" w:rsidRDefault="00C83B27" w:rsidP="54937204">
            <w:pPr>
              <w:pStyle w:val="Summarytabletextrightaligned"/>
              <w:rPr>
                <w:lang w:val="en-US"/>
              </w:rPr>
            </w:pPr>
            <w:r w:rsidRPr="54937204">
              <w:rPr>
                <w:lang w:val="en-US"/>
              </w:rPr>
              <w:t>nfp</w:t>
            </w:r>
          </w:p>
        </w:tc>
        <w:tc>
          <w:tcPr>
            <w:tcW w:w="851" w:type="dxa"/>
            <w:tcBorders>
              <w:bottom w:val="single" w:sz="4" w:space="0" w:color="293F5B"/>
            </w:tcBorders>
            <w:vAlign w:val="bottom"/>
          </w:tcPr>
          <w:p w14:paraId="4195E5DD" w14:textId="77777777" w:rsidR="00C83B27" w:rsidRPr="0012790E" w:rsidRDefault="00C83B27" w:rsidP="54937204">
            <w:pPr>
              <w:pStyle w:val="Summarytabletextrightaligned"/>
              <w:rPr>
                <w:lang w:val="en-US"/>
              </w:rPr>
            </w:pPr>
            <w:r w:rsidRPr="54937204">
              <w:rPr>
                <w:lang w:val="en-US"/>
              </w:rPr>
              <w:t>nfp</w:t>
            </w:r>
          </w:p>
        </w:tc>
        <w:tc>
          <w:tcPr>
            <w:tcW w:w="851" w:type="dxa"/>
            <w:tcBorders>
              <w:bottom w:val="single" w:sz="4" w:space="0" w:color="293F5B"/>
            </w:tcBorders>
            <w:vAlign w:val="bottom"/>
          </w:tcPr>
          <w:p w14:paraId="2EA0272D" w14:textId="77777777" w:rsidR="00C83B27" w:rsidRPr="0012790E" w:rsidRDefault="00C83B27" w:rsidP="54937204">
            <w:pPr>
              <w:pStyle w:val="Summarytabletextrightaligned"/>
              <w:rPr>
                <w:lang w:val="en-US"/>
              </w:rPr>
            </w:pPr>
            <w:r w:rsidRPr="54937204">
              <w:rPr>
                <w:lang w:val="en-US"/>
              </w:rPr>
              <w:t>nfp</w:t>
            </w:r>
          </w:p>
        </w:tc>
      </w:tr>
      <w:tr w:rsidR="00C83B27" w:rsidRPr="0012790E" w14:paraId="196804BF" w14:textId="77777777" w:rsidTr="54937204">
        <w:tc>
          <w:tcPr>
            <w:tcW w:w="3470" w:type="dxa"/>
            <w:tcBorders>
              <w:bottom w:val="single" w:sz="4" w:space="0" w:color="293F5B"/>
            </w:tcBorders>
            <w:shd w:val="clear" w:color="auto" w:fill="auto"/>
            <w:vAlign w:val="bottom"/>
          </w:tcPr>
          <w:p w14:paraId="01F022E3" w14:textId="77777777" w:rsidR="00C83B27" w:rsidRPr="0012790E" w:rsidRDefault="00C83B27" w:rsidP="00C83B27">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747701AE" w14:textId="77777777" w:rsidR="00C83B27" w:rsidRPr="0012790E" w:rsidRDefault="00C83B27" w:rsidP="00C83B27">
            <w:pPr>
              <w:pStyle w:val="Summarytabletextrightalignedbold"/>
              <w:rPr>
                <w:bCs/>
                <w:szCs w:val="16"/>
              </w:rPr>
            </w:pPr>
            <w:r w:rsidRPr="0012790E">
              <w:rPr>
                <w:bCs/>
                <w:szCs w:val="16"/>
              </w:rPr>
              <w:noBreakHyphen/>
            </w:r>
          </w:p>
        </w:tc>
        <w:tc>
          <w:tcPr>
            <w:tcW w:w="851" w:type="dxa"/>
            <w:tcBorders>
              <w:top w:val="single" w:sz="4" w:space="0" w:color="293F5B"/>
              <w:bottom w:val="single" w:sz="4" w:space="0" w:color="293F5B"/>
            </w:tcBorders>
            <w:shd w:val="clear" w:color="auto" w:fill="E6F2FF"/>
            <w:vAlign w:val="bottom"/>
          </w:tcPr>
          <w:p w14:paraId="1488584B" w14:textId="77777777" w:rsidR="00C83B27" w:rsidRPr="0012790E" w:rsidRDefault="00C83B27" w:rsidP="00C83B27">
            <w:pPr>
              <w:pStyle w:val="Summarytabletextrightalignedbold"/>
              <w:rPr>
                <w:bCs/>
                <w:szCs w:val="16"/>
              </w:rPr>
            </w:pPr>
            <w:r w:rsidRPr="0012790E">
              <w:rPr>
                <w:bCs/>
                <w:szCs w:val="16"/>
              </w:rPr>
              <w:noBreakHyphen/>
            </w:r>
          </w:p>
        </w:tc>
        <w:tc>
          <w:tcPr>
            <w:tcW w:w="851" w:type="dxa"/>
            <w:tcBorders>
              <w:top w:val="single" w:sz="4" w:space="0" w:color="293F5B"/>
              <w:bottom w:val="single" w:sz="4" w:space="0" w:color="293F5B"/>
            </w:tcBorders>
            <w:vAlign w:val="bottom"/>
          </w:tcPr>
          <w:p w14:paraId="4DAFE4D3" w14:textId="77777777" w:rsidR="00C83B27" w:rsidRPr="0012790E" w:rsidRDefault="00C83B27" w:rsidP="00C83B27">
            <w:pPr>
              <w:pStyle w:val="Summarytabletextrightalignedbold"/>
              <w:rPr>
                <w:bCs/>
                <w:szCs w:val="16"/>
              </w:rPr>
            </w:pPr>
            <w:r w:rsidRPr="0012790E">
              <w:rPr>
                <w:bCs/>
                <w:szCs w:val="16"/>
              </w:rPr>
              <w:t>4.9</w:t>
            </w:r>
          </w:p>
        </w:tc>
        <w:tc>
          <w:tcPr>
            <w:tcW w:w="851" w:type="dxa"/>
            <w:tcBorders>
              <w:top w:val="single" w:sz="4" w:space="0" w:color="293F5B"/>
              <w:bottom w:val="single" w:sz="4" w:space="0" w:color="293F5B"/>
            </w:tcBorders>
            <w:vAlign w:val="bottom"/>
          </w:tcPr>
          <w:p w14:paraId="6FEA599A" w14:textId="77777777" w:rsidR="00C83B27" w:rsidRPr="0012790E" w:rsidRDefault="00C83B27" w:rsidP="00C83B27">
            <w:pPr>
              <w:pStyle w:val="Summarytabletextrightalignedbold"/>
              <w:rPr>
                <w:bCs/>
                <w:szCs w:val="16"/>
              </w:rPr>
            </w:pPr>
            <w:r w:rsidRPr="0012790E">
              <w:rPr>
                <w:bCs/>
                <w:szCs w:val="16"/>
              </w:rPr>
              <w:t>2.5</w:t>
            </w:r>
          </w:p>
        </w:tc>
        <w:tc>
          <w:tcPr>
            <w:tcW w:w="851" w:type="dxa"/>
            <w:tcBorders>
              <w:top w:val="single" w:sz="4" w:space="0" w:color="293F5B"/>
              <w:bottom w:val="single" w:sz="4" w:space="0" w:color="293F5B"/>
            </w:tcBorders>
            <w:vAlign w:val="bottom"/>
          </w:tcPr>
          <w:p w14:paraId="0C7C58D1" w14:textId="77777777" w:rsidR="00C83B27" w:rsidRPr="0012790E" w:rsidRDefault="00C83B27" w:rsidP="00C83B27">
            <w:pPr>
              <w:pStyle w:val="Summarytabletextrightalignedbold"/>
              <w:rPr>
                <w:bCs/>
                <w:szCs w:val="16"/>
              </w:rPr>
            </w:pPr>
            <w:r w:rsidRPr="0012790E">
              <w:rPr>
                <w:bCs/>
                <w:szCs w:val="16"/>
              </w:rPr>
              <w:t>2.5</w:t>
            </w:r>
          </w:p>
        </w:tc>
      </w:tr>
    </w:tbl>
    <w:p w14:paraId="41600F1B" w14:textId="77777777" w:rsidR="00C83B27" w:rsidRPr="0012790E" w:rsidRDefault="00C83B27" w:rsidP="00C83B27">
      <w:pPr>
        <w:pStyle w:val="TableHeadingcontinued"/>
        <w:sectPr w:rsidR="00C83B27" w:rsidRPr="0012790E" w:rsidSect="00EA5BFE">
          <w:pgSz w:w="11905" w:h="16837"/>
          <w:pgMar w:top="2835" w:right="2098" w:bottom="2466" w:left="2098" w:header="1814" w:footer="1814" w:gutter="0"/>
          <w:cols w:space="720"/>
          <w:noEndnote/>
          <w:docGrid w:linePitch="272"/>
        </w:sectPr>
      </w:pPr>
    </w:p>
    <w:p w14:paraId="3A6E17CD" w14:textId="417DB875" w:rsidR="00C83B27" w:rsidRPr="0012790E" w:rsidRDefault="00C83B27" w:rsidP="00C83B27">
      <w:pPr>
        <w:pStyle w:val="TableHeadingcontinued"/>
        <w:rPr>
          <w:bCs/>
        </w:rPr>
      </w:pPr>
      <w:r w:rsidRPr="0012790E">
        <w:lastRenderedPageBreak/>
        <w:t>Table 1: Receipt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C83B27" w:rsidRPr="0012790E" w14:paraId="63C4B627" w14:textId="77777777">
        <w:tc>
          <w:tcPr>
            <w:tcW w:w="3470" w:type="dxa"/>
            <w:tcBorders>
              <w:top w:val="single" w:sz="4" w:space="0" w:color="293F5B"/>
            </w:tcBorders>
            <w:shd w:val="clear" w:color="auto" w:fill="auto"/>
            <w:vAlign w:val="bottom"/>
          </w:tcPr>
          <w:p w14:paraId="49C02DA4" w14:textId="6D836AA5" w:rsidR="00C83B27" w:rsidRPr="0012790E" w:rsidRDefault="00C83B27">
            <w:pPr>
              <w:pStyle w:val="Summarytabletextrightaligned"/>
              <w:rPr>
                <w:szCs w:val="16"/>
              </w:rPr>
            </w:pPr>
          </w:p>
        </w:tc>
        <w:tc>
          <w:tcPr>
            <w:tcW w:w="851" w:type="dxa"/>
            <w:tcBorders>
              <w:top w:val="single" w:sz="4" w:space="0" w:color="293F5B"/>
            </w:tcBorders>
            <w:vAlign w:val="bottom"/>
          </w:tcPr>
          <w:p w14:paraId="6CA3BF4C" w14:textId="77777777" w:rsidR="00C83B27" w:rsidRPr="0012790E" w:rsidRDefault="00C83B27">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60EEB4D4" w14:textId="77777777" w:rsidR="00C83B27" w:rsidRPr="0012790E" w:rsidRDefault="00C83B27">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409C0A59" w14:textId="77777777" w:rsidR="00C83B27" w:rsidRPr="0012790E" w:rsidRDefault="00C83B27">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3D45D04C" w14:textId="77777777" w:rsidR="00C83B27" w:rsidRPr="0012790E" w:rsidRDefault="00C83B27">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3A54D6E4" w14:textId="77777777" w:rsidR="00C83B27" w:rsidRPr="0012790E" w:rsidRDefault="00C83B27">
            <w:pPr>
              <w:pStyle w:val="Summarytabletextrightaligned"/>
              <w:rPr>
                <w:szCs w:val="16"/>
              </w:rPr>
            </w:pPr>
            <w:r w:rsidRPr="0012790E">
              <w:rPr>
                <w:szCs w:val="16"/>
              </w:rPr>
              <w:t>2027</w:t>
            </w:r>
            <w:r w:rsidRPr="0012790E">
              <w:rPr>
                <w:szCs w:val="16"/>
              </w:rPr>
              <w:noBreakHyphen/>
              <w:t>28</w:t>
            </w:r>
          </w:p>
        </w:tc>
      </w:tr>
      <w:tr w:rsidR="00C83B27" w:rsidRPr="0012790E" w14:paraId="36FA0E14" w14:textId="77777777">
        <w:tc>
          <w:tcPr>
            <w:tcW w:w="3470" w:type="dxa"/>
            <w:shd w:val="clear" w:color="auto" w:fill="auto"/>
            <w:vAlign w:val="bottom"/>
          </w:tcPr>
          <w:p w14:paraId="2EE291BB" w14:textId="6C21C89B" w:rsidR="00C83B27" w:rsidRPr="0012790E" w:rsidRDefault="00C83B27">
            <w:pPr>
              <w:pStyle w:val="Summarytabletextrightaligned"/>
            </w:pPr>
          </w:p>
        </w:tc>
        <w:tc>
          <w:tcPr>
            <w:tcW w:w="851" w:type="dxa"/>
            <w:tcBorders>
              <w:bottom w:val="single" w:sz="4" w:space="0" w:color="293F5B"/>
            </w:tcBorders>
            <w:vAlign w:val="bottom"/>
          </w:tcPr>
          <w:p w14:paraId="44FD86C8" w14:textId="77777777" w:rsidR="00C83B27" w:rsidRPr="0012790E" w:rsidRDefault="00C83B27">
            <w:pPr>
              <w:pStyle w:val="Summarytabletextrightaligned"/>
            </w:pPr>
            <w:r w:rsidRPr="0012790E">
              <w:t>$m</w:t>
            </w:r>
          </w:p>
        </w:tc>
        <w:tc>
          <w:tcPr>
            <w:tcW w:w="851" w:type="dxa"/>
            <w:tcBorders>
              <w:bottom w:val="single" w:sz="4" w:space="0" w:color="293F5B"/>
            </w:tcBorders>
            <w:shd w:val="clear" w:color="auto" w:fill="E6F2FF"/>
            <w:vAlign w:val="bottom"/>
          </w:tcPr>
          <w:p w14:paraId="4D287AF3" w14:textId="77777777" w:rsidR="00C83B27" w:rsidRPr="0012790E" w:rsidRDefault="00C83B27">
            <w:pPr>
              <w:pStyle w:val="Summarytabletextrightaligned"/>
            </w:pPr>
            <w:r w:rsidRPr="0012790E">
              <w:t>$m</w:t>
            </w:r>
          </w:p>
        </w:tc>
        <w:tc>
          <w:tcPr>
            <w:tcW w:w="851" w:type="dxa"/>
            <w:tcBorders>
              <w:bottom w:val="single" w:sz="4" w:space="0" w:color="293F5B"/>
            </w:tcBorders>
            <w:vAlign w:val="bottom"/>
          </w:tcPr>
          <w:p w14:paraId="2501A361" w14:textId="77777777" w:rsidR="00C83B27" w:rsidRPr="0012790E" w:rsidRDefault="00C83B27">
            <w:pPr>
              <w:pStyle w:val="Summarytabletextrightaligned"/>
            </w:pPr>
            <w:r w:rsidRPr="0012790E">
              <w:t>$m</w:t>
            </w:r>
          </w:p>
        </w:tc>
        <w:tc>
          <w:tcPr>
            <w:tcW w:w="851" w:type="dxa"/>
            <w:tcBorders>
              <w:bottom w:val="single" w:sz="4" w:space="0" w:color="293F5B"/>
            </w:tcBorders>
            <w:vAlign w:val="bottom"/>
          </w:tcPr>
          <w:p w14:paraId="4AE597AE" w14:textId="77777777" w:rsidR="00C83B27" w:rsidRPr="0012790E" w:rsidRDefault="00C83B27">
            <w:pPr>
              <w:pStyle w:val="Summarytabletextrightaligned"/>
            </w:pPr>
            <w:r w:rsidRPr="0012790E">
              <w:t>$m</w:t>
            </w:r>
          </w:p>
        </w:tc>
        <w:tc>
          <w:tcPr>
            <w:tcW w:w="851" w:type="dxa"/>
            <w:tcBorders>
              <w:bottom w:val="single" w:sz="4" w:space="0" w:color="293F5B"/>
            </w:tcBorders>
            <w:vAlign w:val="bottom"/>
          </w:tcPr>
          <w:p w14:paraId="64F8C713" w14:textId="77777777" w:rsidR="00C83B27" w:rsidRPr="0012790E" w:rsidRDefault="00C83B27">
            <w:pPr>
              <w:pStyle w:val="Summarytabletextrightaligned"/>
            </w:pPr>
            <w:r w:rsidRPr="0012790E">
              <w:t>$m</w:t>
            </w:r>
          </w:p>
        </w:tc>
      </w:tr>
      <w:tr w:rsidR="00C83B27" w:rsidRPr="0012790E" w14:paraId="0B9F028B" w14:textId="77777777" w:rsidTr="00C83B27">
        <w:tc>
          <w:tcPr>
            <w:tcW w:w="3470" w:type="dxa"/>
            <w:shd w:val="clear" w:color="auto" w:fill="auto"/>
            <w:vAlign w:val="bottom"/>
          </w:tcPr>
          <w:p w14:paraId="585D1707" w14:textId="77777777" w:rsidR="00C83B27" w:rsidRPr="0012790E" w:rsidRDefault="00C83B27" w:rsidP="00C83B27">
            <w:pPr>
              <w:pStyle w:val="SummaryPortfolioTitle-BP2"/>
            </w:pPr>
            <w:r w:rsidRPr="0012790E">
              <w:t>TREASURY</w:t>
            </w:r>
          </w:p>
        </w:tc>
        <w:tc>
          <w:tcPr>
            <w:tcW w:w="851" w:type="dxa"/>
            <w:tcBorders>
              <w:top w:val="single" w:sz="4" w:space="0" w:color="293F5B"/>
            </w:tcBorders>
            <w:vAlign w:val="bottom"/>
          </w:tcPr>
          <w:p w14:paraId="06495A7D" w14:textId="77777777" w:rsidR="00C83B27" w:rsidRPr="0012790E" w:rsidRDefault="00C83B27" w:rsidP="00C83B27">
            <w:pPr>
              <w:pStyle w:val="MeasureTableTextRightAlignedBefore6ptAfter1pt"/>
              <w:rPr>
                <w:b/>
                <w:bCs/>
              </w:rPr>
            </w:pPr>
          </w:p>
        </w:tc>
        <w:tc>
          <w:tcPr>
            <w:tcW w:w="851" w:type="dxa"/>
            <w:tcBorders>
              <w:top w:val="single" w:sz="4" w:space="0" w:color="293F5B"/>
            </w:tcBorders>
            <w:shd w:val="clear" w:color="auto" w:fill="E6F2FF"/>
            <w:vAlign w:val="bottom"/>
          </w:tcPr>
          <w:p w14:paraId="472112F3"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5AE0CE31"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7D530670" w14:textId="77777777" w:rsidR="00C83B27" w:rsidRPr="0012790E" w:rsidRDefault="00C83B27" w:rsidP="00C83B27">
            <w:pPr>
              <w:pStyle w:val="MeasureTableTextRightAlignedBefore6ptAfter1pt"/>
              <w:rPr>
                <w:b/>
                <w:bCs/>
              </w:rPr>
            </w:pPr>
          </w:p>
        </w:tc>
        <w:tc>
          <w:tcPr>
            <w:tcW w:w="851" w:type="dxa"/>
            <w:tcBorders>
              <w:top w:val="single" w:sz="4" w:space="0" w:color="293F5B"/>
            </w:tcBorders>
            <w:vAlign w:val="bottom"/>
          </w:tcPr>
          <w:p w14:paraId="752AF251" w14:textId="77777777" w:rsidR="00C83B27" w:rsidRPr="0012790E" w:rsidRDefault="00C83B27" w:rsidP="00C83B27">
            <w:pPr>
              <w:pStyle w:val="MeasureTableTextRightAlignedBefore6ptAfter1pt"/>
              <w:rPr>
                <w:b/>
                <w:bCs/>
              </w:rPr>
            </w:pPr>
          </w:p>
        </w:tc>
      </w:tr>
      <w:tr w:rsidR="00AB4F88" w:rsidRPr="0012790E" w14:paraId="2B8BCB56" w14:textId="77777777" w:rsidTr="00C83B27">
        <w:tc>
          <w:tcPr>
            <w:tcW w:w="3470" w:type="dxa"/>
            <w:shd w:val="clear" w:color="auto" w:fill="auto"/>
            <w:vAlign w:val="bottom"/>
          </w:tcPr>
          <w:p w14:paraId="11F97934" w14:textId="2434E1F9" w:rsidR="00AB4F88" w:rsidRPr="0012790E" w:rsidRDefault="00AB4F88" w:rsidP="00AB4F88">
            <w:pPr>
              <w:pStyle w:val="SummaryAgencyTitle-BP2"/>
              <w:rPr>
                <w:iCs/>
              </w:rPr>
            </w:pPr>
            <w:r>
              <w:rPr>
                <w:iCs/>
              </w:rPr>
              <w:t>Australian Competition and Consumer Commission</w:t>
            </w:r>
          </w:p>
        </w:tc>
        <w:tc>
          <w:tcPr>
            <w:tcW w:w="851" w:type="dxa"/>
            <w:vAlign w:val="bottom"/>
          </w:tcPr>
          <w:p w14:paraId="2AAB6CC6" w14:textId="77777777" w:rsidR="00AB4F88" w:rsidRPr="0012790E" w:rsidRDefault="00AB4F88" w:rsidP="00AB4F88">
            <w:pPr>
              <w:pStyle w:val="SummaryAgencyTitle-BP2"/>
              <w:rPr>
                <w:iCs/>
              </w:rPr>
            </w:pPr>
          </w:p>
        </w:tc>
        <w:tc>
          <w:tcPr>
            <w:tcW w:w="851" w:type="dxa"/>
            <w:shd w:val="clear" w:color="auto" w:fill="E6F2FF"/>
            <w:vAlign w:val="bottom"/>
          </w:tcPr>
          <w:p w14:paraId="0D78BA34" w14:textId="77777777" w:rsidR="00AB4F88" w:rsidRPr="0012790E" w:rsidRDefault="00AB4F88" w:rsidP="00AB4F88">
            <w:pPr>
              <w:pStyle w:val="SummaryAgencyTitle-BP2"/>
              <w:rPr>
                <w:iCs/>
              </w:rPr>
            </w:pPr>
          </w:p>
        </w:tc>
        <w:tc>
          <w:tcPr>
            <w:tcW w:w="851" w:type="dxa"/>
            <w:vAlign w:val="bottom"/>
          </w:tcPr>
          <w:p w14:paraId="6B8C214C" w14:textId="77777777" w:rsidR="00AB4F88" w:rsidRPr="0012790E" w:rsidRDefault="00AB4F88" w:rsidP="00AB4F88">
            <w:pPr>
              <w:pStyle w:val="SummaryAgencyTitle-BP2"/>
              <w:rPr>
                <w:iCs/>
              </w:rPr>
            </w:pPr>
          </w:p>
        </w:tc>
        <w:tc>
          <w:tcPr>
            <w:tcW w:w="851" w:type="dxa"/>
            <w:vAlign w:val="bottom"/>
          </w:tcPr>
          <w:p w14:paraId="79E65A97" w14:textId="77777777" w:rsidR="00AB4F88" w:rsidRPr="0012790E" w:rsidRDefault="00AB4F88" w:rsidP="00AB4F88">
            <w:pPr>
              <w:pStyle w:val="SummaryAgencyTitle-BP2"/>
              <w:rPr>
                <w:iCs/>
              </w:rPr>
            </w:pPr>
          </w:p>
        </w:tc>
        <w:tc>
          <w:tcPr>
            <w:tcW w:w="851" w:type="dxa"/>
            <w:vAlign w:val="bottom"/>
          </w:tcPr>
          <w:p w14:paraId="152E47F9" w14:textId="77777777" w:rsidR="00AB4F88" w:rsidRPr="0012790E" w:rsidRDefault="00AB4F88" w:rsidP="00AB4F88">
            <w:pPr>
              <w:pStyle w:val="SummaryAgencyTitle-BP2"/>
              <w:rPr>
                <w:iCs/>
              </w:rPr>
            </w:pPr>
          </w:p>
        </w:tc>
      </w:tr>
      <w:tr w:rsidR="00AB4F88" w:rsidRPr="0012790E" w14:paraId="3CD93B72" w14:textId="77777777" w:rsidTr="00AC2FA9">
        <w:tc>
          <w:tcPr>
            <w:tcW w:w="3470" w:type="dxa"/>
            <w:shd w:val="clear" w:color="auto" w:fill="auto"/>
            <w:vAlign w:val="bottom"/>
          </w:tcPr>
          <w:p w14:paraId="2D047EB5" w14:textId="1BCDDD1C" w:rsidR="00AB4F88" w:rsidRPr="00AB4F88" w:rsidRDefault="00AB4F88" w:rsidP="00AC2FA9">
            <w:pPr>
              <w:pStyle w:val="SummaryMeasureTitlewithTheme"/>
              <w:rPr>
                <w:iCs/>
              </w:rPr>
            </w:pPr>
            <w:r w:rsidRPr="00AB4F88">
              <w:t>Competition Reform(b)</w:t>
            </w:r>
          </w:p>
        </w:tc>
        <w:tc>
          <w:tcPr>
            <w:tcW w:w="851" w:type="dxa"/>
          </w:tcPr>
          <w:p w14:paraId="207D9EC7" w14:textId="43A831DF" w:rsidR="00AB4F88" w:rsidRPr="0012790E" w:rsidRDefault="00AB4F88" w:rsidP="00AC2FA9">
            <w:pPr>
              <w:pStyle w:val="SummaryAgencyTitle-BP2"/>
              <w:jc w:val="right"/>
              <w:rPr>
                <w:iCs/>
              </w:rPr>
            </w:pPr>
            <w:r>
              <w:rPr>
                <w:i w:val="0"/>
                <w:iCs/>
              </w:rPr>
              <w:t>-</w:t>
            </w:r>
            <w:r w:rsidRPr="00322A54">
              <w:rPr>
                <w:i w:val="0"/>
                <w:iCs/>
              </w:rPr>
              <w:t xml:space="preserve"> </w:t>
            </w:r>
          </w:p>
        </w:tc>
        <w:tc>
          <w:tcPr>
            <w:tcW w:w="851" w:type="dxa"/>
            <w:shd w:val="clear" w:color="auto" w:fill="E6F2FF"/>
          </w:tcPr>
          <w:p w14:paraId="0E40F48A" w14:textId="268E026B" w:rsidR="00AB4F88" w:rsidRPr="0012790E" w:rsidRDefault="00AB4F88" w:rsidP="00AC2FA9">
            <w:pPr>
              <w:pStyle w:val="SummaryAgencyTitle-BP2"/>
              <w:jc w:val="right"/>
              <w:rPr>
                <w:iCs/>
              </w:rPr>
            </w:pPr>
            <w:r>
              <w:rPr>
                <w:i w:val="0"/>
                <w:iCs/>
              </w:rPr>
              <w:t>-</w:t>
            </w:r>
            <w:r w:rsidRPr="00322A54">
              <w:rPr>
                <w:i w:val="0"/>
                <w:iCs/>
              </w:rPr>
              <w:t xml:space="preserve"> </w:t>
            </w:r>
          </w:p>
        </w:tc>
        <w:tc>
          <w:tcPr>
            <w:tcW w:w="851" w:type="dxa"/>
          </w:tcPr>
          <w:p w14:paraId="6CF2071B" w14:textId="30FF8482" w:rsidR="00AB4F88" w:rsidRPr="0012790E" w:rsidRDefault="00AB4F88" w:rsidP="00AC2FA9">
            <w:pPr>
              <w:pStyle w:val="SummaryAgencyTitle-BP2"/>
              <w:jc w:val="right"/>
              <w:rPr>
                <w:iCs/>
              </w:rPr>
            </w:pPr>
            <w:r w:rsidRPr="00322A54">
              <w:rPr>
                <w:i w:val="0"/>
                <w:iCs/>
              </w:rPr>
              <w:t>15.0</w:t>
            </w:r>
          </w:p>
        </w:tc>
        <w:tc>
          <w:tcPr>
            <w:tcW w:w="851" w:type="dxa"/>
          </w:tcPr>
          <w:p w14:paraId="1C0780C2" w14:textId="558B4D8F" w:rsidR="00AB4F88" w:rsidRPr="0012790E" w:rsidRDefault="00AB4F88" w:rsidP="00AC2FA9">
            <w:pPr>
              <w:pStyle w:val="SummaryAgencyTitle-BP2"/>
              <w:jc w:val="right"/>
              <w:rPr>
                <w:iCs/>
              </w:rPr>
            </w:pPr>
            <w:r w:rsidRPr="00322A54">
              <w:rPr>
                <w:i w:val="0"/>
                <w:iCs/>
              </w:rPr>
              <w:t>37.3</w:t>
            </w:r>
          </w:p>
        </w:tc>
        <w:tc>
          <w:tcPr>
            <w:tcW w:w="851" w:type="dxa"/>
          </w:tcPr>
          <w:p w14:paraId="66E36652" w14:textId="5C2B5B16" w:rsidR="00AB4F88" w:rsidRPr="0012790E" w:rsidRDefault="00AB4F88" w:rsidP="00AC2FA9">
            <w:pPr>
              <w:pStyle w:val="SummaryAgencyTitle-BP2"/>
              <w:jc w:val="right"/>
              <w:rPr>
                <w:iCs/>
              </w:rPr>
            </w:pPr>
            <w:r w:rsidRPr="00322A54">
              <w:rPr>
                <w:i w:val="0"/>
                <w:iCs/>
              </w:rPr>
              <w:t>38.2</w:t>
            </w:r>
          </w:p>
        </w:tc>
      </w:tr>
      <w:tr w:rsidR="00AB4F88" w:rsidRPr="0012790E" w14:paraId="79535EB4" w14:textId="77777777" w:rsidTr="00C83B27">
        <w:tc>
          <w:tcPr>
            <w:tcW w:w="3470" w:type="dxa"/>
            <w:shd w:val="clear" w:color="auto" w:fill="auto"/>
            <w:vAlign w:val="bottom"/>
          </w:tcPr>
          <w:p w14:paraId="7232C555" w14:textId="77777777" w:rsidR="00AB4F88" w:rsidRPr="0012790E" w:rsidRDefault="00AB4F88" w:rsidP="00AB4F88">
            <w:pPr>
              <w:pStyle w:val="SummaryAgencyTitle-BP2"/>
              <w:rPr>
                <w:iCs/>
              </w:rPr>
            </w:pPr>
            <w:r w:rsidRPr="0012790E">
              <w:rPr>
                <w:iCs/>
              </w:rPr>
              <w:t>Australian Prudential Regulation Authority</w:t>
            </w:r>
          </w:p>
        </w:tc>
        <w:tc>
          <w:tcPr>
            <w:tcW w:w="851" w:type="dxa"/>
            <w:vAlign w:val="bottom"/>
          </w:tcPr>
          <w:p w14:paraId="20C953C7" w14:textId="77777777" w:rsidR="00AB4F88" w:rsidRPr="0012790E" w:rsidRDefault="00AB4F88" w:rsidP="00AB4F88">
            <w:pPr>
              <w:pStyle w:val="SummaryAgencyTitle-BP2"/>
              <w:rPr>
                <w:iCs/>
              </w:rPr>
            </w:pPr>
          </w:p>
        </w:tc>
        <w:tc>
          <w:tcPr>
            <w:tcW w:w="851" w:type="dxa"/>
            <w:shd w:val="clear" w:color="auto" w:fill="E6F2FF"/>
            <w:vAlign w:val="bottom"/>
          </w:tcPr>
          <w:p w14:paraId="669FC38B" w14:textId="77777777" w:rsidR="00AB4F88" w:rsidRPr="0012790E" w:rsidRDefault="00AB4F88" w:rsidP="00AB4F88">
            <w:pPr>
              <w:pStyle w:val="SummaryAgencyTitle-BP2"/>
              <w:rPr>
                <w:iCs/>
              </w:rPr>
            </w:pPr>
          </w:p>
        </w:tc>
        <w:tc>
          <w:tcPr>
            <w:tcW w:w="851" w:type="dxa"/>
            <w:vAlign w:val="bottom"/>
          </w:tcPr>
          <w:p w14:paraId="1A1DABED" w14:textId="77777777" w:rsidR="00AB4F88" w:rsidRPr="0012790E" w:rsidRDefault="00AB4F88" w:rsidP="00AB4F88">
            <w:pPr>
              <w:pStyle w:val="SummaryAgencyTitle-BP2"/>
              <w:rPr>
                <w:iCs/>
              </w:rPr>
            </w:pPr>
          </w:p>
        </w:tc>
        <w:tc>
          <w:tcPr>
            <w:tcW w:w="851" w:type="dxa"/>
            <w:vAlign w:val="bottom"/>
          </w:tcPr>
          <w:p w14:paraId="7F59634F" w14:textId="77777777" w:rsidR="00AB4F88" w:rsidRPr="0012790E" w:rsidRDefault="00AB4F88" w:rsidP="00AB4F88">
            <w:pPr>
              <w:pStyle w:val="SummaryAgencyTitle-BP2"/>
              <w:rPr>
                <w:iCs/>
              </w:rPr>
            </w:pPr>
          </w:p>
        </w:tc>
        <w:tc>
          <w:tcPr>
            <w:tcW w:w="851" w:type="dxa"/>
            <w:vAlign w:val="bottom"/>
          </w:tcPr>
          <w:p w14:paraId="2343C117" w14:textId="77777777" w:rsidR="00AB4F88" w:rsidRPr="0012790E" w:rsidRDefault="00AB4F88" w:rsidP="00AB4F88">
            <w:pPr>
              <w:pStyle w:val="SummaryAgencyTitle-BP2"/>
              <w:rPr>
                <w:iCs/>
              </w:rPr>
            </w:pPr>
          </w:p>
        </w:tc>
      </w:tr>
      <w:tr w:rsidR="00AB4F88" w:rsidRPr="0012790E" w14:paraId="5FFFF17B" w14:textId="77777777" w:rsidTr="00C83B27">
        <w:tc>
          <w:tcPr>
            <w:tcW w:w="3470" w:type="dxa"/>
            <w:shd w:val="clear" w:color="auto" w:fill="auto"/>
            <w:vAlign w:val="bottom"/>
          </w:tcPr>
          <w:p w14:paraId="54C82696" w14:textId="2B2E9CE7" w:rsidR="00AB4F88" w:rsidRPr="0012790E" w:rsidRDefault="00AB4F88" w:rsidP="00AB4F88">
            <w:pPr>
              <w:pStyle w:val="SummaryMeasureTitlewithTheme"/>
            </w:pPr>
            <w:r w:rsidRPr="0012790E">
              <w:t>Cyber Security of Regulators and Improving Registers(b)</w:t>
            </w:r>
          </w:p>
        </w:tc>
        <w:tc>
          <w:tcPr>
            <w:tcW w:w="851" w:type="dxa"/>
            <w:vAlign w:val="bottom"/>
          </w:tcPr>
          <w:p w14:paraId="1D7D3CEF" w14:textId="77777777" w:rsidR="00AB4F88" w:rsidRPr="0012790E" w:rsidRDefault="00AB4F88" w:rsidP="00AB4F88">
            <w:pPr>
              <w:pStyle w:val="Summarytabletextrightaligned"/>
              <w:rPr>
                <w:szCs w:val="16"/>
              </w:rPr>
            </w:pPr>
            <w:r w:rsidRPr="0012790E">
              <w:rPr>
                <w:szCs w:val="16"/>
              </w:rPr>
              <w:noBreakHyphen/>
            </w:r>
          </w:p>
        </w:tc>
        <w:tc>
          <w:tcPr>
            <w:tcW w:w="851" w:type="dxa"/>
            <w:shd w:val="clear" w:color="auto" w:fill="E6F2FF"/>
            <w:vAlign w:val="bottom"/>
          </w:tcPr>
          <w:p w14:paraId="68975AA3" w14:textId="77777777" w:rsidR="00AB4F88" w:rsidRPr="0012790E" w:rsidRDefault="00AB4F88" w:rsidP="00AB4F88">
            <w:pPr>
              <w:pStyle w:val="Summarytabletextrightaligned"/>
              <w:rPr>
                <w:szCs w:val="16"/>
              </w:rPr>
            </w:pPr>
            <w:r w:rsidRPr="0012790E">
              <w:rPr>
                <w:szCs w:val="16"/>
              </w:rPr>
              <w:t>29.4</w:t>
            </w:r>
          </w:p>
        </w:tc>
        <w:tc>
          <w:tcPr>
            <w:tcW w:w="851" w:type="dxa"/>
            <w:vAlign w:val="bottom"/>
          </w:tcPr>
          <w:p w14:paraId="117D19CD" w14:textId="77777777" w:rsidR="00AB4F88" w:rsidRPr="0012790E" w:rsidRDefault="00AB4F88" w:rsidP="00AB4F88">
            <w:pPr>
              <w:pStyle w:val="Summarytabletextrightaligned"/>
              <w:rPr>
                <w:szCs w:val="16"/>
              </w:rPr>
            </w:pPr>
            <w:r w:rsidRPr="0012790E">
              <w:rPr>
                <w:szCs w:val="16"/>
              </w:rPr>
              <w:t>21.8</w:t>
            </w:r>
          </w:p>
        </w:tc>
        <w:tc>
          <w:tcPr>
            <w:tcW w:w="851" w:type="dxa"/>
            <w:vAlign w:val="bottom"/>
          </w:tcPr>
          <w:p w14:paraId="0753873F" w14:textId="77777777" w:rsidR="00AB4F88" w:rsidRPr="0012790E" w:rsidRDefault="00AB4F88" w:rsidP="00AB4F88">
            <w:pPr>
              <w:pStyle w:val="Summarytabletextrightaligned"/>
              <w:rPr>
                <w:szCs w:val="16"/>
              </w:rPr>
            </w:pPr>
            <w:r w:rsidRPr="0012790E">
              <w:rPr>
                <w:szCs w:val="16"/>
              </w:rPr>
              <w:t>11.6</w:t>
            </w:r>
          </w:p>
        </w:tc>
        <w:tc>
          <w:tcPr>
            <w:tcW w:w="851" w:type="dxa"/>
            <w:vAlign w:val="bottom"/>
          </w:tcPr>
          <w:p w14:paraId="2A783116" w14:textId="77777777" w:rsidR="00AB4F88" w:rsidRPr="0012790E" w:rsidRDefault="00AB4F88" w:rsidP="00AB4F88">
            <w:pPr>
              <w:pStyle w:val="Summarytabletextrightaligned"/>
              <w:rPr>
                <w:szCs w:val="16"/>
              </w:rPr>
            </w:pPr>
            <w:r w:rsidRPr="0012790E">
              <w:rPr>
                <w:szCs w:val="16"/>
              </w:rPr>
              <w:t>10.4</w:t>
            </w:r>
          </w:p>
        </w:tc>
      </w:tr>
      <w:tr w:rsidR="00AB4F88" w:rsidRPr="0012790E" w14:paraId="6C271392" w14:textId="77777777" w:rsidTr="00C83B27">
        <w:tc>
          <w:tcPr>
            <w:tcW w:w="3470" w:type="dxa"/>
            <w:shd w:val="clear" w:color="auto" w:fill="auto"/>
            <w:vAlign w:val="bottom"/>
          </w:tcPr>
          <w:p w14:paraId="2B0F3DC1" w14:textId="089ABBE3" w:rsidR="00AB4F88" w:rsidRPr="0012790E" w:rsidRDefault="00AB4F88" w:rsidP="00AB4F88">
            <w:pPr>
              <w:pStyle w:val="SummaryMeasureTitlewithTheme"/>
            </w:pPr>
            <w:r w:rsidRPr="0012790E">
              <w:t>Future Made in Australia – Promoting Sustainable Finance Markets(b)</w:t>
            </w:r>
          </w:p>
        </w:tc>
        <w:tc>
          <w:tcPr>
            <w:tcW w:w="851" w:type="dxa"/>
            <w:vAlign w:val="bottom"/>
          </w:tcPr>
          <w:p w14:paraId="02C0ED28" w14:textId="77777777" w:rsidR="00AB4F88" w:rsidRPr="0012790E" w:rsidRDefault="00AB4F88" w:rsidP="00AB4F88">
            <w:pPr>
              <w:pStyle w:val="Summarytabletextrightaligned"/>
              <w:rPr>
                <w:szCs w:val="16"/>
              </w:rPr>
            </w:pPr>
            <w:r w:rsidRPr="0012790E">
              <w:rPr>
                <w:szCs w:val="16"/>
              </w:rPr>
              <w:noBreakHyphen/>
            </w:r>
          </w:p>
        </w:tc>
        <w:tc>
          <w:tcPr>
            <w:tcW w:w="851" w:type="dxa"/>
            <w:shd w:val="clear" w:color="auto" w:fill="E6F2FF"/>
            <w:vAlign w:val="bottom"/>
          </w:tcPr>
          <w:p w14:paraId="3E56DB6B" w14:textId="77777777" w:rsidR="00AB4F88" w:rsidRPr="0012790E" w:rsidRDefault="00AB4F88" w:rsidP="00AB4F88">
            <w:pPr>
              <w:pStyle w:val="Summarytabletextrightaligned"/>
              <w:rPr>
                <w:szCs w:val="16"/>
              </w:rPr>
            </w:pPr>
            <w:r w:rsidRPr="0012790E">
              <w:rPr>
                <w:szCs w:val="16"/>
              </w:rPr>
              <w:t>0.5</w:t>
            </w:r>
          </w:p>
        </w:tc>
        <w:tc>
          <w:tcPr>
            <w:tcW w:w="851" w:type="dxa"/>
            <w:vAlign w:val="bottom"/>
          </w:tcPr>
          <w:p w14:paraId="252C6115" w14:textId="77777777" w:rsidR="00AB4F88" w:rsidRPr="0012790E" w:rsidRDefault="00AB4F88" w:rsidP="00AB4F88">
            <w:pPr>
              <w:pStyle w:val="Summarytabletextrightaligned"/>
              <w:rPr>
                <w:szCs w:val="16"/>
              </w:rPr>
            </w:pPr>
            <w:r w:rsidRPr="0012790E">
              <w:rPr>
                <w:szCs w:val="16"/>
              </w:rPr>
              <w:noBreakHyphen/>
            </w:r>
          </w:p>
        </w:tc>
        <w:tc>
          <w:tcPr>
            <w:tcW w:w="851" w:type="dxa"/>
            <w:vAlign w:val="bottom"/>
          </w:tcPr>
          <w:p w14:paraId="32951881" w14:textId="77777777" w:rsidR="00AB4F88" w:rsidRPr="0012790E" w:rsidRDefault="00AB4F88" w:rsidP="00AB4F88">
            <w:pPr>
              <w:pStyle w:val="Summarytabletextrightaligned"/>
              <w:rPr>
                <w:szCs w:val="16"/>
              </w:rPr>
            </w:pPr>
            <w:r w:rsidRPr="0012790E">
              <w:rPr>
                <w:szCs w:val="16"/>
              </w:rPr>
              <w:noBreakHyphen/>
            </w:r>
          </w:p>
        </w:tc>
        <w:tc>
          <w:tcPr>
            <w:tcW w:w="851" w:type="dxa"/>
            <w:vAlign w:val="bottom"/>
          </w:tcPr>
          <w:p w14:paraId="1CD9D758" w14:textId="77777777" w:rsidR="00AB4F88" w:rsidRPr="0012790E" w:rsidRDefault="00AB4F88" w:rsidP="00AB4F88">
            <w:pPr>
              <w:pStyle w:val="Summarytabletextrightaligned"/>
              <w:rPr>
                <w:szCs w:val="16"/>
              </w:rPr>
            </w:pPr>
            <w:r w:rsidRPr="0012790E">
              <w:rPr>
                <w:szCs w:val="16"/>
              </w:rPr>
              <w:noBreakHyphen/>
            </w:r>
          </w:p>
        </w:tc>
      </w:tr>
      <w:tr w:rsidR="00B02BCC" w:rsidRPr="0012790E" w14:paraId="6623227E" w14:textId="77777777" w:rsidTr="00C83B27">
        <w:tc>
          <w:tcPr>
            <w:tcW w:w="3470" w:type="dxa"/>
            <w:shd w:val="clear" w:color="auto" w:fill="auto"/>
            <w:vAlign w:val="bottom"/>
          </w:tcPr>
          <w:p w14:paraId="0E8A1B25" w14:textId="093DDEE5" w:rsidR="00B02BCC" w:rsidRPr="0012790E" w:rsidRDefault="00B02BCC" w:rsidP="00B02BCC">
            <w:pPr>
              <w:pStyle w:val="SummaryMeasureTitlewithTheme"/>
            </w:pPr>
            <w:r w:rsidRPr="0012790E">
              <w:t>Modernising Digital Assets and Payments Regulation(b)</w:t>
            </w:r>
          </w:p>
        </w:tc>
        <w:tc>
          <w:tcPr>
            <w:tcW w:w="851" w:type="dxa"/>
            <w:vAlign w:val="bottom"/>
          </w:tcPr>
          <w:p w14:paraId="63401795" w14:textId="259CA400" w:rsidR="00B02BCC" w:rsidRPr="0012790E" w:rsidRDefault="00B02BCC" w:rsidP="00B02BCC">
            <w:pPr>
              <w:pStyle w:val="Summarytabletextrightaligned"/>
              <w:rPr>
                <w:szCs w:val="16"/>
              </w:rPr>
            </w:pPr>
            <w:r>
              <w:rPr>
                <w:szCs w:val="16"/>
              </w:rPr>
              <w:t>-</w:t>
            </w:r>
          </w:p>
        </w:tc>
        <w:tc>
          <w:tcPr>
            <w:tcW w:w="851" w:type="dxa"/>
            <w:shd w:val="clear" w:color="auto" w:fill="E6F2FF"/>
            <w:vAlign w:val="bottom"/>
          </w:tcPr>
          <w:p w14:paraId="2CD5915D" w14:textId="054C5F4F" w:rsidR="00B02BCC" w:rsidRPr="0012790E" w:rsidRDefault="00B02BCC" w:rsidP="00B02BCC">
            <w:pPr>
              <w:pStyle w:val="Summarytabletextrightaligned"/>
              <w:rPr>
                <w:szCs w:val="16"/>
              </w:rPr>
            </w:pPr>
            <w:r>
              <w:rPr>
                <w:szCs w:val="16"/>
              </w:rPr>
              <w:t>-</w:t>
            </w:r>
          </w:p>
        </w:tc>
        <w:tc>
          <w:tcPr>
            <w:tcW w:w="851" w:type="dxa"/>
            <w:vAlign w:val="bottom"/>
          </w:tcPr>
          <w:p w14:paraId="18365549" w14:textId="5DF0FBDD" w:rsidR="00B02BCC" w:rsidRPr="0012790E" w:rsidRDefault="00B02BCC" w:rsidP="00B02BCC">
            <w:pPr>
              <w:pStyle w:val="Summarytabletextrightaligned"/>
              <w:rPr>
                <w:szCs w:val="16"/>
              </w:rPr>
            </w:pPr>
            <w:r>
              <w:rPr>
                <w:szCs w:val="16"/>
              </w:rPr>
              <w:t>-</w:t>
            </w:r>
          </w:p>
        </w:tc>
        <w:tc>
          <w:tcPr>
            <w:tcW w:w="851" w:type="dxa"/>
            <w:vAlign w:val="bottom"/>
          </w:tcPr>
          <w:p w14:paraId="77728358" w14:textId="00FB46E6" w:rsidR="00B02BCC" w:rsidRPr="0012790E" w:rsidRDefault="00B02BCC" w:rsidP="00B02BCC">
            <w:pPr>
              <w:pStyle w:val="Summarytabletextrightaligned"/>
              <w:rPr>
                <w:szCs w:val="16"/>
              </w:rPr>
            </w:pPr>
            <w:r>
              <w:rPr>
                <w:szCs w:val="16"/>
              </w:rPr>
              <w:t>4.2</w:t>
            </w:r>
          </w:p>
        </w:tc>
        <w:tc>
          <w:tcPr>
            <w:tcW w:w="851" w:type="dxa"/>
            <w:vAlign w:val="bottom"/>
          </w:tcPr>
          <w:p w14:paraId="7F25BF26" w14:textId="42DB9176" w:rsidR="00B02BCC" w:rsidRPr="0012790E" w:rsidRDefault="00B02BCC" w:rsidP="00B02BCC">
            <w:pPr>
              <w:pStyle w:val="Summarytabletextrightaligned"/>
              <w:rPr>
                <w:szCs w:val="16"/>
              </w:rPr>
            </w:pPr>
            <w:r>
              <w:rPr>
                <w:szCs w:val="16"/>
              </w:rPr>
              <w:t>5.5</w:t>
            </w:r>
          </w:p>
        </w:tc>
      </w:tr>
      <w:tr w:rsidR="00B02BCC" w:rsidRPr="0012790E" w14:paraId="599AFEE0" w14:textId="77777777" w:rsidTr="00C83B27">
        <w:tc>
          <w:tcPr>
            <w:tcW w:w="3470" w:type="dxa"/>
            <w:shd w:val="clear" w:color="auto" w:fill="auto"/>
            <w:vAlign w:val="bottom"/>
          </w:tcPr>
          <w:p w14:paraId="7C6AC945" w14:textId="4FC1D30A" w:rsidR="00B02BCC" w:rsidRPr="0012790E" w:rsidRDefault="00B02BCC" w:rsidP="00B02BCC">
            <w:pPr>
              <w:pStyle w:val="SummaryMeasureTitlewithTheme"/>
            </w:pPr>
            <w:r w:rsidRPr="0012790E">
              <w:t>Treasury Portfolio – additional resourcing(b)</w:t>
            </w:r>
          </w:p>
        </w:tc>
        <w:tc>
          <w:tcPr>
            <w:tcW w:w="851" w:type="dxa"/>
            <w:vAlign w:val="bottom"/>
          </w:tcPr>
          <w:p w14:paraId="27B84D0F" w14:textId="77777777" w:rsidR="00B02BCC" w:rsidRPr="0012790E" w:rsidRDefault="00B02BCC" w:rsidP="00B02BCC">
            <w:pPr>
              <w:pStyle w:val="Summarytabletextrightaligned"/>
              <w:rPr>
                <w:szCs w:val="16"/>
              </w:rPr>
            </w:pPr>
            <w:r w:rsidRPr="0012790E">
              <w:rPr>
                <w:szCs w:val="16"/>
              </w:rPr>
              <w:noBreakHyphen/>
            </w:r>
          </w:p>
        </w:tc>
        <w:tc>
          <w:tcPr>
            <w:tcW w:w="851" w:type="dxa"/>
            <w:shd w:val="clear" w:color="auto" w:fill="E6F2FF"/>
            <w:vAlign w:val="bottom"/>
          </w:tcPr>
          <w:p w14:paraId="64710EFD" w14:textId="77777777" w:rsidR="00B02BCC" w:rsidRPr="0012790E" w:rsidRDefault="00B02BCC" w:rsidP="00B02BCC">
            <w:pPr>
              <w:pStyle w:val="Summarytabletextrightaligned"/>
              <w:rPr>
                <w:szCs w:val="16"/>
              </w:rPr>
            </w:pPr>
            <w:r w:rsidRPr="0012790E">
              <w:rPr>
                <w:szCs w:val="16"/>
              </w:rPr>
              <w:t>0.6</w:t>
            </w:r>
          </w:p>
        </w:tc>
        <w:tc>
          <w:tcPr>
            <w:tcW w:w="851" w:type="dxa"/>
            <w:vAlign w:val="bottom"/>
          </w:tcPr>
          <w:p w14:paraId="6058F83E" w14:textId="77777777" w:rsidR="00B02BCC" w:rsidRPr="0012790E" w:rsidRDefault="00B02BCC" w:rsidP="00B02BCC">
            <w:pPr>
              <w:pStyle w:val="Summarytabletextrightaligned"/>
              <w:rPr>
                <w:szCs w:val="16"/>
              </w:rPr>
            </w:pPr>
            <w:r w:rsidRPr="0012790E">
              <w:rPr>
                <w:szCs w:val="16"/>
              </w:rPr>
              <w:t>0.7</w:t>
            </w:r>
          </w:p>
        </w:tc>
        <w:tc>
          <w:tcPr>
            <w:tcW w:w="851" w:type="dxa"/>
            <w:vAlign w:val="bottom"/>
          </w:tcPr>
          <w:p w14:paraId="503857C9" w14:textId="77777777" w:rsidR="00B02BCC" w:rsidRPr="0012790E" w:rsidRDefault="00B02BCC" w:rsidP="00B02BCC">
            <w:pPr>
              <w:pStyle w:val="Summarytabletextrightaligned"/>
              <w:rPr>
                <w:szCs w:val="16"/>
              </w:rPr>
            </w:pPr>
            <w:r w:rsidRPr="0012790E">
              <w:rPr>
                <w:szCs w:val="16"/>
              </w:rPr>
              <w:t>0.7</w:t>
            </w:r>
          </w:p>
        </w:tc>
        <w:tc>
          <w:tcPr>
            <w:tcW w:w="851" w:type="dxa"/>
            <w:vAlign w:val="bottom"/>
          </w:tcPr>
          <w:p w14:paraId="1C8C9E20" w14:textId="77777777" w:rsidR="00B02BCC" w:rsidRPr="0012790E" w:rsidRDefault="00B02BCC" w:rsidP="00B02BCC">
            <w:pPr>
              <w:pStyle w:val="Summarytabletextrightaligned"/>
              <w:rPr>
                <w:szCs w:val="16"/>
              </w:rPr>
            </w:pPr>
            <w:r w:rsidRPr="0012790E">
              <w:rPr>
                <w:szCs w:val="16"/>
              </w:rPr>
              <w:t>0.7</w:t>
            </w:r>
          </w:p>
        </w:tc>
      </w:tr>
      <w:tr w:rsidR="00B02BCC" w:rsidRPr="0012790E" w14:paraId="02A1943C" w14:textId="77777777" w:rsidTr="00C83B27">
        <w:tc>
          <w:tcPr>
            <w:tcW w:w="3470" w:type="dxa"/>
            <w:shd w:val="clear" w:color="auto" w:fill="auto"/>
            <w:vAlign w:val="bottom"/>
          </w:tcPr>
          <w:p w14:paraId="2A9AEAAD" w14:textId="14A88592" w:rsidR="00B02BCC" w:rsidRPr="0012790E" w:rsidRDefault="00B02BCC" w:rsidP="00B02BCC">
            <w:pPr>
              <w:pStyle w:val="SummaryAgencyTitle-BP2"/>
              <w:rPr>
                <w:iCs/>
              </w:rPr>
            </w:pPr>
            <w:r w:rsidRPr="0012790E">
              <w:rPr>
                <w:iCs/>
              </w:rPr>
              <w:t>Australian Securities and Investments Commission</w:t>
            </w:r>
          </w:p>
        </w:tc>
        <w:tc>
          <w:tcPr>
            <w:tcW w:w="851" w:type="dxa"/>
            <w:vAlign w:val="bottom"/>
          </w:tcPr>
          <w:p w14:paraId="1429CADD" w14:textId="77777777" w:rsidR="00B02BCC" w:rsidRPr="0012790E" w:rsidRDefault="00B02BCC" w:rsidP="00B02BCC">
            <w:pPr>
              <w:pStyle w:val="SummaryAgencyTitle-BP2"/>
              <w:rPr>
                <w:iCs/>
              </w:rPr>
            </w:pPr>
          </w:p>
        </w:tc>
        <w:tc>
          <w:tcPr>
            <w:tcW w:w="851" w:type="dxa"/>
            <w:shd w:val="clear" w:color="auto" w:fill="E6F2FF"/>
            <w:vAlign w:val="bottom"/>
          </w:tcPr>
          <w:p w14:paraId="225835DC" w14:textId="77777777" w:rsidR="00B02BCC" w:rsidRPr="0012790E" w:rsidRDefault="00B02BCC" w:rsidP="00B02BCC">
            <w:pPr>
              <w:pStyle w:val="SummaryAgencyTitle-BP2"/>
              <w:rPr>
                <w:iCs/>
              </w:rPr>
            </w:pPr>
          </w:p>
        </w:tc>
        <w:tc>
          <w:tcPr>
            <w:tcW w:w="851" w:type="dxa"/>
            <w:vAlign w:val="bottom"/>
          </w:tcPr>
          <w:p w14:paraId="2D170DE4" w14:textId="77777777" w:rsidR="00B02BCC" w:rsidRPr="0012790E" w:rsidRDefault="00B02BCC" w:rsidP="00B02BCC">
            <w:pPr>
              <w:pStyle w:val="SummaryAgencyTitle-BP2"/>
              <w:rPr>
                <w:iCs/>
              </w:rPr>
            </w:pPr>
          </w:p>
        </w:tc>
        <w:tc>
          <w:tcPr>
            <w:tcW w:w="851" w:type="dxa"/>
            <w:vAlign w:val="bottom"/>
          </w:tcPr>
          <w:p w14:paraId="687CBCEA" w14:textId="77777777" w:rsidR="00B02BCC" w:rsidRPr="0012790E" w:rsidRDefault="00B02BCC" w:rsidP="00B02BCC">
            <w:pPr>
              <w:pStyle w:val="SummaryAgencyTitle-BP2"/>
              <w:rPr>
                <w:iCs/>
              </w:rPr>
            </w:pPr>
          </w:p>
        </w:tc>
        <w:tc>
          <w:tcPr>
            <w:tcW w:w="851" w:type="dxa"/>
            <w:vAlign w:val="bottom"/>
          </w:tcPr>
          <w:p w14:paraId="14685C17" w14:textId="77777777" w:rsidR="00B02BCC" w:rsidRPr="0012790E" w:rsidRDefault="00B02BCC" w:rsidP="00B02BCC">
            <w:pPr>
              <w:pStyle w:val="SummaryAgencyTitle-BP2"/>
              <w:rPr>
                <w:iCs/>
              </w:rPr>
            </w:pPr>
          </w:p>
        </w:tc>
      </w:tr>
      <w:tr w:rsidR="00B02BCC" w:rsidRPr="0012790E" w14:paraId="1BFB6364" w14:textId="77777777" w:rsidTr="00C83B27">
        <w:tc>
          <w:tcPr>
            <w:tcW w:w="3470" w:type="dxa"/>
            <w:shd w:val="clear" w:color="auto" w:fill="auto"/>
            <w:vAlign w:val="bottom"/>
          </w:tcPr>
          <w:p w14:paraId="2592AC25" w14:textId="3827C591" w:rsidR="00B02BCC" w:rsidRPr="0012790E" w:rsidRDefault="00B02BCC" w:rsidP="00B02BCC">
            <w:pPr>
              <w:pStyle w:val="SummaryMeasureTitlewithTheme"/>
            </w:pPr>
            <w:r w:rsidRPr="0012790E">
              <w:t>Cyber Security of Regulators and Improving Registers(b)</w:t>
            </w:r>
          </w:p>
        </w:tc>
        <w:tc>
          <w:tcPr>
            <w:tcW w:w="851" w:type="dxa"/>
            <w:vAlign w:val="bottom"/>
          </w:tcPr>
          <w:p w14:paraId="06E2CB20" w14:textId="77777777" w:rsidR="00B02BCC" w:rsidRPr="0012790E" w:rsidRDefault="00B02BCC" w:rsidP="00B02BCC">
            <w:pPr>
              <w:pStyle w:val="Summarytabletextrightaligned"/>
              <w:rPr>
                <w:szCs w:val="16"/>
              </w:rPr>
            </w:pPr>
            <w:r w:rsidRPr="0012790E">
              <w:rPr>
                <w:szCs w:val="16"/>
              </w:rPr>
              <w:noBreakHyphen/>
            </w:r>
          </w:p>
        </w:tc>
        <w:tc>
          <w:tcPr>
            <w:tcW w:w="851" w:type="dxa"/>
            <w:shd w:val="clear" w:color="auto" w:fill="E6F2FF"/>
            <w:vAlign w:val="bottom"/>
          </w:tcPr>
          <w:p w14:paraId="4597370F" w14:textId="77777777" w:rsidR="00B02BCC" w:rsidRPr="0012790E" w:rsidRDefault="00B02BCC" w:rsidP="00B02BCC">
            <w:pPr>
              <w:pStyle w:val="Summarytabletextrightaligned"/>
              <w:rPr>
                <w:szCs w:val="16"/>
              </w:rPr>
            </w:pPr>
            <w:r w:rsidRPr="0012790E">
              <w:rPr>
                <w:szCs w:val="16"/>
              </w:rPr>
              <w:noBreakHyphen/>
            </w:r>
          </w:p>
        </w:tc>
        <w:tc>
          <w:tcPr>
            <w:tcW w:w="851" w:type="dxa"/>
            <w:vAlign w:val="bottom"/>
          </w:tcPr>
          <w:p w14:paraId="55280946" w14:textId="77777777" w:rsidR="00B02BCC" w:rsidRPr="0012790E" w:rsidRDefault="00B02BCC" w:rsidP="00B02BCC">
            <w:pPr>
              <w:pStyle w:val="Summarytabletextrightaligned"/>
              <w:rPr>
                <w:szCs w:val="16"/>
              </w:rPr>
            </w:pPr>
            <w:r w:rsidRPr="0012790E">
              <w:rPr>
                <w:szCs w:val="16"/>
              </w:rPr>
              <w:t>9.3</w:t>
            </w:r>
          </w:p>
        </w:tc>
        <w:tc>
          <w:tcPr>
            <w:tcW w:w="851" w:type="dxa"/>
            <w:vAlign w:val="bottom"/>
          </w:tcPr>
          <w:p w14:paraId="7BF89F90" w14:textId="77777777" w:rsidR="00B02BCC" w:rsidRPr="0012790E" w:rsidRDefault="00B02BCC" w:rsidP="00B02BCC">
            <w:pPr>
              <w:pStyle w:val="Summarytabletextrightaligned"/>
              <w:rPr>
                <w:szCs w:val="16"/>
              </w:rPr>
            </w:pPr>
            <w:r w:rsidRPr="0012790E">
              <w:rPr>
                <w:szCs w:val="16"/>
              </w:rPr>
              <w:t>12.2</w:t>
            </w:r>
          </w:p>
        </w:tc>
        <w:tc>
          <w:tcPr>
            <w:tcW w:w="851" w:type="dxa"/>
            <w:vAlign w:val="bottom"/>
          </w:tcPr>
          <w:p w14:paraId="0C0E4F0D" w14:textId="77777777" w:rsidR="00B02BCC" w:rsidRPr="0012790E" w:rsidRDefault="00B02BCC" w:rsidP="00B02BCC">
            <w:pPr>
              <w:pStyle w:val="Summarytabletextrightaligned"/>
              <w:rPr>
                <w:szCs w:val="16"/>
              </w:rPr>
            </w:pPr>
            <w:r w:rsidRPr="0012790E">
              <w:rPr>
                <w:szCs w:val="16"/>
              </w:rPr>
              <w:t>13.6</w:t>
            </w:r>
          </w:p>
        </w:tc>
      </w:tr>
      <w:tr w:rsidR="00B02BCC" w:rsidRPr="0012790E" w14:paraId="7CB6269B" w14:textId="77777777" w:rsidTr="00C83B27">
        <w:tc>
          <w:tcPr>
            <w:tcW w:w="3470" w:type="dxa"/>
            <w:shd w:val="clear" w:color="auto" w:fill="auto"/>
            <w:vAlign w:val="bottom"/>
          </w:tcPr>
          <w:p w14:paraId="721EB7BC" w14:textId="59CA14DA" w:rsidR="00B02BCC" w:rsidRPr="0012790E" w:rsidRDefault="00B02BCC" w:rsidP="00B02BCC">
            <w:pPr>
              <w:pStyle w:val="SummaryMeasureTitlewithTheme"/>
            </w:pPr>
            <w:r w:rsidRPr="0012790E">
              <w:t>Fighting Scams(b)</w:t>
            </w:r>
          </w:p>
        </w:tc>
        <w:tc>
          <w:tcPr>
            <w:tcW w:w="851" w:type="dxa"/>
            <w:vAlign w:val="bottom"/>
          </w:tcPr>
          <w:p w14:paraId="1F7BA39B" w14:textId="77777777" w:rsidR="00B02BCC" w:rsidRPr="0012790E" w:rsidRDefault="00B02BCC" w:rsidP="00B02BCC">
            <w:pPr>
              <w:pStyle w:val="Summarytabletextrightaligned"/>
              <w:rPr>
                <w:szCs w:val="16"/>
              </w:rPr>
            </w:pPr>
            <w:r w:rsidRPr="0012790E">
              <w:rPr>
                <w:szCs w:val="16"/>
              </w:rPr>
              <w:noBreakHyphen/>
            </w:r>
          </w:p>
        </w:tc>
        <w:tc>
          <w:tcPr>
            <w:tcW w:w="851" w:type="dxa"/>
            <w:shd w:val="clear" w:color="auto" w:fill="E6F2FF"/>
            <w:vAlign w:val="bottom"/>
          </w:tcPr>
          <w:p w14:paraId="654031F8" w14:textId="77777777" w:rsidR="00B02BCC" w:rsidRPr="0012790E" w:rsidRDefault="00B02BCC" w:rsidP="00B02BCC">
            <w:pPr>
              <w:pStyle w:val="Summarytabletextrightaligned"/>
              <w:rPr>
                <w:szCs w:val="16"/>
              </w:rPr>
            </w:pPr>
            <w:r w:rsidRPr="0012790E">
              <w:rPr>
                <w:szCs w:val="16"/>
              </w:rPr>
              <w:noBreakHyphen/>
            </w:r>
          </w:p>
        </w:tc>
        <w:tc>
          <w:tcPr>
            <w:tcW w:w="851" w:type="dxa"/>
            <w:vAlign w:val="bottom"/>
          </w:tcPr>
          <w:p w14:paraId="6AC9EDED" w14:textId="77777777" w:rsidR="00B02BCC" w:rsidRPr="0012790E" w:rsidRDefault="00B02BCC" w:rsidP="00B02BCC">
            <w:pPr>
              <w:pStyle w:val="Summarytabletextrightaligned"/>
              <w:rPr>
                <w:szCs w:val="16"/>
              </w:rPr>
            </w:pPr>
            <w:r w:rsidRPr="0012790E">
              <w:rPr>
                <w:szCs w:val="16"/>
              </w:rPr>
              <w:t>3.1</w:t>
            </w:r>
          </w:p>
        </w:tc>
        <w:tc>
          <w:tcPr>
            <w:tcW w:w="851" w:type="dxa"/>
            <w:vAlign w:val="bottom"/>
          </w:tcPr>
          <w:p w14:paraId="5FB9A072" w14:textId="77777777" w:rsidR="00B02BCC" w:rsidRPr="0012790E" w:rsidRDefault="00B02BCC" w:rsidP="00B02BCC">
            <w:pPr>
              <w:pStyle w:val="Summarytabletextrightaligned"/>
              <w:rPr>
                <w:szCs w:val="16"/>
              </w:rPr>
            </w:pPr>
            <w:r w:rsidRPr="0012790E">
              <w:rPr>
                <w:szCs w:val="16"/>
              </w:rPr>
              <w:t>2.7</w:t>
            </w:r>
          </w:p>
        </w:tc>
        <w:tc>
          <w:tcPr>
            <w:tcW w:w="851" w:type="dxa"/>
            <w:vAlign w:val="bottom"/>
          </w:tcPr>
          <w:p w14:paraId="6F4D1F49" w14:textId="77777777" w:rsidR="00B02BCC" w:rsidRPr="0012790E" w:rsidRDefault="00B02BCC" w:rsidP="00B02BCC">
            <w:pPr>
              <w:pStyle w:val="Summarytabletextrightaligned"/>
              <w:rPr>
                <w:szCs w:val="16"/>
              </w:rPr>
            </w:pPr>
            <w:r w:rsidRPr="0012790E">
              <w:rPr>
                <w:szCs w:val="16"/>
              </w:rPr>
              <w:t>2.1</w:t>
            </w:r>
          </w:p>
        </w:tc>
      </w:tr>
      <w:tr w:rsidR="00B02BCC" w:rsidRPr="0012790E" w14:paraId="16905037" w14:textId="77777777" w:rsidTr="00C83B27">
        <w:tc>
          <w:tcPr>
            <w:tcW w:w="3470" w:type="dxa"/>
            <w:shd w:val="clear" w:color="auto" w:fill="auto"/>
            <w:vAlign w:val="bottom"/>
          </w:tcPr>
          <w:p w14:paraId="16F75B57" w14:textId="6B63CE4B" w:rsidR="00B02BCC" w:rsidRPr="0012790E" w:rsidRDefault="00B02BCC" w:rsidP="00B02BCC">
            <w:pPr>
              <w:pStyle w:val="SummaryMeasureTitlewithTheme"/>
            </w:pPr>
            <w:r w:rsidRPr="0012790E">
              <w:t>Future Made in Australia – Promoting Sustainable Finance Markets(b)</w:t>
            </w:r>
          </w:p>
        </w:tc>
        <w:tc>
          <w:tcPr>
            <w:tcW w:w="851" w:type="dxa"/>
            <w:vAlign w:val="bottom"/>
          </w:tcPr>
          <w:p w14:paraId="2A77D2AD" w14:textId="77777777" w:rsidR="00B02BCC" w:rsidRPr="0012790E" w:rsidRDefault="00B02BCC" w:rsidP="00B02BCC">
            <w:pPr>
              <w:pStyle w:val="Summarytabletextrightaligned"/>
              <w:rPr>
                <w:szCs w:val="16"/>
              </w:rPr>
            </w:pPr>
            <w:r w:rsidRPr="0012790E">
              <w:rPr>
                <w:szCs w:val="16"/>
              </w:rPr>
              <w:noBreakHyphen/>
            </w:r>
          </w:p>
        </w:tc>
        <w:tc>
          <w:tcPr>
            <w:tcW w:w="851" w:type="dxa"/>
            <w:shd w:val="clear" w:color="auto" w:fill="E6F2FF"/>
            <w:vAlign w:val="bottom"/>
          </w:tcPr>
          <w:p w14:paraId="51DA07EB" w14:textId="77777777" w:rsidR="00B02BCC" w:rsidRPr="0012790E" w:rsidRDefault="00B02BCC" w:rsidP="00B02BCC">
            <w:pPr>
              <w:pStyle w:val="Summarytabletextrightaligned"/>
              <w:rPr>
                <w:szCs w:val="16"/>
              </w:rPr>
            </w:pPr>
            <w:r w:rsidRPr="0012790E">
              <w:rPr>
                <w:szCs w:val="16"/>
              </w:rPr>
              <w:noBreakHyphen/>
            </w:r>
          </w:p>
        </w:tc>
        <w:tc>
          <w:tcPr>
            <w:tcW w:w="851" w:type="dxa"/>
            <w:vAlign w:val="bottom"/>
          </w:tcPr>
          <w:p w14:paraId="346EB0BE" w14:textId="77777777" w:rsidR="00B02BCC" w:rsidRPr="0012790E" w:rsidRDefault="00B02BCC" w:rsidP="00B02BCC">
            <w:pPr>
              <w:pStyle w:val="Summarytabletextrightaligned"/>
              <w:rPr>
                <w:szCs w:val="16"/>
              </w:rPr>
            </w:pPr>
            <w:r w:rsidRPr="0012790E">
              <w:rPr>
                <w:szCs w:val="16"/>
              </w:rPr>
              <w:t>3.0</w:t>
            </w:r>
          </w:p>
        </w:tc>
        <w:tc>
          <w:tcPr>
            <w:tcW w:w="851" w:type="dxa"/>
            <w:vAlign w:val="bottom"/>
          </w:tcPr>
          <w:p w14:paraId="157F31DB" w14:textId="77777777" w:rsidR="00B02BCC" w:rsidRPr="0012790E" w:rsidRDefault="00B02BCC" w:rsidP="00B02BCC">
            <w:pPr>
              <w:pStyle w:val="Summarytabletextrightaligned"/>
              <w:rPr>
                <w:szCs w:val="16"/>
              </w:rPr>
            </w:pPr>
            <w:r w:rsidRPr="0012790E">
              <w:rPr>
                <w:szCs w:val="16"/>
              </w:rPr>
              <w:t>2.8</w:t>
            </w:r>
          </w:p>
        </w:tc>
        <w:tc>
          <w:tcPr>
            <w:tcW w:w="851" w:type="dxa"/>
            <w:vAlign w:val="bottom"/>
          </w:tcPr>
          <w:p w14:paraId="4BA86750" w14:textId="77777777" w:rsidR="00B02BCC" w:rsidRPr="0012790E" w:rsidRDefault="00B02BCC" w:rsidP="00B02BCC">
            <w:pPr>
              <w:pStyle w:val="Summarytabletextrightaligned"/>
              <w:rPr>
                <w:szCs w:val="16"/>
              </w:rPr>
            </w:pPr>
            <w:r w:rsidRPr="0012790E">
              <w:rPr>
                <w:szCs w:val="16"/>
              </w:rPr>
              <w:t>2.4</w:t>
            </w:r>
          </w:p>
        </w:tc>
      </w:tr>
      <w:tr w:rsidR="000B5739" w:rsidRPr="0012790E" w14:paraId="72705AEF" w14:textId="77777777" w:rsidTr="00C83B27">
        <w:tc>
          <w:tcPr>
            <w:tcW w:w="3470" w:type="dxa"/>
            <w:shd w:val="clear" w:color="auto" w:fill="auto"/>
            <w:vAlign w:val="bottom"/>
          </w:tcPr>
          <w:p w14:paraId="22D36202" w14:textId="564C96EA" w:rsidR="000B5739" w:rsidRPr="0012790E" w:rsidRDefault="000B5739" w:rsidP="000B5739">
            <w:pPr>
              <w:pStyle w:val="SummaryMeasureTitlewithTheme"/>
            </w:pPr>
            <w:r w:rsidRPr="0012790E">
              <w:t>Modernising Digital Assets and Payments Regulation(b)</w:t>
            </w:r>
          </w:p>
        </w:tc>
        <w:tc>
          <w:tcPr>
            <w:tcW w:w="851" w:type="dxa"/>
            <w:vAlign w:val="bottom"/>
          </w:tcPr>
          <w:p w14:paraId="2263AA64" w14:textId="53466879" w:rsidR="000B5739" w:rsidRPr="0012790E" w:rsidRDefault="000B5739" w:rsidP="000B5739">
            <w:pPr>
              <w:pStyle w:val="Summarytabletextrightaligned"/>
              <w:rPr>
                <w:szCs w:val="16"/>
              </w:rPr>
            </w:pPr>
            <w:r>
              <w:rPr>
                <w:szCs w:val="16"/>
              </w:rPr>
              <w:t>-</w:t>
            </w:r>
          </w:p>
        </w:tc>
        <w:tc>
          <w:tcPr>
            <w:tcW w:w="851" w:type="dxa"/>
            <w:shd w:val="clear" w:color="auto" w:fill="E6F2FF"/>
            <w:vAlign w:val="bottom"/>
          </w:tcPr>
          <w:p w14:paraId="648C72A0" w14:textId="4F22BF26" w:rsidR="000B5739" w:rsidRPr="0012790E" w:rsidRDefault="000B5739" w:rsidP="000B5739">
            <w:pPr>
              <w:pStyle w:val="Summarytabletextrightaligned"/>
              <w:rPr>
                <w:szCs w:val="16"/>
              </w:rPr>
            </w:pPr>
            <w:r>
              <w:rPr>
                <w:szCs w:val="16"/>
              </w:rPr>
              <w:t>-</w:t>
            </w:r>
          </w:p>
        </w:tc>
        <w:tc>
          <w:tcPr>
            <w:tcW w:w="851" w:type="dxa"/>
            <w:vAlign w:val="bottom"/>
          </w:tcPr>
          <w:p w14:paraId="7B165C15" w14:textId="030C02CE" w:rsidR="000B5739" w:rsidRPr="0012790E" w:rsidRDefault="000B5739" w:rsidP="000B5739">
            <w:pPr>
              <w:pStyle w:val="Summarytabletextrightaligned"/>
              <w:rPr>
                <w:szCs w:val="16"/>
              </w:rPr>
            </w:pPr>
            <w:r>
              <w:rPr>
                <w:szCs w:val="16"/>
              </w:rPr>
              <w:t>17.3</w:t>
            </w:r>
          </w:p>
        </w:tc>
        <w:tc>
          <w:tcPr>
            <w:tcW w:w="851" w:type="dxa"/>
            <w:vAlign w:val="bottom"/>
          </w:tcPr>
          <w:p w14:paraId="23D78A6A" w14:textId="7ED43ED2" w:rsidR="000B5739" w:rsidRPr="0012790E" w:rsidRDefault="000B5739" w:rsidP="000B5739">
            <w:pPr>
              <w:pStyle w:val="Summarytabletextrightaligned"/>
              <w:rPr>
                <w:szCs w:val="16"/>
              </w:rPr>
            </w:pPr>
            <w:r>
              <w:rPr>
                <w:szCs w:val="16"/>
              </w:rPr>
              <w:t>15.2</w:t>
            </w:r>
          </w:p>
        </w:tc>
        <w:tc>
          <w:tcPr>
            <w:tcW w:w="851" w:type="dxa"/>
            <w:vAlign w:val="bottom"/>
          </w:tcPr>
          <w:p w14:paraId="1EE5D6DB" w14:textId="2F7B0204" w:rsidR="000B5739" w:rsidRPr="0012790E" w:rsidRDefault="000B5739" w:rsidP="000B5739">
            <w:pPr>
              <w:pStyle w:val="Summarytabletextrightaligned"/>
              <w:rPr>
                <w:szCs w:val="16"/>
              </w:rPr>
            </w:pPr>
            <w:r>
              <w:rPr>
                <w:szCs w:val="16"/>
              </w:rPr>
              <w:t>13.5</w:t>
            </w:r>
          </w:p>
        </w:tc>
      </w:tr>
      <w:tr w:rsidR="000B5739" w:rsidRPr="0012790E" w14:paraId="3E853597" w14:textId="77777777" w:rsidTr="00C83B27">
        <w:tc>
          <w:tcPr>
            <w:tcW w:w="3470" w:type="dxa"/>
            <w:shd w:val="clear" w:color="auto" w:fill="auto"/>
            <w:vAlign w:val="bottom"/>
          </w:tcPr>
          <w:p w14:paraId="60763C08" w14:textId="388ED074" w:rsidR="000B5739" w:rsidRPr="0012790E" w:rsidRDefault="000B5739" w:rsidP="000B5739">
            <w:pPr>
              <w:pStyle w:val="SummaryMeasureTitlewithTheme"/>
            </w:pPr>
            <w:r w:rsidRPr="0012790E">
              <w:t>Treasury Portfolio – additional resourcing(b)</w:t>
            </w:r>
          </w:p>
        </w:tc>
        <w:tc>
          <w:tcPr>
            <w:tcW w:w="851" w:type="dxa"/>
            <w:vAlign w:val="bottom"/>
          </w:tcPr>
          <w:p w14:paraId="32E9E9C1" w14:textId="77777777" w:rsidR="000B5739" w:rsidRPr="0012790E" w:rsidRDefault="000B5739" w:rsidP="000B5739">
            <w:pPr>
              <w:pStyle w:val="Summarytabletextrightaligned"/>
              <w:rPr>
                <w:szCs w:val="16"/>
              </w:rPr>
            </w:pPr>
            <w:r w:rsidRPr="0012790E">
              <w:rPr>
                <w:szCs w:val="16"/>
              </w:rPr>
              <w:noBreakHyphen/>
            </w:r>
          </w:p>
        </w:tc>
        <w:tc>
          <w:tcPr>
            <w:tcW w:w="851" w:type="dxa"/>
            <w:shd w:val="clear" w:color="auto" w:fill="E6F2FF"/>
            <w:vAlign w:val="bottom"/>
          </w:tcPr>
          <w:p w14:paraId="52B96BB3" w14:textId="77777777" w:rsidR="000B5739" w:rsidRPr="0012790E" w:rsidRDefault="000B5739" w:rsidP="000B5739">
            <w:pPr>
              <w:pStyle w:val="Summarytabletextrightaligned"/>
              <w:rPr>
                <w:szCs w:val="16"/>
              </w:rPr>
            </w:pPr>
            <w:r w:rsidRPr="0012790E">
              <w:rPr>
                <w:szCs w:val="16"/>
              </w:rPr>
              <w:noBreakHyphen/>
            </w:r>
          </w:p>
        </w:tc>
        <w:tc>
          <w:tcPr>
            <w:tcW w:w="851" w:type="dxa"/>
            <w:vAlign w:val="bottom"/>
          </w:tcPr>
          <w:p w14:paraId="2E65A305" w14:textId="77777777" w:rsidR="000B5739" w:rsidRPr="0012790E" w:rsidRDefault="000B5739" w:rsidP="000B5739">
            <w:pPr>
              <w:pStyle w:val="Summarytabletextrightaligned"/>
              <w:rPr>
                <w:szCs w:val="16"/>
              </w:rPr>
            </w:pPr>
            <w:r w:rsidRPr="0012790E">
              <w:rPr>
                <w:szCs w:val="16"/>
              </w:rPr>
              <w:t>2.4</w:t>
            </w:r>
          </w:p>
        </w:tc>
        <w:tc>
          <w:tcPr>
            <w:tcW w:w="851" w:type="dxa"/>
            <w:vAlign w:val="bottom"/>
          </w:tcPr>
          <w:p w14:paraId="0C2BCD5D" w14:textId="77777777" w:rsidR="000B5739" w:rsidRPr="0012790E" w:rsidRDefault="000B5739" w:rsidP="000B5739">
            <w:pPr>
              <w:pStyle w:val="Summarytabletextrightaligned"/>
              <w:rPr>
                <w:szCs w:val="16"/>
              </w:rPr>
            </w:pPr>
            <w:r w:rsidRPr="0012790E">
              <w:rPr>
                <w:szCs w:val="16"/>
              </w:rPr>
              <w:t>8.7</w:t>
            </w:r>
          </w:p>
        </w:tc>
        <w:tc>
          <w:tcPr>
            <w:tcW w:w="851" w:type="dxa"/>
            <w:vAlign w:val="bottom"/>
          </w:tcPr>
          <w:p w14:paraId="07721466" w14:textId="77777777" w:rsidR="000B5739" w:rsidRPr="0012790E" w:rsidRDefault="000B5739" w:rsidP="000B5739">
            <w:pPr>
              <w:pStyle w:val="Summarytabletextrightaligned"/>
              <w:rPr>
                <w:szCs w:val="16"/>
              </w:rPr>
            </w:pPr>
            <w:r w:rsidRPr="0012790E">
              <w:rPr>
                <w:szCs w:val="16"/>
              </w:rPr>
              <w:t>7.8</w:t>
            </w:r>
          </w:p>
        </w:tc>
      </w:tr>
      <w:tr w:rsidR="000B5739" w:rsidRPr="0012790E" w14:paraId="30980B79" w14:textId="77777777" w:rsidTr="00C83B27">
        <w:tc>
          <w:tcPr>
            <w:tcW w:w="3470" w:type="dxa"/>
            <w:shd w:val="clear" w:color="auto" w:fill="auto"/>
            <w:vAlign w:val="bottom"/>
          </w:tcPr>
          <w:p w14:paraId="36683B9F" w14:textId="77777777" w:rsidR="000B5739" w:rsidRPr="0012790E" w:rsidRDefault="000B5739" w:rsidP="000B5739">
            <w:pPr>
              <w:pStyle w:val="SummaryAgencyTitle-BP2"/>
              <w:rPr>
                <w:iCs/>
              </w:rPr>
            </w:pPr>
            <w:r w:rsidRPr="0012790E">
              <w:rPr>
                <w:iCs/>
              </w:rPr>
              <w:t>Australian Taxation Office</w:t>
            </w:r>
          </w:p>
        </w:tc>
        <w:tc>
          <w:tcPr>
            <w:tcW w:w="851" w:type="dxa"/>
            <w:vAlign w:val="bottom"/>
          </w:tcPr>
          <w:p w14:paraId="57C400A7" w14:textId="77777777" w:rsidR="000B5739" w:rsidRPr="0012790E" w:rsidRDefault="000B5739" w:rsidP="000B5739">
            <w:pPr>
              <w:pStyle w:val="SummaryAgencyTitle-BP2"/>
              <w:rPr>
                <w:iCs/>
              </w:rPr>
            </w:pPr>
          </w:p>
        </w:tc>
        <w:tc>
          <w:tcPr>
            <w:tcW w:w="851" w:type="dxa"/>
            <w:shd w:val="clear" w:color="auto" w:fill="E6F2FF"/>
            <w:vAlign w:val="bottom"/>
          </w:tcPr>
          <w:p w14:paraId="1559E1DC" w14:textId="77777777" w:rsidR="000B5739" w:rsidRPr="0012790E" w:rsidRDefault="000B5739" w:rsidP="000B5739">
            <w:pPr>
              <w:pStyle w:val="SummaryAgencyTitle-BP2"/>
              <w:rPr>
                <w:iCs/>
              </w:rPr>
            </w:pPr>
          </w:p>
        </w:tc>
        <w:tc>
          <w:tcPr>
            <w:tcW w:w="851" w:type="dxa"/>
            <w:vAlign w:val="bottom"/>
          </w:tcPr>
          <w:p w14:paraId="343A6A92" w14:textId="77777777" w:rsidR="000B5739" w:rsidRPr="0012790E" w:rsidRDefault="000B5739" w:rsidP="000B5739">
            <w:pPr>
              <w:pStyle w:val="SummaryAgencyTitle-BP2"/>
              <w:rPr>
                <w:iCs/>
              </w:rPr>
            </w:pPr>
          </w:p>
        </w:tc>
        <w:tc>
          <w:tcPr>
            <w:tcW w:w="851" w:type="dxa"/>
            <w:vAlign w:val="bottom"/>
          </w:tcPr>
          <w:p w14:paraId="40173EFA" w14:textId="77777777" w:rsidR="000B5739" w:rsidRPr="0012790E" w:rsidRDefault="000B5739" w:rsidP="000B5739">
            <w:pPr>
              <w:pStyle w:val="SummaryAgencyTitle-BP2"/>
              <w:rPr>
                <w:iCs/>
              </w:rPr>
            </w:pPr>
          </w:p>
        </w:tc>
        <w:tc>
          <w:tcPr>
            <w:tcW w:w="851" w:type="dxa"/>
            <w:vAlign w:val="bottom"/>
          </w:tcPr>
          <w:p w14:paraId="56D7D1CA" w14:textId="77777777" w:rsidR="000B5739" w:rsidRPr="0012790E" w:rsidRDefault="000B5739" w:rsidP="000B5739">
            <w:pPr>
              <w:pStyle w:val="SummaryAgencyTitle-BP2"/>
              <w:rPr>
                <w:iCs/>
              </w:rPr>
            </w:pPr>
          </w:p>
        </w:tc>
      </w:tr>
      <w:tr w:rsidR="000B5739" w:rsidRPr="0012790E" w14:paraId="7B2D723C" w14:textId="77777777" w:rsidTr="00C83B27">
        <w:tc>
          <w:tcPr>
            <w:tcW w:w="3470" w:type="dxa"/>
            <w:shd w:val="clear" w:color="auto" w:fill="auto"/>
            <w:vAlign w:val="bottom"/>
          </w:tcPr>
          <w:p w14:paraId="2B0317B9" w14:textId="60F83BE5" w:rsidR="000B5739" w:rsidRPr="0012790E" w:rsidRDefault="000B5739" w:rsidP="000B5739">
            <w:pPr>
              <w:pStyle w:val="SummaryMeasureTitlewithTheme"/>
            </w:pPr>
            <w:r w:rsidRPr="0012790E">
              <w:t>A Higher Rate of JobSeeker Payment for Participants with a Partial Capacity to Work (0</w:t>
            </w:r>
            <w:r w:rsidRPr="0012790E">
              <w:noBreakHyphen/>
              <w:t>14 hours)(b)</w:t>
            </w:r>
          </w:p>
        </w:tc>
        <w:tc>
          <w:tcPr>
            <w:tcW w:w="851" w:type="dxa"/>
            <w:vAlign w:val="bottom"/>
          </w:tcPr>
          <w:p w14:paraId="30B1DEB0" w14:textId="77777777" w:rsidR="000B5739" w:rsidRPr="0012790E" w:rsidRDefault="000B5739" w:rsidP="000B5739">
            <w:pPr>
              <w:pStyle w:val="Summarytabletextrightaligned"/>
              <w:rPr>
                <w:szCs w:val="16"/>
              </w:rPr>
            </w:pPr>
            <w:r w:rsidRPr="0012790E">
              <w:rPr>
                <w:szCs w:val="16"/>
              </w:rPr>
              <w:noBreakHyphen/>
            </w:r>
          </w:p>
        </w:tc>
        <w:tc>
          <w:tcPr>
            <w:tcW w:w="851" w:type="dxa"/>
            <w:shd w:val="clear" w:color="auto" w:fill="E6F2FF"/>
            <w:vAlign w:val="bottom"/>
          </w:tcPr>
          <w:p w14:paraId="32B8CE8B" w14:textId="3DE84613" w:rsidR="000B5739" w:rsidRPr="0012790E" w:rsidRDefault="002672E9" w:rsidP="000B5739">
            <w:pPr>
              <w:pStyle w:val="Summarytabletextrightaligned"/>
              <w:rPr>
                <w:szCs w:val="16"/>
              </w:rPr>
            </w:pPr>
            <w:r>
              <w:rPr>
                <w:szCs w:val="16"/>
              </w:rPr>
              <w:t>..</w:t>
            </w:r>
          </w:p>
        </w:tc>
        <w:tc>
          <w:tcPr>
            <w:tcW w:w="851" w:type="dxa"/>
            <w:vAlign w:val="bottom"/>
          </w:tcPr>
          <w:p w14:paraId="76D884B5" w14:textId="12D522C4" w:rsidR="000B5739" w:rsidRPr="0012790E" w:rsidRDefault="002672E9" w:rsidP="000B5739">
            <w:pPr>
              <w:pStyle w:val="Summarytabletextrightaligned"/>
              <w:rPr>
                <w:szCs w:val="16"/>
              </w:rPr>
            </w:pPr>
            <w:r>
              <w:rPr>
                <w:szCs w:val="16"/>
              </w:rPr>
              <w:t>..</w:t>
            </w:r>
          </w:p>
        </w:tc>
        <w:tc>
          <w:tcPr>
            <w:tcW w:w="851" w:type="dxa"/>
            <w:vAlign w:val="bottom"/>
          </w:tcPr>
          <w:p w14:paraId="6B680844" w14:textId="15A38735" w:rsidR="000B5739" w:rsidRPr="0012790E" w:rsidRDefault="002672E9" w:rsidP="000B5739">
            <w:pPr>
              <w:pStyle w:val="Summarytabletextrightaligned"/>
              <w:rPr>
                <w:szCs w:val="16"/>
              </w:rPr>
            </w:pPr>
            <w:r>
              <w:rPr>
                <w:szCs w:val="16"/>
              </w:rPr>
              <w:t>..</w:t>
            </w:r>
          </w:p>
        </w:tc>
        <w:tc>
          <w:tcPr>
            <w:tcW w:w="851" w:type="dxa"/>
            <w:vAlign w:val="bottom"/>
          </w:tcPr>
          <w:p w14:paraId="111203EE" w14:textId="3D86B31A" w:rsidR="000B5739" w:rsidRPr="0012790E" w:rsidRDefault="002672E9" w:rsidP="000B5739">
            <w:pPr>
              <w:pStyle w:val="Summarytabletextrightaligned"/>
              <w:rPr>
                <w:szCs w:val="16"/>
              </w:rPr>
            </w:pPr>
            <w:r>
              <w:rPr>
                <w:szCs w:val="16"/>
              </w:rPr>
              <w:t>..</w:t>
            </w:r>
          </w:p>
        </w:tc>
      </w:tr>
      <w:tr w:rsidR="000B5739" w:rsidRPr="0012790E" w14:paraId="211DB21D" w14:textId="77777777" w:rsidTr="00C83B27">
        <w:tc>
          <w:tcPr>
            <w:tcW w:w="3470" w:type="dxa"/>
            <w:shd w:val="clear" w:color="auto" w:fill="auto"/>
            <w:vAlign w:val="bottom"/>
          </w:tcPr>
          <w:p w14:paraId="49E3A2BB" w14:textId="59DFC323" w:rsidR="000B5739" w:rsidRPr="0012790E" w:rsidRDefault="000B5739" w:rsidP="000B5739">
            <w:pPr>
              <w:pStyle w:val="SummaryMeasureTitlewithTheme"/>
            </w:pPr>
            <w:r w:rsidRPr="0012790E">
              <w:t>Amendments to existing measures(b)</w:t>
            </w:r>
          </w:p>
        </w:tc>
        <w:tc>
          <w:tcPr>
            <w:tcW w:w="851" w:type="dxa"/>
            <w:vAlign w:val="bottom"/>
          </w:tcPr>
          <w:p w14:paraId="3CE6AF6F" w14:textId="77777777" w:rsidR="000B5739" w:rsidRPr="0012790E" w:rsidRDefault="000B5739" w:rsidP="000B5739">
            <w:pPr>
              <w:pStyle w:val="Summarytabletextrightaligned"/>
              <w:rPr>
                <w:szCs w:val="16"/>
              </w:rPr>
            </w:pPr>
            <w:r w:rsidRPr="0012790E">
              <w:rPr>
                <w:szCs w:val="16"/>
              </w:rPr>
              <w:noBreakHyphen/>
              <w:t>30.0</w:t>
            </w:r>
          </w:p>
        </w:tc>
        <w:tc>
          <w:tcPr>
            <w:tcW w:w="851" w:type="dxa"/>
            <w:shd w:val="clear" w:color="auto" w:fill="E6F2FF"/>
            <w:vAlign w:val="bottom"/>
          </w:tcPr>
          <w:p w14:paraId="78E50472" w14:textId="77777777" w:rsidR="000B5739" w:rsidRPr="0012790E" w:rsidRDefault="000B5739" w:rsidP="000B5739">
            <w:pPr>
              <w:pStyle w:val="Summarytabletextrightaligned"/>
              <w:rPr>
                <w:szCs w:val="16"/>
              </w:rPr>
            </w:pPr>
            <w:r w:rsidRPr="0012790E">
              <w:rPr>
                <w:szCs w:val="16"/>
              </w:rPr>
              <w:t>60.0</w:t>
            </w:r>
          </w:p>
        </w:tc>
        <w:tc>
          <w:tcPr>
            <w:tcW w:w="851" w:type="dxa"/>
            <w:vAlign w:val="bottom"/>
          </w:tcPr>
          <w:p w14:paraId="04E8826D" w14:textId="77777777" w:rsidR="000B5739" w:rsidRPr="0012790E" w:rsidRDefault="000B5739" w:rsidP="000B5739">
            <w:pPr>
              <w:pStyle w:val="Summarytabletextrightaligned"/>
              <w:rPr>
                <w:szCs w:val="16"/>
              </w:rPr>
            </w:pPr>
            <w:r w:rsidRPr="0012790E">
              <w:rPr>
                <w:szCs w:val="16"/>
              </w:rPr>
              <w:noBreakHyphen/>
              <w:t>65.0</w:t>
            </w:r>
          </w:p>
        </w:tc>
        <w:tc>
          <w:tcPr>
            <w:tcW w:w="851" w:type="dxa"/>
            <w:vAlign w:val="bottom"/>
          </w:tcPr>
          <w:p w14:paraId="66E0508F" w14:textId="77777777" w:rsidR="000B5739" w:rsidRPr="0012790E" w:rsidRDefault="000B5739" w:rsidP="000B5739">
            <w:pPr>
              <w:pStyle w:val="Summarytabletextrightaligned"/>
              <w:rPr>
                <w:szCs w:val="16"/>
              </w:rPr>
            </w:pPr>
            <w:r w:rsidRPr="0012790E">
              <w:rPr>
                <w:szCs w:val="16"/>
              </w:rPr>
              <w:noBreakHyphen/>
              <w:t>55.0</w:t>
            </w:r>
          </w:p>
        </w:tc>
        <w:tc>
          <w:tcPr>
            <w:tcW w:w="851" w:type="dxa"/>
            <w:vAlign w:val="bottom"/>
          </w:tcPr>
          <w:p w14:paraId="467F6A4C" w14:textId="77777777" w:rsidR="000B5739" w:rsidRPr="0012790E" w:rsidRDefault="000B5739" w:rsidP="000B5739">
            <w:pPr>
              <w:pStyle w:val="Summarytabletextrightaligned"/>
              <w:rPr>
                <w:szCs w:val="16"/>
              </w:rPr>
            </w:pPr>
            <w:r w:rsidRPr="0012790E">
              <w:rPr>
                <w:szCs w:val="16"/>
              </w:rPr>
              <w:noBreakHyphen/>
              <w:t>65.0</w:t>
            </w:r>
          </w:p>
        </w:tc>
      </w:tr>
      <w:tr w:rsidR="000B5739" w:rsidRPr="0012790E" w14:paraId="66AC6BBC" w14:textId="77777777" w:rsidTr="00C83B27">
        <w:tc>
          <w:tcPr>
            <w:tcW w:w="3470" w:type="dxa"/>
            <w:shd w:val="clear" w:color="auto" w:fill="auto"/>
            <w:vAlign w:val="bottom"/>
          </w:tcPr>
          <w:p w14:paraId="355F24A1" w14:textId="54369E57" w:rsidR="000B5739" w:rsidRPr="0012790E" w:rsidRDefault="000B5739" w:rsidP="000B5739">
            <w:pPr>
              <w:pStyle w:val="SummaryMeasureTitlewithTheme"/>
            </w:pPr>
            <w:r w:rsidRPr="0012790E">
              <w:t>Australian Universities Accord – tertiary education system reforms(b)</w:t>
            </w:r>
          </w:p>
        </w:tc>
        <w:tc>
          <w:tcPr>
            <w:tcW w:w="851" w:type="dxa"/>
            <w:vAlign w:val="bottom"/>
          </w:tcPr>
          <w:p w14:paraId="1E0D0CC2" w14:textId="77777777" w:rsidR="000B5739" w:rsidRPr="0012790E" w:rsidRDefault="000B5739" w:rsidP="000B5739">
            <w:pPr>
              <w:pStyle w:val="Summarytabletextrightaligned"/>
              <w:rPr>
                <w:szCs w:val="16"/>
              </w:rPr>
            </w:pPr>
            <w:r w:rsidRPr="0012790E">
              <w:rPr>
                <w:szCs w:val="16"/>
              </w:rPr>
              <w:noBreakHyphen/>
            </w:r>
          </w:p>
        </w:tc>
        <w:tc>
          <w:tcPr>
            <w:tcW w:w="851" w:type="dxa"/>
            <w:shd w:val="clear" w:color="auto" w:fill="E6F2FF"/>
            <w:vAlign w:val="bottom"/>
          </w:tcPr>
          <w:p w14:paraId="75AF20E6" w14:textId="77777777" w:rsidR="000B5739" w:rsidRPr="0012790E" w:rsidRDefault="000B5739" w:rsidP="000B5739">
            <w:pPr>
              <w:pStyle w:val="Summarytabletextrightaligned"/>
              <w:rPr>
                <w:szCs w:val="16"/>
              </w:rPr>
            </w:pPr>
            <w:r w:rsidRPr="0012790E">
              <w:rPr>
                <w:szCs w:val="16"/>
              </w:rPr>
              <w:noBreakHyphen/>
            </w:r>
          </w:p>
        </w:tc>
        <w:tc>
          <w:tcPr>
            <w:tcW w:w="851" w:type="dxa"/>
            <w:vAlign w:val="bottom"/>
          </w:tcPr>
          <w:p w14:paraId="5A8E211F" w14:textId="5DA1230F" w:rsidR="000B5739" w:rsidRPr="0012790E" w:rsidRDefault="00AD70AE" w:rsidP="000B5739">
            <w:pPr>
              <w:pStyle w:val="Summarytabletextrightaligned"/>
              <w:rPr>
                <w:szCs w:val="16"/>
              </w:rPr>
            </w:pPr>
            <w:r>
              <w:rPr>
                <w:szCs w:val="16"/>
              </w:rPr>
              <w:t>..</w:t>
            </w:r>
          </w:p>
        </w:tc>
        <w:tc>
          <w:tcPr>
            <w:tcW w:w="851" w:type="dxa"/>
            <w:vAlign w:val="bottom"/>
          </w:tcPr>
          <w:p w14:paraId="19998EFC" w14:textId="09CAD2EA" w:rsidR="000B5739" w:rsidRPr="0012790E" w:rsidRDefault="00AD70AE" w:rsidP="000B5739">
            <w:pPr>
              <w:pStyle w:val="Summarytabletextrightaligned"/>
              <w:rPr>
                <w:szCs w:val="16"/>
              </w:rPr>
            </w:pPr>
            <w:r>
              <w:rPr>
                <w:szCs w:val="16"/>
              </w:rPr>
              <w:t>..</w:t>
            </w:r>
          </w:p>
        </w:tc>
        <w:tc>
          <w:tcPr>
            <w:tcW w:w="851" w:type="dxa"/>
            <w:vAlign w:val="bottom"/>
          </w:tcPr>
          <w:p w14:paraId="330F2287" w14:textId="450A1407" w:rsidR="000B5739" w:rsidRPr="0012790E" w:rsidRDefault="00AD70AE" w:rsidP="000B5739">
            <w:pPr>
              <w:pStyle w:val="Summarytabletextrightaligned"/>
              <w:rPr>
                <w:szCs w:val="16"/>
              </w:rPr>
            </w:pPr>
            <w:r>
              <w:rPr>
                <w:szCs w:val="16"/>
              </w:rPr>
              <w:t>..</w:t>
            </w:r>
          </w:p>
        </w:tc>
      </w:tr>
      <w:tr w:rsidR="000B5739" w:rsidRPr="0012790E" w14:paraId="2616D15A" w14:textId="77777777" w:rsidTr="00C83B27">
        <w:tc>
          <w:tcPr>
            <w:tcW w:w="3470" w:type="dxa"/>
            <w:shd w:val="clear" w:color="auto" w:fill="auto"/>
            <w:vAlign w:val="bottom"/>
          </w:tcPr>
          <w:p w14:paraId="783CE402" w14:textId="6B5D84A8" w:rsidR="000B5739" w:rsidRPr="0012790E" w:rsidRDefault="000B5739" w:rsidP="000B5739">
            <w:pPr>
              <w:pStyle w:val="SummaryMeasureTitlewithTheme"/>
            </w:pPr>
            <w:r w:rsidRPr="0012790E">
              <w:t>Commonwealth Government</w:t>
            </w:r>
            <w:r w:rsidRPr="0012790E">
              <w:noBreakHyphen/>
              <w:t>Funded Paid Parental Leave – enhancement(b)</w:t>
            </w:r>
          </w:p>
        </w:tc>
        <w:tc>
          <w:tcPr>
            <w:tcW w:w="851" w:type="dxa"/>
            <w:vAlign w:val="bottom"/>
          </w:tcPr>
          <w:p w14:paraId="53040ECC" w14:textId="77777777" w:rsidR="000B5739" w:rsidRPr="0012790E" w:rsidRDefault="000B5739" w:rsidP="000B5739">
            <w:pPr>
              <w:pStyle w:val="Summarytabletextrightaligned"/>
              <w:rPr>
                <w:szCs w:val="16"/>
              </w:rPr>
            </w:pPr>
            <w:r w:rsidRPr="0012790E">
              <w:rPr>
                <w:szCs w:val="16"/>
              </w:rPr>
              <w:noBreakHyphen/>
            </w:r>
          </w:p>
        </w:tc>
        <w:tc>
          <w:tcPr>
            <w:tcW w:w="851" w:type="dxa"/>
            <w:shd w:val="clear" w:color="auto" w:fill="E6F2FF"/>
            <w:vAlign w:val="bottom"/>
          </w:tcPr>
          <w:p w14:paraId="5DB87B81" w14:textId="77777777" w:rsidR="000B5739" w:rsidRPr="0012790E" w:rsidRDefault="000B5739" w:rsidP="000B5739">
            <w:pPr>
              <w:pStyle w:val="Summarytabletextrightaligned"/>
              <w:rPr>
                <w:szCs w:val="16"/>
              </w:rPr>
            </w:pPr>
            <w:r w:rsidRPr="0012790E">
              <w:rPr>
                <w:szCs w:val="16"/>
              </w:rPr>
              <w:noBreakHyphen/>
            </w:r>
          </w:p>
        </w:tc>
        <w:tc>
          <w:tcPr>
            <w:tcW w:w="851" w:type="dxa"/>
            <w:vAlign w:val="bottom"/>
          </w:tcPr>
          <w:p w14:paraId="0966E413" w14:textId="77777777" w:rsidR="000B5739" w:rsidRPr="0012790E" w:rsidRDefault="000B5739" w:rsidP="000B5739">
            <w:pPr>
              <w:pStyle w:val="Summarytabletextrightaligned"/>
              <w:rPr>
                <w:szCs w:val="16"/>
              </w:rPr>
            </w:pPr>
            <w:r w:rsidRPr="0012790E">
              <w:rPr>
                <w:szCs w:val="16"/>
              </w:rPr>
              <w:noBreakHyphen/>
            </w:r>
          </w:p>
        </w:tc>
        <w:tc>
          <w:tcPr>
            <w:tcW w:w="851" w:type="dxa"/>
            <w:vAlign w:val="bottom"/>
          </w:tcPr>
          <w:p w14:paraId="4B486912" w14:textId="77777777" w:rsidR="000B5739" w:rsidRPr="0012790E" w:rsidRDefault="000B5739" w:rsidP="000B5739">
            <w:pPr>
              <w:pStyle w:val="Summarytabletextrightaligned"/>
              <w:rPr>
                <w:szCs w:val="16"/>
              </w:rPr>
            </w:pPr>
            <w:r w:rsidRPr="0012790E">
              <w:rPr>
                <w:szCs w:val="16"/>
              </w:rPr>
              <w:t>65.0</w:t>
            </w:r>
          </w:p>
        </w:tc>
        <w:tc>
          <w:tcPr>
            <w:tcW w:w="851" w:type="dxa"/>
            <w:vAlign w:val="bottom"/>
          </w:tcPr>
          <w:p w14:paraId="33F3ABE9" w14:textId="77777777" w:rsidR="000B5739" w:rsidRPr="0012790E" w:rsidRDefault="000B5739" w:rsidP="000B5739">
            <w:pPr>
              <w:pStyle w:val="Summarytabletextrightaligned"/>
              <w:rPr>
                <w:szCs w:val="16"/>
              </w:rPr>
            </w:pPr>
            <w:r w:rsidRPr="0012790E">
              <w:rPr>
                <w:szCs w:val="16"/>
              </w:rPr>
              <w:t>90.0</w:t>
            </w:r>
          </w:p>
        </w:tc>
      </w:tr>
      <w:tr w:rsidR="000B5739" w:rsidRPr="0012790E" w14:paraId="618FE14D" w14:textId="77777777" w:rsidTr="00C83B27">
        <w:tc>
          <w:tcPr>
            <w:tcW w:w="3470" w:type="dxa"/>
            <w:shd w:val="clear" w:color="auto" w:fill="auto"/>
            <w:vAlign w:val="bottom"/>
          </w:tcPr>
          <w:p w14:paraId="5D0B2935" w14:textId="72C56C19" w:rsidR="000B5739" w:rsidRPr="0012790E" w:rsidRDefault="000B5739" w:rsidP="000B5739">
            <w:pPr>
              <w:pStyle w:val="SummaryMeasureTitlewithTheme"/>
            </w:pPr>
            <w:r w:rsidRPr="0012790E">
              <w:t>Endorsement of the Social Security Agreement between Australia and the Oriental Republic of Uruguay(b)</w:t>
            </w:r>
          </w:p>
        </w:tc>
        <w:tc>
          <w:tcPr>
            <w:tcW w:w="851" w:type="dxa"/>
            <w:vAlign w:val="bottom"/>
          </w:tcPr>
          <w:p w14:paraId="1038C992" w14:textId="77777777" w:rsidR="000B5739" w:rsidRPr="0012790E" w:rsidRDefault="000B5739" w:rsidP="000B5739">
            <w:pPr>
              <w:pStyle w:val="Summarytabletextrightaligned"/>
              <w:rPr>
                <w:szCs w:val="16"/>
              </w:rPr>
            </w:pPr>
            <w:r w:rsidRPr="0012790E">
              <w:rPr>
                <w:szCs w:val="16"/>
              </w:rPr>
              <w:noBreakHyphen/>
            </w:r>
          </w:p>
        </w:tc>
        <w:tc>
          <w:tcPr>
            <w:tcW w:w="851" w:type="dxa"/>
            <w:shd w:val="clear" w:color="auto" w:fill="E6F2FF"/>
            <w:vAlign w:val="bottom"/>
          </w:tcPr>
          <w:p w14:paraId="6D99AE6B" w14:textId="77777777" w:rsidR="000B5739" w:rsidRPr="0012790E" w:rsidRDefault="000B5739" w:rsidP="000B5739">
            <w:pPr>
              <w:pStyle w:val="Summarytabletextrightaligned"/>
              <w:rPr>
                <w:szCs w:val="16"/>
              </w:rPr>
            </w:pPr>
            <w:r w:rsidRPr="0012790E">
              <w:rPr>
                <w:szCs w:val="16"/>
              </w:rPr>
              <w:noBreakHyphen/>
            </w:r>
          </w:p>
        </w:tc>
        <w:tc>
          <w:tcPr>
            <w:tcW w:w="851" w:type="dxa"/>
            <w:vAlign w:val="bottom"/>
          </w:tcPr>
          <w:p w14:paraId="3BC52A8B" w14:textId="7391C4C8" w:rsidR="000B5739" w:rsidRPr="0012790E" w:rsidRDefault="0075069C" w:rsidP="000B5739">
            <w:pPr>
              <w:pStyle w:val="Summarytabletextrightaligned"/>
              <w:rPr>
                <w:szCs w:val="16"/>
              </w:rPr>
            </w:pPr>
            <w:r>
              <w:rPr>
                <w:szCs w:val="16"/>
              </w:rPr>
              <w:t>..</w:t>
            </w:r>
          </w:p>
        </w:tc>
        <w:tc>
          <w:tcPr>
            <w:tcW w:w="851" w:type="dxa"/>
            <w:vAlign w:val="bottom"/>
          </w:tcPr>
          <w:p w14:paraId="15FDF116" w14:textId="3A3732C7" w:rsidR="000B5739" w:rsidRPr="0012790E" w:rsidRDefault="0075069C" w:rsidP="000B5739">
            <w:pPr>
              <w:pStyle w:val="Summarytabletextrightaligned"/>
              <w:rPr>
                <w:szCs w:val="16"/>
              </w:rPr>
            </w:pPr>
            <w:r>
              <w:rPr>
                <w:szCs w:val="16"/>
              </w:rPr>
              <w:t>..</w:t>
            </w:r>
          </w:p>
        </w:tc>
        <w:tc>
          <w:tcPr>
            <w:tcW w:w="851" w:type="dxa"/>
            <w:vAlign w:val="bottom"/>
          </w:tcPr>
          <w:p w14:paraId="4A16A39F" w14:textId="72A3DB86" w:rsidR="000B5739" w:rsidRPr="0012790E" w:rsidRDefault="0075069C" w:rsidP="000B5739">
            <w:pPr>
              <w:pStyle w:val="Summarytabletextrightaligned"/>
              <w:rPr>
                <w:szCs w:val="16"/>
              </w:rPr>
            </w:pPr>
            <w:r>
              <w:rPr>
                <w:szCs w:val="16"/>
              </w:rPr>
              <w:t>..</w:t>
            </w:r>
          </w:p>
        </w:tc>
      </w:tr>
      <w:tr w:rsidR="000B5739" w:rsidRPr="0012790E" w14:paraId="7C27A563" w14:textId="77777777" w:rsidTr="00C83B27">
        <w:tc>
          <w:tcPr>
            <w:tcW w:w="3470" w:type="dxa"/>
            <w:shd w:val="clear" w:color="auto" w:fill="auto"/>
            <w:vAlign w:val="bottom"/>
          </w:tcPr>
          <w:p w14:paraId="0A2DCFCE" w14:textId="11B5437C" w:rsidR="000B5739" w:rsidRPr="0012790E" w:rsidRDefault="000B5739" w:rsidP="000B5739">
            <w:pPr>
              <w:pStyle w:val="SummaryMeasureTitlewithTheme"/>
            </w:pPr>
            <w:r w:rsidRPr="0012790E">
              <w:t>Future Made in Australia – Strengthening Approvals Processes(b)</w:t>
            </w:r>
          </w:p>
        </w:tc>
        <w:tc>
          <w:tcPr>
            <w:tcW w:w="851" w:type="dxa"/>
            <w:vAlign w:val="bottom"/>
          </w:tcPr>
          <w:p w14:paraId="1A89CC0F" w14:textId="77777777" w:rsidR="000B5739" w:rsidRPr="0012790E" w:rsidRDefault="000B5739" w:rsidP="000B5739">
            <w:pPr>
              <w:pStyle w:val="Summarytabletextrightaligned"/>
              <w:rPr>
                <w:szCs w:val="16"/>
              </w:rPr>
            </w:pPr>
            <w:r w:rsidRPr="0012790E">
              <w:rPr>
                <w:szCs w:val="16"/>
              </w:rPr>
              <w:noBreakHyphen/>
            </w:r>
          </w:p>
        </w:tc>
        <w:tc>
          <w:tcPr>
            <w:tcW w:w="851" w:type="dxa"/>
            <w:shd w:val="clear" w:color="auto" w:fill="E6F2FF"/>
            <w:vAlign w:val="bottom"/>
          </w:tcPr>
          <w:p w14:paraId="33661419" w14:textId="2EAF3326" w:rsidR="000B5739" w:rsidRPr="0012790E" w:rsidRDefault="00C679B6" w:rsidP="000B5739">
            <w:pPr>
              <w:pStyle w:val="Summarytabletextrightaligned"/>
              <w:rPr>
                <w:szCs w:val="16"/>
              </w:rPr>
            </w:pPr>
            <w:r>
              <w:rPr>
                <w:szCs w:val="16"/>
              </w:rPr>
              <w:t>*</w:t>
            </w:r>
          </w:p>
        </w:tc>
        <w:tc>
          <w:tcPr>
            <w:tcW w:w="851" w:type="dxa"/>
            <w:vAlign w:val="bottom"/>
          </w:tcPr>
          <w:p w14:paraId="6E1DC2D8" w14:textId="124A1425" w:rsidR="000B5739" w:rsidRPr="0012790E" w:rsidRDefault="00C679B6" w:rsidP="000B5739">
            <w:pPr>
              <w:pStyle w:val="Summarytabletextrightaligned"/>
              <w:rPr>
                <w:szCs w:val="16"/>
              </w:rPr>
            </w:pPr>
            <w:r>
              <w:rPr>
                <w:szCs w:val="16"/>
              </w:rPr>
              <w:t>*</w:t>
            </w:r>
          </w:p>
        </w:tc>
        <w:tc>
          <w:tcPr>
            <w:tcW w:w="851" w:type="dxa"/>
            <w:vAlign w:val="bottom"/>
          </w:tcPr>
          <w:p w14:paraId="06C8C86A" w14:textId="3EF39307" w:rsidR="000B5739" w:rsidRPr="0012790E" w:rsidRDefault="00C679B6" w:rsidP="000B5739">
            <w:pPr>
              <w:pStyle w:val="Summarytabletextrightaligned"/>
              <w:rPr>
                <w:szCs w:val="16"/>
              </w:rPr>
            </w:pPr>
            <w:r>
              <w:rPr>
                <w:szCs w:val="16"/>
              </w:rPr>
              <w:t>*</w:t>
            </w:r>
          </w:p>
        </w:tc>
        <w:tc>
          <w:tcPr>
            <w:tcW w:w="851" w:type="dxa"/>
            <w:vAlign w:val="bottom"/>
          </w:tcPr>
          <w:p w14:paraId="5FBD4C5E" w14:textId="215C473D" w:rsidR="000B5739" w:rsidRPr="0012790E" w:rsidRDefault="00C679B6" w:rsidP="000B5739">
            <w:pPr>
              <w:pStyle w:val="Summarytabletextrightaligned"/>
              <w:rPr>
                <w:szCs w:val="16"/>
              </w:rPr>
            </w:pPr>
            <w:r>
              <w:rPr>
                <w:szCs w:val="16"/>
              </w:rPr>
              <w:t>*</w:t>
            </w:r>
          </w:p>
        </w:tc>
      </w:tr>
      <w:tr w:rsidR="000B5739" w:rsidRPr="0012790E" w14:paraId="57ACCD6E" w14:textId="77777777" w:rsidTr="00C83B27">
        <w:tc>
          <w:tcPr>
            <w:tcW w:w="3470" w:type="dxa"/>
            <w:shd w:val="clear" w:color="auto" w:fill="auto"/>
            <w:vAlign w:val="bottom"/>
          </w:tcPr>
          <w:p w14:paraId="4D537F6E" w14:textId="784DFD1D" w:rsidR="000B5739" w:rsidRPr="0012790E" w:rsidRDefault="000B5739" w:rsidP="000B5739">
            <w:pPr>
              <w:pStyle w:val="SummaryMeasureTitlewithTheme"/>
            </w:pPr>
            <w:r w:rsidRPr="0012790E">
              <w:t>Housing Support(b)</w:t>
            </w:r>
          </w:p>
        </w:tc>
        <w:tc>
          <w:tcPr>
            <w:tcW w:w="851" w:type="dxa"/>
            <w:vAlign w:val="bottom"/>
          </w:tcPr>
          <w:p w14:paraId="174C8AB6" w14:textId="13299EB7" w:rsidR="000B5739" w:rsidRPr="0012790E" w:rsidRDefault="00165B3D" w:rsidP="000B5739">
            <w:pPr>
              <w:pStyle w:val="Summarytabletextrightaligned"/>
              <w:rPr>
                <w:szCs w:val="16"/>
              </w:rPr>
            </w:pPr>
            <w:r>
              <w:rPr>
                <w:szCs w:val="16"/>
              </w:rPr>
              <w:t>..</w:t>
            </w:r>
          </w:p>
        </w:tc>
        <w:tc>
          <w:tcPr>
            <w:tcW w:w="851" w:type="dxa"/>
            <w:shd w:val="clear" w:color="auto" w:fill="E6F2FF"/>
            <w:vAlign w:val="bottom"/>
          </w:tcPr>
          <w:p w14:paraId="6E72233C" w14:textId="3EBA8FD9" w:rsidR="000B5739" w:rsidRPr="0012790E" w:rsidRDefault="00165B3D" w:rsidP="000B5739">
            <w:pPr>
              <w:pStyle w:val="Summarytabletextrightaligned"/>
              <w:rPr>
                <w:szCs w:val="16"/>
              </w:rPr>
            </w:pPr>
            <w:r>
              <w:rPr>
                <w:szCs w:val="16"/>
              </w:rPr>
              <w:t>..</w:t>
            </w:r>
          </w:p>
        </w:tc>
        <w:tc>
          <w:tcPr>
            <w:tcW w:w="851" w:type="dxa"/>
            <w:vAlign w:val="bottom"/>
          </w:tcPr>
          <w:p w14:paraId="2BBE9AB3" w14:textId="162D489C" w:rsidR="000B5739" w:rsidRPr="0012790E" w:rsidRDefault="00165B3D" w:rsidP="000B5739">
            <w:pPr>
              <w:pStyle w:val="Summarytabletextrightaligned"/>
              <w:rPr>
                <w:szCs w:val="16"/>
              </w:rPr>
            </w:pPr>
            <w:r>
              <w:rPr>
                <w:szCs w:val="16"/>
              </w:rPr>
              <w:t>..</w:t>
            </w:r>
          </w:p>
        </w:tc>
        <w:tc>
          <w:tcPr>
            <w:tcW w:w="851" w:type="dxa"/>
            <w:vAlign w:val="bottom"/>
          </w:tcPr>
          <w:p w14:paraId="4A41A011" w14:textId="624734CE" w:rsidR="000B5739" w:rsidRPr="0012790E" w:rsidRDefault="00165B3D" w:rsidP="000B5739">
            <w:pPr>
              <w:pStyle w:val="Summarytabletextrightaligned"/>
              <w:rPr>
                <w:szCs w:val="16"/>
              </w:rPr>
            </w:pPr>
            <w:r>
              <w:rPr>
                <w:szCs w:val="16"/>
              </w:rPr>
              <w:t>..</w:t>
            </w:r>
          </w:p>
        </w:tc>
        <w:tc>
          <w:tcPr>
            <w:tcW w:w="851" w:type="dxa"/>
            <w:vAlign w:val="bottom"/>
          </w:tcPr>
          <w:p w14:paraId="52A67A40" w14:textId="60C19C26" w:rsidR="000B5739" w:rsidRPr="0012790E" w:rsidRDefault="00165B3D" w:rsidP="000B5739">
            <w:pPr>
              <w:pStyle w:val="Summarytabletextrightaligned"/>
              <w:rPr>
                <w:szCs w:val="16"/>
              </w:rPr>
            </w:pPr>
            <w:r>
              <w:rPr>
                <w:szCs w:val="16"/>
              </w:rPr>
              <w:t>..</w:t>
            </w:r>
          </w:p>
        </w:tc>
      </w:tr>
      <w:tr w:rsidR="000B5739" w:rsidRPr="0012790E" w14:paraId="145FBDFE" w14:textId="77777777" w:rsidTr="00C83B27">
        <w:tc>
          <w:tcPr>
            <w:tcW w:w="3470" w:type="dxa"/>
            <w:shd w:val="clear" w:color="auto" w:fill="auto"/>
            <w:vAlign w:val="bottom"/>
          </w:tcPr>
          <w:p w14:paraId="2B9FC9D8" w14:textId="23887626" w:rsidR="000B5739" w:rsidRPr="0012790E" w:rsidRDefault="000B5739" w:rsidP="000B5739">
            <w:pPr>
              <w:pStyle w:val="SummaryMeasureTitlewithTheme"/>
            </w:pPr>
            <w:r w:rsidRPr="0012790E">
              <w:t>Migration – Mobility Arrangement for Talented Early</w:t>
            </w:r>
            <w:r w:rsidRPr="0012790E">
              <w:noBreakHyphen/>
              <w:t>professionals Scheme (MATES) and extending the validity of the Business Visitor visa for Indian nationals(b)</w:t>
            </w:r>
          </w:p>
        </w:tc>
        <w:tc>
          <w:tcPr>
            <w:tcW w:w="851" w:type="dxa"/>
            <w:vAlign w:val="bottom"/>
          </w:tcPr>
          <w:p w14:paraId="2C0F3F08" w14:textId="77777777" w:rsidR="000B5739" w:rsidRPr="0012790E" w:rsidRDefault="000B5739" w:rsidP="000B5739">
            <w:pPr>
              <w:pStyle w:val="Summarytabletextrightaligned"/>
              <w:rPr>
                <w:szCs w:val="16"/>
              </w:rPr>
            </w:pPr>
            <w:r w:rsidRPr="0012790E">
              <w:rPr>
                <w:szCs w:val="16"/>
              </w:rPr>
              <w:noBreakHyphen/>
            </w:r>
          </w:p>
        </w:tc>
        <w:tc>
          <w:tcPr>
            <w:tcW w:w="851" w:type="dxa"/>
            <w:shd w:val="clear" w:color="auto" w:fill="E6F2FF"/>
            <w:vAlign w:val="bottom"/>
          </w:tcPr>
          <w:p w14:paraId="5FF1EE65" w14:textId="77777777" w:rsidR="000B5739" w:rsidRPr="0012790E" w:rsidRDefault="000B5739" w:rsidP="000B5739">
            <w:pPr>
              <w:pStyle w:val="Summarytabletextrightaligned"/>
              <w:rPr>
                <w:szCs w:val="16"/>
              </w:rPr>
            </w:pPr>
            <w:r w:rsidRPr="0012790E">
              <w:rPr>
                <w:szCs w:val="16"/>
              </w:rPr>
              <w:t>10.0</w:t>
            </w:r>
          </w:p>
        </w:tc>
        <w:tc>
          <w:tcPr>
            <w:tcW w:w="851" w:type="dxa"/>
            <w:vAlign w:val="bottom"/>
          </w:tcPr>
          <w:p w14:paraId="5F538663" w14:textId="77777777" w:rsidR="000B5739" w:rsidRPr="0012790E" w:rsidRDefault="000B5739" w:rsidP="000B5739">
            <w:pPr>
              <w:pStyle w:val="Summarytabletextrightaligned"/>
              <w:rPr>
                <w:szCs w:val="16"/>
              </w:rPr>
            </w:pPr>
            <w:r w:rsidRPr="0012790E">
              <w:rPr>
                <w:szCs w:val="16"/>
              </w:rPr>
              <w:t>85.0</w:t>
            </w:r>
          </w:p>
        </w:tc>
        <w:tc>
          <w:tcPr>
            <w:tcW w:w="851" w:type="dxa"/>
            <w:vAlign w:val="bottom"/>
          </w:tcPr>
          <w:p w14:paraId="22575ACF" w14:textId="77777777" w:rsidR="000B5739" w:rsidRPr="0012790E" w:rsidRDefault="000B5739" w:rsidP="000B5739">
            <w:pPr>
              <w:pStyle w:val="Summarytabletextrightaligned"/>
              <w:rPr>
                <w:szCs w:val="16"/>
              </w:rPr>
            </w:pPr>
            <w:r w:rsidRPr="0012790E">
              <w:rPr>
                <w:szCs w:val="16"/>
              </w:rPr>
              <w:t>155.0</w:t>
            </w:r>
          </w:p>
        </w:tc>
        <w:tc>
          <w:tcPr>
            <w:tcW w:w="851" w:type="dxa"/>
            <w:vAlign w:val="bottom"/>
          </w:tcPr>
          <w:p w14:paraId="0C437EAF" w14:textId="77777777" w:rsidR="000B5739" w:rsidRPr="0012790E" w:rsidRDefault="000B5739" w:rsidP="000B5739">
            <w:pPr>
              <w:pStyle w:val="Summarytabletextrightaligned"/>
              <w:rPr>
                <w:szCs w:val="16"/>
              </w:rPr>
            </w:pPr>
            <w:r w:rsidRPr="0012790E">
              <w:rPr>
                <w:szCs w:val="16"/>
              </w:rPr>
              <w:t>155.0</w:t>
            </w:r>
          </w:p>
        </w:tc>
      </w:tr>
      <w:tr w:rsidR="000B5739" w:rsidRPr="0012790E" w14:paraId="65419CA7" w14:textId="77777777" w:rsidTr="00C83B27">
        <w:tc>
          <w:tcPr>
            <w:tcW w:w="3470" w:type="dxa"/>
            <w:shd w:val="clear" w:color="auto" w:fill="auto"/>
            <w:vAlign w:val="bottom"/>
          </w:tcPr>
          <w:p w14:paraId="6FAF0FF8" w14:textId="62F434D9" w:rsidR="000B5739" w:rsidRPr="0012790E" w:rsidRDefault="000B5739" w:rsidP="000B5739">
            <w:pPr>
              <w:pStyle w:val="SummaryMeasureTitlewithTheme"/>
            </w:pPr>
            <w:r w:rsidRPr="0012790E">
              <w:t>Migration System Reforms(b)</w:t>
            </w:r>
          </w:p>
        </w:tc>
        <w:tc>
          <w:tcPr>
            <w:tcW w:w="851" w:type="dxa"/>
            <w:vAlign w:val="bottom"/>
          </w:tcPr>
          <w:p w14:paraId="2A047FA0" w14:textId="77777777" w:rsidR="000B5739" w:rsidRPr="0012790E" w:rsidRDefault="000B5739" w:rsidP="000B5739">
            <w:pPr>
              <w:pStyle w:val="Summarytabletextrightaligned"/>
              <w:rPr>
                <w:szCs w:val="16"/>
              </w:rPr>
            </w:pPr>
            <w:r w:rsidRPr="0012790E">
              <w:rPr>
                <w:szCs w:val="16"/>
              </w:rPr>
              <w:noBreakHyphen/>
            </w:r>
          </w:p>
        </w:tc>
        <w:tc>
          <w:tcPr>
            <w:tcW w:w="851" w:type="dxa"/>
            <w:shd w:val="clear" w:color="auto" w:fill="E6F2FF"/>
            <w:vAlign w:val="bottom"/>
          </w:tcPr>
          <w:p w14:paraId="09A0F193" w14:textId="7E904B6C" w:rsidR="000B5739" w:rsidRPr="0012790E" w:rsidRDefault="007D5D34" w:rsidP="000B5739">
            <w:pPr>
              <w:pStyle w:val="Summarytabletextrightaligned"/>
              <w:rPr>
                <w:szCs w:val="16"/>
              </w:rPr>
            </w:pPr>
            <w:r>
              <w:rPr>
                <w:szCs w:val="16"/>
              </w:rPr>
              <w:t>*</w:t>
            </w:r>
          </w:p>
        </w:tc>
        <w:tc>
          <w:tcPr>
            <w:tcW w:w="851" w:type="dxa"/>
            <w:vAlign w:val="bottom"/>
          </w:tcPr>
          <w:p w14:paraId="7E603CB6" w14:textId="00AA647A" w:rsidR="000B5739" w:rsidRPr="0012790E" w:rsidRDefault="007D5D34" w:rsidP="000B5739">
            <w:pPr>
              <w:pStyle w:val="Summarytabletextrightaligned"/>
              <w:rPr>
                <w:szCs w:val="16"/>
              </w:rPr>
            </w:pPr>
            <w:r>
              <w:rPr>
                <w:szCs w:val="16"/>
              </w:rPr>
              <w:t>*</w:t>
            </w:r>
          </w:p>
        </w:tc>
        <w:tc>
          <w:tcPr>
            <w:tcW w:w="851" w:type="dxa"/>
            <w:vAlign w:val="bottom"/>
          </w:tcPr>
          <w:p w14:paraId="4D0607AE" w14:textId="23DD41B6" w:rsidR="000B5739" w:rsidRPr="0012790E" w:rsidRDefault="007D5D34" w:rsidP="000B5739">
            <w:pPr>
              <w:pStyle w:val="Summarytabletextrightaligned"/>
              <w:rPr>
                <w:szCs w:val="16"/>
              </w:rPr>
            </w:pPr>
            <w:r>
              <w:rPr>
                <w:szCs w:val="16"/>
              </w:rPr>
              <w:t>*</w:t>
            </w:r>
          </w:p>
        </w:tc>
        <w:tc>
          <w:tcPr>
            <w:tcW w:w="851" w:type="dxa"/>
            <w:vAlign w:val="bottom"/>
          </w:tcPr>
          <w:p w14:paraId="7B6177E6" w14:textId="7A2EAF18" w:rsidR="000B5739" w:rsidRPr="0012790E" w:rsidRDefault="007D5D34" w:rsidP="000B5739">
            <w:pPr>
              <w:pStyle w:val="Summarytabletextrightaligned"/>
              <w:rPr>
                <w:szCs w:val="16"/>
              </w:rPr>
            </w:pPr>
            <w:r>
              <w:rPr>
                <w:szCs w:val="16"/>
              </w:rPr>
              <w:t>*</w:t>
            </w:r>
          </w:p>
        </w:tc>
      </w:tr>
      <w:tr w:rsidR="000B5739" w:rsidRPr="0012790E" w14:paraId="2235E972" w14:textId="77777777" w:rsidTr="00C83B27">
        <w:tc>
          <w:tcPr>
            <w:tcW w:w="3470" w:type="dxa"/>
            <w:shd w:val="clear" w:color="auto" w:fill="auto"/>
            <w:vAlign w:val="bottom"/>
          </w:tcPr>
          <w:p w14:paraId="6CFD1B72" w14:textId="1DACF2B0" w:rsidR="000B5739" w:rsidRPr="0012790E" w:rsidRDefault="000B5739" w:rsidP="000B5739">
            <w:pPr>
              <w:pStyle w:val="SummaryMeasureTitlewithTheme"/>
            </w:pPr>
            <w:r w:rsidRPr="0012790E">
              <w:t>Modernising Digital Assets and Payments Regulation(b)</w:t>
            </w:r>
          </w:p>
        </w:tc>
        <w:tc>
          <w:tcPr>
            <w:tcW w:w="851" w:type="dxa"/>
            <w:vAlign w:val="bottom"/>
          </w:tcPr>
          <w:p w14:paraId="4512DD93" w14:textId="77777777" w:rsidR="000B5739" w:rsidRPr="0012790E" w:rsidRDefault="000B5739" w:rsidP="000B5739">
            <w:pPr>
              <w:pStyle w:val="Summarytabletextrightaligned"/>
              <w:rPr>
                <w:szCs w:val="16"/>
              </w:rPr>
            </w:pPr>
            <w:r w:rsidRPr="0012790E">
              <w:rPr>
                <w:szCs w:val="16"/>
              </w:rPr>
              <w:noBreakHyphen/>
            </w:r>
          </w:p>
        </w:tc>
        <w:tc>
          <w:tcPr>
            <w:tcW w:w="851" w:type="dxa"/>
            <w:shd w:val="clear" w:color="auto" w:fill="E6F2FF"/>
            <w:vAlign w:val="bottom"/>
          </w:tcPr>
          <w:p w14:paraId="7FCB1F4C" w14:textId="77777777" w:rsidR="000B5739" w:rsidRPr="0012790E" w:rsidRDefault="000B5739" w:rsidP="000B5739">
            <w:pPr>
              <w:pStyle w:val="Summarytabletextrightaligned"/>
              <w:rPr>
                <w:szCs w:val="16"/>
              </w:rPr>
            </w:pPr>
            <w:r w:rsidRPr="0012790E">
              <w:rPr>
                <w:szCs w:val="16"/>
              </w:rPr>
              <w:noBreakHyphen/>
            </w:r>
          </w:p>
        </w:tc>
        <w:tc>
          <w:tcPr>
            <w:tcW w:w="851" w:type="dxa"/>
            <w:vAlign w:val="bottom"/>
          </w:tcPr>
          <w:p w14:paraId="2E7CB114" w14:textId="77777777" w:rsidR="000B5739" w:rsidRPr="0012790E" w:rsidRDefault="000B5739" w:rsidP="000B5739">
            <w:pPr>
              <w:pStyle w:val="Summarytabletextrightaligned"/>
              <w:rPr>
                <w:szCs w:val="16"/>
              </w:rPr>
            </w:pPr>
            <w:r w:rsidRPr="0012790E">
              <w:rPr>
                <w:szCs w:val="16"/>
              </w:rPr>
              <w:t>*</w:t>
            </w:r>
          </w:p>
        </w:tc>
        <w:tc>
          <w:tcPr>
            <w:tcW w:w="851" w:type="dxa"/>
            <w:vAlign w:val="bottom"/>
          </w:tcPr>
          <w:p w14:paraId="00A21985" w14:textId="77777777" w:rsidR="000B5739" w:rsidRPr="0012790E" w:rsidRDefault="000B5739" w:rsidP="000B5739">
            <w:pPr>
              <w:pStyle w:val="Summarytabletextrightaligned"/>
              <w:rPr>
                <w:szCs w:val="16"/>
              </w:rPr>
            </w:pPr>
            <w:r w:rsidRPr="0012790E">
              <w:rPr>
                <w:szCs w:val="16"/>
              </w:rPr>
              <w:t>*</w:t>
            </w:r>
          </w:p>
        </w:tc>
        <w:tc>
          <w:tcPr>
            <w:tcW w:w="851" w:type="dxa"/>
            <w:vAlign w:val="bottom"/>
          </w:tcPr>
          <w:p w14:paraId="65B9C135" w14:textId="77777777" w:rsidR="000B5739" w:rsidRPr="0012790E" w:rsidRDefault="000B5739" w:rsidP="000B5739">
            <w:pPr>
              <w:pStyle w:val="Summarytabletextrightaligned"/>
              <w:rPr>
                <w:szCs w:val="16"/>
              </w:rPr>
            </w:pPr>
            <w:r w:rsidRPr="0012790E">
              <w:rPr>
                <w:szCs w:val="16"/>
              </w:rPr>
              <w:t>*</w:t>
            </w:r>
          </w:p>
        </w:tc>
      </w:tr>
      <w:tr w:rsidR="000B5739" w:rsidRPr="0012790E" w14:paraId="1CBE7A2D" w14:textId="77777777" w:rsidTr="0089218E">
        <w:tc>
          <w:tcPr>
            <w:tcW w:w="3470" w:type="dxa"/>
            <w:shd w:val="clear" w:color="auto" w:fill="auto"/>
            <w:vAlign w:val="bottom"/>
          </w:tcPr>
          <w:p w14:paraId="3CE892E6" w14:textId="26655465" w:rsidR="000B5739" w:rsidRPr="0012790E" w:rsidRDefault="000B5739" w:rsidP="000B5739">
            <w:pPr>
              <w:pStyle w:val="SummaryMeasureTitlewithTheme"/>
            </w:pPr>
            <w:r w:rsidRPr="0012790E">
              <w:t>New Vehicle Efficiency Standard Implementation(b)</w:t>
            </w:r>
          </w:p>
        </w:tc>
        <w:tc>
          <w:tcPr>
            <w:tcW w:w="851" w:type="dxa"/>
            <w:vAlign w:val="bottom"/>
          </w:tcPr>
          <w:p w14:paraId="41585360" w14:textId="77777777" w:rsidR="000B5739" w:rsidRPr="0012790E" w:rsidRDefault="000B5739" w:rsidP="000B5739">
            <w:pPr>
              <w:pStyle w:val="Summarytabletextrightaligned"/>
              <w:rPr>
                <w:szCs w:val="16"/>
              </w:rPr>
            </w:pPr>
            <w:r w:rsidRPr="0012790E">
              <w:rPr>
                <w:szCs w:val="16"/>
              </w:rPr>
              <w:noBreakHyphen/>
            </w:r>
          </w:p>
        </w:tc>
        <w:tc>
          <w:tcPr>
            <w:tcW w:w="851" w:type="dxa"/>
            <w:shd w:val="clear" w:color="auto" w:fill="E6F2FF"/>
            <w:vAlign w:val="bottom"/>
          </w:tcPr>
          <w:p w14:paraId="74837133" w14:textId="6C25C4E0" w:rsidR="000B5739" w:rsidRPr="0012790E" w:rsidRDefault="00CA2CF7" w:rsidP="000B5739">
            <w:pPr>
              <w:pStyle w:val="Summarytabletextrightaligned"/>
              <w:rPr>
                <w:szCs w:val="16"/>
              </w:rPr>
            </w:pPr>
            <w:r>
              <w:rPr>
                <w:szCs w:val="16"/>
              </w:rPr>
              <w:t>..</w:t>
            </w:r>
          </w:p>
        </w:tc>
        <w:tc>
          <w:tcPr>
            <w:tcW w:w="851" w:type="dxa"/>
            <w:vAlign w:val="bottom"/>
          </w:tcPr>
          <w:p w14:paraId="719A9DDF" w14:textId="77777777" w:rsidR="000B5739" w:rsidRPr="0012790E" w:rsidRDefault="000B5739" w:rsidP="000B5739">
            <w:pPr>
              <w:pStyle w:val="Summarytabletextrightaligned"/>
              <w:rPr>
                <w:szCs w:val="16"/>
              </w:rPr>
            </w:pPr>
            <w:r w:rsidRPr="0012790E">
              <w:rPr>
                <w:szCs w:val="16"/>
              </w:rPr>
              <w:noBreakHyphen/>
              <w:t>30.0</w:t>
            </w:r>
          </w:p>
        </w:tc>
        <w:tc>
          <w:tcPr>
            <w:tcW w:w="851" w:type="dxa"/>
            <w:vAlign w:val="bottom"/>
          </w:tcPr>
          <w:p w14:paraId="53A76707" w14:textId="77777777" w:rsidR="000B5739" w:rsidRPr="0012790E" w:rsidRDefault="000B5739" w:rsidP="000B5739">
            <w:pPr>
              <w:pStyle w:val="Summarytabletextrightaligned"/>
              <w:rPr>
                <w:szCs w:val="16"/>
              </w:rPr>
            </w:pPr>
            <w:r w:rsidRPr="0012790E">
              <w:rPr>
                <w:szCs w:val="16"/>
              </w:rPr>
              <w:noBreakHyphen/>
              <w:t>120.0</w:t>
            </w:r>
          </w:p>
        </w:tc>
        <w:tc>
          <w:tcPr>
            <w:tcW w:w="851" w:type="dxa"/>
            <w:vAlign w:val="bottom"/>
          </w:tcPr>
          <w:p w14:paraId="58284A7D" w14:textId="77777777" w:rsidR="000B5739" w:rsidRPr="0012790E" w:rsidRDefault="000B5739" w:rsidP="000B5739">
            <w:pPr>
              <w:pStyle w:val="Summarytabletextrightaligned"/>
              <w:rPr>
                <w:szCs w:val="16"/>
              </w:rPr>
            </w:pPr>
            <w:r w:rsidRPr="0012790E">
              <w:rPr>
                <w:szCs w:val="16"/>
              </w:rPr>
              <w:noBreakHyphen/>
              <w:t>320.0</w:t>
            </w:r>
          </w:p>
        </w:tc>
      </w:tr>
      <w:tr w:rsidR="000B5739" w:rsidRPr="0012790E" w14:paraId="245DF2F7" w14:textId="77777777" w:rsidTr="0089218E">
        <w:tc>
          <w:tcPr>
            <w:tcW w:w="3470" w:type="dxa"/>
            <w:tcBorders>
              <w:bottom w:val="single" w:sz="4" w:space="0" w:color="auto"/>
            </w:tcBorders>
            <w:shd w:val="clear" w:color="auto" w:fill="auto"/>
            <w:vAlign w:val="bottom"/>
          </w:tcPr>
          <w:p w14:paraId="77D97307" w14:textId="687EA628" w:rsidR="000B5739" w:rsidRPr="0012790E" w:rsidRDefault="000B5739" w:rsidP="000B5739">
            <w:pPr>
              <w:pStyle w:val="SummaryMeasureTitlewithTheme"/>
            </w:pPr>
            <w:r w:rsidRPr="0012790E">
              <w:t>Permanent Migration Program – 2024</w:t>
            </w:r>
            <w:r w:rsidRPr="0012790E">
              <w:noBreakHyphen/>
              <w:t>25 planning levels and multi</w:t>
            </w:r>
            <w:r w:rsidRPr="0012790E">
              <w:noBreakHyphen/>
              <w:t>year planning(b)</w:t>
            </w:r>
          </w:p>
        </w:tc>
        <w:tc>
          <w:tcPr>
            <w:tcW w:w="851" w:type="dxa"/>
            <w:tcBorders>
              <w:bottom w:val="single" w:sz="4" w:space="0" w:color="auto"/>
            </w:tcBorders>
            <w:vAlign w:val="bottom"/>
          </w:tcPr>
          <w:p w14:paraId="6C1EC37C" w14:textId="77777777" w:rsidR="000B5739" w:rsidRPr="0012790E" w:rsidRDefault="000B5739" w:rsidP="000B5739">
            <w:pPr>
              <w:pStyle w:val="Summarytabletextrightaligned"/>
              <w:rPr>
                <w:szCs w:val="16"/>
              </w:rPr>
            </w:pPr>
            <w:r w:rsidRPr="0012790E">
              <w:rPr>
                <w:szCs w:val="16"/>
              </w:rPr>
              <w:noBreakHyphen/>
            </w:r>
          </w:p>
        </w:tc>
        <w:tc>
          <w:tcPr>
            <w:tcW w:w="851" w:type="dxa"/>
            <w:tcBorders>
              <w:bottom w:val="single" w:sz="4" w:space="0" w:color="auto"/>
            </w:tcBorders>
            <w:shd w:val="clear" w:color="auto" w:fill="E6F2FF"/>
            <w:vAlign w:val="bottom"/>
          </w:tcPr>
          <w:p w14:paraId="733E5445" w14:textId="718ADF06" w:rsidR="000B5739" w:rsidRPr="0012790E" w:rsidRDefault="00203116" w:rsidP="000B5739">
            <w:pPr>
              <w:pStyle w:val="Summarytabletextrightaligned"/>
              <w:rPr>
                <w:szCs w:val="16"/>
              </w:rPr>
            </w:pPr>
            <w:r>
              <w:rPr>
                <w:szCs w:val="16"/>
              </w:rPr>
              <w:t>..</w:t>
            </w:r>
          </w:p>
        </w:tc>
        <w:tc>
          <w:tcPr>
            <w:tcW w:w="851" w:type="dxa"/>
            <w:tcBorders>
              <w:bottom w:val="single" w:sz="4" w:space="0" w:color="auto"/>
            </w:tcBorders>
            <w:vAlign w:val="bottom"/>
          </w:tcPr>
          <w:p w14:paraId="3933CE62" w14:textId="77777777" w:rsidR="000B5739" w:rsidRPr="0012790E" w:rsidRDefault="000B5739" w:rsidP="000B5739">
            <w:pPr>
              <w:pStyle w:val="Summarytabletextrightaligned"/>
              <w:rPr>
                <w:szCs w:val="16"/>
              </w:rPr>
            </w:pPr>
            <w:r w:rsidRPr="0012790E">
              <w:rPr>
                <w:szCs w:val="16"/>
              </w:rPr>
              <w:noBreakHyphen/>
              <w:t>5.0</w:t>
            </w:r>
          </w:p>
        </w:tc>
        <w:tc>
          <w:tcPr>
            <w:tcW w:w="851" w:type="dxa"/>
            <w:tcBorders>
              <w:bottom w:val="single" w:sz="4" w:space="0" w:color="auto"/>
            </w:tcBorders>
            <w:vAlign w:val="bottom"/>
          </w:tcPr>
          <w:p w14:paraId="13814E0F" w14:textId="77777777" w:rsidR="000B5739" w:rsidRPr="0012790E" w:rsidRDefault="000B5739" w:rsidP="000B5739">
            <w:pPr>
              <w:pStyle w:val="Summarytabletextrightaligned"/>
              <w:rPr>
                <w:szCs w:val="16"/>
              </w:rPr>
            </w:pPr>
            <w:r w:rsidRPr="0012790E">
              <w:rPr>
                <w:szCs w:val="16"/>
              </w:rPr>
              <w:noBreakHyphen/>
              <w:t>20.0</w:t>
            </w:r>
          </w:p>
        </w:tc>
        <w:tc>
          <w:tcPr>
            <w:tcW w:w="851" w:type="dxa"/>
            <w:tcBorders>
              <w:bottom w:val="single" w:sz="4" w:space="0" w:color="auto"/>
            </w:tcBorders>
            <w:vAlign w:val="bottom"/>
          </w:tcPr>
          <w:p w14:paraId="629C61B9" w14:textId="77777777" w:rsidR="000B5739" w:rsidRPr="0012790E" w:rsidRDefault="000B5739" w:rsidP="000B5739">
            <w:pPr>
              <w:pStyle w:val="Summarytabletextrightaligned"/>
              <w:rPr>
                <w:szCs w:val="16"/>
              </w:rPr>
            </w:pPr>
            <w:r w:rsidRPr="0012790E">
              <w:rPr>
                <w:szCs w:val="16"/>
              </w:rPr>
              <w:noBreakHyphen/>
              <w:t>20.0</w:t>
            </w:r>
          </w:p>
        </w:tc>
      </w:tr>
    </w:tbl>
    <w:p w14:paraId="7E3E3CAC" w14:textId="77777777" w:rsidR="00144EC2" w:rsidRPr="007F5F04" w:rsidRDefault="00144EC2" w:rsidP="007F5F04"/>
    <w:p w14:paraId="373BC8A9" w14:textId="77777777" w:rsidR="00C83B27" w:rsidRPr="0012790E" w:rsidRDefault="00C83B27" w:rsidP="00C83B27">
      <w:pPr>
        <w:pStyle w:val="TableHeadingcontinued"/>
        <w:sectPr w:rsidR="00C83B27" w:rsidRPr="0012790E" w:rsidSect="00EA5BFE">
          <w:pgSz w:w="11905" w:h="16837"/>
          <w:pgMar w:top="2835" w:right="2098" w:bottom="2466" w:left="2098" w:header="1814" w:footer="1814" w:gutter="0"/>
          <w:cols w:space="720"/>
          <w:noEndnote/>
          <w:docGrid w:linePitch="272"/>
        </w:sectPr>
      </w:pPr>
    </w:p>
    <w:p w14:paraId="7AE07F6A" w14:textId="6CECEEB9" w:rsidR="00C83B27" w:rsidRPr="0012790E" w:rsidRDefault="00C83B27" w:rsidP="00C83B27">
      <w:pPr>
        <w:pStyle w:val="TableHeadingcontinued"/>
        <w:rPr>
          <w:szCs w:val="16"/>
        </w:rPr>
      </w:pPr>
      <w:r w:rsidRPr="0012790E">
        <w:lastRenderedPageBreak/>
        <w:t>Table 1: Receipt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C83B27" w:rsidRPr="0012790E" w14:paraId="6EBF3E4A" w14:textId="77777777">
        <w:tc>
          <w:tcPr>
            <w:tcW w:w="3470" w:type="dxa"/>
            <w:tcBorders>
              <w:top w:val="single" w:sz="4" w:space="0" w:color="293F5B"/>
            </w:tcBorders>
            <w:shd w:val="clear" w:color="auto" w:fill="auto"/>
            <w:vAlign w:val="bottom"/>
          </w:tcPr>
          <w:p w14:paraId="68A6DAE3" w14:textId="659F21C4" w:rsidR="00C83B27" w:rsidRPr="0012790E" w:rsidRDefault="00C83B27">
            <w:pPr>
              <w:pStyle w:val="Summarytabletextrightaligned"/>
              <w:rPr>
                <w:szCs w:val="16"/>
              </w:rPr>
            </w:pPr>
          </w:p>
        </w:tc>
        <w:tc>
          <w:tcPr>
            <w:tcW w:w="851" w:type="dxa"/>
            <w:tcBorders>
              <w:top w:val="single" w:sz="4" w:space="0" w:color="293F5B"/>
            </w:tcBorders>
            <w:vAlign w:val="bottom"/>
          </w:tcPr>
          <w:p w14:paraId="64282761" w14:textId="77777777" w:rsidR="00C83B27" w:rsidRPr="0012790E" w:rsidRDefault="00C83B27">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737BAA2C" w14:textId="77777777" w:rsidR="00C83B27" w:rsidRPr="0012790E" w:rsidRDefault="00C83B27">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6A3C5670" w14:textId="77777777" w:rsidR="00C83B27" w:rsidRPr="0012790E" w:rsidRDefault="00C83B27">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27CCFBA7" w14:textId="77777777" w:rsidR="00C83B27" w:rsidRPr="0012790E" w:rsidRDefault="00C83B27">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7DDEFDE5" w14:textId="77777777" w:rsidR="00C83B27" w:rsidRPr="0012790E" w:rsidRDefault="00C83B27">
            <w:pPr>
              <w:pStyle w:val="Summarytabletextrightaligned"/>
              <w:rPr>
                <w:szCs w:val="16"/>
              </w:rPr>
            </w:pPr>
            <w:r w:rsidRPr="0012790E">
              <w:rPr>
                <w:szCs w:val="16"/>
              </w:rPr>
              <w:t>2027</w:t>
            </w:r>
            <w:r w:rsidRPr="0012790E">
              <w:rPr>
                <w:szCs w:val="16"/>
              </w:rPr>
              <w:noBreakHyphen/>
              <w:t>28</w:t>
            </w:r>
          </w:p>
        </w:tc>
      </w:tr>
      <w:tr w:rsidR="00C83B27" w:rsidRPr="0012790E" w14:paraId="13FE391A" w14:textId="77777777">
        <w:tc>
          <w:tcPr>
            <w:tcW w:w="3470" w:type="dxa"/>
            <w:shd w:val="clear" w:color="auto" w:fill="auto"/>
            <w:vAlign w:val="bottom"/>
          </w:tcPr>
          <w:p w14:paraId="2EB3D0A9" w14:textId="6719D10D" w:rsidR="00C83B27" w:rsidRPr="0012790E" w:rsidRDefault="00C83B27">
            <w:pPr>
              <w:pStyle w:val="Summarytabletextrightaligned"/>
            </w:pPr>
          </w:p>
        </w:tc>
        <w:tc>
          <w:tcPr>
            <w:tcW w:w="851" w:type="dxa"/>
            <w:tcBorders>
              <w:bottom w:val="single" w:sz="4" w:space="0" w:color="293F5B"/>
            </w:tcBorders>
            <w:vAlign w:val="bottom"/>
          </w:tcPr>
          <w:p w14:paraId="4358AB2D" w14:textId="77777777" w:rsidR="00C83B27" w:rsidRPr="0012790E" w:rsidRDefault="00C83B27">
            <w:pPr>
              <w:pStyle w:val="Summarytabletextrightaligned"/>
            </w:pPr>
            <w:r w:rsidRPr="0012790E">
              <w:t>$m</w:t>
            </w:r>
          </w:p>
        </w:tc>
        <w:tc>
          <w:tcPr>
            <w:tcW w:w="851" w:type="dxa"/>
            <w:tcBorders>
              <w:bottom w:val="single" w:sz="4" w:space="0" w:color="293F5B"/>
            </w:tcBorders>
            <w:shd w:val="clear" w:color="auto" w:fill="E6F2FF"/>
            <w:vAlign w:val="bottom"/>
          </w:tcPr>
          <w:p w14:paraId="3BABB7A3" w14:textId="77777777" w:rsidR="00C83B27" w:rsidRPr="0012790E" w:rsidRDefault="00C83B27">
            <w:pPr>
              <w:pStyle w:val="Summarytabletextrightaligned"/>
            </w:pPr>
            <w:r w:rsidRPr="0012790E">
              <w:t>$m</w:t>
            </w:r>
          </w:p>
        </w:tc>
        <w:tc>
          <w:tcPr>
            <w:tcW w:w="851" w:type="dxa"/>
            <w:tcBorders>
              <w:bottom w:val="single" w:sz="4" w:space="0" w:color="293F5B"/>
            </w:tcBorders>
            <w:vAlign w:val="bottom"/>
          </w:tcPr>
          <w:p w14:paraId="45B0BD55" w14:textId="77777777" w:rsidR="00C83B27" w:rsidRPr="0012790E" w:rsidRDefault="00C83B27">
            <w:pPr>
              <w:pStyle w:val="Summarytabletextrightaligned"/>
            </w:pPr>
            <w:r w:rsidRPr="0012790E">
              <w:t>$m</w:t>
            </w:r>
          </w:p>
        </w:tc>
        <w:tc>
          <w:tcPr>
            <w:tcW w:w="851" w:type="dxa"/>
            <w:tcBorders>
              <w:bottom w:val="single" w:sz="4" w:space="0" w:color="293F5B"/>
            </w:tcBorders>
            <w:vAlign w:val="bottom"/>
          </w:tcPr>
          <w:p w14:paraId="285C4CE8" w14:textId="77777777" w:rsidR="00C83B27" w:rsidRPr="0012790E" w:rsidRDefault="00C83B27">
            <w:pPr>
              <w:pStyle w:val="Summarytabletextrightaligned"/>
            </w:pPr>
            <w:r w:rsidRPr="0012790E">
              <w:t>$m</w:t>
            </w:r>
          </w:p>
        </w:tc>
        <w:tc>
          <w:tcPr>
            <w:tcW w:w="851" w:type="dxa"/>
            <w:tcBorders>
              <w:bottom w:val="single" w:sz="4" w:space="0" w:color="293F5B"/>
            </w:tcBorders>
            <w:vAlign w:val="bottom"/>
          </w:tcPr>
          <w:p w14:paraId="77FF30C0" w14:textId="77777777" w:rsidR="00C83B27" w:rsidRPr="0012790E" w:rsidRDefault="00C83B27">
            <w:pPr>
              <w:pStyle w:val="Summarytabletextrightaligned"/>
            </w:pPr>
            <w:r w:rsidRPr="0012790E">
              <w:t>$m</w:t>
            </w:r>
          </w:p>
        </w:tc>
      </w:tr>
      <w:tr w:rsidR="00C83B27" w:rsidRPr="0012790E" w14:paraId="5ABDF7BB" w14:textId="77777777" w:rsidTr="00C83B27">
        <w:tc>
          <w:tcPr>
            <w:tcW w:w="3470" w:type="dxa"/>
            <w:shd w:val="clear" w:color="auto" w:fill="auto"/>
            <w:vAlign w:val="bottom"/>
          </w:tcPr>
          <w:p w14:paraId="4A1AE537" w14:textId="44D5A8DC" w:rsidR="00C83B27" w:rsidRPr="0012790E" w:rsidRDefault="00C83B27" w:rsidP="000D3386">
            <w:pPr>
              <w:pStyle w:val="SummaryMeasureTitlewithTheme"/>
              <w:ind w:hanging="340"/>
              <w:rPr>
                <w:rFonts w:cs="Arial"/>
                <w:b/>
              </w:rPr>
            </w:pPr>
            <w:r w:rsidRPr="0012790E">
              <w:rPr>
                <w:rFonts w:cs="Arial"/>
                <w:b/>
              </w:rPr>
              <w:t>TREASURY (continued)</w:t>
            </w:r>
          </w:p>
        </w:tc>
        <w:tc>
          <w:tcPr>
            <w:tcW w:w="851" w:type="dxa"/>
            <w:vAlign w:val="bottom"/>
          </w:tcPr>
          <w:p w14:paraId="04D85D34" w14:textId="77777777" w:rsidR="00C83B27" w:rsidRPr="0012790E" w:rsidRDefault="00C83B27" w:rsidP="00C83B27">
            <w:pPr>
              <w:pStyle w:val="Summarytabletextrightaligned"/>
              <w:rPr>
                <w:szCs w:val="16"/>
              </w:rPr>
            </w:pPr>
          </w:p>
        </w:tc>
        <w:tc>
          <w:tcPr>
            <w:tcW w:w="851" w:type="dxa"/>
            <w:shd w:val="clear" w:color="auto" w:fill="E6F2FF"/>
            <w:vAlign w:val="bottom"/>
          </w:tcPr>
          <w:p w14:paraId="7B7C4EC8" w14:textId="77777777" w:rsidR="00C83B27" w:rsidRPr="0012790E" w:rsidRDefault="00C83B27" w:rsidP="00C83B27">
            <w:pPr>
              <w:pStyle w:val="Summarytabletextrightaligned"/>
              <w:rPr>
                <w:szCs w:val="16"/>
              </w:rPr>
            </w:pPr>
          </w:p>
        </w:tc>
        <w:tc>
          <w:tcPr>
            <w:tcW w:w="851" w:type="dxa"/>
            <w:vAlign w:val="bottom"/>
          </w:tcPr>
          <w:p w14:paraId="6AE74604" w14:textId="77777777" w:rsidR="00C83B27" w:rsidRPr="0012790E" w:rsidRDefault="00C83B27" w:rsidP="00C83B27">
            <w:pPr>
              <w:pStyle w:val="Summarytabletextrightaligned"/>
              <w:rPr>
                <w:szCs w:val="16"/>
              </w:rPr>
            </w:pPr>
          </w:p>
        </w:tc>
        <w:tc>
          <w:tcPr>
            <w:tcW w:w="851" w:type="dxa"/>
            <w:vAlign w:val="bottom"/>
          </w:tcPr>
          <w:p w14:paraId="4575EEEE" w14:textId="77777777" w:rsidR="00C83B27" w:rsidRPr="0012790E" w:rsidRDefault="00C83B27" w:rsidP="00C83B27">
            <w:pPr>
              <w:pStyle w:val="Summarytabletextrightaligned"/>
              <w:rPr>
                <w:szCs w:val="16"/>
              </w:rPr>
            </w:pPr>
          </w:p>
        </w:tc>
        <w:tc>
          <w:tcPr>
            <w:tcW w:w="851" w:type="dxa"/>
            <w:vAlign w:val="bottom"/>
          </w:tcPr>
          <w:p w14:paraId="585BF474" w14:textId="77777777" w:rsidR="00C83B27" w:rsidRPr="0012790E" w:rsidRDefault="00C83B27" w:rsidP="00C83B27">
            <w:pPr>
              <w:pStyle w:val="Summarytabletextrightaligned"/>
              <w:rPr>
                <w:szCs w:val="16"/>
              </w:rPr>
            </w:pPr>
          </w:p>
        </w:tc>
      </w:tr>
      <w:tr w:rsidR="00144EC2" w:rsidRPr="0012790E" w14:paraId="7E6BA21D" w14:textId="77777777" w:rsidTr="00C83B27">
        <w:tc>
          <w:tcPr>
            <w:tcW w:w="3470" w:type="dxa"/>
            <w:shd w:val="clear" w:color="auto" w:fill="auto"/>
            <w:vAlign w:val="bottom"/>
          </w:tcPr>
          <w:p w14:paraId="45659AB9" w14:textId="45EEBC1A" w:rsidR="00144EC2" w:rsidRPr="0012790E" w:rsidRDefault="00144EC2" w:rsidP="00144EC2">
            <w:pPr>
              <w:pStyle w:val="SummaryMeasureTitlewithTheme"/>
            </w:pPr>
            <w:r w:rsidRPr="0012790E">
              <w:t>Personal Income Tax – Cost of Living – increasing the Medicare levy low</w:t>
            </w:r>
            <w:r w:rsidRPr="0012790E">
              <w:noBreakHyphen/>
              <w:t>income thresholds</w:t>
            </w:r>
          </w:p>
        </w:tc>
        <w:tc>
          <w:tcPr>
            <w:tcW w:w="851" w:type="dxa"/>
            <w:vAlign w:val="bottom"/>
          </w:tcPr>
          <w:p w14:paraId="65ED91DB" w14:textId="72B31E63" w:rsidR="00144EC2" w:rsidRPr="0012790E" w:rsidRDefault="00144EC2" w:rsidP="00144EC2">
            <w:pPr>
              <w:pStyle w:val="Summarytabletextrightaligned"/>
              <w:rPr>
                <w:szCs w:val="16"/>
              </w:rPr>
            </w:pPr>
            <w:r w:rsidRPr="0012790E">
              <w:rPr>
                <w:szCs w:val="16"/>
              </w:rPr>
              <w:noBreakHyphen/>
            </w:r>
          </w:p>
        </w:tc>
        <w:tc>
          <w:tcPr>
            <w:tcW w:w="851" w:type="dxa"/>
            <w:shd w:val="clear" w:color="auto" w:fill="E6F2FF"/>
            <w:vAlign w:val="bottom"/>
          </w:tcPr>
          <w:p w14:paraId="660178EA" w14:textId="5CA1C036" w:rsidR="00144EC2" w:rsidRPr="0012790E" w:rsidRDefault="00144EC2" w:rsidP="00144EC2">
            <w:pPr>
              <w:pStyle w:val="Summarytabletextrightaligned"/>
              <w:rPr>
                <w:szCs w:val="16"/>
              </w:rPr>
            </w:pPr>
            <w:r w:rsidRPr="0012790E">
              <w:rPr>
                <w:szCs w:val="16"/>
              </w:rPr>
              <w:noBreakHyphen/>
            </w:r>
          </w:p>
        </w:tc>
        <w:tc>
          <w:tcPr>
            <w:tcW w:w="851" w:type="dxa"/>
            <w:vAlign w:val="bottom"/>
          </w:tcPr>
          <w:p w14:paraId="61889A99" w14:textId="4457C862" w:rsidR="00144EC2" w:rsidRPr="0012790E" w:rsidRDefault="00144EC2" w:rsidP="00144EC2">
            <w:pPr>
              <w:pStyle w:val="Summarytabletextrightaligned"/>
              <w:rPr>
                <w:szCs w:val="16"/>
              </w:rPr>
            </w:pPr>
            <w:r w:rsidRPr="0012790E">
              <w:rPr>
                <w:szCs w:val="16"/>
              </w:rPr>
              <w:noBreakHyphen/>
            </w:r>
          </w:p>
        </w:tc>
        <w:tc>
          <w:tcPr>
            <w:tcW w:w="851" w:type="dxa"/>
            <w:vAlign w:val="bottom"/>
          </w:tcPr>
          <w:p w14:paraId="509FC782" w14:textId="76AF3F99" w:rsidR="00144EC2" w:rsidRPr="0012790E" w:rsidRDefault="00144EC2" w:rsidP="00144EC2">
            <w:pPr>
              <w:pStyle w:val="Summarytabletextrightaligned"/>
              <w:rPr>
                <w:szCs w:val="16"/>
              </w:rPr>
            </w:pPr>
            <w:r w:rsidRPr="0012790E">
              <w:rPr>
                <w:szCs w:val="16"/>
              </w:rPr>
              <w:noBreakHyphen/>
            </w:r>
          </w:p>
        </w:tc>
        <w:tc>
          <w:tcPr>
            <w:tcW w:w="851" w:type="dxa"/>
            <w:vAlign w:val="bottom"/>
          </w:tcPr>
          <w:p w14:paraId="1CB59D98" w14:textId="3C27D548" w:rsidR="00144EC2" w:rsidRPr="0012790E" w:rsidRDefault="00144EC2" w:rsidP="00144EC2">
            <w:pPr>
              <w:pStyle w:val="Summarytabletextrightaligned"/>
              <w:rPr>
                <w:szCs w:val="16"/>
              </w:rPr>
            </w:pPr>
            <w:r w:rsidRPr="0012790E">
              <w:rPr>
                <w:szCs w:val="16"/>
              </w:rPr>
              <w:noBreakHyphen/>
            </w:r>
          </w:p>
        </w:tc>
      </w:tr>
      <w:tr w:rsidR="00144EC2" w:rsidRPr="0012790E" w14:paraId="3AF9835A" w14:textId="77777777" w:rsidTr="00C83B27">
        <w:tc>
          <w:tcPr>
            <w:tcW w:w="3470" w:type="dxa"/>
            <w:shd w:val="clear" w:color="auto" w:fill="auto"/>
            <w:vAlign w:val="bottom"/>
          </w:tcPr>
          <w:p w14:paraId="400EBCD5" w14:textId="5F2DF901" w:rsidR="00144EC2" w:rsidRPr="0012790E" w:rsidRDefault="00144EC2" w:rsidP="00144EC2">
            <w:pPr>
              <w:pStyle w:val="SummaryMeasureTitlewithTheme"/>
            </w:pPr>
            <w:r w:rsidRPr="0012790E">
              <w:t>Personal Income Tax – Cost of Living Tax Cuts</w:t>
            </w:r>
          </w:p>
        </w:tc>
        <w:tc>
          <w:tcPr>
            <w:tcW w:w="851" w:type="dxa"/>
            <w:vAlign w:val="bottom"/>
          </w:tcPr>
          <w:p w14:paraId="106F059B" w14:textId="01B69101" w:rsidR="00144EC2" w:rsidRPr="0012790E" w:rsidRDefault="00144EC2" w:rsidP="00144EC2">
            <w:pPr>
              <w:pStyle w:val="Summarytabletextrightaligned"/>
              <w:rPr>
                <w:szCs w:val="16"/>
              </w:rPr>
            </w:pPr>
            <w:r w:rsidRPr="0012790E">
              <w:rPr>
                <w:szCs w:val="16"/>
              </w:rPr>
              <w:noBreakHyphen/>
            </w:r>
          </w:p>
        </w:tc>
        <w:tc>
          <w:tcPr>
            <w:tcW w:w="851" w:type="dxa"/>
            <w:shd w:val="clear" w:color="auto" w:fill="E6F2FF"/>
            <w:vAlign w:val="bottom"/>
          </w:tcPr>
          <w:p w14:paraId="0E36D711" w14:textId="53E58D95" w:rsidR="00144EC2" w:rsidRPr="0012790E" w:rsidRDefault="00144EC2" w:rsidP="00144EC2">
            <w:pPr>
              <w:pStyle w:val="Summarytabletextrightaligned"/>
              <w:rPr>
                <w:szCs w:val="16"/>
              </w:rPr>
            </w:pPr>
            <w:r w:rsidRPr="0012790E">
              <w:rPr>
                <w:szCs w:val="16"/>
              </w:rPr>
              <w:t>1,260.0</w:t>
            </w:r>
          </w:p>
        </w:tc>
        <w:tc>
          <w:tcPr>
            <w:tcW w:w="851" w:type="dxa"/>
            <w:vAlign w:val="bottom"/>
          </w:tcPr>
          <w:p w14:paraId="68E54CCA" w14:textId="28756C24" w:rsidR="00144EC2" w:rsidRPr="0012790E" w:rsidRDefault="00144EC2" w:rsidP="00144EC2">
            <w:pPr>
              <w:pStyle w:val="Summarytabletextrightaligned"/>
              <w:rPr>
                <w:szCs w:val="16"/>
              </w:rPr>
            </w:pPr>
            <w:r w:rsidRPr="0012790E">
              <w:rPr>
                <w:szCs w:val="16"/>
              </w:rPr>
              <w:noBreakHyphen/>
              <w:t>1,630.0</w:t>
            </w:r>
          </w:p>
        </w:tc>
        <w:tc>
          <w:tcPr>
            <w:tcW w:w="851" w:type="dxa"/>
            <w:vAlign w:val="bottom"/>
          </w:tcPr>
          <w:p w14:paraId="3FBFC244" w14:textId="3BC277D8" w:rsidR="00144EC2" w:rsidRPr="0012790E" w:rsidRDefault="00144EC2" w:rsidP="00144EC2">
            <w:pPr>
              <w:pStyle w:val="Summarytabletextrightaligned"/>
              <w:rPr>
                <w:szCs w:val="16"/>
              </w:rPr>
            </w:pPr>
            <w:r w:rsidRPr="0012790E">
              <w:rPr>
                <w:szCs w:val="16"/>
              </w:rPr>
              <w:noBreakHyphen/>
              <w:t>920.0</w:t>
            </w:r>
          </w:p>
        </w:tc>
        <w:tc>
          <w:tcPr>
            <w:tcW w:w="851" w:type="dxa"/>
            <w:vAlign w:val="bottom"/>
          </w:tcPr>
          <w:p w14:paraId="3A8C7F39" w14:textId="2E7C8059" w:rsidR="00144EC2" w:rsidRPr="0012790E" w:rsidRDefault="00144EC2" w:rsidP="00144EC2">
            <w:pPr>
              <w:pStyle w:val="Summarytabletextrightaligned"/>
              <w:rPr>
                <w:szCs w:val="16"/>
              </w:rPr>
            </w:pPr>
            <w:r w:rsidRPr="0012790E">
              <w:rPr>
                <w:szCs w:val="16"/>
              </w:rPr>
              <w:noBreakHyphen/>
              <w:t>10.0</w:t>
            </w:r>
          </w:p>
        </w:tc>
      </w:tr>
      <w:tr w:rsidR="00C83B27" w:rsidRPr="0012790E" w14:paraId="070A7566" w14:textId="77777777" w:rsidTr="00C83B27">
        <w:tc>
          <w:tcPr>
            <w:tcW w:w="3470" w:type="dxa"/>
            <w:shd w:val="clear" w:color="auto" w:fill="auto"/>
            <w:vAlign w:val="bottom"/>
          </w:tcPr>
          <w:p w14:paraId="03C3520B" w14:textId="7240DF6E" w:rsidR="00C83B27" w:rsidRPr="0012790E" w:rsidRDefault="00C83B27" w:rsidP="00C83B27">
            <w:pPr>
              <w:pStyle w:val="SummaryMeasureTitlewithTheme"/>
            </w:pPr>
            <w:r w:rsidRPr="0012790E">
              <w:t>Philanthropy – updates to the list of specifically listed deductible gift recipients</w:t>
            </w:r>
          </w:p>
        </w:tc>
        <w:tc>
          <w:tcPr>
            <w:tcW w:w="851" w:type="dxa"/>
            <w:vAlign w:val="bottom"/>
          </w:tcPr>
          <w:p w14:paraId="772F2C8A"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67CC91F9"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2E08E516" w14:textId="77777777" w:rsidR="00C83B27" w:rsidRPr="0012790E" w:rsidRDefault="00C83B27" w:rsidP="00C83B27">
            <w:pPr>
              <w:pStyle w:val="Summarytabletextrightaligned"/>
              <w:rPr>
                <w:szCs w:val="16"/>
              </w:rPr>
            </w:pPr>
            <w:r w:rsidRPr="0012790E">
              <w:rPr>
                <w:szCs w:val="16"/>
              </w:rPr>
              <w:noBreakHyphen/>
              <w:t>1.1</w:t>
            </w:r>
          </w:p>
        </w:tc>
        <w:tc>
          <w:tcPr>
            <w:tcW w:w="851" w:type="dxa"/>
            <w:vAlign w:val="bottom"/>
          </w:tcPr>
          <w:p w14:paraId="2649387D" w14:textId="77777777" w:rsidR="00C83B27" w:rsidRPr="0012790E" w:rsidRDefault="00C83B27" w:rsidP="00C83B27">
            <w:pPr>
              <w:pStyle w:val="Summarytabletextrightaligned"/>
              <w:rPr>
                <w:szCs w:val="16"/>
              </w:rPr>
            </w:pPr>
            <w:r w:rsidRPr="0012790E">
              <w:rPr>
                <w:szCs w:val="16"/>
              </w:rPr>
              <w:noBreakHyphen/>
              <w:t>0.9</w:t>
            </w:r>
          </w:p>
        </w:tc>
        <w:tc>
          <w:tcPr>
            <w:tcW w:w="851" w:type="dxa"/>
            <w:vAlign w:val="bottom"/>
          </w:tcPr>
          <w:p w14:paraId="6208CF6D" w14:textId="77777777" w:rsidR="00C83B27" w:rsidRPr="0012790E" w:rsidRDefault="00C83B27" w:rsidP="00C83B27">
            <w:pPr>
              <w:pStyle w:val="Summarytabletextrightaligned"/>
              <w:rPr>
                <w:szCs w:val="16"/>
              </w:rPr>
            </w:pPr>
            <w:r w:rsidRPr="0012790E">
              <w:rPr>
                <w:szCs w:val="16"/>
              </w:rPr>
              <w:noBreakHyphen/>
              <w:t>1.0</w:t>
            </w:r>
          </w:p>
        </w:tc>
      </w:tr>
      <w:tr w:rsidR="00C83B27" w:rsidRPr="0012790E" w14:paraId="266D83CA" w14:textId="77777777" w:rsidTr="00C83B27">
        <w:tc>
          <w:tcPr>
            <w:tcW w:w="3470" w:type="dxa"/>
            <w:shd w:val="clear" w:color="auto" w:fill="auto"/>
            <w:vAlign w:val="bottom"/>
          </w:tcPr>
          <w:p w14:paraId="5B94F167" w14:textId="348EF263" w:rsidR="00C83B27" w:rsidRPr="0012790E" w:rsidRDefault="00C83B27" w:rsidP="00C83B27">
            <w:pPr>
              <w:pStyle w:val="SummaryMeasureTitlewithTheme"/>
            </w:pPr>
            <w:r w:rsidRPr="0012790E">
              <w:t>Small Business Support – $20,000 instant asset write</w:t>
            </w:r>
            <w:r w:rsidRPr="0012790E">
              <w:noBreakHyphen/>
              <w:t>off</w:t>
            </w:r>
          </w:p>
        </w:tc>
        <w:tc>
          <w:tcPr>
            <w:tcW w:w="851" w:type="dxa"/>
            <w:vAlign w:val="bottom"/>
          </w:tcPr>
          <w:p w14:paraId="7BFDDAAD"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54BB0C04"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26C8E852" w14:textId="77777777" w:rsidR="00C83B27" w:rsidRPr="0012790E" w:rsidRDefault="00C83B27" w:rsidP="00C83B27">
            <w:pPr>
              <w:pStyle w:val="Summarytabletextrightaligned"/>
              <w:rPr>
                <w:szCs w:val="16"/>
              </w:rPr>
            </w:pPr>
            <w:r w:rsidRPr="0012790E">
              <w:rPr>
                <w:szCs w:val="16"/>
              </w:rPr>
              <w:noBreakHyphen/>
              <w:t>670.0</w:t>
            </w:r>
          </w:p>
        </w:tc>
        <w:tc>
          <w:tcPr>
            <w:tcW w:w="851" w:type="dxa"/>
            <w:vAlign w:val="bottom"/>
          </w:tcPr>
          <w:p w14:paraId="048556BA" w14:textId="77777777" w:rsidR="00C83B27" w:rsidRPr="0012790E" w:rsidRDefault="00C83B27" w:rsidP="00C83B27">
            <w:pPr>
              <w:pStyle w:val="Summarytabletextrightaligned"/>
              <w:rPr>
                <w:szCs w:val="16"/>
              </w:rPr>
            </w:pPr>
            <w:r w:rsidRPr="0012790E">
              <w:rPr>
                <w:szCs w:val="16"/>
              </w:rPr>
              <w:noBreakHyphen/>
              <w:t>60.0</w:t>
            </w:r>
          </w:p>
        </w:tc>
        <w:tc>
          <w:tcPr>
            <w:tcW w:w="851" w:type="dxa"/>
            <w:vAlign w:val="bottom"/>
          </w:tcPr>
          <w:p w14:paraId="0A5CD53F" w14:textId="77777777" w:rsidR="00C83B27" w:rsidRPr="0012790E" w:rsidRDefault="00C83B27" w:rsidP="00C83B27">
            <w:pPr>
              <w:pStyle w:val="Summarytabletextrightaligned"/>
              <w:rPr>
                <w:szCs w:val="16"/>
              </w:rPr>
            </w:pPr>
            <w:r w:rsidRPr="0012790E">
              <w:rPr>
                <w:szCs w:val="16"/>
              </w:rPr>
              <w:t>440.0</w:t>
            </w:r>
          </w:p>
        </w:tc>
      </w:tr>
      <w:tr w:rsidR="00C83B27" w:rsidRPr="0012790E" w14:paraId="1F2A53D2" w14:textId="77777777" w:rsidTr="00C83B27">
        <w:tc>
          <w:tcPr>
            <w:tcW w:w="3470" w:type="dxa"/>
            <w:shd w:val="clear" w:color="auto" w:fill="auto"/>
            <w:vAlign w:val="bottom"/>
          </w:tcPr>
          <w:p w14:paraId="0827F7DB" w14:textId="3727EE0D" w:rsidR="00C83B27" w:rsidRPr="0012790E" w:rsidRDefault="00C83B27" w:rsidP="00C83B27">
            <w:pPr>
              <w:pStyle w:val="SummaryMeasureTitlewithTheme"/>
            </w:pPr>
            <w:r w:rsidRPr="0012790E">
              <w:t>Strengthening Tax Compliance – extending the Personal Income Tax Compliance Program(b)</w:t>
            </w:r>
          </w:p>
        </w:tc>
        <w:tc>
          <w:tcPr>
            <w:tcW w:w="851" w:type="dxa"/>
            <w:vAlign w:val="bottom"/>
          </w:tcPr>
          <w:p w14:paraId="005C4522"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6ED4E225"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77F49981"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7DB1E006"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2BEC3141" w14:textId="77777777" w:rsidR="00C83B27" w:rsidRPr="0012790E" w:rsidRDefault="00C83B27" w:rsidP="00C83B27">
            <w:pPr>
              <w:pStyle w:val="Summarytabletextrightaligned"/>
              <w:rPr>
                <w:szCs w:val="16"/>
              </w:rPr>
            </w:pPr>
            <w:r w:rsidRPr="0012790E">
              <w:rPr>
                <w:szCs w:val="16"/>
              </w:rPr>
              <w:t>180.3</w:t>
            </w:r>
          </w:p>
        </w:tc>
      </w:tr>
      <w:tr w:rsidR="00C83B27" w:rsidRPr="0012790E" w14:paraId="0302B847" w14:textId="77777777" w:rsidTr="00C83B27">
        <w:tc>
          <w:tcPr>
            <w:tcW w:w="3470" w:type="dxa"/>
            <w:shd w:val="clear" w:color="auto" w:fill="auto"/>
            <w:vAlign w:val="bottom"/>
          </w:tcPr>
          <w:p w14:paraId="297D8E0D" w14:textId="7CB221CB" w:rsidR="00C83B27" w:rsidRPr="0012790E" w:rsidRDefault="00C83B27" w:rsidP="00C83B27">
            <w:pPr>
              <w:pStyle w:val="SummaryMeasureTitlewithTheme"/>
            </w:pPr>
            <w:r w:rsidRPr="0012790E">
              <w:t>Strengthening Tax Compliance – Australian Taxation Office Counter Fraud Strategy(b)</w:t>
            </w:r>
          </w:p>
        </w:tc>
        <w:tc>
          <w:tcPr>
            <w:tcW w:w="851" w:type="dxa"/>
            <w:vAlign w:val="bottom"/>
          </w:tcPr>
          <w:p w14:paraId="50BF44F7"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54C59311" w14:textId="77777777" w:rsidR="00C83B27" w:rsidRPr="0012790E" w:rsidRDefault="00C83B27" w:rsidP="00C83B27">
            <w:pPr>
              <w:pStyle w:val="Summarytabletextrightaligned"/>
              <w:rPr>
                <w:szCs w:val="16"/>
              </w:rPr>
            </w:pPr>
            <w:r w:rsidRPr="0012790E">
              <w:rPr>
                <w:szCs w:val="16"/>
              </w:rPr>
              <w:t>62.3</w:t>
            </w:r>
          </w:p>
        </w:tc>
        <w:tc>
          <w:tcPr>
            <w:tcW w:w="851" w:type="dxa"/>
            <w:vAlign w:val="bottom"/>
          </w:tcPr>
          <w:p w14:paraId="3AA7DD20" w14:textId="77777777" w:rsidR="00C83B27" w:rsidRPr="0012790E" w:rsidRDefault="00C83B27" w:rsidP="00C83B27">
            <w:pPr>
              <w:pStyle w:val="Summarytabletextrightaligned"/>
              <w:rPr>
                <w:szCs w:val="16"/>
              </w:rPr>
            </w:pPr>
            <w:r w:rsidRPr="0012790E">
              <w:rPr>
                <w:szCs w:val="16"/>
              </w:rPr>
              <w:t>115.8</w:t>
            </w:r>
          </w:p>
        </w:tc>
        <w:tc>
          <w:tcPr>
            <w:tcW w:w="851" w:type="dxa"/>
            <w:vAlign w:val="bottom"/>
          </w:tcPr>
          <w:p w14:paraId="54DAE852" w14:textId="77777777" w:rsidR="00C83B27" w:rsidRPr="0012790E" w:rsidRDefault="00C83B27" w:rsidP="00C83B27">
            <w:pPr>
              <w:pStyle w:val="Summarytabletextrightaligned"/>
              <w:rPr>
                <w:szCs w:val="16"/>
              </w:rPr>
            </w:pPr>
            <w:r w:rsidRPr="0012790E">
              <w:rPr>
                <w:szCs w:val="16"/>
              </w:rPr>
              <w:t>80.3</w:t>
            </w:r>
          </w:p>
        </w:tc>
        <w:tc>
          <w:tcPr>
            <w:tcW w:w="851" w:type="dxa"/>
            <w:vAlign w:val="bottom"/>
          </w:tcPr>
          <w:p w14:paraId="6D0F6781" w14:textId="77777777" w:rsidR="00C83B27" w:rsidRPr="0012790E" w:rsidRDefault="00C83B27" w:rsidP="00C83B27">
            <w:pPr>
              <w:pStyle w:val="Summarytabletextrightaligned"/>
              <w:rPr>
                <w:szCs w:val="16"/>
              </w:rPr>
            </w:pPr>
            <w:r w:rsidRPr="0012790E">
              <w:rPr>
                <w:szCs w:val="16"/>
              </w:rPr>
              <w:t>43.8</w:t>
            </w:r>
          </w:p>
        </w:tc>
      </w:tr>
      <w:tr w:rsidR="00C83B27" w:rsidRPr="0012790E" w14:paraId="5FD753DD" w14:textId="77777777" w:rsidTr="00C83B27">
        <w:tc>
          <w:tcPr>
            <w:tcW w:w="3470" w:type="dxa"/>
            <w:shd w:val="clear" w:color="auto" w:fill="auto"/>
            <w:vAlign w:val="bottom"/>
          </w:tcPr>
          <w:p w14:paraId="20F8380A" w14:textId="7226A5A5" w:rsidR="00C83B27" w:rsidRPr="0012790E" w:rsidRDefault="00C83B27" w:rsidP="00C83B27">
            <w:pPr>
              <w:pStyle w:val="SummaryMeasureTitlewithTheme"/>
            </w:pPr>
            <w:r w:rsidRPr="0012790E">
              <w:t>Strengthening Tax Compliance – extending the Shadow Economy Compliance Program(b)</w:t>
            </w:r>
          </w:p>
        </w:tc>
        <w:tc>
          <w:tcPr>
            <w:tcW w:w="851" w:type="dxa"/>
            <w:vAlign w:val="bottom"/>
          </w:tcPr>
          <w:p w14:paraId="6D8AACD3"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7C1508A5"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4DF994A8"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7AC8CE77" w14:textId="77777777" w:rsidR="00C83B27" w:rsidRPr="0012790E" w:rsidRDefault="00C83B27" w:rsidP="00C83B27">
            <w:pPr>
              <w:pStyle w:val="Summarytabletextrightaligned"/>
              <w:rPr>
                <w:szCs w:val="16"/>
              </w:rPr>
            </w:pPr>
            <w:r w:rsidRPr="0012790E">
              <w:rPr>
                <w:szCs w:val="16"/>
              </w:rPr>
              <w:t>684.4</w:t>
            </w:r>
          </w:p>
        </w:tc>
        <w:tc>
          <w:tcPr>
            <w:tcW w:w="851" w:type="dxa"/>
            <w:vAlign w:val="bottom"/>
          </w:tcPr>
          <w:p w14:paraId="04A5987B" w14:textId="77777777" w:rsidR="00C83B27" w:rsidRPr="0012790E" w:rsidRDefault="00C83B27" w:rsidP="00C83B27">
            <w:pPr>
              <w:pStyle w:val="Summarytabletextrightaligned"/>
              <w:rPr>
                <w:szCs w:val="16"/>
              </w:rPr>
            </w:pPr>
            <w:r w:rsidRPr="0012790E">
              <w:rPr>
                <w:szCs w:val="16"/>
              </w:rPr>
              <w:t>1,192.4</w:t>
            </w:r>
          </w:p>
        </w:tc>
      </w:tr>
      <w:tr w:rsidR="00C83B27" w:rsidRPr="0012790E" w14:paraId="2EF80C8E" w14:textId="77777777" w:rsidTr="00C83B27">
        <w:tc>
          <w:tcPr>
            <w:tcW w:w="3470" w:type="dxa"/>
            <w:shd w:val="clear" w:color="auto" w:fill="auto"/>
            <w:vAlign w:val="bottom"/>
          </w:tcPr>
          <w:p w14:paraId="137173D0" w14:textId="551E15AB" w:rsidR="00C83B27" w:rsidRPr="0012790E" w:rsidRDefault="00C83B27" w:rsidP="00C83B27">
            <w:pPr>
              <w:pStyle w:val="SummaryMeasureTitlewithTheme"/>
            </w:pPr>
            <w:r w:rsidRPr="0012790E">
              <w:t>Strengthening Tax Compliance – extending the Tax Avoidance Taskforce(b)</w:t>
            </w:r>
          </w:p>
        </w:tc>
        <w:tc>
          <w:tcPr>
            <w:tcW w:w="851" w:type="dxa"/>
            <w:vAlign w:val="bottom"/>
          </w:tcPr>
          <w:p w14:paraId="02749FC0"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4F212A2B"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465B8DE9"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41600FC4" w14:textId="77777777" w:rsidR="00C83B27" w:rsidRPr="0012790E" w:rsidRDefault="00C83B27" w:rsidP="00C83B27">
            <w:pPr>
              <w:pStyle w:val="Summarytabletextrightaligned"/>
              <w:rPr>
                <w:szCs w:val="16"/>
              </w:rPr>
            </w:pPr>
            <w:r w:rsidRPr="0012790E">
              <w:rPr>
                <w:szCs w:val="16"/>
              </w:rPr>
              <w:t>829.3</w:t>
            </w:r>
          </w:p>
        </w:tc>
        <w:tc>
          <w:tcPr>
            <w:tcW w:w="851" w:type="dxa"/>
            <w:vAlign w:val="bottom"/>
          </w:tcPr>
          <w:p w14:paraId="1D49B02A" w14:textId="77777777" w:rsidR="00C83B27" w:rsidRPr="0012790E" w:rsidRDefault="00C83B27" w:rsidP="00C83B27">
            <w:pPr>
              <w:pStyle w:val="Summarytabletextrightaligned"/>
              <w:rPr>
                <w:szCs w:val="16"/>
              </w:rPr>
            </w:pPr>
            <w:r w:rsidRPr="0012790E">
              <w:rPr>
                <w:szCs w:val="16"/>
              </w:rPr>
              <w:t>1,602.2</w:t>
            </w:r>
          </w:p>
        </w:tc>
      </w:tr>
      <w:tr w:rsidR="00C83B27" w:rsidRPr="0012790E" w14:paraId="23DAFA48" w14:textId="77777777" w:rsidTr="00C83B27">
        <w:tc>
          <w:tcPr>
            <w:tcW w:w="3470" w:type="dxa"/>
            <w:shd w:val="clear" w:color="auto" w:fill="auto"/>
            <w:vAlign w:val="bottom"/>
          </w:tcPr>
          <w:p w14:paraId="538C5756" w14:textId="62864972" w:rsidR="00C83B27" w:rsidRPr="0012790E" w:rsidRDefault="00C83B27" w:rsidP="00C83B27">
            <w:pPr>
              <w:pStyle w:val="SummaryMeasureTitlewithTheme"/>
            </w:pPr>
            <w:r w:rsidRPr="0012790E">
              <w:t>Strengthening the foreign resident capital gains tax regime(b)</w:t>
            </w:r>
          </w:p>
        </w:tc>
        <w:tc>
          <w:tcPr>
            <w:tcW w:w="851" w:type="dxa"/>
            <w:vAlign w:val="bottom"/>
          </w:tcPr>
          <w:p w14:paraId="49FF7168"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67AE8F0D" w14:textId="77777777" w:rsidR="00C83B27" w:rsidRPr="0012790E" w:rsidRDefault="00C83B27" w:rsidP="00C83B27">
            <w:pPr>
              <w:pStyle w:val="Summarytabletextrightaligned"/>
              <w:rPr>
                <w:szCs w:val="16"/>
              </w:rPr>
            </w:pPr>
            <w:r w:rsidRPr="0012790E">
              <w:rPr>
                <w:szCs w:val="16"/>
              </w:rPr>
              <w:noBreakHyphen/>
            </w:r>
          </w:p>
        </w:tc>
        <w:tc>
          <w:tcPr>
            <w:tcW w:w="851" w:type="dxa"/>
            <w:vAlign w:val="bottom"/>
          </w:tcPr>
          <w:p w14:paraId="2EB2D19F" w14:textId="77777777" w:rsidR="00C83B27" w:rsidRPr="0012790E" w:rsidRDefault="00C83B27" w:rsidP="00C83B27">
            <w:pPr>
              <w:pStyle w:val="Summarytabletextrightaligned"/>
              <w:rPr>
                <w:szCs w:val="16"/>
              </w:rPr>
            </w:pPr>
            <w:r w:rsidRPr="0012790E">
              <w:rPr>
                <w:szCs w:val="16"/>
              </w:rPr>
              <w:t>200.0</w:t>
            </w:r>
          </w:p>
        </w:tc>
        <w:tc>
          <w:tcPr>
            <w:tcW w:w="851" w:type="dxa"/>
            <w:vAlign w:val="bottom"/>
          </w:tcPr>
          <w:p w14:paraId="1D2089D2" w14:textId="77777777" w:rsidR="00C83B27" w:rsidRPr="0012790E" w:rsidRDefault="00C83B27" w:rsidP="00C83B27">
            <w:pPr>
              <w:pStyle w:val="Summarytabletextrightaligned"/>
              <w:rPr>
                <w:szCs w:val="16"/>
              </w:rPr>
            </w:pPr>
            <w:r w:rsidRPr="0012790E">
              <w:rPr>
                <w:szCs w:val="16"/>
              </w:rPr>
              <w:t>200.0</w:t>
            </w:r>
          </w:p>
        </w:tc>
        <w:tc>
          <w:tcPr>
            <w:tcW w:w="851" w:type="dxa"/>
            <w:vAlign w:val="bottom"/>
          </w:tcPr>
          <w:p w14:paraId="0453F497" w14:textId="77777777" w:rsidR="00C83B27" w:rsidRPr="0012790E" w:rsidRDefault="00C83B27" w:rsidP="00C83B27">
            <w:pPr>
              <w:pStyle w:val="Summarytabletextrightaligned"/>
              <w:rPr>
                <w:szCs w:val="16"/>
              </w:rPr>
            </w:pPr>
            <w:r w:rsidRPr="0012790E">
              <w:rPr>
                <w:szCs w:val="16"/>
              </w:rPr>
              <w:t>200.0</w:t>
            </w:r>
          </w:p>
        </w:tc>
      </w:tr>
      <w:tr w:rsidR="00C83B27" w:rsidRPr="0012790E" w14:paraId="6319F447" w14:textId="77777777" w:rsidTr="00C83B27">
        <w:tc>
          <w:tcPr>
            <w:tcW w:w="3470" w:type="dxa"/>
            <w:shd w:val="clear" w:color="auto" w:fill="auto"/>
            <w:vAlign w:val="bottom"/>
          </w:tcPr>
          <w:p w14:paraId="1BDADEDD" w14:textId="4D9C57A7" w:rsidR="00C83B27" w:rsidRPr="0012790E" w:rsidRDefault="00C83B27" w:rsidP="00C83B27">
            <w:pPr>
              <w:pStyle w:val="SummaryMeasureTitlewithTheme"/>
            </w:pPr>
            <w:r w:rsidRPr="0012790E">
              <w:t>Workplace Relations(b)</w:t>
            </w:r>
          </w:p>
        </w:tc>
        <w:tc>
          <w:tcPr>
            <w:tcW w:w="851" w:type="dxa"/>
            <w:vAlign w:val="bottom"/>
          </w:tcPr>
          <w:p w14:paraId="36A478E3" w14:textId="77777777" w:rsidR="00C83B27" w:rsidRPr="0012790E" w:rsidRDefault="00C83B27" w:rsidP="00C83B27">
            <w:pPr>
              <w:pStyle w:val="Summarytabletextrightaligned"/>
              <w:rPr>
                <w:szCs w:val="16"/>
              </w:rPr>
            </w:pPr>
            <w:r w:rsidRPr="0012790E">
              <w:rPr>
                <w:szCs w:val="16"/>
              </w:rPr>
              <w:noBreakHyphen/>
            </w:r>
          </w:p>
        </w:tc>
        <w:tc>
          <w:tcPr>
            <w:tcW w:w="851" w:type="dxa"/>
            <w:shd w:val="clear" w:color="auto" w:fill="E6F2FF"/>
            <w:vAlign w:val="bottom"/>
          </w:tcPr>
          <w:p w14:paraId="5EBE6392" w14:textId="77777777" w:rsidR="00C83B27" w:rsidRPr="0012790E" w:rsidRDefault="00C83B27" w:rsidP="00C83B27">
            <w:pPr>
              <w:pStyle w:val="Summarytabletextrightaligned"/>
              <w:rPr>
                <w:szCs w:val="16"/>
              </w:rPr>
            </w:pPr>
            <w:r w:rsidRPr="0012790E">
              <w:rPr>
                <w:szCs w:val="16"/>
              </w:rPr>
              <w:t>2.3</w:t>
            </w:r>
          </w:p>
        </w:tc>
        <w:tc>
          <w:tcPr>
            <w:tcW w:w="851" w:type="dxa"/>
            <w:vAlign w:val="bottom"/>
          </w:tcPr>
          <w:p w14:paraId="48FEC057" w14:textId="77777777" w:rsidR="00C83B27" w:rsidRPr="0012790E" w:rsidRDefault="00C83B27" w:rsidP="00C83B27">
            <w:pPr>
              <w:pStyle w:val="Summarytabletextrightaligned"/>
              <w:rPr>
                <w:szCs w:val="16"/>
              </w:rPr>
            </w:pPr>
            <w:r w:rsidRPr="0012790E">
              <w:rPr>
                <w:szCs w:val="16"/>
              </w:rPr>
              <w:t>12.3</w:t>
            </w:r>
          </w:p>
        </w:tc>
        <w:tc>
          <w:tcPr>
            <w:tcW w:w="851" w:type="dxa"/>
            <w:vAlign w:val="bottom"/>
          </w:tcPr>
          <w:p w14:paraId="70259D73" w14:textId="77777777" w:rsidR="00C83B27" w:rsidRPr="0012790E" w:rsidRDefault="00C83B27" w:rsidP="00C83B27">
            <w:pPr>
              <w:pStyle w:val="Summarytabletextrightaligned"/>
              <w:rPr>
                <w:szCs w:val="16"/>
              </w:rPr>
            </w:pPr>
            <w:r w:rsidRPr="0012790E">
              <w:rPr>
                <w:szCs w:val="16"/>
              </w:rPr>
              <w:t>22.3</w:t>
            </w:r>
          </w:p>
        </w:tc>
        <w:tc>
          <w:tcPr>
            <w:tcW w:w="851" w:type="dxa"/>
            <w:vAlign w:val="bottom"/>
          </w:tcPr>
          <w:p w14:paraId="6E16286E" w14:textId="77777777" w:rsidR="00C83B27" w:rsidRPr="0012790E" w:rsidRDefault="00C83B27" w:rsidP="00C83B27">
            <w:pPr>
              <w:pStyle w:val="Summarytabletextrightaligned"/>
              <w:rPr>
                <w:szCs w:val="16"/>
              </w:rPr>
            </w:pPr>
            <w:r w:rsidRPr="0012790E">
              <w:rPr>
                <w:szCs w:val="16"/>
              </w:rPr>
              <w:t>26.2</w:t>
            </w:r>
          </w:p>
        </w:tc>
      </w:tr>
      <w:tr w:rsidR="00C83B27" w:rsidRPr="0012790E" w14:paraId="73138FCD" w14:textId="77777777" w:rsidTr="00C83B27">
        <w:tc>
          <w:tcPr>
            <w:tcW w:w="3470" w:type="dxa"/>
            <w:shd w:val="clear" w:color="auto" w:fill="auto"/>
            <w:vAlign w:val="bottom"/>
          </w:tcPr>
          <w:p w14:paraId="755E02E6" w14:textId="77777777" w:rsidR="00C83B27" w:rsidRPr="0012790E" w:rsidRDefault="00C83B27" w:rsidP="00C83B27">
            <w:pPr>
              <w:pStyle w:val="SummaryAgencyTitle-BP2"/>
              <w:rPr>
                <w:iCs/>
              </w:rPr>
            </w:pPr>
            <w:r w:rsidRPr="0012790E">
              <w:rPr>
                <w:iCs/>
              </w:rPr>
              <w:t>Department of the Treasury</w:t>
            </w:r>
          </w:p>
        </w:tc>
        <w:tc>
          <w:tcPr>
            <w:tcW w:w="851" w:type="dxa"/>
            <w:vAlign w:val="bottom"/>
          </w:tcPr>
          <w:p w14:paraId="32A21F7A" w14:textId="77777777" w:rsidR="00C83B27" w:rsidRPr="0012790E" w:rsidRDefault="00C83B27" w:rsidP="00C83B27">
            <w:pPr>
              <w:pStyle w:val="SummaryAgencyTitle-BP2"/>
              <w:rPr>
                <w:iCs/>
              </w:rPr>
            </w:pPr>
          </w:p>
        </w:tc>
        <w:tc>
          <w:tcPr>
            <w:tcW w:w="851" w:type="dxa"/>
            <w:shd w:val="clear" w:color="auto" w:fill="E6F2FF"/>
            <w:vAlign w:val="bottom"/>
          </w:tcPr>
          <w:p w14:paraId="109E50C8" w14:textId="77777777" w:rsidR="00C83B27" w:rsidRPr="0012790E" w:rsidRDefault="00C83B27" w:rsidP="00C83B27">
            <w:pPr>
              <w:pStyle w:val="SummaryAgencyTitle-BP2"/>
              <w:rPr>
                <w:iCs/>
              </w:rPr>
            </w:pPr>
          </w:p>
        </w:tc>
        <w:tc>
          <w:tcPr>
            <w:tcW w:w="851" w:type="dxa"/>
            <w:vAlign w:val="bottom"/>
          </w:tcPr>
          <w:p w14:paraId="248DCABF" w14:textId="77777777" w:rsidR="00C83B27" w:rsidRPr="0012790E" w:rsidRDefault="00C83B27" w:rsidP="00C83B27">
            <w:pPr>
              <w:pStyle w:val="SummaryAgencyTitle-BP2"/>
              <w:rPr>
                <w:iCs/>
              </w:rPr>
            </w:pPr>
          </w:p>
        </w:tc>
        <w:tc>
          <w:tcPr>
            <w:tcW w:w="851" w:type="dxa"/>
            <w:vAlign w:val="bottom"/>
          </w:tcPr>
          <w:p w14:paraId="6EA7BCCD" w14:textId="77777777" w:rsidR="00C83B27" w:rsidRPr="0012790E" w:rsidRDefault="00C83B27" w:rsidP="00C83B27">
            <w:pPr>
              <w:pStyle w:val="SummaryAgencyTitle-BP2"/>
              <w:rPr>
                <w:iCs/>
              </w:rPr>
            </w:pPr>
          </w:p>
        </w:tc>
        <w:tc>
          <w:tcPr>
            <w:tcW w:w="851" w:type="dxa"/>
            <w:vAlign w:val="bottom"/>
          </w:tcPr>
          <w:p w14:paraId="34030640" w14:textId="77777777" w:rsidR="00C83B27" w:rsidRPr="0012790E" w:rsidRDefault="00C83B27" w:rsidP="00C83B27">
            <w:pPr>
              <w:pStyle w:val="SummaryAgencyTitle-BP2"/>
              <w:rPr>
                <w:iCs/>
              </w:rPr>
            </w:pPr>
          </w:p>
        </w:tc>
      </w:tr>
      <w:tr w:rsidR="00C83B27" w:rsidRPr="0012790E" w14:paraId="104C9A63" w14:textId="77777777" w:rsidTr="00C83B27">
        <w:tc>
          <w:tcPr>
            <w:tcW w:w="3470" w:type="dxa"/>
            <w:shd w:val="clear" w:color="auto" w:fill="auto"/>
            <w:vAlign w:val="bottom"/>
          </w:tcPr>
          <w:p w14:paraId="71BD0F62" w14:textId="01DB6DF3" w:rsidR="00C83B27" w:rsidRPr="0012790E" w:rsidRDefault="00C83B27" w:rsidP="00C83B27">
            <w:pPr>
              <w:pStyle w:val="SummaryMeasureTitlewithTheme"/>
            </w:pPr>
            <w:r w:rsidRPr="0012790E">
              <w:t>Housing Support(b)</w:t>
            </w:r>
          </w:p>
        </w:tc>
        <w:tc>
          <w:tcPr>
            <w:tcW w:w="851" w:type="dxa"/>
            <w:tcBorders>
              <w:bottom w:val="single" w:sz="4" w:space="0" w:color="293F5B"/>
            </w:tcBorders>
            <w:vAlign w:val="bottom"/>
          </w:tcPr>
          <w:p w14:paraId="7D04256C" w14:textId="77777777" w:rsidR="00C83B27" w:rsidRPr="0012790E" w:rsidRDefault="00C83B27" w:rsidP="00C83B27">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231CA622" w14:textId="77777777" w:rsidR="00C83B27" w:rsidRPr="0012790E" w:rsidRDefault="00C83B27" w:rsidP="00C83B27">
            <w:pPr>
              <w:pStyle w:val="Summarytabletextrightaligned"/>
              <w:rPr>
                <w:szCs w:val="16"/>
              </w:rPr>
            </w:pPr>
            <w:r w:rsidRPr="0012790E">
              <w:rPr>
                <w:szCs w:val="16"/>
              </w:rPr>
              <w:t>8.0</w:t>
            </w:r>
          </w:p>
        </w:tc>
        <w:tc>
          <w:tcPr>
            <w:tcW w:w="851" w:type="dxa"/>
            <w:tcBorders>
              <w:bottom w:val="single" w:sz="4" w:space="0" w:color="293F5B"/>
            </w:tcBorders>
            <w:vAlign w:val="bottom"/>
          </w:tcPr>
          <w:p w14:paraId="1D1E309C" w14:textId="77777777" w:rsidR="00C83B27" w:rsidRPr="0012790E" w:rsidRDefault="00C83B27" w:rsidP="00C83B27">
            <w:pPr>
              <w:pStyle w:val="Summarytabletextrightaligned"/>
              <w:rPr>
                <w:szCs w:val="16"/>
              </w:rPr>
            </w:pPr>
            <w:r w:rsidRPr="0012790E">
              <w:rPr>
                <w:szCs w:val="16"/>
              </w:rPr>
              <w:t>12.9</w:t>
            </w:r>
          </w:p>
        </w:tc>
        <w:tc>
          <w:tcPr>
            <w:tcW w:w="851" w:type="dxa"/>
            <w:tcBorders>
              <w:bottom w:val="single" w:sz="4" w:space="0" w:color="293F5B"/>
            </w:tcBorders>
            <w:vAlign w:val="bottom"/>
          </w:tcPr>
          <w:p w14:paraId="2A3B8460" w14:textId="77777777" w:rsidR="00C83B27" w:rsidRPr="0012790E" w:rsidRDefault="00C83B27" w:rsidP="00C83B27">
            <w:pPr>
              <w:pStyle w:val="Summarytabletextrightaligned"/>
              <w:rPr>
                <w:szCs w:val="16"/>
              </w:rPr>
            </w:pPr>
            <w:r w:rsidRPr="0012790E">
              <w:rPr>
                <w:szCs w:val="16"/>
              </w:rPr>
              <w:t>146.2</w:t>
            </w:r>
          </w:p>
        </w:tc>
        <w:tc>
          <w:tcPr>
            <w:tcW w:w="851" w:type="dxa"/>
            <w:tcBorders>
              <w:bottom w:val="single" w:sz="4" w:space="0" w:color="293F5B"/>
            </w:tcBorders>
            <w:vAlign w:val="bottom"/>
          </w:tcPr>
          <w:p w14:paraId="48521717" w14:textId="77777777" w:rsidR="00C83B27" w:rsidRPr="0012790E" w:rsidRDefault="00C83B27" w:rsidP="00C83B27">
            <w:pPr>
              <w:pStyle w:val="Summarytabletextrightaligned"/>
              <w:rPr>
                <w:szCs w:val="16"/>
              </w:rPr>
            </w:pPr>
            <w:r w:rsidRPr="0012790E">
              <w:rPr>
                <w:szCs w:val="16"/>
              </w:rPr>
              <w:t>96.2</w:t>
            </w:r>
          </w:p>
        </w:tc>
      </w:tr>
      <w:tr w:rsidR="001C58EC" w:rsidRPr="0012790E" w14:paraId="43A69B71" w14:textId="77777777" w:rsidTr="00C83B27">
        <w:tc>
          <w:tcPr>
            <w:tcW w:w="3470" w:type="dxa"/>
            <w:shd w:val="clear" w:color="auto" w:fill="auto"/>
            <w:vAlign w:val="bottom"/>
          </w:tcPr>
          <w:p w14:paraId="48B901D4" w14:textId="77777777" w:rsidR="001C58EC" w:rsidRPr="0012790E" w:rsidRDefault="001C58EC" w:rsidP="001C58EC">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7C87FCE6" w14:textId="2F6D1F80" w:rsidR="001C58EC" w:rsidRPr="0012790E" w:rsidRDefault="001C58EC" w:rsidP="001C58EC">
            <w:pPr>
              <w:pStyle w:val="Summarytabletextrightalignedbold"/>
              <w:rPr>
                <w:bCs/>
                <w:szCs w:val="16"/>
              </w:rPr>
            </w:pPr>
            <w:r w:rsidRPr="0012790E">
              <w:rPr>
                <w:bCs/>
                <w:szCs w:val="16"/>
              </w:rPr>
              <w:noBreakHyphen/>
              <w:t>30.0</w:t>
            </w:r>
          </w:p>
        </w:tc>
        <w:tc>
          <w:tcPr>
            <w:tcW w:w="851" w:type="dxa"/>
            <w:tcBorders>
              <w:top w:val="single" w:sz="4" w:space="0" w:color="293F5B"/>
              <w:bottom w:val="single" w:sz="4" w:space="0" w:color="293F5B"/>
            </w:tcBorders>
            <w:shd w:val="clear" w:color="auto" w:fill="E6F2FF"/>
            <w:vAlign w:val="bottom"/>
          </w:tcPr>
          <w:p w14:paraId="07FE106C" w14:textId="26C87524" w:rsidR="001C58EC" w:rsidRPr="0012790E" w:rsidRDefault="001C58EC" w:rsidP="001C58EC">
            <w:pPr>
              <w:pStyle w:val="Summarytabletextrightalignedbold"/>
              <w:rPr>
                <w:bCs/>
                <w:szCs w:val="16"/>
              </w:rPr>
            </w:pPr>
            <w:r w:rsidRPr="0012790E">
              <w:rPr>
                <w:bCs/>
                <w:szCs w:val="16"/>
              </w:rPr>
              <w:t>1,433.2</w:t>
            </w:r>
          </w:p>
        </w:tc>
        <w:tc>
          <w:tcPr>
            <w:tcW w:w="851" w:type="dxa"/>
            <w:tcBorders>
              <w:top w:val="single" w:sz="4" w:space="0" w:color="293F5B"/>
              <w:bottom w:val="single" w:sz="4" w:space="0" w:color="293F5B"/>
            </w:tcBorders>
            <w:vAlign w:val="bottom"/>
          </w:tcPr>
          <w:p w14:paraId="38C8C54B" w14:textId="6C00181A" w:rsidR="001C58EC" w:rsidRPr="0012790E" w:rsidRDefault="001C58EC" w:rsidP="001C58EC">
            <w:pPr>
              <w:pStyle w:val="Summarytabletextrightalignedbold"/>
              <w:rPr>
                <w:bCs/>
                <w:szCs w:val="16"/>
              </w:rPr>
            </w:pPr>
            <w:r w:rsidRPr="0012790E">
              <w:rPr>
                <w:bCs/>
                <w:szCs w:val="16"/>
              </w:rPr>
              <w:noBreakHyphen/>
              <w:t>1,</w:t>
            </w:r>
            <w:r w:rsidR="0033750F">
              <w:rPr>
                <w:bCs/>
                <w:szCs w:val="16"/>
              </w:rPr>
              <w:t>902.5</w:t>
            </w:r>
          </w:p>
        </w:tc>
        <w:tc>
          <w:tcPr>
            <w:tcW w:w="851" w:type="dxa"/>
            <w:tcBorders>
              <w:top w:val="single" w:sz="4" w:space="0" w:color="293F5B"/>
              <w:bottom w:val="single" w:sz="4" w:space="0" w:color="293F5B"/>
            </w:tcBorders>
            <w:vAlign w:val="bottom"/>
          </w:tcPr>
          <w:p w14:paraId="0945A1B8" w14:textId="5AA980B9" w:rsidR="001C58EC" w:rsidRPr="0012790E" w:rsidRDefault="001C58EC" w:rsidP="001C58EC">
            <w:pPr>
              <w:pStyle w:val="Summarytabletextrightalignedbold"/>
              <w:rPr>
                <w:bCs/>
                <w:szCs w:val="16"/>
              </w:rPr>
            </w:pPr>
            <w:r w:rsidRPr="0012790E">
              <w:rPr>
                <w:bCs/>
                <w:szCs w:val="16"/>
              </w:rPr>
              <w:t>1,</w:t>
            </w:r>
            <w:r w:rsidR="0033750F">
              <w:rPr>
                <w:bCs/>
                <w:szCs w:val="16"/>
              </w:rPr>
              <w:t>102.0</w:t>
            </w:r>
          </w:p>
        </w:tc>
        <w:tc>
          <w:tcPr>
            <w:tcW w:w="851" w:type="dxa"/>
            <w:tcBorders>
              <w:top w:val="single" w:sz="4" w:space="0" w:color="293F5B"/>
              <w:bottom w:val="single" w:sz="4" w:space="0" w:color="293F5B"/>
            </w:tcBorders>
            <w:vAlign w:val="bottom"/>
          </w:tcPr>
          <w:p w14:paraId="4F59D0A8" w14:textId="33BC2CF9" w:rsidR="001C58EC" w:rsidRPr="0012790E" w:rsidRDefault="001C58EC" w:rsidP="001C58EC">
            <w:pPr>
              <w:pStyle w:val="Summarytabletextrightalignedbold"/>
              <w:rPr>
                <w:bCs/>
                <w:szCs w:val="16"/>
              </w:rPr>
            </w:pPr>
            <w:r w:rsidRPr="0012790E">
              <w:rPr>
                <w:bCs/>
                <w:szCs w:val="16"/>
              </w:rPr>
              <w:t>3,</w:t>
            </w:r>
            <w:r w:rsidR="0033750F">
              <w:rPr>
                <w:bCs/>
                <w:szCs w:val="16"/>
              </w:rPr>
              <w:t>7</w:t>
            </w:r>
            <w:r w:rsidR="003D4C83">
              <w:rPr>
                <w:bCs/>
                <w:szCs w:val="16"/>
              </w:rPr>
              <w:t>04.3</w:t>
            </w:r>
          </w:p>
        </w:tc>
      </w:tr>
      <w:tr w:rsidR="00200AE7" w:rsidRPr="0012790E" w14:paraId="4BC59056" w14:textId="77777777" w:rsidTr="00F319D9">
        <w:tc>
          <w:tcPr>
            <w:tcW w:w="3470" w:type="dxa"/>
            <w:shd w:val="clear" w:color="auto" w:fill="auto"/>
            <w:vAlign w:val="bottom"/>
          </w:tcPr>
          <w:p w14:paraId="232BE04C" w14:textId="55161849" w:rsidR="00200AE7" w:rsidRPr="0012790E" w:rsidRDefault="00200AE7" w:rsidP="00200AE7">
            <w:pPr>
              <w:pStyle w:val="Summarytabletextleftalignedbold"/>
            </w:pPr>
            <w:r w:rsidRPr="0012790E">
              <w:t>Decisions taken but not yet announced</w:t>
            </w:r>
            <w:r w:rsidR="00FE1184">
              <w:t xml:space="preserve"> and not for publication</w:t>
            </w:r>
          </w:p>
        </w:tc>
        <w:tc>
          <w:tcPr>
            <w:tcW w:w="851" w:type="dxa"/>
            <w:tcBorders>
              <w:top w:val="single" w:sz="4" w:space="0" w:color="293F5B"/>
              <w:bottom w:val="single" w:sz="4" w:space="0" w:color="293F5B"/>
            </w:tcBorders>
          </w:tcPr>
          <w:p w14:paraId="65488253" w14:textId="2E7FD483" w:rsidR="00200AE7" w:rsidRPr="0012790E" w:rsidRDefault="009B132E" w:rsidP="00200AE7">
            <w:pPr>
              <w:pStyle w:val="Summarytabletextrightalignedbold"/>
              <w:rPr>
                <w:bCs/>
                <w:szCs w:val="16"/>
              </w:rPr>
            </w:pPr>
            <w:r>
              <w:t>194.6</w:t>
            </w:r>
            <w:r w:rsidR="00B34F9D" w:rsidRPr="00C906E5">
              <w:t xml:space="preserve"> </w:t>
            </w:r>
          </w:p>
        </w:tc>
        <w:tc>
          <w:tcPr>
            <w:tcW w:w="851" w:type="dxa"/>
            <w:tcBorders>
              <w:top w:val="single" w:sz="4" w:space="0" w:color="293F5B"/>
              <w:bottom w:val="single" w:sz="4" w:space="0" w:color="293F5B"/>
            </w:tcBorders>
            <w:shd w:val="clear" w:color="auto" w:fill="E6F2FF"/>
          </w:tcPr>
          <w:p w14:paraId="29BC8544" w14:textId="790878FB" w:rsidR="00200AE7" w:rsidRPr="0012790E" w:rsidRDefault="009B132E" w:rsidP="00200AE7">
            <w:pPr>
              <w:pStyle w:val="Summarytabletextrightalignedbold"/>
              <w:rPr>
                <w:bCs/>
                <w:szCs w:val="16"/>
              </w:rPr>
            </w:pPr>
            <w:r>
              <w:t>955.5</w:t>
            </w:r>
          </w:p>
        </w:tc>
        <w:tc>
          <w:tcPr>
            <w:tcW w:w="851" w:type="dxa"/>
            <w:tcBorders>
              <w:top w:val="single" w:sz="4" w:space="0" w:color="293F5B"/>
              <w:bottom w:val="single" w:sz="4" w:space="0" w:color="293F5B"/>
            </w:tcBorders>
          </w:tcPr>
          <w:p w14:paraId="405156BF" w14:textId="55163BC1" w:rsidR="00200AE7" w:rsidRPr="0012790E" w:rsidRDefault="009B132E" w:rsidP="00200AE7">
            <w:pPr>
              <w:pStyle w:val="Summarytabletextrightalignedbold"/>
              <w:rPr>
                <w:bCs/>
                <w:szCs w:val="16"/>
              </w:rPr>
            </w:pPr>
            <w:r>
              <w:t>959.9</w:t>
            </w:r>
          </w:p>
        </w:tc>
        <w:tc>
          <w:tcPr>
            <w:tcW w:w="851" w:type="dxa"/>
            <w:tcBorders>
              <w:top w:val="single" w:sz="4" w:space="0" w:color="293F5B"/>
              <w:bottom w:val="single" w:sz="4" w:space="0" w:color="293F5B"/>
            </w:tcBorders>
          </w:tcPr>
          <w:p w14:paraId="0B79BD73" w14:textId="50FF3DA5" w:rsidR="00200AE7" w:rsidRPr="0012790E" w:rsidRDefault="002D6470" w:rsidP="00200AE7">
            <w:pPr>
              <w:pStyle w:val="Summarytabletextrightalignedbold"/>
              <w:rPr>
                <w:bCs/>
                <w:szCs w:val="16"/>
              </w:rPr>
            </w:pPr>
            <w:r>
              <w:t>932.2</w:t>
            </w:r>
          </w:p>
        </w:tc>
        <w:tc>
          <w:tcPr>
            <w:tcW w:w="851" w:type="dxa"/>
            <w:tcBorders>
              <w:top w:val="single" w:sz="4" w:space="0" w:color="293F5B"/>
              <w:bottom w:val="single" w:sz="4" w:space="0" w:color="293F5B"/>
            </w:tcBorders>
          </w:tcPr>
          <w:p w14:paraId="58659302" w14:textId="6AECB74F" w:rsidR="00200AE7" w:rsidRPr="0012790E" w:rsidRDefault="00EE5EBA" w:rsidP="00200AE7">
            <w:pPr>
              <w:pStyle w:val="Summarytabletextrightalignedbold"/>
              <w:rPr>
                <w:bCs/>
                <w:szCs w:val="16"/>
              </w:rPr>
            </w:pPr>
            <w:r>
              <w:t>1,069.7</w:t>
            </w:r>
          </w:p>
        </w:tc>
      </w:tr>
      <w:tr w:rsidR="00200AE7" w:rsidRPr="0012790E" w14:paraId="23188D1C" w14:textId="77777777" w:rsidTr="00F319D9">
        <w:tc>
          <w:tcPr>
            <w:tcW w:w="3470" w:type="dxa"/>
            <w:tcBorders>
              <w:bottom w:val="single" w:sz="4" w:space="0" w:color="293F5B"/>
            </w:tcBorders>
            <w:shd w:val="clear" w:color="auto" w:fill="auto"/>
            <w:vAlign w:val="bottom"/>
          </w:tcPr>
          <w:p w14:paraId="11D10EAE" w14:textId="2B6BC539" w:rsidR="00200AE7" w:rsidRPr="0012790E" w:rsidRDefault="00200AE7" w:rsidP="00200AE7">
            <w:pPr>
              <w:pStyle w:val="Summarytabletextleftalignedbold"/>
            </w:pPr>
            <w:r w:rsidRPr="0012790E">
              <w:t>Total impact of receipt measures(</w:t>
            </w:r>
            <w:r w:rsidR="00FE1184">
              <w:t>c</w:t>
            </w:r>
            <w:r w:rsidRPr="0012790E">
              <w:t>)</w:t>
            </w:r>
          </w:p>
        </w:tc>
        <w:tc>
          <w:tcPr>
            <w:tcW w:w="851" w:type="dxa"/>
            <w:tcBorders>
              <w:top w:val="single" w:sz="4" w:space="0" w:color="293F5B"/>
              <w:bottom w:val="single" w:sz="4" w:space="0" w:color="293F5B"/>
            </w:tcBorders>
          </w:tcPr>
          <w:p w14:paraId="1C2CDF16" w14:textId="6079F58B" w:rsidR="00200AE7" w:rsidRPr="0012790E" w:rsidRDefault="005C77CF" w:rsidP="00200AE7">
            <w:pPr>
              <w:pStyle w:val="Summarytabletextrightalignedbold"/>
              <w:rPr>
                <w:bCs/>
                <w:szCs w:val="16"/>
              </w:rPr>
            </w:pPr>
            <w:r w:rsidRPr="00B90961">
              <w:t xml:space="preserve"> 135.9 </w:t>
            </w:r>
          </w:p>
        </w:tc>
        <w:tc>
          <w:tcPr>
            <w:tcW w:w="851" w:type="dxa"/>
            <w:tcBorders>
              <w:top w:val="single" w:sz="4" w:space="0" w:color="293F5B"/>
              <w:bottom w:val="single" w:sz="4" w:space="0" w:color="293F5B"/>
            </w:tcBorders>
            <w:shd w:val="clear" w:color="auto" w:fill="E6F2FF"/>
          </w:tcPr>
          <w:p w14:paraId="0077197A" w14:textId="41CDCD88" w:rsidR="00200AE7" w:rsidRPr="0012790E" w:rsidRDefault="005C77CF" w:rsidP="00200AE7">
            <w:pPr>
              <w:pStyle w:val="Summarytabletextrightalignedbold"/>
              <w:rPr>
                <w:bCs/>
                <w:szCs w:val="16"/>
              </w:rPr>
            </w:pPr>
            <w:r w:rsidRPr="00B90961">
              <w:t xml:space="preserve"> 2,215.2 </w:t>
            </w:r>
          </w:p>
        </w:tc>
        <w:tc>
          <w:tcPr>
            <w:tcW w:w="851" w:type="dxa"/>
            <w:tcBorders>
              <w:top w:val="single" w:sz="4" w:space="0" w:color="293F5B"/>
              <w:bottom w:val="single" w:sz="4" w:space="0" w:color="293F5B"/>
            </w:tcBorders>
          </w:tcPr>
          <w:p w14:paraId="7418FF8F" w14:textId="0F52B3CD" w:rsidR="00200AE7" w:rsidRPr="0012790E" w:rsidRDefault="005C77CF" w:rsidP="00200AE7">
            <w:pPr>
              <w:pStyle w:val="Summarytabletextrightalignedbold"/>
              <w:rPr>
                <w:bCs/>
                <w:szCs w:val="16"/>
              </w:rPr>
            </w:pPr>
            <w:r w:rsidRPr="00B90961">
              <w:t xml:space="preserve">-1,000.0 </w:t>
            </w:r>
          </w:p>
        </w:tc>
        <w:tc>
          <w:tcPr>
            <w:tcW w:w="851" w:type="dxa"/>
            <w:tcBorders>
              <w:top w:val="single" w:sz="4" w:space="0" w:color="293F5B"/>
              <w:bottom w:val="single" w:sz="4" w:space="0" w:color="293F5B"/>
            </w:tcBorders>
          </w:tcPr>
          <w:p w14:paraId="7E111186" w14:textId="72C86755" w:rsidR="00200AE7" w:rsidRPr="0012790E" w:rsidRDefault="005C77CF" w:rsidP="00200AE7">
            <w:pPr>
              <w:pStyle w:val="Summarytabletextrightalignedbold"/>
              <w:rPr>
                <w:bCs/>
                <w:szCs w:val="16"/>
              </w:rPr>
            </w:pPr>
            <w:r w:rsidRPr="00B90961">
              <w:t xml:space="preserve"> 1,988.6 </w:t>
            </w:r>
          </w:p>
        </w:tc>
        <w:tc>
          <w:tcPr>
            <w:tcW w:w="851" w:type="dxa"/>
            <w:tcBorders>
              <w:top w:val="single" w:sz="4" w:space="0" w:color="293F5B"/>
              <w:bottom w:val="single" w:sz="4" w:space="0" w:color="293F5B"/>
            </w:tcBorders>
          </w:tcPr>
          <w:p w14:paraId="6FDA41BB" w14:textId="2FBF17B1" w:rsidR="00200AE7" w:rsidRPr="0012790E" w:rsidRDefault="005C77CF" w:rsidP="00200AE7">
            <w:pPr>
              <w:pStyle w:val="Summarytabletextrightalignedbold"/>
              <w:rPr>
                <w:bCs/>
                <w:szCs w:val="16"/>
              </w:rPr>
            </w:pPr>
            <w:r w:rsidRPr="00B90961">
              <w:t xml:space="preserve"> 4,724.8 </w:t>
            </w:r>
          </w:p>
        </w:tc>
      </w:tr>
    </w:tbl>
    <w:p w14:paraId="3CC9241E" w14:textId="77777777" w:rsidR="00C83B27" w:rsidRPr="0012790E" w:rsidRDefault="00C83B27" w:rsidP="00C83B27">
      <w:pPr>
        <w:pStyle w:val="ChartandTableFootnote"/>
      </w:pPr>
    </w:p>
    <w:tbl>
      <w:tblPr>
        <w:tblW w:w="7652" w:type="dxa"/>
        <w:tblLayout w:type="fixed"/>
        <w:tblCellMar>
          <w:left w:w="0" w:type="dxa"/>
        </w:tblCellMar>
        <w:tblLook w:val="0000" w:firstRow="0" w:lastRow="0" w:firstColumn="0" w:lastColumn="0" w:noHBand="0" w:noVBand="0"/>
      </w:tblPr>
      <w:tblGrid>
        <w:gridCol w:w="369"/>
        <w:gridCol w:w="7283"/>
      </w:tblGrid>
      <w:tr w:rsidR="00C83B27" w:rsidRPr="0012790E" w14:paraId="67E8A0C4" w14:textId="77777777" w:rsidTr="006D3046">
        <w:tc>
          <w:tcPr>
            <w:tcW w:w="369" w:type="dxa"/>
          </w:tcPr>
          <w:p w14:paraId="29C0A99A" w14:textId="77777777" w:rsidR="00C83B27" w:rsidRPr="0012790E" w:rsidRDefault="00C83B27" w:rsidP="00C83B27">
            <w:pPr>
              <w:pStyle w:val="ChartandTableFootnote"/>
            </w:pPr>
            <w:r w:rsidRPr="0012790E">
              <w:t>*</w:t>
            </w:r>
          </w:p>
        </w:tc>
        <w:tc>
          <w:tcPr>
            <w:tcW w:w="7283" w:type="dxa"/>
          </w:tcPr>
          <w:p w14:paraId="5F374F43" w14:textId="77777777" w:rsidR="00C83B27" w:rsidRPr="0012790E" w:rsidRDefault="00C83B27" w:rsidP="00C83B27">
            <w:pPr>
              <w:pStyle w:val="ChartandTableFootnote"/>
            </w:pPr>
            <w:r w:rsidRPr="0012790E">
              <w:t>The nature of the measure is such that a reliable estimate cannot be provided.</w:t>
            </w:r>
          </w:p>
        </w:tc>
      </w:tr>
      <w:tr w:rsidR="00C83B27" w:rsidRPr="0012790E" w14:paraId="7CE63973" w14:textId="77777777" w:rsidTr="006D3046">
        <w:tc>
          <w:tcPr>
            <w:tcW w:w="369" w:type="dxa"/>
          </w:tcPr>
          <w:p w14:paraId="626C80D4" w14:textId="77777777" w:rsidR="00C83B27" w:rsidRPr="0012790E" w:rsidRDefault="00C83B27" w:rsidP="00C83B27">
            <w:pPr>
              <w:pStyle w:val="ChartandTableFootnote"/>
            </w:pPr>
            <w:r w:rsidRPr="0012790E">
              <w:t>..</w:t>
            </w:r>
          </w:p>
        </w:tc>
        <w:tc>
          <w:tcPr>
            <w:tcW w:w="7283" w:type="dxa"/>
          </w:tcPr>
          <w:p w14:paraId="779727FE" w14:textId="77777777" w:rsidR="00C83B27" w:rsidRPr="0012790E" w:rsidRDefault="00C83B27" w:rsidP="00C83B27">
            <w:pPr>
              <w:pStyle w:val="ChartandTableFootnote"/>
            </w:pPr>
            <w:r w:rsidRPr="54937204">
              <w:rPr>
                <w:lang w:val="en-US"/>
              </w:rPr>
              <w:t>Not zero, but rounded to zero.</w:t>
            </w:r>
          </w:p>
        </w:tc>
      </w:tr>
      <w:tr w:rsidR="00C83B27" w:rsidRPr="0012790E" w14:paraId="09A81F62" w14:textId="77777777" w:rsidTr="006D3046">
        <w:tc>
          <w:tcPr>
            <w:tcW w:w="369" w:type="dxa"/>
          </w:tcPr>
          <w:p w14:paraId="2736EC7C" w14:textId="77777777" w:rsidR="00C83B27" w:rsidRPr="0012790E" w:rsidRDefault="00C83B27" w:rsidP="00C83B27">
            <w:pPr>
              <w:pStyle w:val="ChartandTableFootnote"/>
            </w:pPr>
            <w:r w:rsidRPr="0012790E">
              <w:noBreakHyphen/>
            </w:r>
          </w:p>
        </w:tc>
        <w:tc>
          <w:tcPr>
            <w:tcW w:w="7283" w:type="dxa"/>
          </w:tcPr>
          <w:p w14:paraId="011B26B2" w14:textId="77777777" w:rsidR="00C83B27" w:rsidRPr="0012790E" w:rsidRDefault="00C83B27" w:rsidP="00C83B27">
            <w:pPr>
              <w:pStyle w:val="ChartandTableFootnote"/>
            </w:pPr>
            <w:r w:rsidRPr="0012790E">
              <w:t>Nil.</w:t>
            </w:r>
          </w:p>
        </w:tc>
      </w:tr>
      <w:tr w:rsidR="00C83B27" w:rsidRPr="0012790E" w14:paraId="1A2DC682" w14:textId="77777777" w:rsidTr="006D3046">
        <w:tc>
          <w:tcPr>
            <w:tcW w:w="369" w:type="dxa"/>
          </w:tcPr>
          <w:p w14:paraId="11C8A63B" w14:textId="77777777" w:rsidR="00C83B27" w:rsidRPr="0012790E" w:rsidRDefault="00C83B27" w:rsidP="54937204">
            <w:pPr>
              <w:pStyle w:val="ChartandTableFootnote"/>
              <w:rPr>
                <w:lang w:val="en-US"/>
              </w:rPr>
            </w:pPr>
            <w:r w:rsidRPr="54937204">
              <w:rPr>
                <w:lang w:val="en-US"/>
              </w:rPr>
              <w:t>nfp</w:t>
            </w:r>
          </w:p>
        </w:tc>
        <w:tc>
          <w:tcPr>
            <w:tcW w:w="7283" w:type="dxa"/>
          </w:tcPr>
          <w:p w14:paraId="599DEA2E" w14:textId="77777777" w:rsidR="00C83B27" w:rsidRPr="0012790E" w:rsidRDefault="00C83B27" w:rsidP="00C83B27">
            <w:pPr>
              <w:pStyle w:val="ChartandTableFootnote"/>
            </w:pPr>
            <w:r w:rsidRPr="0012790E">
              <w:t>not for publication.</w:t>
            </w:r>
          </w:p>
        </w:tc>
      </w:tr>
    </w:tbl>
    <w:p w14:paraId="3C7B9652" w14:textId="1FDD136B" w:rsidR="0035635A" w:rsidRPr="006D3046" w:rsidRDefault="0035635A" w:rsidP="006D3046">
      <w:pPr>
        <w:pStyle w:val="ChartandTableFootnoteAlpha"/>
      </w:pPr>
      <w:r w:rsidRPr="1CD83E36">
        <w:rPr>
          <w:lang w:val="en-US"/>
        </w:rPr>
        <w:t>A minus sign before an estimate indicates a reduction in receipts, no sign before an estimate</w:t>
      </w:r>
      <w:r w:rsidR="00C83B27" w:rsidRPr="1CD83E36">
        <w:rPr>
          <w:lang w:val="en-US"/>
        </w:rPr>
        <w:t xml:space="preserve"> </w:t>
      </w:r>
      <w:r w:rsidRPr="1CD83E36">
        <w:rPr>
          <w:lang w:val="en-US"/>
        </w:rPr>
        <w:t>indicates a gain in receipts.</w:t>
      </w:r>
    </w:p>
    <w:p w14:paraId="6C42A380" w14:textId="4439F320" w:rsidR="0035635A" w:rsidRPr="006D3046" w:rsidRDefault="0035635A" w:rsidP="00257AB4">
      <w:pPr>
        <w:pStyle w:val="ChartandTableFootnoteAlpha"/>
      </w:pPr>
      <w:r w:rsidRPr="006D3046">
        <w:tab/>
        <w:t xml:space="preserve">These </w:t>
      </w:r>
      <w:r w:rsidRPr="00257AB4">
        <w:t>measures</w:t>
      </w:r>
      <w:r w:rsidRPr="006D3046">
        <w:t xml:space="preserve"> can also be found in the payment measures summary table.</w:t>
      </w:r>
    </w:p>
    <w:p w14:paraId="0878A8A1" w14:textId="7199F68E" w:rsidR="0035635A" w:rsidRPr="0012790E" w:rsidRDefault="0035635A" w:rsidP="006D3046">
      <w:pPr>
        <w:pStyle w:val="ChartandTableFootnoteAlpha"/>
      </w:pPr>
      <w:r w:rsidRPr="006D3046">
        <w:t>Measures</w:t>
      </w:r>
      <w:r w:rsidRPr="0012790E">
        <w:t xml:space="preserve"> may not add due to rounding.</w:t>
      </w:r>
    </w:p>
    <w:p w14:paraId="17E9E0B0" w14:textId="77777777" w:rsidR="0035635A" w:rsidRPr="0012790E" w:rsidRDefault="0035635A">
      <w:pPr>
        <w:widowControl w:val="0"/>
        <w:spacing w:line="187" w:lineRule="exact"/>
        <w:rPr>
          <w:lang w:val="en-AU"/>
        </w:rPr>
      </w:pPr>
    </w:p>
    <w:p w14:paraId="3FFD756D" w14:textId="77777777" w:rsidR="00C83B27" w:rsidRPr="0012790E" w:rsidRDefault="00C83B27" w:rsidP="003C4B9F">
      <w:pPr>
        <w:sectPr w:rsidR="00C83B27" w:rsidRPr="0012790E" w:rsidSect="00EA5BFE">
          <w:pgSz w:w="11905" w:h="16837"/>
          <w:pgMar w:top="2835" w:right="2098" w:bottom="2466" w:left="2098" w:header="1814" w:footer="1814" w:gutter="0"/>
          <w:cols w:space="720"/>
          <w:noEndnote/>
          <w:docGrid w:linePitch="272"/>
        </w:sectPr>
      </w:pPr>
    </w:p>
    <w:p w14:paraId="05304934" w14:textId="77777777" w:rsidR="0012790E" w:rsidRPr="001C06E6" w:rsidRDefault="0012790E">
      <w:pPr>
        <w:pStyle w:val="PortfolioName"/>
      </w:pPr>
      <w:r w:rsidRPr="001C06E6">
        <w:rPr>
          <w:bCs/>
          <w:szCs w:val="26"/>
        </w:rPr>
        <w:lastRenderedPageBreak/>
        <w:t>Employment and Workplace Relations</w:t>
      </w:r>
    </w:p>
    <w:p w14:paraId="2874F19C" w14:textId="77777777" w:rsidR="0012790E" w:rsidRPr="001C06E6" w:rsidRDefault="0012790E">
      <w:pPr>
        <w:pStyle w:val="MeasureTitle"/>
        <w:rPr>
          <w:bCs/>
        </w:rPr>
      </w:pPr>
      <w:r w:rsidRPr="001C06E6">
        <w:rPr>
          <w:bCs/>
        </w:rPr>
        <w:t>Amendments to the National Vocational Education and Training Regulator Act</w:t>
      </w:r>
      <w:r>
        <w:rPr>
          <w:bCs/>
        </w:rPr>
        <w:t xml:space="preserve"> </w:t>
      </w:r>
      <w:r w:rsidRPr="001C06E6">
        <w:rPr>
          <w:bCs/>
        </w:rPr>
        <w:t>2011</w:t>
      </w:r>
    </w:p>
    <w:p w14:paraId="2965BD79" w14:textId="77777777" w:rsidR="0012790E" w:rsidRPr="001C06E6" w:rsidRDefault="0012790E">
      <w:pPr>
        <w:pStyle w:val="MeasureTableHeading"/>
      </w:pPr>
      <w:r w:rsidRPr="001C06E6">
        <w:rPr>
          <w:color w:val="000000"/>
          <w:szCs w:val="16"/>
        </w:rPr>
        <w:t>Receipts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A267475" w14:textId="77777777">
        <w:tc>
          <w:tcPr>
            <w:tcW w:w="2497" w:type="dxa"/>
            <w:tcBorders>
              <w:top w:val="single" w:sz="4" w:space="0" w:color="293F5B"/>
              <w:bottom w:val="single" w:sz="4" w:space="0" w:color="293F5B"/>
            </w:tcBorders>
            <w:shd w:val="clear" w:color="auto" w:fill="auto"/>
          </w:tcPr>
          <w:p w14:paraId="3F228F97"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BEB7C62"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040F7DFE"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1612A33"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79CD7D1"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7105F58" w14:textId="77777777" w:rsidR="0012790E" w:rsidRPr="001C06E6" w:rsidRDefault="0012790E">
            <w:pPr>
              <w:pStyle w:val="MeasureTableYearHeadings"/>
              <w:keepNext/>
            </w:pPr>
            <w:r w:rsidRPr="001C06E6">
              <w:t>2027</w:t>
            </w:r>
            <w:r>
              <w:noBreakHyphen/>
            </w:r>
            <w:r w:rsidRPr="001C06E6">
              <w:t>28</w:t>
            </w:r>
          </w:p>
        </w:tc>
      </w:tr>
      <w:tr w:rsidR="0012790E" w:rsidRPr="001C06E6" w14:paraId="2B792353" w14:textId="77777777">
        <w:tc>
          <w:tcPr>
            <w:tcW w:w="2497" w:type="dxa"/>
            <w:tcBorders>
              <w:top w:val="single" w:sz="4" w:space="0" w:color="293F5B"/>
              <w:bottom w:val="single" w:sz="4" w:space="0" w:color="293F5B"/>
            </w:tcBorders>
            <w:shd w:val="clear" w:color="auto" w:fill="auto"/>
          </w:tcPr>
          <w:p w14:paraId="504E7CE7"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6E1A7FEF"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9AAE1BF" w14:textId="77777777" w:rsidR="0012790E" w:rsidRPr="001C06E6" w:rsidRDefault="0012790E">
            <w:pPr>
              <w:pStyle w:val="MeasureTableDataRightAlignedwith2ptsspacing"/>
              <w:keepNext/>
            </w:pPr>
            <w:r>
              <w:t xml:space="preserve">0.3 </w:t>
            </w:r>
          </w:p>
        </w:tc>
        <w:tc>
          <w:tcPr>
            <w:tcW w:w="1045" w:type="dxa"/>
            <w:tcBorders>
              <w:top w:val="single" w:sz="4" w:space="0" w:color="293F5B"/>
              <w:bottom w:val="single" w:sz="4" w:space="0" w:color="293F5B"/>
            </w:tcBorders>
            <w:shd w:val="clear" w:color="auto" w:fill="auto"/>
          </w:tcPr>
          <w:p w14:paraId="7BA321D8" w14:textId="77777777" w:rsidR="0012790E" w:rsidRPr="001C06E6" w:rsidRDefault="0012790E">
            <w:pPr>
              <w:pStyle w:val="MeasureTableDataRightAlignedwith2ptsspacing"/>
              <w:keepNext/>
            </w:pPr>
            <w:r>
              <w:t xml:space="preserve">0.6 </w:t>
            </w:r>
          </w:p>
        </w:tc>
        <w:tc>
          <w:tcPr>
            <w:tcW w:w="1045" w:type="dxa"/>
            <w:tcBorders>
              <w:top w:val="single" w:sz="4" w:space="0" w:color="293F5B"/>
              <w:bottom w:val="single" w:sz="4" w:space="0" w:color="293F5B"/>
            </w:tcBorders>
            <w:shd w:val="clear" w:color="auto" w:fill="auto"/>
          </w:tcPr>
          <w:p w14:paraId="3C5643EB" w14:textId="77777777" w:rsidR="0012790E" w:rsidRPr="001C06E6" w:rsidRDefault="0012790E">
            <w:pPr>
              <w:pStyle w:val="MeasureTableDataRightAlignedwith2ptsspacing"/>
              <w:keepNext/>
            </w:pPr>
            <w:r>
              <w:t xml:space="preserve">1.0 </w:t>
            </w:r>
          </w:p>
        </w:tc>
        <w:tc>
          <w:tcPr>
            <w:tcW w:w="1045" w:type="dxa"/>
            <w:tcBorders>
              <w:top w:val="single" w:sz="4" w:space="0" w:color="293F5B"/>
              <w:bottom w:val="single" w:sz="4" w:space="0" w:color="293F5B"/>
            </w:tcBorders>
            <w:shd w:val="clear" w:color="auto" w:fill="auto"/>
          </w:tcPr>
          <w:p w14:paraId="5478704D" w14:textId="77777777" w:rsidR="0012790E" w:rsidRPr="001C06E6" w:rsidRDefault="0012790E">
            <w:pPr>
              <w:pStyle w:val="MeasureTableDataRightAlignedwith2ptsspacing"/>
              <w:keepNext/>
            </w:pPr>
            <w:r>
              <w:t xml:space="preserve">1.1 </w:t>
            </w:r>
          </w:p>
        </w:tc>
      </w:tr>
      <w:tr w:rsidR="0012790E" w:rsidRPr="001C06E6" w14:paraId="31A8D08D" w14:textId="77777777">
        <w:tc>
          <w:tcPr>
            <w:tcW w:w="2497" w:type="dxa"/>
            <w:tcBorders>
              <w:top w:val="single" w:sz="4" w:space="0" w:color="293F5B"/>
            </w:tcBorders>
            <w:shd w:val="clear" w:color="auto" w:fill="auto"/>
          </w:tcPr>
          <w:p w14:paraId="614CE976" w14:textId="77777777" w:rsidR="0012790E" w:rsidRPr="001C06E6" w:rsidRDefault="0012790E">
            <w:pPr>
              <w:pStyle w:val="AgencyName"/>
              <w:keepNext/>
            </w:pPr>
            <w:r w:rsidRPr="001C06E6">
              <w:t>Related payments ($m)</w:t>
            </w:r>
          </w:p>
        </w:tc>
        <w:tc>
          <w:tcPr>
            <w:tcW w:w="1045" w:type="dxa"/>
            <w:tcBorders>
              <w:top w:val="single" w:sz="4" w:space="0" w:color="293F5B"/>
            </w:tcBorders>
            <w:shd w:val="clear" w:color="auto" w:fill="auto"/>
          </w:tcPr>
          <w:p w14:paraId="5EA54A8D" w14:textId="77777777" w:rsidR="0012790E" w:rsidRPr="001C06E6" w:rsidRDefault="0012790E">
            <w:pPr>
              <w:pStyle w:val="AgencyName"/>
              <w:keepNext/>
            </w:pPr>
          </w:p>
        </w:tc>
        <w:tc>
          <w:tcPr>
            <w:tcW w:w="1045" w:type="dxa"/>
            <w:tcBorders>
              <w:top w:val="single" w:sz="4" w:space="0" w:color="293F5B"/>
            </w:tcBorders>
            <w:shd w:val="clear" w:color="auto" w:fill="auto"/>
          </w:tcPr>
          <w:p w14:paraId="0629F8A4" w14:textId="77777777" w:rsidR="0012790E" w:rsidRPr="001C06E6" w:rsidRDefault="0012790E">
            <w:pPr>
              <w:pStyle w:val="AgencyName"/>
              <w:keepNext/>
            </w:pPr>
          </w:p>
        </w:tc>
        <w:tc>
          <w:tcPr>
            <w:tcW w:w="1045" w:type="dxa"/>
            <w:tcBorders>
              <w:top w:val="single" w:sz="4" w:space="0" w:color="293F5B"/>
            </w:tcBorders>
            <w:shd w:val="clear" w:color="auto" w:fill="auto"/>
          </w:tcPr>
          <w:p w14:paraId="133450E5" w14:textId="77777777" w:rsidR="0012790E" w:rsidRPr="001C06E6" w:rsidRDefault="0012790E">
            <w:pPr>
              <w:pStyle w:val="AgencyName"/>
              <w:keepNext/>
            </w:pPr>
          </w:p>
        </w:tc>
        <w:tc>
          <w:tcPr>
            <w:tcW w:w="1045" w:type="dxa"/>
            <w:tcBorders>
              <w:top w:val="single" w:sz="4" w:space="0" w:color="293F5B"/>
            </w:tcBorders>
            <w:shd w:val="clear" w:color="auto" w:fill="auto"/>
          </w:tcPr>
          <w:p w14:paraId="59102633" w14:textId="77777777" w:rsidR="0012790E" w:rsidRPr="001C06E6" w:rsidRDefault="0012790E">
            <w:pPr>
              <w:pStyle w:val="AgencyName"/>
              <w:keepNext/>
            </w:pPr>
          </w:p>
        </w:tc>
        <w:tc>
          <w:tcPr>
            <w:tcW w:w="1045" w:type="dxa"/>
            <w:tcBorders>
              <w:top w:val="single" w:sz="4" w:space="0" w:color="293F5B"/>
            </w:tcBorders>
            <w:shd w:val="clear" w:color="auto" w:fill="auto"/>
          </w:tcPr>
          <w:p w14:paraId="5B965788" w14:textId="77777777" w:rsidR="0012790E" w:rsidRPr="001C06E6" w:rsidRDefault="0012790E">
            <w:pPr>
              <w:pStyle w:val="AgencyName"/>
              <w:keepNext/>
            </w:pPr>
          </w:p>
        </w:tc>
      </w:tr>
      <w:tr w:rsidR="0012790E" w:rsidRPr="001C06E6" w14:paraId="74C59B3B" w14:textId="77777777">
        <w:tc>
          <w:tcPr>
            <w:tcW w:w="2497" w:type="dxa"/>
            <w:tcBorders>
              <w:bottom w:val="single" w:sz="4" w:space="0" w:color="293F5B"/>
            </w:tcBorders>
            <w:shd w:val="clear" w:color="auto" w:fill="auto"/>
          </w:tcPr>
          <w:p w14:paraId="34558A63" w14:textId="77777777" w:rsidR="0012790E" w:rsidRPr="001C06E6" w:rsidRDefault="0012790E">
            <w:pPr>
              <w:pStyle w:val="AgencyNamewith2ptsspacing"/>
              <w:keepNext/>
            </w:pPr>
            <w:r>
              <w:t xml:space="preserve">Australian Skills Quality Authority </w:t>
            </w:r>
          </w:p>
        </w:tc>
        <w:tc>
          <w:tcPr>
            <w:tcW w:w="1045" w:type="dxa"/>
            <w:tcBorders>
              <w:bottom w:val="single" w:sz="4" w:space="0" w:color="293F5B"/>
            </w:tcBorders>
            <w:shd w:val="clear" w:color="auto" w:fill="auto"/>
          </w:tcPr>
          <w:p w14:paraId="50AAD7A6"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451FD36C" w14:textId="77777777" w:rsidR="0012790E" w:rsidRPr="001C06E6" w:rsidRDefault="0012790E">
            <w:pPr>
              <w:pStyle w:val="Measuretabledatarightaligneditalics"/>
              <w:keepNext/>
            </w:pPr>
            <w:r>
              <w:t xml:space="preserve">0.3 </w:t>
            </w:r>
          </w:p>
        </w:tc>
        <w:tc>
          <w:tcPr>
            <w:tcW w:w="1045" w:type="dxa"/>
            <w:tcBorders>
              <w:bottom w:val="single" w:sz="4" w:space="0" w:color="293F5B"/>
            </w:tcBorders>
            <w:shd w:val="clear" w:color="auto" w:fill="auto"/>
          </w:tcPr>
          <w:p w14:paraId="70FEA116" w14:textId="77777777" w:rsidR="0012790E" w:rsidRPr="001C06E6" w:rsidRDefault="0012790E">
            <w:pPr>
              <w:pStyle w:val="Measuretabledatarightaligneditalics"/>
              <w:keepNext/>
            </w:pPr>
            <w:r>
              <w:t xml:space="preserve">0.3 </w:t>
            </w:r>
          </w:p>
        </w:tc>
        <w:tc>
          <w:tcPr>
            <w:tcW w:w="1045" w:type="dxa"/>
            <w:tcBorders>
              <w:bottom w:val="single" w:sz="4" w:space="0" w:color="293F5B"/>
            </w:tcBorders>
            <w:shd w:val="clear" w:color="auto" w:fill="auto"/>
          </w:tcPr>
          <w:p w14:paraId="7376B470" w14:textId="77777777" w:rsidR="0012790E" w:rsidRPr="001C06E6" w:rsidRDefault="0012790E">
            <w:pPr>
              <w:pStyle w:val="Measuretabledatarightaligneditalics"/>
              <w:keepNext/>
            </w:pPr>
            <w:r>
              <w:t xml:space="preserve">0.3 </w:t>
            </w:r>
          </w:p>
        </w:tc>
        <w:tc>
          <w:tcPr>
            <w:tcW w:w="1045" w:type="dxa"/>
            <w:tcBorders>
              <w:bottom w:val="single" w:sz="4" w:space="0" w:color="293F5B"/>
            </w:tcBorders>
            <w:shd w:val="clear" w:color="auto" w:fill="auto"/>
          </w:tcPr>
          <w:p w14:paraId="2BF518D0" w14:textId="77777777" w:rsidR="0012790E" w:rsidRPr="001C06E6" w:rsidRDefault="0012790E">
            <w:pPr>
              <w:pStyle w:val="Measuretabledatarightaligneditalics"/>
              <w:keepNext/>
            </w:pPr>
            <w:r>
              <w:t xml:space="preserve">0.3 </w:t>
            </w:r>
          </w:p>
        </w:tc>
      </w:tr>
    </w:tbl>
    <w:p w14:paraId="5BE12510" w14:textId="77777777" w:rsidR="0012790E" w:rsidRPr="001C06E6" w:rsidRDefault="0012790E">
      <w:pPr>
        <w:keepNext/>
        <w:widowControl w:val="0"/>
        <w:spacing w:line="184" w:lineRule="exact"/>
        <w:rPr>
          <w:i/>
          <w:iCs/>
          <w:color w:val="000000"/>
          <w:sz w:val="16"/>
          <w:szCs w:val="16"/>
          <w:lang w:val="en-AU"/>
        </w:rPr>
      </w:pPr>
    </w:p>
    <w:p w14:paraId="6757AFC0" w14:textId="77777777" w:rsidR="0012790E" w:rsidRDefault="0012790E">
      <w:pPr>
        <w:pStyle w:val="Normal2"/>
        <w:rPr>
          <w:rFonts w:cs="Book Antiqua"/>
        </w:rPr>
      </w:pPr>
      <w:r w:rsidRPr="001C06E6">
        <w:rPr>
          <w:rFonts w:cs="Book Antiqua"/>
        </w:rPr>
        <w:t>The Government will provide $1.0</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(and $0.3</w:t>
      </w:r>
      <w:r>
        <w:rPr>
          <w:rFonts w:cs="Book Antiqua"/>
        </w:rPr>
        <w:t> </w:t>
      </w:r>
      <w:r w:rsidRPr="001C06E6">
        <w:rPr>
          <w:rFonts w:cs="Book Antiqua"/>
        </w:rPr>
        <w:t>million per year ongoing) to the Australian Skills Quality Authority (ASQA) to ensure</w:t>
      </w:r>
      <w:r>
        <w:rPr>
          <w:rFonts w:cs="Book Antiqua"/>
        </w:rPr>
        <w:t xml:space="preserve"> </w:t>
      </w:r>
      <w:r w:rsidRPr="001C06E6">
        <w:rPr>
          <w:rFonts w:cs="Book Antiqua"/>
        </w:rPr>
        <w:t xml:space="preserve">compliance with and enforcement of recent amendments to the </w:t>
      </w:r>
      <w:r w:rsidRPr="001C06E6">
        <w:rPr>
          <w:rFonts w:cs="Book Antiqua"/>
          <w:i/>
          <w:iCs/>
        </w:rPr>
        <w:t>National Vocational</w:t>
      </w:r>
      <w:r>
        <w:rPr>
          <w:rFonts w:cs="Book Antiqua"/>
          <w:i/>
          <w:iCs/>
        </w:rPr>
        <w:t xml:space="preserve"> </w:t>
      </w:r>
      <w:r w:rsidRPr="001C06E6">
        <w:rPr>
          <w:rFonts w:cs="Book Antiqua"/>
          <w:i/>
          <w:iCs/>
        </w:rPr>
        <w:t>Education and Training Regulator Act 2011</w:t>
      </w:r>
      <w:r w:rsidRPr="001C06E6">
        <w:rPr>
          <w:rFonts w:cs="Book Antiqua"/>
        </w:rPr>
        <w:t xml:space="preserve"> (NVETR Act). The amendments give</w:t>
      </w:r>
      <w:r>
        <w:rPr>
          <w:rFonts w:cs="Book Antiqua"/>
        </w:rPr>
        <w:t xml:space="preserve"> </w:t>
      </w:r>
      <w:r w:rsidRPr="001C06E6">
        <w:rPr>
          <w:rFonts w:cs="Book Antiqua"/>
        </w:rPr>
        <w:t>effect to measures that respond to integrity risks in the vocational education and</w:t>
      </w:r>
      <w:r>
        <w:rPr>
          <w:rFonts w:cs="Book Antiqua"/>
        </w:rPr>
        <w:t xml:space="preserve"> </w:t>
      </w:r>
      <w:r w:rsidRPr="001C06E6">
        <w:rPr>
          <w:rFonts w:cs="Book Antiqua"/>
        </w:rPr>
        <w:t>training sector and improve ASQA’s practices and processes.</w:t>
      </w:r>
      <w:r>
        <w:rPr>
          <w:rFonts w:cs="Book Antiqua"/>
        </w:rPr>
        <w:t xml:space="preserve"> </w:t>
      </w:r>
    </w:p>
    <w:p w14:paraId="29FE49E5" w14:textId="77777777" w:rsidR="0012790E" w:rsidRDefault="0012790E">
      <w:pPr>
        <w:pStyle w:val="Normal2"/>
        <w:rPr>
          <w:rFonts w:cs="Book Antiqua"/>
        </w:rPr>
      </w:pPr>
      <w:r w:rsidRPr="001C06E6">
        <w:rPr>
          <w:rFonts w:cs="Book Antiqua"/>
        </w:rPr>
        <w:t>The amendments have increased the financial penalties that will apply to a relevant</w:t>
      </w:r>
      <w:r>
        <w:rPr>
          <w:rFonts w:cs="Book Antiqua"/>
        </w:rPr>
        <w:t xml:space="preserve"> </w:t>
      </w:r>
      <w:r w:rsidRPr="001C06E6">
        <w:rPr>
          <w:rFonts w:cs="Book Antiqua"/>
        </w:rPr>
        <w:t>offence or civil penalty provision within the NVETR Act</w:t>
      </w:r>
      <w:r w:rsidRPr="001C06E6">
        <w:rPr>
          <w:rFonts w:cs="Book Antiqua"/>
          <w:i/>
          <w:iCs/>
        </w:rPr>
        <w:t xml:space="preserve">. </w:t>
      </w:r>
      <w:r w:rsidRPr="001C06E6">
        <w:rPr>
          <w:rFonts w:cs="Book Antiqua"/>
        </w:rPr>
        <w:t>This measure is estimated to</w:t>
      </w:r>
      <w:r>
        <w:rPr>
          <w:rFonts w:cs="Book Antiqua"/>
        </w:rPr>
        <w:t xml:space="preserve"> </w:t>
      </w:r>
      <w:r w:rsidRPr="001C06E6">
        <w:rPr>
          <w:rFonts w:cs="Book Antiqua"/>
        </w:rPr>
        <w:t>increase receipts by $3.0</w:t>
      </w:r>
      <w:r>
        <w:rPr>
          <w:rFonts w:cs="Book Antiqua"/>
        </w:rPr>
        <w:t> </w:t>
      </w:r>
      <w:r w:rsidRPr="001C06E6">
        <w:rPr>
          <w:rFonts w:cs="Book Antiqua"/>
        </w:rPr>
        <w:t xml:space="preserve">million over four years from </w:t>
      </w:r>
      <w:r>
        <w:rPr>
          <w:rFonts w:cs="Book Antiqua"/>
        </w:rPr>
        <w:t>2024–25</w:t>
      </w:r>
      <w:r w:rsidRPr="001C06E6">
        <w:rPr>
          <w:rFonts w:cs="Book Antiqua"/>
        </w:rPr>
        <w:t>.</w:t>
      </w:r>
      <w:r>
        <w:rPr>
          <w:rFonts w:cs="Book Antiqua"/>
        </w:rPr>
        <w:t xml:space="preserve"> </w:t>
      </w:r>
    </w:p>
    <w:p w14:paraId="1B65944F" w14:textId="77777777" w:rsidR="0012790E" w:rsidRDefault="0012790E">
      <w:pPr>
        <w:pStyle w:val="PortfolioName"/>
        <w:rPr>
          <w:bCs/>
          <w:szCs w:val="26"/>
        </w:rPr>
        <w:sectPr w:rsidR="0012790E" w:rsidSect="00EA5BFE">
          <w:headerReference w:type="even" r:id="rId16"/>
          <w:headerReference w:type="default" r:id="rId17"/>
          <w:footerReference w:type="even" r:id="rId18"/>
          <w:footerReference w:type="default" r:id="rId19"/>
          <w:footerReference w:type="first" r:id="rId20"/>
          <w:pgSz w:w="11905" w:h="16837"/>
          <w:pgMar w:top="2835" w:right="2098" w:bottom="2466" w:left="2098" w:header="1814" w:footer="1814" w:gutter="0"/>
          <w:cols w:space="720"/>
          <w:noEndnote/>
          <w:docGrid w:linePitch="272"/>
        </w:sectPr>
      </w:pPr>
    </w:p>
    <w:p w14:paraId="22F7646E" w14:textId="77777777" w:rsidR="0012790E" w:rsidRPr="001C06E6" w:rsidRDefault="0012790E">
      <w:pPr>
        <w:pStyle w:val="PortfolioName"/>
      </w:pPr>
      <w:r w:rsidRPr="001C06E6">
        <w:rPr>
          <w:bCs/>
          <w:szCs w:val="26"/>
        </w:rPr>
        <w:lastRenderedPageBreak/>
        <w:t>Home Affairs</w:t>
      </w:r>
    </w:p>
    <w:p w14:paraId="07D49F9D" w14:textId="5A43282A" w:rsidR="0012790E" w:rsidRPr="001C06E6" w:rsidRDefault="0012790E">
      <w:pPr>
        <w:pStyle w:val="MeasureTitle"/>
      </w:pPr>
      <w:r w:rsidRPr="001C06E6">
        <w:rPr>
          <w:bCs/>
        </w:rPr>
        <w:t xml:space="preserve">Enhancing </w:t>
      </w:r>
      <w:r w:rsidR="00E72F76">
        <w:rPr>
          <w:bCs/>
        </w:rPr>
        <w:t>P</w:t>
      </w:r>
      <w:r w:rsidRPr="001C06E6">
        <w:rPr>
          <w:bCs/>
        </w:rPr>
        <w:t>roductivity – abolishing nuisance tariffs</w:t>
      </w:r>
    </w:p>
    <w:p w14:paraId="02FC00BD" w14:textId="77777777" w:rsidR="0012790E" w:rsidRPr="001C06E6" w:rsidRDefault="0012790E">
      <w:pPr>
        <w:pStyle w:val="MeasureTableHeading"/>
      </w:pPr>
      <w:r w:rsidRPr="001C06E6">
        <w:rPr>
          <w:color w:val="000000"/>
          <w:szCs w:val="16"/>
        </w:rPr>
        <w:t>Receipts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D745889" w14:textId="77777777">
        <w:tc>
          <w:tcPr>
            <w:tcW w:w="2497" w:type="dxa"/>
            <w:tcBorders>
              <w:top w:val="single" w:sz="4" w:space="0" w:color="293F5B"/>
              <w:bottom w:val="single" w:sz="4" w:space="0" w:color="293F5B"/>
            </w:tcBorders>
            <w:shd w:val="clear" w:color="auto" w:fill="auto"/>
          </w:tcPr>
          <w:p w14:paraId="18B4F6B4"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1691907"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7F216E1"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4D64A0F6"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87FD470"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B0582B6" w14:textId="77777777" w:rsidR="0012790E" w:rsidRPr="001C06E6" w:rsidRDefault="0012790E">
            <w:pPr>
              <w:pStyle w:val="MeasureTableYearHeadings"/>
              <w:keepNext/>
            </w:pPr>
            <w:r w:rsidRPr="001C06E6">
              <w:t>2027</w:t>
            </w:r>
            <w:r>
              <w:noBreakHyphen/>
            </w:r>
            <w:r w:rsidRPr="001C06E6">
              <w:t>28</w:t>
            </w:r>
          </w:p>
        </w:tc>
      </w:tr>
      <w:tr w:rsidR="0012790E" w:rsidRPr="001C06E6" w14:paraId="2506CC43" w14:textId="77777777">
        <w:tc>
          <w:tcPr>
            <w:tcW w:w="2497" w:type="dxa"/>
            <w:tcBorders>
              <w:top w:val="single" w:sz="4" w:space="0" w:color="293F5B"/>
              <w:bottom w:val="single" w:sz="4" w:space="0" w:color="293F5B"/>
            </w:tcBorders>
            <w:shd w:val="clear" w:color="auto" w:fill="auto"/>
          </w:tcPr>
          <w:p w14:paraId="63754022"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242A335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1FF7189" w14:textId="77777777" w:rsidR="0012790E" w:rsidRPr="001C06E6" w:rsidRDefault="0012790E">
            <w:pPr>
              <w:pStyle w:val="MeasureTableDataRightAlignedwith2ptsspacing"/>
              <w:keepNext/>
            </w:pPr>
            <w:r w:rsidRPr="001C06E6">
              <w:t>-10.0</w:t>
            </w:r>
          </w:p>
        </w:tc>
        <w:tc>
          <w:tcPr>
            <w:tcW w:w="1045" w:type="dxa"/>
            <w:tcBorders>
              <w:top w:val="single" w:sz="4" w:space="0" w:color="293F5B"/>
              <w:bottom w:val="single" w:sz="4" w:space="0" w:color="293F5B"/>
            </w:tcBorders>
            <w:shd w:val="clear" w:color="auto" w:fill="auto"/>
          </w:tcPr>
          <w:p w14:paraId="3FB356B5" w14:textId="77777777" w:rsidR="0012790E" w:rsidRPr="001C06E6" w:rsidRDefault="0012790E">
            <w:pPr>
              <w:pStyle w:val="MeasureTableDataRightAlignedwith2ptsspacing"/>
              <w:keepNext/>
            </w:pPr>
            <w:r w:rsidRPr="001C06E6">
              <w:t>-10.0</w:t>
            </w:r>
          </w:p>
        </w:tc>
        <w:tc>
          <w:tcPr>
            <w:tcW w:w="1045" w:type="dxa"/>
            <w:tcBorders>
              <w:top w:val="single" w:sz="4" w:space="0" w:color="293F5B"/>
              <w:bottom w:val="single" w:sz="4" w:space="0" w:color="293F5B"/>
            </w:tcBorders>
            <w:shd w:val="clear" w:color="auto" w:fill="auto"/>
          </w:tcPr>
          <w:p w14:paraId="5E123199" w14:textId="77777777" w:rsidR="0012790E" w:rsidRPr="001C06E6" w:rsidRDefault="0012790E">
            <w:pPr>
              <w:pStyle w:val="MeasureTableDataRightAlignedwith2ptsspacing"/>
              <w:keepNext/>
            </w:pPr>
            <w:r w:rsidRPr="001C06E6">
              <w:t>-10.0</w:t>
            </w:r>
          </w:p>
        </w:tc>
        <w:tc>
          <w:tcPr>
            <w:tcW w:w="1045" w:type="dxa"/>
            <w:tcBorders>
              <w:top w:val="single" w:sz="4" w:space="0" w:color="293F5B"/>
              <w:bottom w:val="single" w:sz="4" w:space="0" w:color="293F5B"/>
            </w:tcBorders>
            <w:shd w:val="clear" w:color="auto" w:fill="auto"/>
          </w:tcPr>
          <w:p w14:paraId="7B05B53D" w14:textId="77777777" w:rsidR="0012790E" w:rsidRPr="001C06E6" w:rsidRDefault="0012790E">
            <w:pPr>
              <w:pStyle w:val="MeasureTableDataRightAlignedwith2ptsspacing"/>
              <w:keepNext/>
            </w:pPr>
            <w:r w:rsidRPr="001C06E6">
              <w:t>-11.0</w:t>
            </w:r>
          </w:p>
        </w:tc>
      </w:tr>
    </w:tbl>
    <w:p w14:paraId="10D6FDC9" w14:textId="77777777" w:rsidR="0012790E" w:rsidRPr="001C06E6" w:rsidRDefault="0012790E" w:rsidP="00607126">
      <w:pPr>
        <w:pStyle w:val="SingleParagraph"/>
      </w:pPr>
    </w:p>
    <w:p w14:paraId="22D2BA86" w14:textId="77777777" w:rsidR="0012790E" w:rsidRDefault="0012790E">
      <w:pPr>
        <w:pStyle w:val="Normal2"/>
        <w:rPr>
          <w:rFonts w:cs="Book Antiqua"/>
        </w:rPr>
      </w:pPr>
      <w:r w:rsidRPr="001C06E6">
        <w:rPr>
          <w:rFonts w:cs="Book Antiqua"/>
        </w:rPr>
        <w:t>The Government will permanently abolish 457 nuisance tariffs from 1</w:t>
      </w:r>
      <w:r>
        <w:rPr>
          <w:rFonts w:cs="Book Antiqua"/>
        </w:rPr>
        <w:t> </w:t>
      </w:r>
      <w:r w:rsidRPr="001C06E6">
        <w:rPr>
          <w:rFonts w:cs="Book Antiqua"/>
        </w:rPr>
        <w:t>July</w:t>
      </w:r>
      <w:r>
        <w:rPr>
          <w:rFonts w:cs="Book Antiqua"/>
        </w:rPr>
        <w:t> </w:t>
      </w:r>
      <w:r w:rsidRPr="001C06E6">
        <w:rPr>
          <w:rFonts w:cs="Book Antiqua"/>
        </w:rPr>
        <w:t>2024, in the</w:t>
      </w:r>
      <w:r>
        <w:rPr>
          <w:rFonts w:cs="Book Antiqua"/>
        </w:rPr>
        <w:t xml:space="preserve"> </w:t>
      </w:r>
      <w:r w:rsidRPr="001C06E6">
        <w:rPr>
          <w:rFonts w:cs="Book Antiqua"/>
        </w:rPr>
        <w:t>largest unilateral tariff reform in two decades.</w:t>
      </w:r>
      <w:r>
        <w:rPr>
          <w:rFonts w:cs="Book Antiqua"/>
        </w:rPr>
        <w:t xml:space="preserve"> </w:t>
      </w:r>
    </w:p>
    <w:p w14:paraId="094A6A7E" w14:textId="77777777" w:rsidR="0012790E" w:rsidRDefault="0012790E" w:rsidP="54937204">
      <w:pPr>
        <w:pStyle w:val="Normal2"/>
        <w:rPr>
          <w:rFonts w:cs="Book Antiqua"/>
          <w:lang w:val="en-US"/>
        </w:rPr>
      </w:pPr>
      <w:r w:rsidRPr="54937204">
        <w:rPr>
          <w:rFonts w:cs="Book Antiqua"/>
          <w:lang w:val="en-US"/>
        </w:rPr>
        <w:t xml:space="preserve">This measure will permanently set to ‘free’ the rate of duty in Schedule 3 and Schedules 4A to 15 inclusive of the </w:t>
      </w:r>
      <w:r w:rsidRPr="54937204">
        <w:rPr>
          <w:rFonts w:cs="Book Antiqua"/>
          <w:i/>
          <w:iCs/>
          <w:lang w:val="en-US"/>
        </w:rPr>
        <w:t>Customs Tariff Act 1995</w:t>
      </w:r>
      <w:r w:rsidRPr="54937204">
        <w:rPr>
          <w:rFonts w:cs="Book Antiqua"/>
          <w:lang w:val="en-US"/>
        </w:rPr>
        <w:t xml:space="preserve"> on 457 tariffs, streamlining the importation of $8.5 billion worth of goods annually. </w:t>
      </w:r>
    </w:p>
    <w:p w14:paraId="06E42604" w14:textId="77777777" w:rsidR="0012790E" w:rsidRDefault="0012790E" w:rsidP="54937204">
      <w:pPr>
        <w:pStyle w:val="Normal2"/>
        <w:rPr>
          <w:rFonts w:cs="Book Antiqua"/>
          <w:lang w:val="en-US"/>
        </w:rPr>
      </w:pPr>
      <w:r w:rsidRPr="54937204">
        <w:rPr>
          <w:rFonts w:cs="Book Antiqua"/>
          <w:lang w:val="en-US"/>
        </w:rPr>
        <w:t xml:space="preserve">Abolishing nuisance tariffs supports the Government’s Simplified Trade System agenda, will boost productivity, facilitate legitimate trade, and reduce compliance costs. These tariffs do nothing to protect domestic industry as goods imported under these tariffs are already largely eligible for existing tariff preferences or concessions. </w:t>
      </w:r>
    </w:p>
    <w:p w14:paraId="79930A71" w14:textId="72FE0103" w:rsidR="0012790E" w:rsidRDefault="0012790E" w:rsidP="54937204">
      <w:pPr>
        <w:pStyle w:val="Normal2"/>
        <w:rPr>
          <w:rFonts w:cs="Book Antiqua"/>
          <w:lang w:val="en-US"/>
        </w:rPr>
      </w:pPr>
      <w:r w:rsidRPr="54937204">
        <w:rPr>
          <w:rFonts w:cs="Book Antiqua"/>
          <w:lang w:val="en-US"/>
        </w:rPr>
        <w:t>This measure will eliminate tariffs on a wide range of imported goods including toothbrushes, hand tools, fridges, dishwashers, clothing, and menstrual and sanitary</w:t>
      </w:r>
      <w:r w:rsidR="00E87983">
        <w:rPr>
          <w:rFonts w:cs="Book Antiqua"/>
          <w:lang w:val="en-US"/>
        </w:rPr>
        <w:t> </w:t>
      </w:r>
      <w:r w:rsidRPr="54937204">
        <w:rPr>
          <w:rFonts w:cs="Book Antiqua"/>
          <w:lang w:val="en-US"/>
        </w:rPr>
        <w:t xml:space="preserve">products. </w:t>
      </w:r>
    </w:p>
    <w:p w14:paraId="19048A96" w14:textId="14EA9C91" w:rsidR="0012790E" w:rsidRDefault="0012790E">
      <w:pPr>
        <w:pStyle w:val="Normal2"/>
        <w:rPr>
          <w:rFonts w:cs="Book Antiqua"/>
        </w:rPr>
      </w:pPr>
      <w:r w:rsidRPr="001C06E6">
        <w:rPr>
          <w:rFonts w:cs="Book Antiqua"/>
        </w:rPr>
        <w:t>This measure is estimated to decrease receipts by $41</w:t>
      </w:r>
      <w:r w:rsidR="001B526E">
        <w:rPr>
          <w:rFonts w:cs="Book Antiqua"/>
        </w:rPr>
        <w:t>.0</w:t>
      </w:r>
      <w:r>
        <w:rPr>
          <w:rFonts w:cs="Book Antiqua"/>
        </w:rPr>
        <w:t> </w:t>
      </w:r>
      <w:r w:rsidRPr="001C06E6">
        <w:rPr>
          <w:rFonts w:cs="Book Antiqua"/>
        </w:rPr>
        <w:t>million over the 5</w:t>
      </w:r>
      <w:r>
        <w:rPr>
          <w:rFonts w:cs="Book Antiqua"/>
        </w:rPr>
        <w:t> </w:t>
      </w:r>
      <w:r w:rsidRPr="001C06E6">
        <w:rPr>
          <w:rFonts w:cs="Book Antiqua"/>
        </w:rPr>
        <w:t>years from</w:t>
      </w:r>
      <w:r w:rsidR="007C686C">
        <w:rPr>
          <w:rFonts w:cs="Book Antiqua"/>
        </w:rPr>
        <w:t xml:space="preserve"> </w:t>
      </w:r>
      <w:r>
        <w:rPr>
          <w:rFonts w:cs="Book Antiqua"/>
        </w:rPr>
        <w:t>2023–</w:t>
      </w:r>
      <w:r w:rsidR="001E5FDB">
        <w:rPr>
          <w:rFonts w:cs="Book Antiqua"/>
        </w:rPr>
        <w:t>‍</w:t>
      </w:r>
      <w:r>
        <w:rPr>
          <w:rFonts w:cs="Book Antiqua"/>
        </w:rPr>
        <w:t>24</w:t>
      </w:r>
      <w:r w:rsidRPr="001C06E6">
        <w:rPr>
          <w:rFonts w:cs="Book Antiqua"/>
        </w:rPr>
        <w:t>.</w:t>
      </w:r>
      <w:r>
        <w:rPr>
          <w:rFonts w:cs="Book Antiqua"/>
        </w:rPr>
        <w:t xml:space="preserve"> </w:t>
      </w:r>
    </w:p>
    <w:p w14:paraId="5E4567F2" w14:textId="5BD63EA8" w:rsidR="0012790E" w:rsidRPr="001C06E6" w:rsidRDefault="0012790E" w:rsidP="54937204">
      <w:pPr>
        <w:pStyle w:val="MeasureTitle"/>
        <w:rPr>
          <w:b w:val="0"/>
          <w:lang w:val="en-US"/>
        </w:rPr>
      </w:pPr>
      <w:r w:rsidRPr="54937204">
        <w:rPr>
          <w:lang w:val="en-US"/>
        </w:rPr>
        <w:t>Migration – Mobility Arrangement for Talented Early</w:t>
      </w:r>
      <w:r>
        <w:rPr>
          <w:bCs/>
        </w:rPr>
        <w:noBreakHyphen/>
      </w:r>
      <w:r w:rsidRPr="54937204">
        <w:rPr>
          <w:lang w:val="en-US"/>
        </w:rPr>
        <w:t>professionals Scheme (MATES) and extending the validity of the Business Visitor visa for Indian</w:t>
      </w:r>
      <w:r w:rsidR="000631AC">
        <w:rPr>
          <w:lang w:val="en-US"/>
        </w:rPr>
        <w:t> </w:t>
      </w:r>
      <w:r w:rsidRPr="54937204">
        <w:rPr>
          <w:lang w:val="en-US"/>
        </w:rPr>
        <w:t>nationals</w:t>
      </w:r>
    </w:p>
    <w:p w14:paraId="27B18562" w14:textId="77777777" w:rsidR="0012790E" w:rsidRPr="001C06E6" w:rsidRDefault="0012790E">
      <w:pPr>
        <w:pStyle w:val="MeasureTableHeading"/>
      </w:pPr>
      <w:r w:rsidRPr="001C06E6">
        <w:rPr>
          <w:color w:val="000000"/>
          <w:szCs w:val="16"/>
        </w:rPr>
        <w:t>Receipts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E0548CA" w14:textId="77777777">
        <w:tc>
          <w:tcPr>
            <w:tcW w:w="2497" w:type="dxa"/>
            <w:tcBorders>
              <w:top w:val="single" w:sz="4" w:space="0" w:color="293F5B"/>
              <w:bottom w:val="single" w:sz="4" w:space="0" w:color="293F5B"/>
            </w:tcBorders>
            <w:shd w:val="clear" w:color="auto" w:fill="auto"/>
          </w:tcPr>
          <w:p w14:paraId="6056CB9A"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CCDCC53"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E24963E"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CA4BFBC"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75C68D6"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F2EB5E7" w14:textId="77777777" w:rsidR="0012790E" w:rsidRPr="001C06E6" w:rsidRDefault="0012790E">
            <w:pPr>
              <w:pStyle w:val="MeasureTableYearHeadings"/>
              <w:keepNext/>
            </w:pPr>
            <w:r w:rsidRPr="001C06E6">
              <w:t>2027</w:t>
            </w:r>
            <w:r>
              <w:noBreakHyphen/>
            </w:r>
            <w:r w:rsidRPr="001C06E6">
              <w:t>28</w:t>
            </w:r>
          </w:p>
        </w:tc>
      </w:tr>
      <w:tr w:rsidR="0012790E" w:rsidRPr="001C06E6" w14:paraId="727743FF" w14:textId="77777777">
        <w:tc>
          <w:tcPr>
            <w:tcW w:w="2497" w:type="dxa"/>
            <w:tcBorders>
              <w:top w:val="single" w:sz="4" w:space="0" w:color="293F5B"/>
              <w:bottom w:val="single" w:sz="4" w:space="0" w:color="293F5B"/>
            </w:tcBorders>
            <w:shd w:val="clear" w:color="auto" w:fill="auto"/>
          </w:tcPr>
          <w:p w14:paraId="5BC6608C"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6472BBB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0993C8B" w14:textId="77777777" w:rsidR="0012790E" w:rsidRPr="001C06E6" w:rsidRDefault="0012790E">
            <w:pPr>
              <w:pStyle w:val="MeasureTableDataRightAlignedwith2ptsspacing"/>
              <w:keepNext/>
            </w:pPr>
            <w:r w:rsidRPr="001C06E6">
              <w:t>10.0</w:t>
            </w:r>
          </w:p>
        </w:tc>
        <w:tc>
          <w:tcPr>
            <w:tcW w:w="1045" w:type="dxa"/>
            <w:tcBorders>
              <w:top w:val="single" w:sz="4" w:space="0" w:color="293F5B"/>
              <w:bottom w:val="single" w:sz="4" w:space="0" w:color="293F5B"/>
            </w:tcBorders>
            <w:shd w:val="clear" w:color="auto" w:fill="auto"/>
          </w:tcPr>
          <w:p w14:paraId="31B47624" w14:textId="77777777" w:rsidR="0012790E" w:rsidRPr="001C06E6" w:rsidRDefault="0012790E">
            <w:pPr>
              <w:pStyle w:val="MeasureTableDataRightAlignedwith2ptsspacing"/>
              <w:keepNext/>
            </w:pPr>
            <w:r w:rsidRPr="001C06E6">
              <w:t>85.0</w:t>
            </w:r>
          </w:p>
        </w:tc>
        <w:tc>
          <w:tcPr>
            <w:tcW w:w="1045" w:type="dxa"/>
            <w:tcBorders>
              <w:top w:val="single" w:sz="4" w:space="0" w:color="293F5B"/>
              <w:bottom w:val="single" w:sz="4" w:space="0" w:color="293F5B"/>
            </w:tcBorders>
            <w:shd w:val="clear" w:color="auto" w:fill="auto"/>
          </w:tcPr>
          <w:p w14:paraId="73250E27" w14:textId="77777777" w:rsidR="0012790E" w:rsidRPr="001C06E6" w:rsidRDefault="0012790E">
            <w:pPr>
              <w:pStyle w:val="MeasureTableDataRightAlignedwith2ptsspacing"/>
              <w:keepNext/>
            </w:pPr>
            <w:r w:rsidRPr="001C06E6">
              <w:t>155.0</w:t>
            </w:r>
          </w:p>
        </w:tc>
        <w:tc>
          <w:tcPr>
            <w:tcW w:w="1045" w:type="dxa"/>
            <w:tcBorders>
              <w:top w:val="single" w:sz="4" w:space="0" w:color="293F5B"/>
              <w:bottom w:val="single" w:sz="4" w:space="0" w:color="293F5B"/>
            </w:tcBorders>
            <w:shd w:val="clear" w:color="auto" w:fill="auto"/>
          </w:tcPr>
          <w:p w14:paraId="6F9CEE84" w14:textId="77777777" w:rsidR="0012790E" w:rsidRPr="001C06E6" w:rsidRDefault="0012790E">
            <w:pPr>
              <w:pStyle w:val="MeasureTableDataRightAlignedwith2ptsspacing"/>
              <w:keepNext/>
            </w:pPr>
            <w:r w:rsidRPr="001C06E6">
              <w:t>155.0</w:t>
            </w:r>
          </w:p>
        </w:tc>
      </w:tr>
      <w:tr w:rsidR="0012790E" w:rsidRPr="001C06E6" w14:paraId="282851C0" w14:textId="77777777">
        <w:tc>
          <w:tcPr>
            <w:tcW w:w="2497" w:type="dxa"/>
            <w:tcBorders>
              <w:top w:val="single" w:sz="4" w:space="0" w:color="293F5B"/>
              <w:bottom w:val="single" w:sz="4" w:space="0" w:color="293F5B"/>
            </w:tcBorders>
            <w:shd w:val="clear" w:color="auto" w:fill="auto"/>
          </w:tcPr>
          <w:p w14:paraId="64788C30"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7FA705B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5926BF5" w14:textId="77777777" w:rsidR="0012790E" w:rsidRPr="001C06E6" w:rsidRDefault="0012790E">
            <w:pPr>
              <w:pStyle w:val="MeasureTableDataRightAlignedwith2ptsspacing"/>
              <w:keepNext/>
            </w:pPr>
            <w:r w:rsidRPr="001C06E6">
              <w:t>5.0</w:t>
            </w:r>
          </w:p>
        </w:tc>
        <w:tc>
          <w:tcPr>
            <w:tcW w:w="1045" w:type="dxa"/>
            <w:tcBorders>
              <w:top w:val="single" w:sz="4" w:space="0" w:color="293F5B"/>
              <w:bottom w:val="single" w:sz="4" w:space="0" w:color="293F5B"/>
            </w:tcBorders>
            <w:shd w:val="clear" w:color="auto" w:fill="auto"/>
          </w:tcPr>
          <w:p w14:paraId="1D447E3B" w14:textId="77777777" w:rsidR="0012790E" w:rsidRPr="001C06E6" w:rsidRDefault="0012790E">
            <w:pPr>
              <w:pStyle w:val="MeasureTableDataRightAlignedwith2ptsspacing"/>
              <w:keepNext/>
            </w:pPr>
            <w:r w:rsidRPr="001C06E6">
              <w:t>5.0</w:t>
            </w:r>
          </w:p>
        </w:tc>
        <w:tc>
          <w:tcPr>
            <w:tcW w:w="1045" w:type="dxa"/>
            <w:tcBorders>
              <w:top w:val="single" w:sz="4" w:space="0" w:color="293F5B"/>
              <w:bottom w:val="single" w:sz="4" w:space="0" w:color="293F5B"/>
            </w:tcBorders>
            <w:shd w:val="clear" w:color="auto" w:fill="auto"/>
          </w:tcPr>
          <w:p w14:paraId="67AB6A4F" w14:textId="77777777" w:rsidR="0012790E" w:rsidRPr="001C06E6" w:rsidRDefault="0012790E">
            <w:pPr>
              <w:pStyle w:val="MeasureTableDataRightAlignedwith2ptsspacing"/>
              <w:keepNext/>
            </w:pPr>
            <w:r w:rsidRPr="001C06E6">
              <w:t>10.0</w:t>
            </w:r>
          </w:p>
        </w:tc>
        <w:tc>
          <w:tcPr>
            <w:tcW w:w="1045" w:type="dxa"/>
            <w:tcBorders>
              <w:top w:val="single" w:sz="4" w:space="0" w:color="293F5B"/>
              <w:bottom w:val="single" w:sz="4" w:space="0" w:color="293F5B"/>
            </w:tcBorders>
            <w:shd w:val="clear" w:color="auto" w:fill="auto"/>
          </w:tcPr>
          <w:p w14:paraId="361A407A" w14:textId="77777777" w:rsidR="0012790E" w:rsidRPr="001C06E6" w:rsidRDefault="0012790E">
            <w:pPr>
              <w:pStyle w:val="MeasureTableDataRightAlignedwith2ptsspacing"/>
              <w:keepNext/>
            </w:pPr>
            <w:r w:rsidRPr="001C06E6">
              <w:t>10.0</w:t>
            </w:r>
          </w:p>
        </w:tc>
      </w:tr>
      <w:tr w:rsidR="0012790E" w:rsidRPr="001C06E6" w14:paraId="0AA1F39D" w14:textId="77777777">
        <w:tc>
          <w:tcPr>
            <w:tcW w:w="2497" w:type="dxa"/>
            <w:tcBorders>
              <w:top w:val="single" w:sz="4" w:space="0" w:color="293F5B"/>
              <w:bottom w:val="single" w:sz="4" w:space="0" w:color="293F5B"/>
            </w:tcBorders>
            <w:shd w:val="clear" w:color="auto" w:fill="auto"/>
          </w:tcPr>
          <w:p w14:paraId="2DD50CE4" w14:textId="77777777" w:rsidR="0012790E" w:rsidRPr="001C06E6" w:rsidRDefault="0012790E">
            <w:pPr>
              <w:pStyle w:val="Totalrowleftaligned"/>
              <w:keepNext/>
            </w:pPr>
            <w:r w:rsidRPr="001C06E6">
              <w:t>Total – Receipts</w:t>
            </w:r>
          </w:p>
        </w:tc>
        <w:tc>
          <w:tcPr>
            <w:tcW w:w="1045" w:type="dxa"/>
            <w:tcBorders>
              <w:top w:val="single" w:sz="4" w:space="0" w:color="293F5B"/>
              <w:bottom w:val="single" w:sz="4" w:space="0" w:color="293F5B"/>
            </w:tcBorders>
            <w:shd w:val="clear" w:color="auto" w:fill="auto"/>
          </w:tcPr>
          <w:p w14:paraId="615C4E02"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2D2991FF" w14:textId="77777777" w:rsidR="0012790E" w:rsidRPr="001C06E6" w:rsidRDefault="0012790E">
            <w:pPr>
              <w:pStyle w:val="Totaldatarowrightaligned"/>
              <w:keepNext/>
            </w:pPr>
            <w:r w:rsidRPr="001C06E6">
              <w:t>15.0</w:t>
            </w:r>
          </w:p>
        </w:tc>
        <w:tc>
          <w:tcPr>
            <w:tcW w:w="1045" w:type="dxa"/>
            <w:tcBorders>
              <w:top w:val="single" w:sz="4" w:space="0" w:color="293F5B"/>
              <w:bottom w:val="single" w:sz="4" w:space="0" w:color="293F5B"/>
            </w:tcBorders>
            <w:shd w:val="clear" w:color="auto" w:fill="auto"/>
          </w:tcPr>
          <w:p w14:paraId="2ED2B35D" w14:textId="77777777" w:rsidR="0012790E" w:rsidRPr="001C06E6" w:rsidRDefault="0012790E">
            <w:pPr>
              <w:pStyle w:val="Totaldatarowrightaligned"/>
              <w:keepNext/>
            </w:pPr>
            <w:r w:rsidRPr="001C06E6">
              <w:t>90.0</w:t>
            </w:r>
          </w:p>
        </w:tc>
        <w:tc>
          <w:tcPr>
            <w:tcW w:w="1045" w:type="dxa"/>
            <w:tcBorders>
              <w:top w:val="single" w:sz="4" w:space="0" w:color="293F5B"/>
              <w:bottom w:val="single" w:sz="4" w:space="0" w:color="293F5B"/>
            </w:tcBorders>
            <w:shd w:val="clear" w:color="auto" w:fill="auto"/>
          </w:tcPr>
          <w:p w14:paraId="6437B473" w14:textId="77777777" w:rsidR="0012790E" w:rsidRPr="001C06E6" w:rsidRDefault="0012790E">
            <w:pPr>
              <w:pStyle w:val="Totaldatarowrightaligned"/>
              <w:keepNext/>
            </w:pPr>
            <w:r w:rsidRPr="001C06E6">
              <w:t>165.0</w:t>
            </w:r>
          </w:p>
        </w:tc>
        <w:tc>
          <w:tcPr>
            <w:tcW w:w="1045" w:type="dxa"/>
            <w:tcBorders>
              <w:top w:val="single" w:sz="4" w:space="0" w:color="293F5B"/>
              <w:bottom w:val="single" w:sz="4" w:space="0" w:color="293F5B"/>
            </w:tcBorders>
            <w:shd w:val="clear" w:color="auto" w:fill="auto"/>
          </w:tcPr>
          <w:p w14:paraId="48128C6C" w14:textId="77777777" w:rsidR="0012790E" w:rsidRPr="001C06E6" w:rsidRDefault="0012790E">
            <w:pPr>
              <w:pStyle w:val="Totaldatarowrightaligned"/>
              <w:keepNext/>
            </w:pPr>
            <w:r w:rsidRPr="001C06E6">
              <w:t>165.0</w:t>
            </w:r>
          </w:p>
        </w:tc>
      </w:tr>
      <w:tr w:rsidR="0012790E" w:rsidRPr="001C06E6" w14:paraId="19D0EE2C" w14:textId="77777777">
        <w:tc>
          <w:tcPr>
            <w:tcW w:w="2497" w:type="dxa"/>
            <w:tcBorders>
              <w:top w:val="single" w:sz="4" w:space="0" w:color="293F5B"/>
            </w:tcBorders>
            <w:shd w:val="clear" w:color="auto" w:fill="auto"/>
          </w:tcPr>
          <w:p w14:paraId="020B827D" w14:textId="77777777" w:rsidR="0012790E" w:rsidRPr="001C06E6" w:rsidRDefault="0012790E">
            <w:pPr>
              <w:pStyle w:val="AgencyName"/>
              <w:keepNext/>
            </w:pPr>
            <w:r w:rsidRPr="001C06E6">
              <w:t>Related payments ($m)</w:t>
            </w:r>
          </w:p>
        </w:tc>
        <w:tc>
          <w:tcPr>
            <w:tcW w:w="1045" w:type="dxa"/>
            <w:tcBorders>
              <w:top w:val="single" w:sz="4" w:space="0" w:color="293F5B"/>
            </w:tcBorders>
            <w:shd w:val="clear" w:color="auto" w:fill="auto"/>
          </w:tcPr>
          <w:p w14:paraId="0E99AE95" w14:textId="77777777" w:rsidR="0012790E" w:rsidRPr="001C06E6" w:rsidRDefault="0012790E">
            <w:pPr>
              <w:pStyle w:val="AgencyName"/>
              <w:keepNext/>
            </w:pPr>
          </w:p>
        </w:tc>
        <w:tc>
          <w:tcPr>
            <w:tcW w:w="1045" w:type="dxa"/>
            <w:tcBorders>
              <w:top w:val="single" w:sz="4" w:space="0" w:color="293F5B"/>
            </w:tcBorders>
            <w:shd w:val="clear" w:color="auto" w:fill="auto"/>
          </w:tcPr>
          <w:p w14:paraId="38CB5450" w14:textId="77777777" w:rsidR="0012790E" w:rsidRPr="001C06E6" w:rsidRDefault="0012790E">
            <w:pPr>
              <w:pStyle w:val="AgencyName"/>
              <w:keepNext/>
            </w:pPr>
          </w:p>
        </w:tc>
        <w:tc>
          <w:tcPr>
            <w:tcW w:w="1045" w:type="dxa"/>
            <w:tcBorders>
              <w:top w:val="single" w:sz="4" w:space="0" w:color="293F5B"/>
            </w:tcBorders>
            <w:shd w:val="clear" w:color="auto" w:fill="auto"/>
          </w:tcPr>
          <w:p w14:paraId="6B6E44CC" w14:textId="77777777" w:rsidR="0012790E" w:rsidRPr="001C06E6" w:rsidRDefault="0012790E">
            <w:pPr>
              <w:pStyle w:val="AgencyName"/>
              <w:keepNext/>
            </w:pPr>
          </w:p>
        </w:tc>
        <w:tc>
          <w:tcPr>
            <w:tcW w:w="1045" w:type="dxa"/>
            <w:tcBorders>
              <w:top w:val="single" w:sz="4" w:space="0" w:color="293F5B"/>
            </w:tcBorders>
            <w:shd w:val="clear" w:color="auto" w:fill="auto"/>
          </w:tcPr>
          <w:p w14:paraId="005227BF" w14:textId="77777777" w:rsidR="0012790E" w:rsidRPr="001C06E6" w:rsidRDefault="0012790E">
            <w:pPr>
              <w:pStyle w:val="AgencyName"/>
              <w:keepNext/>
            </w:pPr>
          </w:p>
        </w:tc>
        <w:tc>
          <w:tcPr>
            <w:tcW w:w="1045" w:type="dxa"/>
            <w:tcBorders>
              <w:top w:val="single" w:sz="4" w:space="0" w:color="293F5B"/>
            </w:tcBorders>
            <w:shd w:val="clear" w:color="auto" w:fill="auto"/>
          </w:tcPr>
          <w:p w14:paraId="6ACB7192" w14:textId="77777777" w:rsidR="0012790E" w:rsidRPr="001C06E6" w:rsidRDefault="0012790E">
            <w:pPr>
              <w:pStyle w:val="AgencyName"/>
              <w:keepNext/>
            </w:pPr>
          </w:p>
        </w:tc>
      </w:tr>
      <w:tr w:rsidR="0012790E" w:rsidRPr="001C06E6" w14:paraId="031C2B19" w14:textId="77777777">
        <w:tc>
          <w:tcPr>
            <w:tcW w:w="2497" w:type="dxa"/>
            <w:tcBorders>
              <w:bottom w:val="single" w:sz="4" w:space="0" w:color="293F5B"/>
            </w:tcBorders>
            <w:shd w:val="clear" w:color="auto" w:fill="auto"/>
          </w:tcPr>
          <w:p w14:paraId="7F4DC0B5" w14:textId="77777777" w:rsidR="0012790E" w:rsidRPr="001C06E6" w:rsidRDefault="0012790E">
            <w:pPr>
              <w:pStyle w:val="AgencyNamewith2ptsspacing"/>
              <w:keepNext/>
            </w:pPr>
            <w:r w:rsidRPr="001C06E6">
              <w:t>Department of Home Affairs</w:t>
            </w:r>
          </w:p>
        </w:tc>
        <w:tc>
          <w:tcPr>
            <w:tcW w:w="1045" w:type="dxa"/>
            <w:tcBorders>
              <w:bottom w:val="single" w:sz="4" w:space="0" w:color="293F5B"/>
            </w:tcBorders>
            <w:shd w:val="clear" w:color="auto" w:fill="auto"/>
          </w:tcPr>
          <w:p w14:paraId="64E6DED5"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07FF6D9F" w14:textId="77777777" w:rsidR="0012790E" w:rsidRPr="001C06E6" w:rsidRDefault="0012790E">
            <w:pPr>
              <w:pStyle w:val="Measuretabledatarightaligneditalics"/>
              <w:keepNext/>
            </w:pPr>
            <w:r w:rsidRPr="001C06E6">
              <w:t>3.1</w:t>
            </w:r>
          </w:p>
        </w:tc>
        <w:tc>
          <w:tcPr>
            <w:tcW w:w="1045" w:type="dxa"/>
            <w:tcBorders>
              <w:bottom w:val="single" w:sz="4" w:space="0" w:color="293F5B"/>
            </w:tcBorders>
            <w:shd w:val="clear" w:color="auto" w:fill="auto"/>
          </w:tcPr>
          <w:p w14:paraId="6D1D10E0" w14:textId="77777777" w:rsidR="0012790E" w:rsidRPr="001C06E6" w:rsidRDefault="0012790E">
            <w:pPr>
              <w:pStyle w:val="Measuretabledatarightaligneditalics"/>
              <w:keepNext/>
            </w:pPr>
            <w:r w:rsidRPr="001C06E6">
              <w:t>1.3</w:t>
            </w:r>
          </w:p>
        </w:tc>
        <w:tc>
          <w:tcPr>
            <w:tcW w:w="1045" w:type="dxa"/>
            <w:tcBorders>
              <w:bottom w:val="single" w:sz="4" w:space="0" w:color="293F5B"/>
            </w:tcBorders>
            <w:shd w:val="clear" w:color="auto" w:fill="auto"/>
          </w:tcPr>
          <w:p w14:paraId="0F1D5059" w14:textId="77777777" w:rsidR="0012790E" w:rsidRPr="001C06E6" w:rsidRDefault="0012790E">
            <w:pPr>
              <w:pStyle w:val="Measuretabledatarightaligneditalics"/>
              <w:keepNext/>
            </w:pPr>
            <w:r w:rsidRPr="001C06E6">
              <w:t>0.7</w:t>
            </w:r>
          </w:p>
        </w:tc>
        <w:tc>
          <w:tcPr>
            <w:tcW w:w="1045" w:type="dxa"/>
            <w:tcBorders>
              <w:bottom w:val="single" w:sz="4" w:space="0" w:color="293F5B"/>
            </w:tcBorders>
            <w:shd w:val="clear" w:color="auto" w:fill="auto"/>
          </w:tcPr>
          <w:p w14:paraId="72A01A41" w14:textId="77777777" w:rsidR="0012790E" w:rsidRPr="001C06E6" w:rsidRDefault="0012790E">
            <w:pPr>
              <w:pStyle w:val="Measuretabledatarightaligneditalics"/>
              <w:keepNext/>
            </w:pPr>
            <w:r w:rsidRPr="001C06E6">
              <w:t>0.7</w:t>
            </w:r>
          </w:p>
        </w:tc>
      </w:tr>
      <w:tr w:rsidR="0012790E" w:rsidRPr="001C06E6" w14:paraId="298850C1" w14:textId="77777777">
        <w:tc>
          <w:tcPr>
            <w:tcW w:w="2497" w:type="dxa"/>
            <w:tcBorders>
              <w:top w:val="single" w:sz="4" w:space="0" w:color="293F5B"/>
              <w:bottom w:val="single" w:sz="4" w:space="0" w:color="293F5B"/>
            </w:tcBorders>
            <w:shd w:val="clear" w:color="auto" w:fill="auto"/>
          </w:tcPr>
          <w:p w14:paraId="6AAE1EBE" w14:textId="77777777" w:rsidR="0012790E" w:rsidRPr="001C06E6" w:rsidRDefault="0012790E">
            <w:pPr>
              <w:pStyle w:val="AgencyName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34DE55DD"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5090CCE9" w14:textId="07851B5B" w:rsidR="0012790E" w:rsidRPr="00F319D9" w:rsidRDefault="00F73334">
            <w:pPr>
              <w:pStyle w:val="Measuretabledatarightaligneditalics"/>
              <w:keepNext/>
              <w:rPr>
                <w:i w:val="0"/>
              </w:rPr>
            </w:pPr>
            <w:r w:rsidRPr="00F319D9">
              <w:rPr>
                <w:i w:val="0"/>
                <w:iCs/>
              </w:rPr>
              <w:t>..</w:t>
            </w:r>
          </w:p>
        </w:tc>
        <w:tc>
          <w:tcPr>
            <w:tcW w:w="1045" w:type="dxa"/>
            <w:tcBorders>
              <w:top w:val="single" w:sz="4" w:space="0" w:color="293F5B"/>
              <w:bottom w:val="single" w:sz="4" w:space="0" w:color="293F5B"/>
            </w:tcBorders>
            <w:shd w:val="clear" w:color="auto" w:fill="auto"/>
          </w:tcPr>
          <w:p w14:paraId="5E11E760" w14:textId="77777777" w:rsidR="0012790E" w:rsidRPr="001C06E6" w:rsidRDefault="0012790E">
            <w:pPr>
              <w:pStyle w:val="Measuretabledatarightaligneditalics"/>
              <w:keepNext/>
            </w:pPr>
            <w:r w:rsidRPr="001C06E6">
              <w:t>15.0</w:t>
            </w:r>
          </w:p>
        </w:tc>
        <w:tc>
          <w:tcPr>
            <w:tcW w:w="1045" w:type="dxa"/>
            <w:tcBorders>
              <w:top w:val="single" w:sz="4" w:space="0" w:color="293F5B"/>
              <w:bottom w:val="single" w:sz="4" w:space="0" w:color="293F5B"/>
            </w:tcBorders>
            <w:shd w:val="clear" w:color="auto" w:fill="auto"/>
          </w:tcPr>
          <w:p w14:paraId="6FE63AD1" w14:textId="77777777" w:rsidR="0012790E" w:rsidRPr="001C06E6" w:rsidRDefault="0012790E">
            <w:pPr>
              <w:pStyle w:val="Measuretabledatarightaligneditalics"/>
              <w:keepNext/>
            </w:pPr>
            <w:r w:rsidRPr="001C06E6">
              <w:t>25.0</w:t>
            </w:r>
          </w:p>
        </w:tc>
        <w:tc>
          <w:tcPr>
            <w:tcW w:w="1045" w:type="dxa"/>
            <w:tcBorders>
              <w:top w:val="single" w:sz="4" w:space="0" w:color="293F5B"/>
              <w:bottom w:val="single" w:sz="4" w:space="0" w:color="293F5B"/>
            </w:tcBorders>
            <w:shd w:val="clear" w:color="auto" w:fill="auto"/>
          </w:tcPr>
          <w:p w14:paraId="6E6B682C" w14:textId="77777777" w:rsidR="0012790E" w:rsidRPr="001C06E6" w:rsidRDefault="0012790E">
            <w:pPr>
              <w:pStyle w:val="Measuretabledatarightaligneditalics"/>
              <w:keepNext/>
            </w:pPr>
            <w:r w:rsidRPr="001C06E6">
              <w:t>25.0</w:t>
            </w:r>
          </w:p>
        </w:tc>
      </w:tr>
      <w:tr w:rsidR="0012790E" w:rsidRPr="001C06E6" w14:paraId="10D34F1F" w14:textId="77777777">
        <w:tc>
          <w:tcPr>
            <w:tcW w:w="2497" w:type="dxa"/>
            <w:tcBorders>
              <w:top w:val="single" w:sz="4" w:space="0" w:color="293F5B"/>
              <w:bottom w:val="single" w:sz="4" w:space="0" w:color="293F5B"/>
            </w:tcBorders>
            <w:shd w:val="clear" w:color="auto" w:fill="auto"/>
          </w:tcPr>
          <w:p w14:paraId="6D8EBDD3" w14:textId="77777777" w:rsidR="0012790E" w:rsidRPr="001C06E6" w:rsidRDefault="0012790E">
            <w:pPr>
              <w:pStyle w:val="Totalrowitalicsleftaligned"/>
              <w:keepNext/>
            </w:pPr>
            <w:r w:rsidRPr="001C06E6">
              <w:t>Total – Payments</w:t>
            </w:r>
          </w:p>
        </w:tc>
        <w:tc>
          <w:tcPr>
            <w:tcW w:w="1045" w:type="dxa"/>
            <w:tcBorders>
              <w:top w:val="single" w:sz="4" w:space="0" w:color="293F5B"/>
              <w:bottom w:val="single" w:sz="4" w:space="0" w:color="293F5B"/>
            </w:tcBorders>
            <w:shd w:val="clear" w:color="auto" w:fill="auto"/>
          </w:tcPr>
          <w:p w14:paraId="18152CF5"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7F6A7CA8" w14:textId="77777777" w:rsidR="0012790E" w:rsidRPr="001C06E6" w:rsidRDefault="0012790E">
            <w:pPr>
              <w:pStyle w:val="Totalrowitalicsrightaligned"/>
              <w:keepNext/>
            </w:pPr>
            <w:r w:rsidRPr="001C06E6">
              <w:t>3.1</w:t>
            </w:r>
          </w:p>
        </w:tc>
        <w:tc>
          <w:tcPr>
            <w:tcW w:w="1045" w:type="dxa"/>
            <w:tcBorders>
              <w:top w:val="single" w:sz="4" w:space="0" w:color="293F5B"/>
              <w:bottom w:val="single" w:sz="4" w:space="0" w:color="293F5B"/>
            </w:tcBorders>
            <w:shd w:val="clear" w:color="auto" w:fill="auto"/>
          </w:tcPr>
          <w:p w14:paraId="333D2813" w14:textId="77777777" w:rsidR="0012790E" w:rsidRPr="001C06E6" w:rsidRDefault="0012790E">
            <w:pPr>
              <w:pStyle w:val="Totalrowitalicsrightaligned"/>
              <w:keepNext/>
            </w:pPr>
            <w:r w:rsidRPr="001C06E6">
              <w:t>16.3</w:t>
            </w:r>
          </w:p>
        </w:tc>
        <w:tc>
          <w:tcPr>
            <w:tcW w:w="1045" w:type="dxa"/>
            <w:tcBorders>
              <w:top w:val="single" w:sz="4" w:space="0" w:color="293F5B"/>
              <w:bottom w:val="single" w:sz="4" w:space="0" w:color="293F5B"/>
            </w:tcBorders>
            <w:shd w:val="clear" w:color="auto" w:fill="auto"/>
          </w:tcPr>
          <w:p w14:paraId="4C37423C" w14:textId="77777777" w:rsidR="0012790E" w:rsidRPr="001C06E6" w:rsidRDefault="0012790E">
            <w:pPr>
              <w:pStyle w:val="Totalrowitalicsrightaligned"/>
              <w:keepNext/>
            </w:pPr>
            <w:r w:rsidRPr="001C06E6">
              <w:t>25.7</w:t>
            </w:r>
          </w:p>
        </w:tc>
        <w:tc>
          <w:tcPr>
            <w:tcW w:w="1045" w:type="dxa"/>
            <w:tcBorders>
              <w:top w:val="single" w:sz="4" w:space="0" w:color="293F5B"/>
              <w:bottom w:val="single" w:sz="4" w:space="0" w:color="293F5B"/>
            </w:tcBorders>
            <w:shd w:val="clear" w:color="auto" w:fill="auto"/>
          </w:tcPr>
          <w:p w14:paraId="7EF4CFC2" w14:textId="77777777" w:rsidR="0012790E" w:rsidRPr="001C06E6" w:rsidRDefault="0012790E">
            <w:pPr>
              <w:pStyle w:val="Totalrowitalicsrightaligned"/>
              <w:keepNext/>
            </w:pPr>
            <w:r w:rsidRPr="001C06E6">
              <w:t>25.7</w:t>
            </w:r>
          </w:p>
        </w:tc>
      </w:tr>
    </w:tbl>
    <w:p w14:paraId="158F25AA" w14:textId="77777777" w:rsidR="0012790E" w:rsidRPr="001C06E6" w:rsidRDefault="0012790E" w:rsidP="00607126">
      <w:pPr>
        <w:pStyle w:val="SingleParagraph"/>
      </w:pPr>
    </w:p>
    <w:p w14:paraId="2FA4B696" w14:textId="77777777" w:rsidR="0012790E" w:rsidRDefault="0012790E" w:rsidP="54937204">
      <w:pPr>
        <w:pStyle w:val="Normal2"/>
        <w:rPr>
          <w:rFonts w:cs="Book Antiqua"/>
          <w:lang w:val="en-US"/>
        </w:rPr>
      </w:pPr>
      <w:r w:rsidRPr="54937204">
        <w:rPr>
          <w:rFonts w:cs="Book Antiqua"/>
          <w:lang w:val="en-US"/>
        </w:rPr>
        <w:t>The Government will implement a new Mobility Arrangement for Talented Early</w:t>
      </w:r>
      <w:r>
        <w:rPr>
          <w:rFonts w:cs="Book Antiqua"/>
        </w:rPr>
        <w:noBreakHyphen/>
      </w:r>
      <w:r w:rsidRPr="54937204">
        <w:rPr>
          <w:rFonts w:cs="Book Antiqua"/>
          <w:lang w:val="en-US"/>
        </w:rPr>
        <w:t xml:space="preserve">professionals Scheme (MATES) program for Indian nationals from 1 November 2024. </w:t>
      </w:r>
    </w:p>
    <w:p w14:paraId="5CFD6B70" w14:textId="77777777" w:rsidR="0012790E" w:rsidRDefault="0012790E" w:rsidP="54937204">
      <w:pPr>
        <w:pStyle w:val="Normal2"/>
        <w:rPr>
          <w:rFonts w:cs="Book Antiqua"/>
          <w:lang w:val="en-US"/>
        </w:rPr>
      </w:pPr>
      <w:r w:rsidRPr="54937204">
        <w:rPr>
          <w:rFonts w:cs="Book Antiqua"/>
          <w:lang w:val="en-US"/>
        </w:rPr>
        <w:lastRenderedPageBreak/>
        <w:t>MATES will provide a new mobility pathway for 3,000 Indian graduates and early career professionals (aged 18 to 30 years at the time of application), with knowledge and skills in targeted fields of study to live and work in Australia for up to two years. The visa will have a pre</w:t>
      </w:r>
      <w:r>
        <w:rPr>
          <w:rFonts w:cs="Book Antiqua"/>
        </w:rPr>
        <w:noBreakHyphen/>
      </w:r>
      <w:r w:rsidRPr="54937204">
        <w:rPr>
          <w:rFonts w:cs="Book Antiqua"/>
          <w:lang w:val="en-US"/>
        </w:rPr>
        <w:t>application (ballot) charge of $25 and an application charge of $365, both of which will be indexed to the consumer price index in future years. This measure is part of the Australia</w:t>
      </w:r>
      <w:r>
        <w:rPr>
          <w:rFonts w:cs="Book Antiqua"/>
        </w:rPr>
        <w:noBreakHyphen/>
      </w:r>
      <w:r w:rsidRPr="54937204">
        <w:rPr>
          <w:rFonts w:cs="Book Antiqua"/>
          <w:lang w:val="en-US"/>
        </w:rPr>
        <w:t xml:space="preserve">India Migration and Mobility Partnership Arrangement (MMPA). </w:t>
      </w:r>
    </w:p>
    <w:p w14:paraId="010F8474" w14:textId="77777777" w:rsidR="0012790E" w:rsidRDefault="0012790E">
      <w:pPr>
        <w:pStyle w:val="Normal2"/>
        <w:rPr>
          <w:rFonts w:cs="Book Antiqua"/>
        </w:rPr>
      </w:pPr>
      <w:r w:rsidRPr="001C06E6">
        <w:rPr>
          <w:rFonts w:cs="Book Antiqua"/>
        </w:rPr>
        <w:t>As part of the MMPA, the Government also lengthened the validity of the Visitor visa</w:t>
      </w:r>
      <w:r>
        <w:rPr>
          <w:rFonts w:cs="Book Antiqua"/>
        </w:rPr>
        <w:t xml:space="preserve"> </w:t>
      </w:r>
      <w:r w:rsidRPr="001C06E6">
        <w:rPr>
          <w:rFonts w:cs="Book Antiqua"/>
        </w:rPr>
        <w:t>(subclass 600) Business Visitor stream for Indian nationals from up to three years to</w:t>
      </w:r>
      <w:r>
        <w:rPr>
          <w:rFonts w:cs="Book Antiqua"/>
        </w:rPr>
        <w:t xml:space="preserve"> </w:t>
      </w:r>
      <w:r w:rsidRPr="001C06E6">
        <w:rPr>
          <w:rFonts w:cs="Book Antiqua"/>
        </w:rPr>
        <w:t>up to five years.</w:t>
      </w:r>
      <w:r>
        <w:rPr>
          <w:rFonts w:cs="Book Antiqua"/>
        </w:rPr>
        <w:t xml:space="preserve"> </w:t>
      </w:r>
    </w:p>
    <w:p w14:paraId="4B5904AC" w14:textId="77777777" w:rsidR="0012790E" w:rsidRDefault="0012790E">
      <w:pPr>
        <w:pStyle w:val="Normal2"/>
        <w:rPr>
          <w:rFonts w:cs="Book Antiqua"/>
        </w:rPr>
      </w:pPr>
      <w:r w:rsidRPr="001C06E6">
        <w:rPr>
          <w:rFonts w:cs="Book Antiqua"/>
        </w:rPr>
        <w:t>This measure is estimated to increase receipts by $435.0</w:t>
      </w:r>
      <w:r>
        <w:rPr>
          <w:rFonts w:cs="Book Antiqua"/>
        </w:rPr>
        <w:t> </w:t>
      </w:r>
      <w:r w:rsidRPr="001C06E6">
        <w:rPr>
          <w:rFonts w:cs="Book Antiqua"/>
        </w:rPr>
        <w:t>million and increase</w:t>
      </w:r>
      <w:r>
        <w:rPr>
          <w:rFonts w:cs="Book Antiqua"/>
        </w:rPr>
        <w:t xml:space="preserve"> </w:t>
      </w:r>
      <w:r w:rsidRPr="001C06E6">
        <w:rPr>
          <w:rFonts w:cs="Book Antiqua"/>
        </w:rPr>
        <w:t>payments by $70.9</w:t>
      </w:r>
      <w:r>
        <w:rPr>
          <w:rFonts w:cs="Book Antiqua"/>
        </w:rPr>
        <w:t> </w:t>
      </w:r>
      <w:r w:rsidRPr="001C06E6">
        <w:rPr>
          <w:rFonts w:cs="Book Antiqua"/>
        </w:rPr>
        <w:t>million over the 5</w:t>
      </w:r>
      <w:r>
        <w:rPr>
          <w:rFonts w:cs="Book Antiqua"/>
        </w:rPr>
        <w:t> </w:t>
      </w:r>
      <w:r w:rsidRPr="001C06E6">
        <w:rPr>
          <w:rFonts w:cs="Book Antiqua"/>
        </w:rPr>
        <w:t xml:space="preserve">years from </w:t>
      </w:r>
      <w:r>
        <w:rPr>
          <w:rFonts w:cs="Book Antiqua"/>
        </w:rPr>
        <w:t>2023–24</w:t>
      </w:r>
      <w:r w:rsidRPr="001C06E6">
        <w:rPr>
          <w:rFonts w:cs="Book Antiqua"/>
        </w:rPr>
        <w:t>.</w:t>
      </w:r>
      <w:r>
        <w:rPr>
          <w:rFonts w:cs="Book Antiqua"/>
        </w:rPr>
        <w:t xml:space="preserve"> </w:t>
      </w:r>
    </w:p>
    <w:p w14:paraId="31150C9C" w14:textId="2C00E69B" w:rsidR="0012790E" w:rsidRPr="001C06E6" w:rsidRDefault="0012790E">
      <w:pPr>
        <w:pStyle w:val="MeasureTitle"/>
        <w:rPr>
          <w:b w:val="0"/>
          <w:bCs/>
        </w:rPr>
      </w:pPr>
      <w:r w:rsidRPr="001C06E6">
        <w:rPr>
          <w:bCs/>
        </w:rPr>
        <w:t>Permanent Migration Program – 2024</w:t>
      </w:r>
      <w:r w:rsidR="00F40138">
        <w:rPr>
          <w:bCs/>
        </w:rPr>
        <w:t>–</w:t>
      </w:r>
      <w:r w:rsidRPr="001C06E6">
        <w:rPr>
          <w:bCs/>
        </w:rPr>
        <w:t>25 planning levels and multi</w:t>
      </w:r>
      <w:r>
        <w:rPr>
          <w:bCs/>
        </w:rPr>
        <w:noBreakHyphen/>
      </w:r>
      <w:r w:rsidRPr="001C06E6">
        <w:rPr>
          <w:bCs/>
        </w:rPr>
        <w:t>year planning</w:t>
      </w:r>
    </w:p>
    <w:p w14:paraId="0F917E9D" w14:textId="77777777" w:rsidR="0012790E" w:rsidRPr="001C06E6" w:rsidRDefault="0012790E">
      <w:pPr>
        <w:pStyle w:val="MeasureTableHeading"/>
      </w:pPr>
      <w:r w:rsidRPr="001C06E6">
        <w:rPr>
          <w:color w:val="000000"/>
          <w:szCs w:val="16"/>
        </w:rPr>
        <w:t>Receipts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3DE3E47" w14:textId="77777777">
        <w:tc>
          <w:tcPr>
            <w:tcW w:w="2497" w:type="dxa"/>
            <w:tcBorders>
              <w:top w:val="single" w:sz="4" w:space="0" w:color="293F5B"/>
              <w:bottom w:val="single" w:sz="4" w:space="0" w:color="293F5B"/>
            </w:tcBorders>
            <w:shd w:val="clear" w:color="auto" w:fill="auto"/>
          </w:tcPr>
          <w:p w14:paraId="5BB2FA84"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C417D9B"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77C9379"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1328604"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A4C0114"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0D20388" w14:textId="77777777" w:rsidR="0012790E" w:rsidRPr="001C06E6" w:rsidRDefault="0012790E">
            <w:pPr>
              <w:pStyle w:val="MeasureTableYearHeadings"/>
              <w:keepNext/>
            </w:pPr>
            <w:r w:rsidRPr="001C06E6">
              <w:t>2027</w:t>
            </w:r>
            <w:r>
              <w:noBreakHyphen/>
            </w:r>
            <w:r w:rsidRPr="001C06E6">
              <w:t>28</w:t>
            </w:r>
          </w:p>
        </w:tc>
      </w:tr>
      <w:tr w:rsidR="0012790E" w:rsidRPr="001C06E6" w14:paraId="167A6CD3" w14:textId="77777777">
        <w:tc>
          <w:tcPr>
            <w:tcW w:w="2497" w:type="dxa"/>
            <w:tcBorders>
              <w:top w:val="single" w:sz="4" w:space="0" w:color="293F5B"/>
              <w:bottom w:val="single" w:sz="4" w:space="0" w:color="293F5B"/>
            </w:tcBorders>
            <w:shd w:val="clear" w:color="auto" w:fill="auto"/>
          </w:tcPr>
          <w:p w14:paraId="7007FF05"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7DCF677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8C190E9" w14:textId="187719C6" w:rsidR="0012790E" w:rsidRPr="001C06E6" w:rsidRDefault="0000490E">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54E0E92D" w14:textId="77777777" w:rsidR="0012790E" w:rsidRPr="001C06E6" w:rsidRDefault="0012790E">
            <w:pPr>
              <w:pStyle w:val="MeasureTableDataRightAlignedwith2ptsspacing"/>
              <w:keepNext/>
            </w:pPr>
            <w:r w:rsidRPr="001C06E6">
              <w:t>-5.0</w:t>
            </w:r>
          </w:p>
        </w:tc>
        <w:tc>
          <w:tcPr>
            <w:tcW w:w="1045" w:type="dxa"/>
            <w:tcBorders>
              <w:top w:val="single" w:sz="4" w:space="0" w:color="293F5B"/>
              <w:bottom w:val="single" w:sz="4" w:space="0" w:color="293F5B"/>
            </w:tcBorders>
            <w:shd w:val="clear" w:color="auto" w:fill="auto"/>
          </w:tcPr>
          <w:p w14:paraId="535E3578" w14:textId="77777777" w:rsidR="0012790E" w:rsidRPr="001C06E6" w:rsidRDefault="0012790E">
            <w:pPr>
              <w:pStyle w:val="MeasureTableDataRightAlignedwith2ptsspacing"/>
              <w:keepNext/>
            </w:pPr>
            <w:r w:rsidRPr="001C06E6">
              <w:t>-20.0</w:t>
            </w:r>
          </w:p>
        </w:tc>
        <w:tc>
          <w:tcPr>
            <w:tcW w:w="1045" w:type="dxa"/>
            <w:tcBorders>
              <w:top w:val="single" w:sz="4" w:space="0" w:color="293F5B"/>
              <w:bottom w:val="single" w:sz="4" w:space="0" w:color="293F5B"/>
            </w:tcBorders>
            <w:shd w:val="clear" w:color="auto" w:fill="auto"/>
          </w:tcPr>
          <w:p w14:paraId="6036196E" w14:textId="77777777" w:rsidR="0012790E" w:rsidRPr="001C06E6" w:rsidRDefault="0012790E">
            <w:pPr>
              <w:pStyle w:val="MeasureTableDataRightAlignedwith2ptsspacing"/>
              <w:keepNext/>
            </w:pPr>
            <w:r w:rsidRPr="001C06E6">
              <w:t>-20.0</w:t>
            </w:r>
          </w:p>
        </w:tc>
      </w:tr>
      <w:tr w:rsidR="0012790E" w:rsidRPr="001C06E6" w14:paraId="1F177026" w14:textId="77777777">
        <w:tc>
          <w:tcPr>
            <w:tcW w:w="2497" w:type="dxa"/>
            <w:tcBorders>
              <w:top w:val="single" w:sz="4" w:space="0" w:color="293F5B"/>
              <w:bottom w:val="single" w:sz="4" w:space="0" w:color="293F5B"/>
            </w:tcBorders>
            <w:shd w:val="clear" w:color="auto" w:fill="auto"/>
          </w:tcPr>
          <w:p w14:paraId="71ADA8A6"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2E2BEBE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604EF14" w14:textId="77777777" w:rsidR="0012790E" w:rsidRPr="001C06E6" w:rsidRDefault="0012790E">
            <w:pPr>
              <w:pStyle w:val="MeasureTableDataRightAlignedwith2ptsspacing"/>
              <w:keepNext/>
            </w:pPr>
            <w:r w:rsidRPr="001C06E6">
              <w:t>-25.0</w:t>
            </w:r>
          </w:p>
        </w:tc>
        <w:tc>
          <w:tcPr>
            <w:tcW w:w="1045" w:type="dxa"/>
            <w:tcBorders>
              <w:top w:val="single" w:sz="4" w:space="0" w:color="293F5B"/>
              <w:bottom w:val="single" w:sz="4" w:space="0" w:color="293F5B"/>
            </w:tcBorders>
            <w:shd w:val="clear" w:color="auto" w:fill="auto"/>
          </w:tcPr>
          <w:p w14:paraId="6654B206" w14:textId="2C247EBF" w:rsidR="0012790E" w:rsidRPr="001C06E6" w:rsidRDefault="0000490E">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5A3E6F43" w14:textId="0F1F399C" w:rsidR="0012790E" w:rsidRPr="001C06E6" w:rsidRDefault="0000490E">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283F4A70" w14:textId="3BF1CF71" w:rsidR="0012790E" w:rsidRPr="001C06E6" w:rsidRDefault="0000490E">
            <w:pPr>
              <w:pStyle w:val="MeasureTableDataRightAlignedwith2ptsspacing"/>
              <w:keepNext/>
            </w:pPr>
            <w:r>
              <w:t>..</w:t>
            </w:r>
          </w:p>
        </w:tc>
      </w:tr>
      <w:tr w:rsidR="0012790E" w:rsidRPr="001C06E6" w14:paraId="4A9BFA65" w14:textId="77777777">
        <w:tc>
          <w:tcPr>
            <w:tcW w:w="2497" w:type="dxa"/>
            <w:tcBorders>
              <w:top w:val="single" w:sz="4" w:space="0" w:color="293F5B"/>
              <w:bottom w:val="single" w:sz="4" w:space="0" w:color="293F5B"/>
            </w:tcBorders>
            <w:shd w:val="clear" w:color="auto" w:fill="auto"/>
          </w:tcPr>
          <w:p w14:paraId="613623E4" w14:textId="77777777" w:rsidR="0012790E" w:rsidRPr="001C06E6" w:rsidRDefault="0012790E">
            <w:pPr>
              <w:pStyle w:val="Totalrowleftaligned"/>
              <w:keepNext/>
            </w:pPr>
            <w:r w:rsidRPr="001C06E6">
              <w:t>Total – Receipts</w:t>
            </w:r>
          </w:p>
        </w:tc>
        <w:tc>
          <w:tcPr>
            <w:tcW w:w="1045" w:type="dxa"/>
            <w:tcBorders>
              <w:top w:val="single" w:sz="4" w:space="0" w:color="293F5B"/>
              <w:bottom w:val="single" w:sz="4" w:space="0" w:color="293F5B"/>
            </w:tcBorders>
            <w:shd w:val="clear" w:color="auto" w:fill="auto"/>
          </w:tcPr>
          <w:p w14:paraId="750BC39B"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F5C1315" w14:textId="77777777" w:rsidR="0012790E" w:rsidRPr="001C06E6" w:rsidRDefault="0012790E">
            <w:pPr>
              <w:pStyle w:val="Totaldatarowrightaligned"/>
              <w:keepNext/>
            </w:pPr>
            <w:r w:rsidRPr="001C06E6">
              <w:t>-25.0</w:t>
            </w:r>
          </w:p>
        </w:tc>
        <w:tc>
          <w:tcPr>
            <w:tcW w:w="1045" w:type="dxa"/>
            <w:tcBorders>
              <w:top w:val="single" w:sz="4" w:space="0" w:color="293F5B"/>
              <w:bottom w:val="single" w:sz="4" w:space="0" w:color="293F5B"/>
            </w:tcBorders>
            <w:shd w:val="clear" w:color="auto" w:fill="auto"/>
          </w:tcPr>
          <w:p w14:paraId="6A54FD8B" w14:textId="77777777" w:rsidR="0012790E" w:rsidRPr="001C06E6" w:rsidRDefault="0012790E">
            <w:pPr>
              <w:pStyle w:val="Totaldatarowrightaligned"/>
              <w:keepNext/>
            </w:pPr>
            <w:r w:rsidRPr="001C06E6">
              <w:t>-5.0</w:t>
            </w:r>
          </w:p>
        </w:tc>
        <w:tc>
          <w:tcPr>
            <w:tcW w:w="1045" w:type="dxa"/>
            <w:tcBorders>
              <w:top w:val="single" w:sz="4" w:space="0" w:color="293F5B"/>
              <w:bottom w:val="single" w:sz="4" w:space="0" w:color="293F5B"/>
            </w:tcBorders>
            <w:shd w:val="clear" w:color="auto" w:fill="auto"/>
          </w:tcPr>
          <w:p w14:paraId="598FB36F" w14:textId="77777777" w:rsidR="0012790E" w:rsidRPr="001C06E6" w:rsidRDefault="0012790E">
            <w:pPr>
              <w:pStyle w:val="Totaldatarowrightaligned"/>
              <w:keepNext/>
            </w:pPr>
            <w:r w:rsidRPr="001C06E6">
              <w:t>-20.0</w:t>
            </w:r>
          </w:p>
        </w:tc>
        <w:tc>
          <w:tcPr>
            <w:tcW w:w="1045" w:type="dxa"/>
            <w:tcBorders>
              <w:top w:val="single" w:sz="4" w:space="0" w:color="293F5B"/>
              <w:bottom w:val="single" w:sz="4" w:space="0" w:color="293F5B"/>
            </w:tcBorders>
            <w:shd w:val="clear" w:color="auto" w:fill="auto"/>
          </w:tcPr>
          <w:p w14:paraId="78E37F6A" w14:textId="77777777" w:rsidR="0012790E" w:rsidRPr="001C06E6" w:rsidRDefault="0012790E">
            <w:pPr>
              <w:pStyle w:val="Totaldatarowrightaligned"/>
              <w:keepNext/>
            </w:pPr>
            <w:r w:rsidRPr="001C06E6">
              <w:t>-20.0</w:t>
            </w:r>
          </w:p>
        </w:tc>
      </w:tr>
      <w:tr w:rsidR="0012790E" w:rsidRPr="001C06E6" w14:paraId="5940CFF2" w14:textId="77777777">
        <w:tc>
          <w:tcPr>
            <w:tcW w:w="2497" w:type="dxa"/>
            <w:tcBorders>
              <w:top w:val="single" w:sz="4" w:space="0" w:color="293F5B"/>
            </w:tcBorders>
            <w:shd w:val="clear" w:color="auto" w:fill="auto"/>
          </w:tcPr>
          <w:p w14:paraId="5CE1DC51" w14:textId="77777777" w:rsidR="0012790E" w:rsidRPr="001C06E6" w:rsidRDefault="0012790E">
            <w:pPr>
              <w:pStyle w:val="AgencyName"/>
              <w:keepNext/>
            </w:pPr>
            <w:r w:rsidRPr="001C06E6">
              <w:t>Related payments ($m)</w:t>
            </w:r>
          </w:p>
        </w:tc>
        <w:tc>
          <w:tcPr>
            <w:tcW w:w="1045" w:type="dxa"/>
            <w:tcBorders>
              <w:top w:val="single" w:sz="4" w:space="0" w:color="293F5B"/>
            </w:tcBorders>
            <w:shd w:val="clear" w:color="auto" w:fill="auto"/>
          </w:tcPr>
          <w:p w14:paraId="5FCDF148" w14:textId="77777777" w:rsidR="0012790E" w:rsidRPr="001C06E6" w:rsidRDefault="0012790E">
            <w:pPr>
              <w:pStyle w:val="AgencyName"/>
              <w:keepNext/>
            </w:pPr>
          </w:p>
        </w:tc>
        <w:tc>
          <w:tcPr>
            <w:tcW w:w="1045" w:type="dxa"/>
            <w:tcBorders>
              <w:top w:val="single" w:sz="4" w:space="0" w:color="293F5B"/>
            </w:tcBorders>
            <w:shd w:val="clear" w:color="auto" w:fill="auto"/>
          </w:tcPr>
          <w:p w14:paraId="7AAE3989" w14:textId="77777777" w:rsidR="0012790E" w:rsidRPr="001C06E6" w:rsidRDefault="0012790E">
            <w:pPr>
              <w:pStyle w:val="AgencyName"/>
              <w:keepNext/>
            </w:pPr>
          </w:p>
        </w:tc>
        <w:tc>
          <w:tcPr>
            <w:tcW w:w="1045" w:type="dxa"/>
            <w:tcBorders>
              <w:top w:val="single" w:sz="4" w:space="0" w:color="293F5B"/>
            </w:tcBorders>
            <w:shd w:val="clear" w:color="auto" w:fill="auto"/>
          </w:tcPr>
          <w:p w14:paraId="08E22992" w14:textId="77777777" w:rsidR="0012790E" w:rsidRPr="001C06E6" w:rsidRDefault="0012790E">
            <w:pPr>
              <w:pStyle w:val="AgencyName"/>
              <w:keepNext/>
            </w:pPr>
          </w:p>
        </w:tc>
        <w:tc>
          <w:tcPr>
            <w:tcW w:w="1045" w:type="dxa"/>
            <w:tcBorders>
              <w:top w:val="single" w:sz="4" w:space="0" w:color="293F5B"/>
            </w:tcBorders>
            <w:shd w:val="clear" w:color="auto" w:fill="auto"/>
          </w:tcPr>
          <w:p w14:paraId="67616F9F" w14:textId="77777777" w:rsidR="0012790E" w:rsidRPr="001C06E6" w:rsidRDefault="0012790E">
            <w:pPr>
              <w:pStyle w:val="AgencyName"/>
              <w:keepNext/>
            </w:pPr>
          </w:p>
        </w:tc>
        <w:tc>
          <w:tcPr>
            <w:tcW w:w="1045" w:type="dxa"/>
            <w:tcBorders>
              <w:top w:val="single" w:sz="4" w:space="0" w:color="293F5B"/>
            </w:tcBorders>
            <w:shd w:val="clear" w:color="auto" w:fill="auto"/>
          </w:tcPr>
          <w:p w14:paraId="20041FB3" w14:textId="77777777" w:rsidR="0012790E" w:rsidRPr="001C06E6" w:rsidRDefault="0012790E">
            <w:pPr>
              <w:pStyle w:val="AgencyName"/>
              <w:keepNext/>
            </w:pPr>
          </w:p>
        </w:tc>
      </w:tr>
      <w:tr w:rsidR="0012790E" w:rsidRPr="001C06E6" w14:paraId="397A0544" w14:textId="77777777">
        <w:tc>
          <w:tcPr>
            <w:tcW w:w="2497" w:type="dxa"/>
            <w:tcBorders>
              <w:bottom w:val="single" w:sz="4" w:space="0" w:color="293F5B"/>
            </w:tcBorders>
            <w:shd w:val="clear" w:color="auto" w:fill="auto"/>
          </w:tcPr>
          <w:p w14:paraId="2676606A" w14:textId="77777777" w:rsidR="0012790E" w:rsidRPr="001C06E6" w:rsidRDefault="0012790E">
            <w:pPr>
              <w:pStyle w:val="AgencyNamewith2ptsspacing"/>
              <w:keepNext/>
            </w:pPr>
            <w:r>
              <w:t xml:space="preserve">National Disability Insurance Agency </w:t>
            </w:r>
          </w:p>
        </w:tc>
        <w:tc>
          <w:tcPr>
            <w:tcW w:w="1045" w:type="dxa"/>
            <w:tcBorders>
              <w:bottom w:val="single" w:sz="4" w:space="0" w:color="293F5B"/>
            </w:tcBorders>
            <w:shd w:val="clear" w:color="auto" w:fill="auto"/>
          </w:tcPr>
          <w:p w14:paraId="265D92C2"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6ED3E48E" w14:textId="77777777" w:rsidR="0012790E" w:rsidRPr="001C06E6" w:rsidRDefault="0012790E">
            <w:pPr>
              <w:pStyle w:val="Measuretabledatarightaligneditalics"/>
              <w:keepNext/>
            </w:pPr>
            <w:r>
              <w:t xml:space="preserve">2.6 </w:t>
            </w:r>
          </w:p>
        </w:tc>
        <w:tc>
          <w:tcPr>
            <w:tcW w:w="1045" w:type="dxa"/>
            <w:tcBorders>
              <w:bottom w:val="single" w:sz="4" w:space="0" w:color="293F5B"/>
            </w:tcBorders>
            <w:shd w:val="clear" w:color="auto" w:fill="auto"/>
          </w:tcPr>
          <w:p w14:paraId="51F411BF" w14:textId="77777777" w:rsidR="0012790E" w:rsidRPr="001C06E6" w:rsidRDefault="0012790E">
            <w:pPr>
              <w:pStyle w:val="Measuretabledatarightaligneditalics"/>
              <w:keepNext/>
            </w:pPr>
            <w:r>
              <w:t xml:space="preserve">8.2 </w:t>
            </w:r>
          </w:p>
        </w:tc>
        <w:tc>
          <w:tcPr>
            <w:tcW w:w="1045" w:type="dxa"/>
            <w:tcBorders>
              <w:bottom w:val="single" w:sz="4" w:space="0" w:color="293F5B"/>
            </w:tcBorders>
            <w:shd w:val="clear" w:color="auto" w:fill="auto"/>
          </w:tcPr>
          <w:p w14:paraId="1B59B776" w14:textId="77777777" w:rsidR="0012790E" w:rsidRPr="001C06E6" w:rsidRDefault="0012790E">
            <w:pPr>
              <w:pStyle w:val="Measuretabledatarightaligneditalics"/>
              <w:keepNext/>
            </w:pPr>
            <w:r>
              <w:t xml:space="preserve">8.3 </w:t>
            </w:r>
          </w:p>
        </w:tc>
        <w:tc>
          <w:tcPr>
            <w:tcW w:w="1045" w:type="dxa"/>
            <w:tcBorders>
              <w:bottom w:val="single" w:sz="4" w:space="0" w:color="293F5B"/>
            </w:tcBorders>
            <w:shd w:val="clear" w:color="auto" w:fill="auto"/>
          </w:tcPr>
          <w:p w14:paraId="5BDFF2FF" w14:textId="77777777" w:rsidR="0012790E" w:rsidRPr="001C06E6" w:rsidRDefault="0012790E">
            <w:pPr>
              <w:pStyle w:val="Measuretabledatarightaligneditalics"/>
              <w:keepNext/>
            </w:pPr>
            <w:r>
              <w:t xml:space="preserve">1.4 </w:t>
            </w:r>
          </w:p>
        </w:tc>
      </w:tr>
      <w:tr w:rsidR="0012790E" w:rsidRPr="001C06E6" w14:paraId="350EA457" w14:textId="77777777">
        <w:tc>
          <w:tcPr>
            <w:tcW w:w="2497" w:type="dxa"/>
            <w:tcBorders>
              <w:top w:val="single" w:sz="4" w:space="0" w:color="293F5B"/>
              <w:bottom w:val="single" w:sz="4" w:space="0" w:color="293F5B"/>
            </w:tcBorders>
            <w:shd w:val="clear" w:color="auto" w:fill="auto"/>
          </w:tcPr>
          <w:p w14:paraId="1928D95F" w14:textId="77777777" w:rsidR="0012790E" w:rsidRPr="001C06E6" w:rsidRDefault="0012790E">
            <w:pPr>
              <w:pStyle w:val="AgencyName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4F27D8EB"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46B98D2E"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576A076F"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19AC127B"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794DB466" w14:textId="77777777" w:rsidR="0012790E" w:rsidRPr="001C06E6" w:rsidRDefault="0012790E">
            <w:pPr>
              <w:pStyle w:val="Measuretabledatarightaligneditalics"/>
              <w:keepNext/>
            </w:pPr>
            <w:r>
              <w:t xml:space="preserve">.. </w:t>
            </w:r>
          </w:p>
        </w:tc>
      </w:tr>
      <w:tr w:rsidR="0012790E" w:rsidRPr="001C06E6" w14:paraId="0A525FF9" w14:textId="77777777">
        <w:tc>
          <w:tcPr>
            <w:tcW w:w="2497" w:type="dxa"/>
            <w:tcBorders>
              <w:top w:val="single" w:sz="4" w:space="0" w:color="293F5B"/>
              <w:bottom w:val="single" w:sz="4" w:space="0" w:color="293F5B"/>
            </w:tcBorders>
            <w:shd w:val="clear" w:color="auto" w:fill="auto"/>
          </w:tcPr>
          <w:p w14:paraId="0DC37E0B" w14:textId="77777777" w:rsidR="0012790E" w:rsidRPr="001C06E6" w:rsidRDefault="0012790E">
            <w:pPr>
              <w:pStyle w:val="AgencyName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1FC716B5"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33BEE5C3" w14:textId="46AFFD9D" w:rsidR="0012790E" w:rsidRPr="001C06E6" w:rsidRDefault="00EC5873">
            <w:pPr>
              <w:pStyle w:val="Measuretabledatarightaligneditalics"/>
              <w:keepNext/>
            </w:pPr>
            <w:r>
              <w:t>..</w:t>
            </w:r>
          </w:p>
        </w:tc>
        <w:tc>
          <w:tcPr>
            <w:tcW w:w="1045" w:type="dxa"/>
            <w:tcBorders>
              <w:top w:val="single" w:sz="4" w:space="0" w:color="293F5B"/>
              <w:bottom w:val="single" w:sz="4" w:space="0" w:color="293F5B"/>
            </w:tcBorders>
            <w:shd w:val="clear" w:color="auto" w:fill="auto"/>
          </w:tcPr>
          <w:p w14:paraId="3D8132AC" w14:textId="77777777" w:rsidR="0012790E" w:rsidRPr="001C06E6" w:rsidRDefault="0012790E">
            <w:pPr>
              <w:pStyle w:val="Measuretabledatarightaligneditalics"/>
              <w:keepNext/>
            </w:pPr>
            <w:r w:rsidRPr="001C06E6">
              <w:t>-5.0</w:t>
            </w:r>
          </w:p>
        </w:tc>
        <w:tc>
          <w:tcPr>
            <w:tcW w:w="1045" w:type="dxa"/>
            <w:tcBorders>
              <w:top w:val="single" w:sz="4" w:space="0" w:color="293F5B"/>
              <w:bottom w:val="single" w:sz="4" w:space="0" w:color="293F5B"/>
            </w:tcBorders>
            <w:shd w:val="clear" w:color="auto" w:fill="auto"/>
          </w:tcPr>
          <w:p w14:paraId="2081B93E" w14:textId="77777777" w:rsidR="0012790E" w:rsidRPr="001C06E6" w:rsidRDefault="0012790E">
            <w:pPr>
              <w:pStyle w:val="Measuretabledatarightaligneditalics"/>
              <w:keepNext/>
            </w:pPr>
            <w:r w:rsidRPr="001C06E6">
              <w:t>-5.0</w:t>
            </w:r>
          </w:p>
        </w:tc>
        <w:tc>
          <w:tcPr>
            <w:tcW w:w="1045" w:type="dxa"/>
            <w:tcBorders>
              <w:top w:val="single" w:sz="4" w:space="0" w:color="293F5B"/>
              <w:bottom w:val="single" w:sz="4" w:space="0" w:color="293F5B"/>
            </w:tcBorders>
            <w:shd w:val="clear" w:color="auto" w:fill="auto"/>
          </w:tcPr>
          <w:p w14:paraId="2BAC4150" w14:textId="77777777" w:rsidR="0012790E" w:rsidRPr="001C06E6" w:rsidRDefault="0012790E">
            <w:pPr>
              <w:pStyle w:val="Measuretabledatarightaligneditalics"/>
              <w:keepNext/>
            </w:pPr>
            <w:r w:rsidRPr="001C06E6">
              <w:t>-10.0</w:t>
            </w:r>
          </w:p>
        </w:tc>
      </w:tr>
      <w:tr w:rsidR="0012790E" w:rsidRPr="001C06E6" w14:paraId="18AE4AD0" w14:textId="77777777">
        <w:tc>
          <w:tcPr>
            <w:tcW w:w="2497" w:type="dxa"/>
            <w:tcBorders>
              <w:top w:val="single" w:sz="4" w:space="0" w:color="293F5B"/>
              <w:bottom w:val="single" w:sz="4" w:space="0" w:color="293F5B"/>
            </w:tcBorders>
            <w:shd w:val="clear" w:color="auto" w:fill="auto"/>
          </w:tcPr>
          <w:p w14:paraId="153898FE" w14:textId="77777777" w:rsidR="0012790E" w:rsidRPr="001C06E6" w:rsidRDefault="0012790E">
            <w:pPr>
              <w:pStyle w:val="AgencyNamewith2ptsspacing"/>
              <w:keepNext/>
            </w:pPr>
            <w:r w:rsidRPr="001C06E6">
              <w:t>Services Australia</w:t>
            </w:r>
          </w:p>
        </w:tc>
        <w:tc>
          <w:tcPr>
            <w:tcW w:w="1045" w:type="dxa"/>
            <w:tcBorders>
              <w:top w:val="single" w:sz="4" w:space="0" w:color="293F5B"/>
              <w:bottom w:val="single" w:sz="4" w:space="0" w:color="293F5B"/>
            </w:tcBorders>
            <w:shd w:val="clear" w:color="auto" w:fill="auto"/>
          </w:tcPr>
          <w:p w14:paraId="37521154"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626FA12D"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6F871722" w14:textId="77777777" w:rsidR="0012790E" w:rsidRPr="001C06E6" w:rsidRDefault="0012790E">
            <w:pPr>
              <w:pStyle w:val="Measuretabledatarightaligneditalics"/>
              <w:keepNext/>
            </w:pPr>
            <w:r w:rsidRPr="001C06E6">
              <w:t>-0.1</w:t>
            </w:r>
          </w:p>
        </w:tc>
        <w:tc>
          <w:tcPr>
            <w:tcW w:w="1045" w:type="dxa"/>
            <w:tcBorders>
              <w:top w:val="single" w:sz="4" w:space="0" w:color="293F5B"/>
              <w:bottom w:val="single" w:sz="4" w:space="0" w:color="293F5B"/>
            </w:tcBorders>
            <w:shd w:val="clear" w:color="auto" w:fill="auto"/>
          </w:tcPr>
          <w:p w14:paraId="2C8F60C0" w14:textId="77777777" w:rsidR="0012790E" w:rsidRPr="001C06E6" w:rsidRDefault="0012790E">
            <w:pPr>
              <w:pStyle w:val="Measuretabledatarightaligneditalics"/>
              <w:keepNext/>
            </w:pPr>
            <w:r w:rsidRPr="001C06E6">
              <w:t>-0.1</w:t>
            </w:r>
          </w:p>
        </w:tc>
        <w:tc>
          <w:tcPr>
            <w:tcW w:w="1045" w:type="dxa"/>
            <w:tcBorders>
              <w:top w:val="single" w:sz="4" w:space="0" w:color="293F5B"/>
              <w:bottom w:val="single" w:sz="4" w:space="0" w:color="293F5B"/>
            </w:tcBorders>
            <w:shd w:val="clear" w:color="auto" w:fill="auto"/>
          </w:tcPr>
          <w:p w14:paraId="137F60B9" w14:textId="77777777" w:rsidR="0012790E" w:rsidRPr="001C06E6" w:rsidRDefault="0012790E">
            <w:pPr>
              <w:pStyle w:val="Measuretabledatarightaligneditalics"/>
              <w:keepNext/>
            </w:pPr>
            <w:r w:rsidRPr="001C06E6">
              <w:t>-0.1</w:t>
            </w:r>
          </w:p>
        </w:tc>
      </w:tr>
      <w:tr w:rsidR="0012790E" w:rsidRPr="001C06E6" w14:paraId="33DE95AF" w14:textId="77777777">
        <w:tc>
          <w:tcPr>
            <w:tcW w:w="2497" w:type="dxa"/>
            <w:tcBorders>
              <w:top w:val="single" w:sz="4" w:space="0" w:color="293F5B"/>
              <w:bottom w:val="single" w:sz="4" w:space="0" w:color="293F5B"/>
            </w:tcBorders>
            <w:shd w:val="clear" w:color="auto" w:fill="auto"/>
          </w:tcPr>
          <w:p w14:paraId="7178CA7A" w14:textId="77777777" w:rsidR="0012790E" w:rsidRPr="001C06E6" w:rsidRDefault="0012790E">
            <w:pPr>
              <w:pStyle w:val="AgencyNamewith2ptsspacing"/>
              <w:keepNext/>
            </w:pPr>
            <w:r w:rsidRPr="001C06E6">
              <w:t>Department of Education</w:t>
            </w:r>
          </w:p>
        </w:tc>
        <w:tc>
          <w:tcPr>
            <w:tcW w:w="1045" w:type="dxa"/>
            <w:tcBorders>
              <w:top w:val="single" w:sz="4" w:space="0" w:color="293F5B"/>
              <w:bottom w:val="single" w:sz="4" w:space="0" w:color="293F5B"/>
            </w:tcBorders>
            <w:shd w:val="clear" w:color="auto" w:fill="auto"/>
          </w:tcPr>
          <w:p w14:paraId="41FC9E03"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13469DF4" w14:textId="77777777" w:rsidR="0012790E" w:rsidRPr="001C06E6" w:rsidRDefault="0012790E">
            <w:pPr>
              <w:pStyle w:val="Measuretabledatarightaligneditalics"/>
              <w:keepNext/>
            </w:pPr>
            <w:r w:rsidRPr="001C06E6">
              <w:t>-1.6</w:t>
            </w:r>
          </w:p>
        </w:tc>
        <w:tc>
          <w:tcPr>
            <w:tcW w:w="1045" w:type="dxa"/>
            <w:tcBorders>
              <w:top w:val="single" w:sz="4" w:space="0" w:color="293F5B"/>
              <w:bottom w:val="single" w:sz="4" w:space="0" w:color="293F5B"/>
            </w:tcBorders>
            <w:shd w:val="clear" w:color="auto" w:fill="auto"/>
          </w:tcPr>
          <w:p w14:paraId="17264A59" w14:textId="77777777" w:rsidR="0012790E" w:rsidRPr="001C06E6" w:rsidRDefault="0012790E">
            <w:pPr>
              <w:pStyle w:val="Measuretabledatarightaligneditalics"/>
              <w:keepNext/>
            </w:pPr>
            <w:r w:rsidRPr="001C06E6">
              <w:t>-9.7</w:t>
            </w:r>
          </w:p>
        </w:tc>
        <w:tc>
          <w:tcPr>
            <w:tcW w:w="1045" w:type="dxa"/>
            <w:tcBorders>
              <w:top w:val="single" w:sz="4" w:space="0" w:color="293F5B"/>
              <w:bottom w:val="single" w:sz="4" w:space="0" w:color="293F5B"/>
            </w:tcBorders>
            <w:shd w:val="clear" w:color="auto" w:fill="auto"/>
          </w:tcPr>
          <w:p w14:paraId="32FEEE5B" w14:textId="77777777" w:rsidR="0012790E" w:rsidRPr="001C06E6" w:rsidRDefault="0012790E">
            <w:pPr>
              <w:pStyle w:val="Measuretabledatarightaligneditalics"/>
              <w:keepNext/>
            </w:pPr>
            <w:r w:rsidRPr="001C06E6">
              <w:t>-8.6</w:t>
            </w:r>
          </w:p>
        </w:tc>
        <w:tc>
          <w:tcPr>
            <w:tcW w:w="1045" w:type="dxa"/>
            <w:tcBorders>
              <w:top w:val="single" w:sz="4" w:space="0" w:color="293F5B"/>
              <w:bottom w:val="single" w:sz="4" w:space="0" w:color="293F5B"/>
            </w:tcBorders>
            <w:shd w:val="clear" w:color="auto" w:fill="auto"/>
          </w:tcPr>
          <w:p w14:paraId="790AF179" w14:textId="77777777" w:rsidR="0012790E" w:rsidRPr="001C06E6" w:rsidRDefault="0012790E">
            <w:pPr>
              <w:pStyle w:val="Measuretabledatarightaligneditalics"/>
              <w:keepNext/>
            </w:pPr>
            <w:r w:rsidRPr="001C06E6">
              <w:t>-7.3</w:t>
            </w:r>
          </w:p>
        </w:tc>
      </w:tr>
      <w:tr w:rsidR="0012790E" w:rsidRPr="001C06E6" w14:paraId="53934802" w14:textId="77777777">
        <w:tc>
          <w:tcPr>
            <w:tcW w:w="2497" w:type="dxa"/>
            <w:tcBorders>
              <w:top w:val="single" w:sz="4" w:space="0" w:color="293F5B"/>
              <w:bottom w:val="single" w:sz="4" w:space="0" w:color="293F5B"/>
            </w:tcBorders>
            <w:shd w:val="clear" w:color="auto" w:fill="auto"/>
          </w:tcPr>
          <w:p w14:paraId="7D21359C" w14:textId="77777777" w:rsidR="0012790E" w:rsidRPr="001C06E6" w:rsidRDefault="0012790E">
            <w:pPr>
              <w:pStyle w:val="AgencyName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7E12961B"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2A159481" w14:textId="77777777" w:rsidR="0012790E" w:rsidRPr="001C06E6" w:rsidRDefault="0012790E">
            <w:pPr>
              <w:pStyle w:val="Measuretabledatarightaligneditalics"/>
              <w:keepNext/>
            </w:pPr>
            <w:r>
              <w:t xml:space="preserve">-3.2 </w:t>
            </w:r>
          </w:p>
        </w:tc>
        <w:tc>
          <w:tcPr>
            <w:tcW w:w="1045" w:type="dxa"/>
            <w:tcBorders>
              <w:top w:val="single" w:sz="4" w:space="0" w:color="293F5B"/>
              <w:bottom w:val="single" w:sz="4" w:space="0" w:color="293F5B"/>
            </w:tcBorders>
            <w:shd w:val="clear" w:color="auto" w:fill="auto"/>
          </w:tcPr>
          <w:p w14:paraId="18EED4BC" w14:textId="77777777" w:rsidR="0012790E" w:rsidRPr="001C06E6" w:rsidRDefault="0012790E">
            <w:pPr>
              <w:pStyle w:val="Measuretabledatarightaligneditalics"/>
              <w:keepNext/>
            </w:pPr>
            <w:r>
              <w:t xml:space="preserve">-6.3 </w:t>
            </w:r>
          </w:p>
        </w:tc>
        <w:tc>
          <w:tcPr>
            <w:tcW w:w="1045" w:type="dxa"/>
            <w:tcBorders>
              <w:top w:val="single" w:sz="4" w:space="0" w:color="293F5B"/>
              <w:bottom w:val="single" w:sz="4" w:space="0" w:color="293F5B"/>
            </w:tcBorders>
            <w:shd w:val="clear" w:color="auto" w:fill="auto"/>
          </w:tcPr>
          <w:p w14:paraId="1D63E8CC" w14:textId="77777777" w:rsidR="0012790E" w:rsidRPr="001C06E6" w:rsidRDefault="0012790E">
            <w:pPr>
              <w:pStyle w:val="Measuretabledatarightaligneditalics"/>
              <w:keepNext/>
            </w:pPr>
            <w:r>
              <w:t xml:space="preserve">-6.6 </w:t>
            </w:r>
          </w:p>
        </w:tc>
        <w:tc>
          <w:tcPr>
            <w:tcW w:w="1045" w:type="dxa"/>
            <w:tcBorders>
              <w:top w:val="single" w:sz="4" w:space="0" w:color="293F5B"/>
              <w:bottom w:val="single" w:sz="4" w:space="0" w:color="293F5B"/>
            </w:tcBorders>
            <w:shd w:val="clear" w:color="auto" w:fill="auto"/>
          </w:tcPr>
          <w:p w14:paraId="1CE68BF0" w14:textId="77777777" w:rsidR="0012790E" w:rsidRPr="001C06E6" w:rsidRDefault="0012790E">
            <w:pPr>
              <w:pStyle w:val="Measuretabledatarightaligneditalics"/>
              <w:keepNext/>
            </w:pPr>
            <w:r>
              <w:t xml:space="preserve">-6.8 </w:t>
            </w:r>
          </w:p>
        </w:tc>
      </w:tr>
      <w:tr w:rsidR="0012790E" w:rsidRPr="001C06E6" w14:paraId="5F3D5A4D" w14:textId="77777777">
        <w:tc>
          <w:tcPr>
            <w:tcW w:w="2497" w:type="dxa"/>
            <w:tcBorders>
              <w:top w:val="single" w:sz="4" w:space="0" w:color="293F5B"/>
              <w:bottom w:val="single" w:sz="4" w:space="0" w:color="293F5B"/>
            </w:tcBorders>
            <w:shd w:val="clear" w:color="auto" w:fill="auto"/>
          </w:tcPr>
          <w:p w14:paraId="543E5C0D" w14:textId="77777777" w:rsidR="0012790E" w:rsidRPr="001C06E6" w:rsidRDefault="0012790E">
            <w:pPr>
              <w:pStyle w:val="AgencyName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775E4B11"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7772BE0A" w14:textId="77777777" w:rsidR="0012790E" w:rsidRPr="001C06E6" w:rsidRDefault="0012790E">
            <w:pPr>
              <w:pStyle w:val="Measuretabledatarightaligneditalics"/>
              <w:keepNext/>
            </w:pPr>
            <w:r w:rsidRPr="001C06E6">
              <w:t>-3.4</w:t>
            </w:r>
          </w:p>
        </w:tc>
        <w:tc>
          <w:tcPr>
            <w:tcW w:w="1045" w:type="dxa"/>
            <w:tcBorders>
              <w:top w:val="single" w:sz="4" w:space="0" w:color="293F5B"/>
              <w:bottom w:val="single" w:sz="4" w:space="0" w:color="293F5B"/>
            </w:tcBorders>
            <w:shd w:val="clear" w:color="auto" w:fill="auto"/>
          </w:tcPr>
          <w:p w14:paraId="07F17102" w14:textId="77777777" w:rsidR="0012790E" w:rsidRPr="001C06E6" w:rsidRDefault="0012790E">
            <w:pPr>
              <w:pStyle w:val="Measuretabledatarightaligneditalics"/>
              <w:keepNext/>
            </w:pPr>
            <w:r w:rsidRPr="001C06E6">
              <w:t>-8.3</w:t>
            </w:r>
          </w:p>
        </w:tc>
        <w:tc>
          <w:tcPr>
            <w:tcW w:w="1045" w:type="dxa"/>
            <w:tcBorders>
              <w:top w:val="single" w:sz="4" w:space="0" w:color="293F5B"/>
              <w:bottom w:val="single" w:sz="4" w:space="0" w:color="293F5B"/>
            </w:tcBorders>
            <w:shd w:val="clear" w:color="auto" w:fill="auto"/>
          </w:tcPr>
          <w:p w14:paraId="54891871" w14:textId="77777777" w:rsidR="0012790E" w:rsidRPr="001C06E6" w:rsidRDefault="0012790E">
            <w:pPr>
              <w:pStyle w:val="Measuretabledatarightaligneditalics"/>
              <w:keepNext/>
            </w:pPr>
            <w:r w:rsidRPr="001C06E6">
              <w:t>-13.2</w:t>
            </w:r>
          </w:p>
        </w:tc>
        <w:tc>
          <w:tcPr>
            <w:tcW w:w="1045" w:type="dxa"/>
            <w:tcBorders>
              <w:top w:val="single" w:sz="4" w:space="0" w:color="293F5B"/>
              <w:bottom w:val="single" w:sz="4" w:space="0" w:color="293F5B"/>
            </w:tcBorders>
            <w:shd w:val="clear" w:color="auto" w:fill="auto"/>
          </w:tcPr>
          <w:p w14:paraId="2A7B822A" w14:textId="77777777" w:rsidR="0012790E" w:rsidRPr="001C06E6" w:rsidRDefault="0012790E">
            <w:pPr>
              <w:pStyle w:val="Measuretabledatarightaligneditalics"/>
              <w:keepNext/>
            </w:pPr>
            <w:r w:rsidRPr="001C06E6">
              <w:t>-15.1</w:t>
            </w:r>
          </w:p>
        </w:tc>
      </w:tr>
      <w:tr w:rsidR="0012790E" w:rsidRPr="001C06E6" w14:paraId="63E67673" w14:textId="77777777">
        <w:tc>
          <w:tcPr>
            <w:tcW w:w="2497" w:type="dxa"/>
            <w:tcBorders>
              <w:top w:val="single" w:sz="4" w:space="0" w:color="293F5B"/>
              <w:bottom w:val="single" w:sz="4" w:space="0" w:color="293F5B"/>
            </w:tcBorders>
            <w:shd w:val="clear" w:color="auto" w:fill="auto"/>
          </w:tcPr>
          <w:p w14:paraId="4FBE1C08" w14:textId="77777777" w:rsidR="0012790E" w:rsidRPr="001C06E6" w:rsidRDefault="0012790E">
            <w:pPr>
              <w:pStyle w:val="AgencyName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4B463380"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5F32921C" w14:textId="77777777" w:rsidR="0012790E" w:rsidRPr="001C06E6" w:rsidRDefault="0012790E">
            <w:pPr>
              <w:pStyle w:val="Measuretabledatarightaligneditalics"/>
              <w:keepNext/>
            </w:pPr>
            <w:r w:rsidRPr="001C06E6">
              <w:t>-4.0</w:t>
            </w:r>
          </w:p>
        </w:tc>
        <w:tc>
          <w:tcPr>
            <w:tcW w:w="1045" w:type="dxa"/>
            <w:tcBorders>
              <w:top w:val="single" w:sz="4" w:space="0" w:color="293F5B"/>
              <w:bottom w:val="single" w:sz="4" w:space="0" w:color="293F5B"/>
            </w:tcBorders>
            <w:shd w:val="clear" w:color="auto" w:fill="auto"/>
          </w:tcPr>
          <w:p w14:paraId="321C297E" w14:textId="77777777" w:rsidR="0012790E" w:rsidRPr="001C06E6" w:rsidRDefault="0012790E">
            <w:pPr>
              <w:pStyle w:val="Measuretabledatarightaligneditalics"/>
              <w:keepNext/>
            </w:pPr>
            <w:r w:rsidRPr="001C06E6">
              <w:t>-6.4</w:t>
            </w:r>
          </w:p>
        </w:tc>
        <w:tc>
          <w:tcPr>
            <w:tcW w:w="1045" w:type="dxa"/>
            <w:tcBorders>
              <w:top w:val="single" w:sz="4" w:space="0" w:color="293F5B"/>
              <w:bottom w:val="single" w:sz="4" w:space="0" w:color="293F5B"/>
            </w:tcBorders>
            <w:shd w:val="clear" w:color="auto" w:fill="auto"/>
          </w:tcPr>
          <w:p w14:paraId="7D70A122" w14:textId="77777777" w:rsidR="0012790E" w:rsidRPr="001C06E6" w:rsidRDefault="0012790E">
            <w:pPr>
              <w:pStyle w:val="Measuretabledatarightaligneditalics"/>
              <w:keepNext/>
            </w:pPr>
            <w:r w:rsidRPr="001C06E6">
              <w:t>-1.8</w:t>
            </w:r>
          </w:p>
        </w:tc>
        <w:tc>
          <w:tcPr>
            <w:tcW w:w="1045" w:type="dxa"/>
            <w:tcBorders>
              <w:top w:val="single" w:sz="4" w:space="0" w:color="293F5B"/>
              <w:bottom w:val="single" w:sz="4" w:space="0" w:color="293F5B"/>
            </w:tcBorders>
            <w:shd w:val="clear" w:color="auto" w:fill="auto"/>
          </w:tcPr>
          <w:p w14:paraId="64E297CD" w14:textId="77777777" w:rsidR="0012790E" w:rsidRPr="001C06E6" w:rsidRDefault="0012790E">
            <w:pPr>
              <w:pStyle w:val="Measuretabledatarightaligneditalics"/>
              <w:keepNext/>
            </w:pPr>
            <w:r w:rsidRPr="001C06E6">
              <w:t>-0.6</w:t>
            </w:r>
          </w:p>
        </w:tc>
      </w:tr>
      <w:tr w:rsidR="0012790E" w:rsidRPr="001C06E6" w14:paraId="650B3D96" w14:textId="77777777">
        <w:tc>
          <w:tcPr>
            <w:tcW w:w="2497" w:type="dxa"/>
            <w:tcBorders>
              <w:top w:val="single" w:sz="4" w:space="0" w:color="293F5B"/>
              <w:bottom w:val="single" w:sz="4" w:space="0" w:color="293F5B"/>
            </w:tcBorders>
            <w:shd w:val="clear" w:color="auto" w:fill="auto"/>
          </w:tcPr>
          <w:p w14:paraId="1B5B17F6" w14:textId="77777777" w:rsidR="0012790E" w:rsidRPr="001C06E6" w:rsidRDefault="0012790E">
            <w:pPr>
              <w:pStyle w:val="Totalrowitalicsleftaligned"/>
              <w:keepNext/>
            </w:pPr>
            <w:r w:rsidRPr="001C06E6">
              <w:t>Total – Payments</w:t>
            </w:r>
          </w:p>
        </w:tc>
        <w:tc>
          <w:tcPr>
            <w:tcW w:w="1045" w:type="dxa"/>
            <w:tcBorders>
              <w:top w:val="single" w:sz="4" w:space="0" w:color="293F5B"/>
              <w:bottom w:val="single" w:sz="4" w:space="0" w:color="293F5B"/>
            </w:tcBorders>
            <w:shd w:val="clear" w:color="auto" w:fill="auto"/>
          </w:tcPr>
          <w:p w14:paraId="10B2E75A"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3A6216E7" w14:textId="77777777" w:rsidR="0012790E" w:rsidRPr="001C06E6" w:rsidRDefault="0012790E">
            <w:pPr>
              <w:pStyle w:val="Totalrowitalicsrightaligned"/>
              <w:keepNext/>
            </w:pPr>
            <w:r w:rsidRPr="001C06E6">
              <w:t>-9.6</w:t>
            </w:r>
          </w:p>
        </w:tc>
        <w:tc>
          <w:tcPr>
            <w:tcW w:w="1045" w:type="dxa"/>
            <w:tcBorders>
              <w:top w:val="single" w:sz="4" w:space="0" w:color="293F5B"/>
              <w:bottom w:val="single" w:sz="4" w:space="0" w:color="293F5B"/>
            </w:tcBorders>
            <w:shd w:val="clear" w:color="auto" w:fill="auto"/>
          </w:tcPr>
          <w:p w14:paraId="60156007" w14:textId="77777777" w:rsidR="0012790E" w:rsidRPr="001C06E6" w:rsidRDefault="0012790E">
            <w:pPr>
              <w:pStyle w:val="Totalrowitalicsrightaligned"/>
              <w:keepNext/>
            </w:pPr>
            <w:r w:rsidRPr="001C06E6">
              <w:t>-27.5</w:t>
            </w:r>
          </w:p>
        </w:tc>
        <w:tc>
          <w:tcPr>
            <w:tcW w:w="1045" w:type="dxa"/>
            <w:tcBorders>
              <w:top w:val="single" w:sz="4" w:space="0" w:color="293F5B"/>
              <w:bottom w:val="single" w:sz="4" w:space="0" w:color="293F5B"/>
            </w:tcBorders>
            <w:shd w:val="clear" w:color="auto" w:fill="auto"/>
          </w:tcPr>
          <w:p w14:paraId="2F11CAA7" w14:textId="77777777" w:rsidR="0012790E" w:rsidRPr="001C06E6" w:rsidRDefault="0012790E">
            <w:pPr>
              <w:pStyle w:val="Totalrowitalicsrightaligned"/>
              <w:keepNext/>
            </w:pPr>
            <w:r w:rsidRPr="001C06E6">
              <w:t>-26.9</w:t>
            </w:r>
          </w:p>
        </w:tc>
        <w:tc>
          <w:tcPr>
            <w:tcW w:w="1045" w:type="dxa"/>
            <w:tcBorders>
              <w:top w:val="single" w:sz="4" w:space="0" w:color="293F5B"/>
              <w:bottom w:val="single" w:sz="4" w:space="0" w:color="293F5B"/>
            </w:tcBorders>
            <w:shd w:val="clear" w:color="auto" w:fill="auto"/>
          </w:tcPr>
          <w:p w14:paraId="589847E7" w14:textId="77777777" w:rsidR="0012790E" w:rsidRPr="001C06E6" w:rsidRDefault="0012790E">
            <w:pPr>
              <w:pStyle w:val="Totalrowitalicsrightaligned"/>
              <w:keepNext/>
            </w:pPr>
            <w:r w:rsidRPr="001C06E6">
              <w:t>-38.6</w:t>
            </w:r>
          </w:p>
        </w:tc>
      </w:tr>
    </w:tbl>
    <w:p w14:paraId="7B468712" w14:textId="77777777" w:rsidR="0012790E" w:rsidRPr="001C06E6" w:rsidRDefault="0012790E" w:rsidP="00607126">
      <w:pPr>
        <w:pStyle w:val="SingleParagraph"/>
      </w:pPr>
    </w:p>
    <w:p w14:paraId="5BB8A6BD" w14:textId="77777777" w:rsidR="0012790E" w:rsidRDefault="0012790E" w:rsidP="54937204">
      <w:pPr>
        <w:pStyle w:val="Normal2"/>
        <w:rPr>
          <w:rFonts w:cs="Book Antiqua"/>
          <w:lang w:val="en-US"/>
        </w:rPr>
      </w:pPr>
      <w:r w:rsidRPr="54937204">
        <w:rPr>
          <w:rFonts w:cs="Book Antiqua"/>
          <w:lang w:val="en-US"/>
        </w:rPr>
        <w:t xml:space="preserve">The Government will set the 2024–25 permanent Migration Program planning level at 185,000 places and allocate 132,200 places (around 70 per cent) to the Skill stream. From 2025–26, the Government will extend the planning horizon for the permanent Migration Program from one year to four years. </w:t>
      </w:r>
    </w:p>
    <w:p w14:paraId="55E17B66" w14:textId="77777777" w:rsidR="0012790E" w:rsidRPr="00F40138" w:rsidRDefault="0012790E" w:rsidP="00925168">
      <w:pPr>
        <w:pStyle w:val="Normal2"/>
        <w:keepLines/>
        <w:rPr>
          <w:rFonts w:cs="Book Antiqua"/>
          <w:spacing w:val="-2"/>
          <w:lang w:val="en-US"/>
        </w:rPr>
      </w:pPr>
      <w:r w:rsidRPr="00F40138">
        <w:rPr>
          <w:rFonts w:cs="Book Antiqua"/>
          <w:spacing w:val="-2"/>
          <w:lang w:val="en-US"/>
        </w:rPr>
        <w:t>Maintaining around 70 per cent of places for the Skill stream will help address Australia’s long</w:t>
      </w:r>
      <w:r w:rsidRPr="00F40138">
        <w:rPr>
          <w:rFonts w:cs="Book Antiqua"/>
          <w:spacing w:val="-2"/>
        </w:rPr>
        <w:noBreakHyphen/>
      </w:r>
      <w:r w:rsidRPr="00F40138">
        <w:rPr>
          <w:rFonts w:cs="Book Antiqua"/>
          <w:spacing w:val="-2"/>
          <w:lang w:val="en-US"/>
        </w:rPr>
        <w:t>term skill needs. Extending the planning horizon for the permanent Migration Program from one year to four years will enable better cross</w:t>
      </w:r>
      <w:r w:rsidRPr="00F40138">
        <w:rPr>
          <w:rFonts w:cs="Book Antiqua"/>
          <w:spacing w:val="-2"/>
        </w:rPr>
        <w:noBreakHyphen/>
      </w:r>
      <w:r w:rsidRPr="00F40138">
        <w:rPr>
          <w:rFonts w:cs="Book Antiqua"/>
          <w:spacing w:val="-2"/>
          <w:lang w:val="en-US"/>
        </w:rPr>
        <w:t xml:space="preserve">government planning in the future. </w:t>
      </w:r>
    </w:p>
    <w:p w14:paraId="4647D09F" w14:textId="77777777" w:rsidR="0012790E" w:rsidRDefault="0012790E" w:rsidP="00925168">
      <w:pPr>
        <w:pStyle w:val="Normal2"/>
        <w:keepLines/>
        <w:rPr>
          <w:rFonts w:cs="Book Antiqua"/>
        </w:rPr>
      </w:pPr>
      <w:r w:rsidRPr="001C06E6">
        <w:rPr>
          <w:rFonts w:cs="Book Antiqua"/>
        </w:rPr>
        <w:t>This measure is estimated to decrease receipts by $70.0</w:t>
      </w:r>
      <w:r>
        <w:rPr>
          <w:rFonts w:cs="Book Antiqua"/>
        </w:rPr>
        <w:t> </w:t>
      </w:r>
      <w:r w:rsidRPr="001C06E6">
        <w:rPr>
          <w:rFonts w:cs="Book Antiqua"/>
        </w:rPr>
        <w:t>million and decrease</w:t>
      </w:r>
      <w:r>
        <w:rPr>
          <w:rFonts w:cs="Book Antiqua"/>
        </w:rPr>
        <w:t xml:space="preserve"> </w:t>
      </w:r>
      <w:r w:rsidRPr="001C06E6">
        <w:rPr>
          <w:rFonts w:cs="Book Antiqua"/>
        </w:rPr>
        <w:t>payments by $102.7</w:t>
      </w:r>
      <w:r>
        <w:rPr>
          <w:rFonts w:cs="Book Antiqua"/>
        </w:rPr>
        <w:t> </w:t>
      </w:r>
      <w:r w:rsidRPr="001C06E6">
        <w:rPr>
          <w:rFonts w:cs="Book Antiqua"/>
        </w:rPr>
        <w:t>million over the 5</w:t>
      </w:r>
      <w:r>
        <w:rPr>
          <w:rFonts w:cs="Book Antiqua"/>
        </w:rPr>
        <w:t> </w:t>
      </w:r>
      <w:r w:rsidRPr="001C06E6">
        <w:rPr>
          <w:rFonts w:cs="Book Antiqua"/>
        </w:rPr>
        <w:t xml:space="preserve">years from </w:t>
      </w:r>
      <w:r>
        <w:rPr>
          <w:rFonts w:cs="Book Antiqua"/>
        </w:rPr>
        <w:t>2023–24</w:t>
      </w:r>
      <w:r w:rsidRPr="001C06E6">
        <w:rPr>
          <w:rFonts w:cs="Book Antiqua"/>
        </w:rPr>
        <w:t>.</w:t>
      </w:r>
      <w:r>
        <w:rPr>
          <w:rFonts w:cs="Book Antiqua"/>
        </w:rPr>
        <w:t xml:space="preserve"> </w:t>
      </w:r>
    </w:p>
    <w:p w14:paraId="1316579B" w14:textId="25B9F467" w:rsidR="00C33650" w:rsidRDefault="00C33650" w:rsidP="00925168">
      <w:pPr>
        <w:pStyle w:val="Normal2"/>
        <w:keepLines/>
        <w:rPr>
          <w:rFonts w:cs="Book Antiqua"/>
        </w:rPr>
      </w:pPr>
      <w:r w:rsidRPr="54937204">
        <w:rPr>
          <w:rFonts w:cs="Book Antiqua"/>
          <w:lang w:val="en-US"/>
        </w:rPr>
        <w:lastRenderedPageBreak/>
        <w:t xml:space="preserve">See also the related </w:t>
      </w:r>
      <w:r>
        <w:rPr>
          <w:rFonts w:cs="Book Antiqua"/>
          <w:lang w:val="en-US"/>
        </w:rPr>
        <w:t>payment</w:t>
      </w:r>
      <w:r w:rsidRPr="54937204">
        <w:rPr>
          <w:rFonts w:cs="Book Antiqua"/>
          <w:lang w:val="en-US"/>
        </w:rPr>
        <w:t xml:space="preserve"> measure </w:t>
      </w:r>
      <w:r>
        <w:rPr>
          <w:rFonts w:cs="Book Antiqua"/>
          <w:i/>
          <w:iCs/>
          <w:lang w:val="en-US"/>
        </w:rPr>
        <w:t xml:space="preserve">Migration System </w:t>
      </w:r>
      <w:r w:rsidR="000C685C">
        <w:rPr>
          <w:rFonts w:cs="Book Antiqua"/>
          <w:i/>
          <w:iCs/>
          <w:lang w:val="en-US"/>
        </w:rPr>
        <w:t>R</w:t>
      </w:r>
      <w:r>
        <w:rPr>
          <w:rFonts w:cs="Book Antiqua"/>
          <w:i/>
          <w:iCs/>
          <w:lang w:val="en-US"/>
        </w:rPr>
        <w:t>eforms</w:t>
      </w:r>
      <w:r w:rsidRPr="54937204">
        <w:rPr>
          <w:rFonts w:cs="Book Antiqua"/>
          <w:i/>
          <w:iCs/>
          <w:lang w:val="en-US"/>
        </w:rPr>
        <w:t xml:space="preserve"> </w:t>
      </w:r>
      <w:r w:rsidRPr="54937204">
        <w:rPr>
          <w:rFonts w:cs="Book Antiqua"/>
          <w:lang w:val="en-US"/>
        </w:rPr>
        <w:t>in the Department of Home Affairs’ portfolio</w:t>
      </w:r>
      <w:r w:rsidR="00D5473E">
        <w:rPr>
          <w:rFonts w:cs="Book Antiqua"/>
          <w:lang w:val="en-US"/>
        </w:rPr>
        <w:t>.</w:t>
      </w:r>
    </w:p>
    <w:p w14:paraId="4C1B3210" w14:textId="77777777" w:rsidR="0012790E" w:rsidRPr="001C06E6" w:rsidRDefault="0012790E">
      <w:pPr>
        <w:pStyle w:val="MeasureTitle"/>
        <w:rPr>
          <w:b w:val="0"/>
          <w:bCs/>
        </w:rPr>
      </w:pPr>
      <w:r w:rsidRPr="001C06E6">
        <w:rPr>
          <w:bCs/>
        </w:rPr>
        <w:t>Support for Ukraine – extending duty free access for goods imported from</w:t>
      </w:r>
      <w:r>
        <w:rPr>
          <w:bCs/>
        </w:rPr>
        <w:t xml:space="preserve"> </w:t>
      </w:r>
      <w:r w:rsidRPr="001C06E6">
        <w:rPr>
          <w:bCs/>
        </w:rPr>
        <w:t>Ukraine</w:t>
      </w:r>
    </w:p>
    <w:p w14:paraId="4A5C6288" w14:textId="77777777" w:rsidR="0012790E" w:rsidRPr="001C06E6" w:rsidRDefault="0012790E">
      <w:pPr>
        <w:pStyle w:val="MeasureTableHeading"/>
      </w:pPr>
      <w:r w:rsidRPr="001C06E6">
        <w:rPr>
          <w:color w:val="000000"/>
          <w:szCs w:val="16"/>
        </w:rPr>
        <w:t>Receipts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FCE3590" w14:textId="77777777">
        <w:tc>
          <w:tcPr>
            <w:tcW w:w="2497" w:type="dxa"/>
            <w:tcBorders>
              <w:top w:val="single" w:sz="4" w:space="0" w:color="293F5B"/>
              <w:bottom w:val="single" w:sz="4" w:space="0" w:color="293F5B"/>
            </w:tcBorders>
            <w:shd w:val="clear" w:color="auto" w:fill="auto"/>
          </w:tcPr>
          <w:p w14:paraId="553CE9A0"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CDB8062"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2BD9009A"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EF8D4FC"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B0F947F"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FC0BAE1" w14:textId="77777777" w:rsidR="0012790E" w:rsidRPr="001C06E6" w:rsidRDefault="0012790E">
            <w:pPr>
              <w:pStyle w:val="MeasureTableYearHeadings"/>
              <w:keepNext/>
            </w:pPr>
            <w:r w:rsidRPr="001C06E6">
              <w:t>2027</w:t>
            </w:r>
            <w:r>
              <w:noBreakHyphen/>
            </w:r>
            <w:r w:rsidRPr="001C06E6">
              <w:t>28</w:t>
            </w:r>
          </w:p>
        </w:tc>
      </w:tr>
      <w:tr w:rsidR="0012790E" w:rsidRPr="001C06E6" w14:paraId="3F8BA1D5" w14:textId="77777777">
        <w:tc>
          <w:tcPr>
            <w:tcW w:w="2497" w:type="dxa"/>
            <w:tcBorders>
              <w:top w:val="single" w:sz="4" w:space="0" w:color="293F5B"/>
              <w:bottom w:val="single" w:sz="4" w:space="0" w:color="293F5B"/>
            </w:tcBorders>
            <w:shd w:val="clear" w:color="auto" w:fill="auto"/>
          </w:tcPr>
          <w:p w14:paraId="14E99767"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606205D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B86BE28" w14:textId="77777777" w:rsidR="0012790E" w:rsidRPr="001C06E6" w:rsidRDefault="0012790E">
            <w:pPr>
              <w:pStyle w:val="MeasureTableDataRightAlignedwith2ptsspacing"/>
              <w:keepNext/>
            </w:pPr>
            <w:r w:rsidRPr="001C06E6">
              <w:t>-1.0</w:t>
            </w:r>
          </w:p>
        </w:tc>
        <w:tc>
          <w:tcPr>
            <w:tcW w:w="1045" w:type="dxa"/>
            <w:tcBorders>
              <w:top w:val="single" w:sz="4" w:space="0" w:color="293F5B"/>
              <w:bottom w:val="single" w:sz="4" w:space="0" w:color="293F5B"/>
            </w:tcBorders>
            <w:shd w:val="clear" w:color="auto" w:fill="auto"/>
          </w:tcPr>
          <w:p w14:paraId="6B39CF15" w14:textId="77777777" w:rsidR="0012790E" w:rsidRPr="001C06E6" w:rsidRDefault="0012790E">
            <w:pPr>
              <w:pStyle w:val="MeasureTableDataRightAlignedwith2ptsspacing"/>
              <w:keepNext/>
            </w:pPr>
            <w:r w:rsidRPr="001C06E6">
              <w:t>-1.0</w:t>
            </w:r>
          </w:p>
        </w:tc>
        <w:tc>
          <w:tcPr>
            <w:tcW w:w="1045" w:type="dxa"/>
            <w:tcBorders>
              <w:top w:val="single" w:sz="4" w:space="0" w:color="293F5B"/>
              <w:bottom w:val="single" w:sz="4" w:space="0" w:color="293F5B"/>
            </w:tcBorders>
            <w:shd w:val="clear" w:color="auto" w:fill="auto"/>
          </w:tcPr>
          <w:p w14:paraId="23CA4E9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334E6EC" w14:textId="77777777" w:rsidR="0012790E" w:rsidRPr="001C06E6" w:rsidRDefault="0012790E">
            <w:pPr>
              <w:pStyle w:val="MeasureTableDataRightAlignedwith2ptsspacing"/>
              <w:keepNext/>
            </w:pPr>
            <w:r w:rsidRPr="001C06E6">
              <w:t>-</w:t>
            </w:r>
          </w:p>
        </w:tc>
      </w:tr>
    </w:tbl>
    <w:p w14:paraId="6ACC47C3"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39E9E672" w14:textId="77777777" w:rsidR="0012790E" w:rsidRDefault="0012790E">
      <w:pPr>
        <w:pStyle w:val="Normal2"/>
        <w:rPr>
          <w:rFonts w:cs="Book Antiqua"/>
        </w:rPr>
      </w:pPr>
      <w:r w:rsidRPr="001C06E6">
        <w:rPr>
          <w:rFonts w:cs="Book Antiqua"/>
        </w:rPr>
        <w:t>The Government has extended by a further two years, to 3</w:t>
      </w:r>
      <w:r>
        <w:rPr>
          <w:rFonts w:cs="Book Antiqua"/>
        </w:rPr>
        <w:t> </w:t>
      </w:r>
      <w:r w:rsidRPr="001C06E6">
        <w:rPr>
          <w:rFonts w:cs="Book Antiqua"/>
        </w:rPr>
        <w:t>July</w:t>
      </w:r>
      <w:r>
        <w:rPr>
          <w:rFonts w:cs="Book Antiqua"/>
        </w:rPr>
        <w:t> </w:t>
      </w:r>
      <w:r w:rsidRPr="001C06E6">
        <w:rPr>
          <w:rFonts w:cs="Book Antiqua"/>
        </w:rPr>
        <w:t>2026, the duty</w:t>
      </w:r>
      <w:r>
        <w:rPr>
          <w:rFonts w:cs="Book Antiqua"/>
        </w:rPr>
        <w:t xml:space="preserve"> </w:t>
      </w:r>
      <w:r w:rsidRPr="001C06E6">
        <w:rPr>
          <w:rFonts w:cs="Book Antiqua"/>
        </w:rPr>
        <w:t>exemption for Ukrainian goods in response to Russia’s ongoing illegal invasion of</w:t>
      </w:r>
      <w:r>
        <w:rPr>
          <w:rFonts w:cs="Book Antiqua"/>
        </w:rPr>
        <w:t xml:space="preserve"> </w:t>
      </w:r>
      <w:r w:rsidRPr="001C06E6">
        <w:rPr>
          <w:rFonts w:cs="Book Antiqua"/>
        </w:rPr>
        <w:t>Ukraine.</w:t>
      </w:r>
      <w:r>
        <w:rPr>
          <w:rFonts w:cs="Book Antiqua"/>
        </w:rPr>
        <w:t xml:space="preserve"> </w:t>
      </w:r>
    </w:p>
    <w:p w14:paraId="5D3A7EC0" w14:textId="77777777" w:rsidR="0012790E" w:rsidRDefault="0012790E" w:rsidP="54937204">
      <w:pPr>
        <w:pStyle w:val="Normal2"/>
        <w:rPr>
          <w:rFonts w:cs="Book Antiqua"/>
          <w:lang w:val="en-US"/>
        </w:rPr>
      </w:pPr>
      <w:r w:rsidRPr="54937204">
        <w:rPr>
          <w:rFonts w:cs="Book Antiqua"/>
          <w:lang w:val="en-US"/>
        </w:rPr>
        <w:t>This measure applies a ‘free’ rate of duty to all goods that are the produce or manufacture of Ukraine except for excise</w:t>
      </w:r>
      <w:r>
        <w:rPr>
          <w:rFonts w:cs="Book Antiqua"/>
        </w:rPr>
        <w:noBreakHyphen/>
      </w:r>
      <w:r w:rsidRPr="54937204">
        <w:rPr>
          <w:rFonts w:cs="Book Antiqua"/>
          <w:lang w:val="en-US"/>
        </w:rPr>
        <w:t>equivalent goods, such as certain alcohol, fuel, tobacco and petroleum products, which will remain subject to excise</w:t>
      </w:r>
      <w:r>
        <w:rPr>
          <w:rFonts w:cs="Book Antiqua"/>
        </w:rPr>
        <w:noBreakHyphen/>
      </w:r>
      <w:r w:rsidRPr="54937204">
        <w:rPr>
          <w:rFonts w:cs="Book Antiqua"/>
          <w:lang w:val="en-US"/>
        </w:rPr>
        <w:t xml:space="preserve">equivalent customs duty. </w:t>
      </w:r>
    </w:p>
    <w:p w14:paraId="281D75B3" w14:textId="77777777" w:rsidR="0012790E" w:rsidRDefault="0012790E" w:rsidP="54937204">
      <w:pPr>
        <w:pStyle w:val="Normal2"/>
        <w:rPr>
          <w:rFonts w:cs="Book Antiqua"/>
          <w:lang w:val="en-US"/>
        </w:rPr>
      </w:pPr>
      <w:r w:rsidRPr="54937204">
        <w:rPr>
          <w:rFonts w:cs="Book Antiqua"/>
          <w:lang w:val="en-US"/>
        </w:rPr>
        <w:t xml:space="preserve">This measure continues part of Australia’s defence, economic and humanitarian assistance to Ukraine, and commitment to supporting Ukraine’s continued participation in international trade and the efforts of Ukraine to uphold its territorial integrity. </w:t>
      </w:r>
    </w:p>
    <w:p w14:paraId="0D3927BA" w14:textId="4D2E7BB7" w:rsidR="0012790E" w:rsidRPr="005451E1" w:rsidRDefault="0012790E">
      <w:pPr>
        <w:pStyle w:val="Normal2"/>
        <w:rPr>
          <w:rFonts w:cs="Book Antiqua"/>
          <w:spacing w:val="-2"/>
        </w:rPr>
      </w:pPr>
      <w:r w:rsidRPr="005451E1">
        <w:rPr>
          <w:rFonts w:cs="Book Antiqua"/>
          <w:spacing w:val="-2"/>
        </w:rPr>
        <w:t>This measure is estimated to decrease receipts by $2</w:t>
      </w:r>
      <w:r w:rsidR="001E5903" w:rsidRPr="005451E1">
        <w:rPr>
          <w:rFonts w:cs="Book Antiqua"/>
          <w:spacing w:val="-2"/>
        </w:rPr>
        <w:t>.0</w:t>
      </w:r>
      <w:r w:rsidRPr="005451E1">
        <w:rPr>
          <w:rFonts w:cs="Book Antiqua"/>
          <w:spacing w:val="-2"/>
        </w:rPr>
        <w:t xml:space="preserve"> million over </w:t>
      </w:r>
      <w:r w:rsidR="00F61607" w:rsidRPr="005451E1">
        <w:rPr>
          <w:rFonts w:cs="Book Antiqua"/>
          <w:spacing w:val="-2"/>
        </w:rPr>
        <w:t>the 5</w:t>
      </w:r>
      <w:r w:rsidRPr="005451E1">
        <w:rPr>
          <w:rFonts w:cs="Book Antiqua"/>
          <w:spacing w:val="-2"/>
        </w:rPr>
        <w:t xml:space="preserve"> years from </w:t>
      </w:r>
      <w:r w:rsidR="005D3276" w:rsidRPr="005451E1">
        <w:rPr>
          <w:rFonts w:cs="Book Antiqua"/>
          <w:spacing w:val="-2"/>
        </w:rPr>
        <w:t>2023–‍24</w:t>
      </w:r>
      <w:r w:rsidRPr="005451E1">
        <w:rPr>
          <w:rFonts w:cs="Book Antiqua"/>
          <w:spacing w:val="-2"/>
        </w:rPr>
        <w:t xml:space="preserve">. </w:t>
      </w:r>
    </w:p>
    <w:p w14:paraId="64B5B9EC" w14:textId="7A911512" w:rsidR="0012790E" w:rsidRDefault="00E07C3D">
      <w:pPr>
        <w:pStyle w:val="Normal2"/>
        <w:rPr>
          <w:rFonts w:cs="Book Antiqua"/>
        </w:rPr>
      </w:pPr>
      <w:r>
        <w:rPr>
          <w:rFonts w:cs="Book Antiqua"/>
        </w:rPr>
        <w:t>This measure builds on the 2023-24 MYEFO measure titled</w:t>
      </w:r>
      <w:r w:rsidR="0012790E" w:rsidRPr="001C06E6">
        <w:rPr>
          <w:rFonts w:cs="Book Antiqua"/>
        </w:rPr>
        <w:t xml:space="preserve"> </w:t>
      </w:r>
      <w:r w:rsidR="0012790E" w:rsidRPr="00F319D9">
        <w:rPr>
          <w:rFonts w:cs="Book Antiqua"/>
          <w:i/>
        </w:rPr>
        <w:t>Support for Ukraine</w:t>
      </w:r>
      <w:r w:rsidR="0012790E" w:rsidRPr="001C06E6">
        <w:rPr>
          <w:rFonts w:cs="Book Antiqua"/>
        </w:rPr>
        <w:t xml:space="preserve"> – </w:t>
      </w:r>
      <w:r w:rsidR="0012790E" w:rsidRPr="00A65328">
        <w:rPr>
          <w:rFonts w:cs="Book Antiqua"/>
          <w:i/>
        </w:rPr>
        <w:t>extending duty free access for goods imported from Ukraine</w:t>
      </w:r>
      <w:r w:rsidR="009F1457">
        <w:rPr>
          <w:rFonts w:cs="Book Antiqua"/>
        </w:rPr>
        <w:t>.</w:t>
      </w:r>
    </w:p>
    <w:p w14:paraId="2AAA8B25" w14:textId="77777777" w:rsidR="0012790E" w:rsidRPr="001C06E6" w:rsidRDefault="0012790E">
      <w:pPr>
        <w:pStyle w:val="MeasureTitle"/>
        <w:rPr>
          <w:b w:val="0"/>
          <w:bCs/>
        </w:rPr>
      </w:pPr>
      <w:r w:rsidRPr="001C06E6">
        <w:rPr>
          <w:bCs/>
        </w:rPr>
        <w:t>Work and Holiday visa – visa pre</w:t>
      </w:r>
      <w:r>
        <w:rPr>
          <w:bCs/>
        </w:rPr>
        <w:noBreakHyphen/>
      </w:r>
      <w:r w:rsidRPr="001C06E6">
        <w:rPr>
          <w:bCs/>
        </w:rPr>
        <w:t>application process for certain Working</w:t>
      </w:r>
      <w:r>
        <w:rPr>
          <w:bCs/>
        </w:rPr>
        <w:t xml:space="preserve"> </w:t>
      </w:r>
      <w:r w:rsidRPr="001C06E6">
        <w:rPr>
          <w:bCs/>
        </w:rPr>
        <w:t>Holiday Maker programs</w:t>
      </w:r>
    </w:p>
    <w:p w14:paraId="6BA8E04F" w14:textId="77777777" w:rsidR="0012790E" w:rsidRPr="001C06E6" w:rsidRDefault="0012790E">
      <w:pPr>
        <w:pStyle w:val="MeasureTableHeading"/>
      </w:pPr>
      <w:r w:rsidRPr="001C06E6">
        <w:rPr>
          <w:color w:val="000000"/>
          <w:szCs w:val="16"/>
        </w:rPr>
        <w:t>Receipts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76A5509" w14:textId="77777777">
        <w:tc>
          <w:tcPr>
            <w:tcW w:w="2497" w:type="dxa"/>
            <w:tcBorders>
              <w:top w:val="single" w:sz="4" w:space="0" w:color="293F5B"/>
              <w:bottom w:val="single" w:sz="4" w:space="0" w:color="293F5B"/>
            </w:tcBorders>
            <w:shd w:val="clear" w:color="auto" w:fill="auto"/>
          </w:tcPr>
          <w:p w14:paraId="48B216AF"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31D0546"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B603622"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50978CF"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76CA1D3"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D88E29B" w14:textId="77777777" w:rsidR="0012790E" w:rsidRPr="001C06E6" w:rsidRDefault="0012790E">
            <w:pPr>
              <w:pStyle w:val="MeasureTableYearHeadings"/>
              <w:keepNext/>
            </w:pPr>
            <w:r w:rsidRPr="001C06E6">
              <w:t>2027</w:t>
            </w:r>
            <w:r>
              <w:noBreakHyphen/>
            </w:r>
            <w:r w:rsidRPr="001C06E6">
              <w:t>28</w:t>
            </w:r>
          </w:p>
        </w:tc>
      </w:tr>
      <w:tr w:rsidR="0012790E" w:rsidRPr="001C06E6" w14:paraId="79211432" w14:textId="77777777">
        <w:tc>
          <w:tcPr>
            <w:tcW w:w="2497" w:type="dxa"/>
            <w:tcBorders>
              <w:top w:val="single" w:sz="4" w:space="0" w:color="293F5B"/>
              <w:bottom w:val="single" w:sz="4" w:space="0" w:color="293F5B"/>
            </w:tcBorders>
            <w:shd w:val="clear" w:color="auto" w:fill="auto"/>
          </w:tcPr>
          <w:p w14:paraId="054D1683"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796543B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CE33F5C" w14:textId="77777777" w:rsidR="0012790E" w:rsidRPr="001C06E6" w:rsidRDefault="0012790E">
            <w:pPr>
              <w:pStyle w:val="MeasureTableDataRightAlignedwith2ptsspacing"/>
              <w:keepNext/>
            </w:pPr>
            <w:r w:rsidRPr="001C06E6">
              <w:t>1.0</w:t>
            </w:r>
          </w:p>
        </w:tc>
        <w:tc>
          <w:tcPr>
            <w:tcW w:w="1045" w:type="dxa"/>
            <w:tcBorders>
              <w:top w:val="single" w:sz="4" w:space="0" w:color="293F5B"/>
              <w:bottom w:val="single" w:sz="4" w:space="0" w:color="293F5B"/>
            </w:tcBorders>
            <w:shd w:val="clear" w:color="auto" w:fill="auto"/>
          </w:tcPr>
          <w:p w14:paraId="750286B5" w14:textId="77777777" w:rsidR="0012790E" w:rsidRPr="001C06E6" w:rsidRDefault="0012790E">
            <w:pPr>
              <w:pStyle w:val="MeasureTableDataRightAlignedwith2ptsspacing"/>
              <w:keepNext/>
            </w:pPr>
            <w:r w:rsidRPr="001C06E6">
              <w:t>1.0</w:t>
            </w:r>
          </w:p>
        </w:tc>
        <w:tc>
          <w:tcPr>
            <w:tcW w:w="1045" w:type="dxa"/>
            <w:tcBorders>
              <w:top w:val="single" w:sz="4" w:space="0" w:color="293F5B"/>
              <w:bottom w:val="single" w:sz="4" w:space="0" w:color="293F5B"/>
            </w:tcBorders>
            <w:shd w:val="clear" w:color="auto" w:fill="auto"/>
          </w:tcPr>
          <w:p w14:paraId="7CF6C93B" w14:textId="77777777" w:rsidR="0012790E" w:rsidRPr="001C06E6" w:rsidRDefault="0012790E">
            <w:pPr>
              <w:pStyle w:val="MeasureTableDataRightAlignedwith2ptsspacing"/>
              <w:keepNext/>
            </w:pPr>
            <w:r w:rsidRPr="001C06E6">
              <w:t>1.0</w:t>
            </w:r>
          </w:p>
        </w:tc>
        <w:tc>
          <w:tcPr>
            <w:tcW w:w="1045" w:type="dxa"/>
            <w:tcBorders>
              <w:top w:val="single" w:sz="4" w:space="0" w:color="293F5B"/>
              <w:bottom w:val="single" w:sz="4" w:space="0" w:color="293F5B"/>
            </w:tcBorders>
            <w:shd w:val="clear" w:color="auto" w:fill="auto"/>
          </w:tcPr>
          <w:p w14:paraId="2292E9D3" w14:textId="77777777" w:rsidR="0012790E" w:rsidRPr="001C06E6" w:rsidRDefault="0012790E">
            <w:pPr>
              <w:pStyle w:val="MeasureTableDataRightAlignedwith2ptsspacing"/>
              <w:keepNext/>
            </w:pPr>
            <w:r w:rsidRPr="001C06E6">
              <w:t>1.0</w:t>
            </w:r>
          </w:p>
        </w:tc>
      </w:tr>
      <w:tr w:rsidR="0012790E" w:rsidRPr="001C06E6" w14:paraId="2A8EDE7F" w14:textId="77777777">
        <w:tc>
          <w:tcPr>
            <w:tcW w:w="2497" w:type="dxa"/>
            <w:tcBorders>
              <w:top w:val="single" w:sz="4" w:space="0" w:color="293F5B"/>
            </w:tcBorders>
            <w:shd w:val="clear" w:color="auto" w:fill="auto"/>
          </w:tcPr>
          <w:p w14:paraId="0510CC7C" w14:textId="77777777" w:rsidR="0012790E" w:rsidRPr="001C06E6" w:rsidRDefault="0012790E">
            <w:pPr>
              <w:pStyle w:val="AgencyName"/>
              <w:keepNext/>
            </w:pPr>
            <w:r w:rsidRPr="001C06E6">
              <w:t>Related payments ($m)</w:t>
            </w:r>
          </w:p>
        </w:tc>
        <w:tc>
          <w:tcPr>
            <w:tcW w:w="1045" w:type="dxa"/>
            <w:tcBorders>
              <w:top w:val="single" w:sz="4" w:space="0" w:color="293F5B"/>
            </w:tcBorders>
            <w:shd w:val="clear" w:color="auto" w:fill="auto"/>
          </w:tcPr>
          <w:p w14:paraId="70817082" w14:textId="77777777" w:rsidR="0012790E" w:rsidRPr="001C06E6" w:rsidRDefault="0012790E">
            <w:pPr>
              <w:pStyle w:val="AgencyName"/>
              <w:keepNext/>
            </w:pPr>
          </w:p>
        </w:tc>
        <w:tc>
          <w:tcPr>
            <w:tcW w:w="1045" w:type="dxa"/>
            <w:tcBorders>
              <w:top w:val="single" w:sz="4" w:space="0" w:color="293F5B"/>
            </w:tcBorders>
            <w:shd w:val="clear" w:color="auto" w:fill="auto"/>
          </w:tcPr>
          <w:p w14:paraId="30C625A9" w14:textId="77777777" w:rsidR="0012790E" w:rsidRPr="001C06E6" w:rsidRDefault="0012790E">
            <w:pPr>
              <w:pStyle w:val="AgencyName"/>
              <w:keepNext/>
            </w:pPr>
          </w:p>
        </w:tc>
        <w:tc>
          <w:tcPr>
            <w:tcW w:w="1045" w:type="dxa"/>
            <w:tcBorders>
              <w:top w:val="single" w:sz="4" w:space="0" w:color="293F5B"/>
            </w:tcBorders>
            <w:shd w:val="clear" w:color="auto" w:fill="auto"/>
          </w:tcPr>
          <w:p w14:paraId="3C9F96BE" w14:textId="77777777" w:rsidR="0012790E" w:rsidRPr="001C06E6" w:rsidRDefault="0012790E">
            <w:pPr>
              <w:pStyle w:val="AgencyName"/>
              <w:keepNext/>
            </w:pPr>
          </w:p>
        </w:tc>
        <w:tc>
          <w:tcPr>
            <w:tcW w:w="1045" w:type="dxa"/>
            <w:tcBorders>
              <w:top w:val="single" w:sz="4" w:space="0" w:color="293F5B"/>
            </w:tcBorders>
            <w:shd w:val="clear" w:color="auto" w:fill="auto"/>
          </w:tcPr>
          <w:p w14:paraId="5166C267" w14:textId="77777777" w:rsidR="0012790E" w:rsidRPr="001C06E6" w:rsidRDefault="0012790E">
            <w:pPr>
              <w:pStyle w:val="AgencyName"/>
              <w:keepNext/>
            </w:pPr>
          </w:p>
        </w:tc>
        <w:tc>
          <w:tcPr>
            <w:tcW w:w="1045" w:type="dxa"/>
            <w:tcBorders>
              <w:top w:val="single" w:sz="4" w:space="0" w:color="293F5B"/>
            </w:tcBorders>
            <w:shd w:val="clear" w:color="auto" w:fill="auto"/>
          </w:tcPr>
          <w:p w14:paraId="6E3CB8EA" w14:textId="77777777" w:rsidR="0012790E" w:rsidRPr="001C06E6" w:rsidRDefault="0012790E">
            <w:pPr>
              <w:pStyle w:val="AgencyName"/>
              <w:keepNext/>
            </w:pPr>
          </w:p>
        </w:tc>
      </w:tr>
      <w:tr w:rsidR="0012790E" w:rsidRPr="001C06E6" w14:paraId="44E240C7" w14:textId="77777777">
        <w:tc>
          <w:tcPr>
            <w:tcW w:w="2497" w:type="dxa"/>
            <w:tcBorders>
              <w:bottom w:val="single" w:sz="4" w:space="0" w:color="293F5B"/>
            </w:tcBorders>
            <w:shd w:val="clear" w:color="auto" w:fill="auto"/>
          </w:tcPr>
          <w:p w14:paraId="45FA80C8" w14:textId="77777777" w:rsidR="0012790E" w:rsidRPr="001C06E6" w:rsidRDefault="0012790E">
            <w:pPr>
              <w:pStyle w:val="AgencyNamewith2ptsspacing"/>
              <w:keepNext/>
            </w:pPr>
            <w:r w:rsidRPr="001C06E6">
              <w:t>Department of Home Affairs</w:t>
            </w:r>
          </w:p>
        </w:tc>
        <w:tc>
          <w:tcPr>
            <w:tcW w:w="1045" w:type="dxa"/>
            <w:tcBorders>
              <w:bottom w:val="single" w:sz="4" w:space="0" w:color="293F5B"/>
            </w:tcBorders>
            <w:shd w:val="clear" w:color="auto" w:fill="auto"/>
          </w:tcPr>
          <w:p w14:paraId="362B5FE9"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390B2CA9" w14:textId="77777777" w:rsidR="0012790E" w:rsidRPr="001C06E6" w:rsidRDefault="0012790E">
            <w:pPr>
              <w:pStyle w:val="Measuretabledatarightaligneditalics"/>
              <w:keepNext/>
            </w:pPr>
            <w:r w:rsidRPr="001C06E6">
              <w:t>0.7</w:t>
            </w:r>
          </w:p>
        </w:tc>
        <w:tc>
          <w:tcPr>
            <w:tcW w:w="1045" w:type="dxa"/>
            <w:tcBorders>
              <w:bottom w:val="single" w:sz="4" w:space="0" w:color="293F5B"/>
            </w:tcBorders>
            <w:shd w:val="clear" w:color="auto" w:fill="auto"/>
          </w:tcPr>
          <w:p w14:paraId="7CBD2004" w14:textId="77777777" w:rsidR="0012790E" w:rsidRPr="001C06E6" w:rsidRDefault="0012790E">
            <w:pPr>
              <w:pStyle w:val="Measuretabledatarightaligneditalics"/>
              <w:keepNext/>
            </w:pPr>
            <w:r w:rsidRPr="001C06E6">
              <w:t>0.1</w:t>
            </w:r>
          </w:p>
        </w:tc>
        <w:tc>
          <w:tcPr>
            <w:tcW w:w="1045" w:type="dxa"/>
            <w:tcBorders>
              <w:bottom w:val="single" w:sz="4" w:space="0" w:color="293F5B"/>
            </w:tcBorders>
            <w:shd w:val="clear" w:color="auto" w:fill="auto"/>
          </w:tcPr>
          <w:p w14:paraId="7E82245F" w14:textId="77777777" w:rsidR="0012790E" w:rsidRPr="001C06E6" w:rsidRDefault="0012790E">
            <w:pPr>
              <w:pStyle w:val="Measuretabledatarightaligneditalics"/>
              <w:keepNext/>
            </w:pPr>
            <w:r w:rsidRPr="001C06E6">
              <w:t>0.1</w:t>
            </w:r>
          </w:p>
        </w:tc>
        <w:tc>
          <w:tcPr>
            <w:tcW w:w="1045" w:type="dxa"/>
            <w:tcBorders>
              <w:bottom w:val="single" w:sz="4" w:space="0" w:color="293F5B"/>
            </w:tcBorders>
            <w:shd w:val="clear" w:color="auto" w:fill="auto"/>
          </w:tcPr>
          <w:p w14:paraId="61BA5881" w14:textId="77777777" w:rsidR="0012790E" w:rsidRPr="001C06E6" w:rsidRDefault="0012790E">
            <w:pPr>
              <w:pStyle w:val="Measuretabledatarightaligneditalics"/>
              <w:keepNext/>
            </w:pPr>
            <w:r w:rsidRPr="001C06E6">
              <w:t>0.1</w:t>
            </w:r>
          </w:p>
        </w:tc>
      </w:tr>
    </w:tbl>
    <w:p w14:paraId="36DBEC0F" w14:textId="77777777" w:rsidR="0012790E" w:rsidRPr="001C06E6" w:rsidRDefault="0012790E">
      <w:pPr>
        <w:keepNext/>
        <w:widowControl w:val="0"/>
        <w:tabs>
          <w:tab w:val="right" w:pos="3536"/>
          <w:tab w:val="right" w:pos="4579"/>
          <w:tab w:val="right" w:pos="5622"/>
          <w:tab w:val="right" w:pos="6664"/>
          <w:tab w:val="right" w:pos="7707"/>
        </w:tabs>
        <w:spacing w:line="240" w:lineRule="exact"/>
        <w:rPr>
          <w:i/>
          <w:iCs/>
          <w:color w:val="000000"/>
          <w:sz w:val="16"/>
          <w:szCs w:val="16"/>
          <w:lang w:val="en-AU"/>
        </w:rPr>
      </w:pPr>
    </w:p>
    <w:p w14:paraId="2DFBC627" w14:textId="77777777" w:rsidR="0012790E" w:rsidRDefault="0012790E" w:rsidP="54937204">
      <w:pPr>
        <w:pStyle w:val="Normal2"/>
        <w:rPr>
          <w:rFonts w:cs="Book Antiqua"/>
          <w:lang w:val="en-US"/>
        </w:rPr>
      </w:pPr>
      <w:r w:rsidRPr="54937204">
        <w:rPr>
          <w:rFonts w:cs="Book Antiqua"/>
          <w:lang w:val="en-US"/>
        </w:rPr>
        <w:t>The Government will introduce a visa pre</w:t>
      </w:r>
      <w:r>
        <w:rPr>
          <w:rFonts w:cs="Book Antiqua"/>
        </w:rPr>
        <w:noBreakHyphen/>
      </w:r>
      <w:r w:rsidRPr="54937204">
        <w:rPr>
          <w:rFonts w:cs="Book Antiqua"/>
          <w:lang w:val="en-US"/>
        </w:rPr>
        <w:t xml:space="preserve">application (ballot) process for the capped Work and Holiday (subclass 462) visa program for China, Vietnam and India from 2024–25. </w:t>
      </w:r>
    </w:p>
    <w:p w14:paraId="2EEDA3AE" w14:textId="77777777" w:rsidR="0012790E" w:rsidRDefault="0012790E">
      <w:pPr>
        <w:pStyle w:val="Normal2"/>
        <w:rPr>
          <w:rFonts w:cs="Book Antiqua"/>
        </w:rPr>
      </w:pPr>
      <w:r w:rsidRPr="001C06E6">
        <w:rPr>
          <w:rFonts w:cs="Book Antiqua"/>
        </w:rPr>
        <w:t>The ballot process will help to manage program demand and application processing</w:t>
      </w:r>
      <w:r>
        <w:rPr>
          <w:rFonts w:cs="Book Antiqua"/>
        </w:rPr>
        <w:t xml:space="preserve"> </w:t>
      </w:r>
      <w:r w:rsidRPr="001C06E6">
        <w:rPr>
          <w:rFonts w:cs="Book Antiqua"/>
        </w:rPr>
        <w:t>times for these countries. A ballot charge of $25 (indexed to the Consumer Price</w:t>
      </w:r>
      <w:r>
        <w:rPr>
          <w:rFonts w:cs="Book Antiqua"/>
        </w:rPr>
        <w:t xml:space="preserve"> </w:t>
      </w:r>
      <w:r w:rsidRPr="001C06E6">
        <w:rPr>
          <w:rFonts w:cs="Book Antiqua"/>
        </w:rPr>
        <w:t>Index in future years) will apply.</w:t>
      </w:r>
      <w:r>
        <w:rPr>
          <w:rFonts w:cs="Book Antiqua"/>
        </w:rPr>
        <w:t xml:space="preserve"> </w:t>
      </w:r>
    </w:p>
    <w:p w14:paraId="6DAD180F" w14:textId="77777777" w:rsidR="0012790E" w:rsidRDefault="0012790E">
      <w:pPr>
        <w:pStyle w:val="Normal2"/>
        <w:rPr>
          <w:rFonts w:cs="Book Antiqua"/>
        </w:rPr>
      </w:pPr>
      <w:r w:rsidRPr="001C06E6">
        <w:rPr>
          <w:rFonts w:cs="Book Antiqua"/>
        </w:rPr>
        <w:t>This measure is estimated to increase receipts by $4.0</w:t>
      </w:r>
      <w:r>
        <w:rPr>
          <w:rFonts w:cs="Book Antiqua"/>
        </w:rPr>
        <w:t> </w:t>
      </w:r>
      <w:r w:rsidRPr="001C06E6">
        <w:rPr>
          <w:rFonts w:cs="Book Antiqua"/>
        </w:rPr>
        <w:t>million and increase payments</w:t>
      </w:r>
      <w:r>
        <w:rPr>
          <w:rFonts w:cs="Book Antiqua"/>
        </w:rPr>
        <w:t xml:space="preserve"> </w:t>
      </w:r>
      <w:r w:rsidRPr="001C06E6">
        <w:rPr>
          <w:rFonts w:cs="Book Antiqua"/>
        </w:rPr>
        <w:t>by $1.0</w:t>
      </w:r>
      <w:r>
        <w:rPr>
          <w:rFonts w:cs="Book Antiqua"/>
        </w:rPr>
        <w:t> </w:t>
      </w:r>
      <w:r w:rsidRPr="001C06E6">
        <w:rPr>
          <w:rFonts w:cs="Book Antiqua"/>
        </w:rPr>
        <w:t>million over the 5</w:t>
      </w:r>
      <w:r>
        <w:rPr>
          <w:rFonts w:cs="Book Antiqua"/>
        </w:rPr>
        <w:t> </w:t>
      </w:r>
      <w:r w:rsidRPr="001C06E6">
        <w:rPr>
          <w:rFonts w:cs="Book Antiqua"/>
        </w:rPr>
        <w:t xml:space="preserve">years from </w:t>
      </w:r>
      <w:r>
        <w:rPr>
          <w:rFonts w:cs="Book Antiqua"/>
        </w:rPr>
        <w:t>2023–24</w:t>
      </w:r>
      <w:r w:rsidRPr="001C06E6">
        <w:rPr>
          <w:rFonts w:cs="Book Antiqua"/>
        </w:rPr>
        <w:t>.</w:t>
      </w:r>
      <w:r>
        <w:rPr>
          <w:rFonts w:cs="Book Antiqua"/>
        </w:rPr>
        <w:t xml:space="preserve"> </w:t>
      </w:r>
    </w:p>
    <w:p w14:paraId="2480ED17" w14:textId="77777777" w:rsidR="0012790E" w:rsidRDefault="0012790E">
      <w:pPr>
        <w:pStyle w:val="PortfolioName"/>
        <w:rPr>
          <w:bCs/>
          <w:szCs w:val="26"/>
        </w:rPr>
        <w:sectPr w:rsidR="0012790E" w:rsidSect="00EA5BFE">
          <w:pgSz w:w="11905" w:h="16837"/>
          <w:pgMar w:top="2835" w:right="2098" w:bottom="2466" w:left="2098" w:header="1814" w:footer="1814" w:gutter="0"/>
          <w:cols w:space="720"/>
          <w:noEndnote/>
          <w:docGrid w:linePitch="272"/>
        </w:sectPr>
      </w:pPr>
    </w:p>
    <w:p w14:paraId="011445BB" w14:textId="46253C35" w:rsidR="0012790E" w:rsidRPr="001C06E6" w:rsidRDefault="0012790E">
      <w:pPr>
        <w:pStyle w:val="PortfolioName"/>
      </w:pPr>
      <w:r w:rsidRPr="001C06E6">
        <w:rPr>
          <w:bCs/>
          <w:szCs w:val="26"/>
        </w:rPr>
        <w:lastRenderedPageBreak/>
        <w:t>Treasury</w:t>
      </w:r>
    </w:p>
    <w:p w14:paraId="01C3B728" w14:textId="77777777" w:rsidR="0012790E" w:rsidRPr="001C06E6" w:rsidRDefault="0012790E">
      <w:pPr>
        <w:pStyle w:val="MeasureTitle"/>
      </w:pPr>
      <w:r w:rsidRPr="001C06E6">
        <w:rPr>
          <w:bCs/>
        </w:rPr>
        <w:t>Amendments to existing measures</w:t>
      </w:r>
    </w:p>
    <w:p w14:paraId="4C56310E" w14:textId="77777777" w:rsidR="0012790E" w:rsidRPr="001C06E6" w:rsidRDefault="0012790E">
      <w:pPr>
        <w:pStyle w:val="MeasureTableHeading"/>
      </w:pPr>
      <w:r w:rsidRPr="001C06E6">
        <w:rPr>
          <w:color w:val="000000"/>
          <w:szCs w:val="16"/>
        </w:rPr>
        <w:t>Receipts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BB6134D" w14:textId="77777777">
        <w:tc>
          <w:tcPr>
            <w:tcW w:w="2497" w:type="dxa"/>
            <w:tcBorders>
              <w:top w:val="single" w:sz="4" w:space="0" w:color="293F5B"/>
              <w:bottom w:val="single" w:sz="4" w:space="0" w:color="293F5B"/>
            </w:tcBorders>
            <w:shd w:val="clear" w:color="auto" w:fill="auto"/>
          </w:tcPr>
          <w:p w14:paraId="21A4BBEB"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7C9D8B9"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258C0D72"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8EC98E5"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7B251CB"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EF8D954" w14:textId="77777777" w:rsidR="0012790E" w:rsidRPr="001C06E6" w:rsidRDefault="0012790E">
            <w:pPr>
              <w:pStyle w:val="MeasureTableYearHeadings"/>
              <w:keepNext/>
            </w:pPr>
            <w:r w:rsidRPr="001C06E6">
              <w:t>2027</w:t>
            </w:r>
            <w:r>
              <w:noBreakHyphen/>
            </w:r>
            <w:r w:rsidRPr="001C06E6">
              <w:t>28</w:t>
            </w:r>
          </w:p>
        </w:tc>
      </w:tr>
      <w:tr w:rsidR="0012790E" w:rsidRPr="001C06E6" w14:paraId="21F6A9F1" w14:textId="77777777">
        <w:tc>
          <w:tcPr>
            <w:tcW w:w="2497" w:type="dxa"/>
            <w:tcBorders>
              <w:top w:val="single" w:sz="4" w:space="0" w:color="293F5B"/>
              <w:bottom w:val="single" w:sz="4" w:space="0" w:color="293F5B"/>
            </w:tcBorders>
            <w:shd w:val="clear" w:color="auto" w:fill="auto"/>
          </w:tcPr>
          <w:p w14:paraId="130F5C20" w14:textId="77777777" w:rsidR="0012790E" w:rsidRPr="001C06E6" w:rsidRDefault="0012790E">
            <w:pPr>
              <w:pStyle w:val="MeasureTableHeadingleftalignedwith2ptsspacing"/>
              <w:keepNext/>
            </w:pPr>
            <w:r>
              <w:t xml:space="preserve">Department of Agriculture, Fisheries and Forestry </w:t>
            </w:r>
          </w:p>
        </w:tc>
        <w:tc>
          <w:tcPr>
            <w:tcW w:w="1045" w:type="dxa"/>
            <w:tcBorders>
              <w:top w:val="single" w:sz="4" w:space="0" w:color="293F5B"/>
              <w:bottom w:val="single" w:sz="4" w:space="0" w:color="293F5B"/>
            </w:tcBorders>
            <w:shd w:val="clear" w:color="auto" w:fill="auto"/>
          </w:tcPr>
          <w:p w14:paraId="4F4DE182"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9D126AB" w14:textId="77777777" w:rsidR="0012790E" w:rsidRPr="001C06E6" w:rsidRDefault="0012790E">
            <w:pPr>
              <w:pStyle w:val="MeasureTableDataRightAlignedwith2ptsspacing"/>
              <w:keepNext/>
            </w:pPr>
            <w:r>
              <w:t xml:space="preserve">-0.9 </w:t>
            </w:r>
          </w:p>
        </w:tc>
        <w:tc>
          <w:tcPr>
            <w:tcW w:w="1045" w:type="dxa"/>
            <w:tcBorders>
              <w:top w:val="single" w:sz="4" w:space="0" w:color="293F5B"/>
              <w:bottom w:val="single" w:sz="4" w:space="0" w:color="293F5B"/>
            </w:tcBorders>
            <w:shd w:val="clear" w:color="auto" w:fill="auto"/>
          </w:tcPr>
          <w:p w14:paraId="67C56448" w14:textId="77777777" w:rsidR="0012790E" w:rsidRPr="001C06E6" w:rsidRDefault="0012790E">
            <w:pPr>
              <w:pStyle w:val="MeasureTableDataRightAlignedwith2ptsspacing"/>
              <w:keepNext/>
            </w:pPr>
            <w:r>
              <w:t xml:space="preserve">-0.9 </w:t>
            </w:r>
          </w:p>
        </w:tc>
        <w:tc>
          <w:tcPr>
            <w:tcW w:w="1045" w:type="dxa"/>
            <w:tcBorders>
              <w:top w:val="single" w:sz="4" w:space="0" w:color="293F5B"/>
              <w:bottom w:val="single" w:sz="4" w:space="0" w:color="293F5B"/>
            </w:tcBorders>
            <w:shd w:val="clear" w:color="auto" w:fill="auto"/>
          </w:tcPr>
          <w:p w14:paraId="1AA5093B" w14:textId="77777777" w:rsidR="0012790E" w:rsidRPr="001C06E6" w:rsidRDefault="0012790E">
            <w:pPr>
              <w:pStyle w:val="MeasureTableDataRightAlignedwith2ptsspacing"/>
              <w:keepNext/>
            </w:pPr>
            <w:r>
              <w:t xml:space="preserve">-0.9 </w:t>
            </w:r>
          </w:p>
        </w:tc>
        <w:tc>
          <w:tcPr>
            <w:tcW w:w="1045" w:type="dxa"/>
            <w:tcBorders>
              <w:top w:val="single" w:sz="4" w:space="0" w:color="293F5B"/>
              <w:bottom w:val="single" w:sz="4" w:space="0" w:color="293F5B"/>
            </w:tcBorders>
            <w:shd w:val="clear" w:color="auto" w:fill="auto"/>
          </w:tcPr>
          <w:p w14:paraId="485FE590" w14:textId="77777777" w:rsidR="0012790E" w:rsidRPr="001C06E6" w:rsidRDefault="0012790E">
            <w:pPr>
              <w:pStyle w:val="MeasureTableDataRightAlignedwith2ptsspacing"/>
              <w:keepNext/>
            </w:pPr>
            <w:r>
              <w:t xml:space="preserve">-1.0 </w:t>
            </w:r>
          </w:p>
        </w:tc>
      </w:tr>
      <w:tr w:rsidR="0012790E" w:rsidRPr="001C06E6" w14:paraId="499F4946" w14:textId="77777777">
        <w:tc>
          <w:tcPr>
            <w:tcW w:w="2497" w:type="dxa"/>
            <w:tcBorders>
              <w:top w:val="single" w:sz="4" w:space="0" w:color="293F5B"/>
              <w:bottom w:val="single" w:sz="4" w:space="0" w:color="293F5B"/>
            </w:tcBorders>
            <w:shd w:val="clear" w:color="auto" w:fill="auto"/>
          </w:tcPr>
          <w:p w14:paraId="0EE25A38"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1CABDDC1" w14:textId="77777777" w:rsidR="0012790E" w:rsidRPr="001C06E6" w:rsidRDefault="0012790E">
            <w:pPr>
              <w:pStyle w:val="MeasureTableDataRightAlignedwith2ptsspacing"/>
              <w:keepNext/>
            </w:pPr>
            <w:r w:rsidRPr="001C06E6">
              <w:t>-30.0</w:t>
            </w:r>
          </w:p>
        </w:tc>
        <w:tc>
          <w:tcPr>
            <w:tcW w:w="1045" w:type="dxa"/>
            <w:tcBorders>
              <w:top w:val="single" w:sz="4" w:space="0" w:color="293F5B"/>
              <w:bottom w:val="single" w:sz="4" w:space="0" w:color="293F5B"/>
            </w:tcBorders>
            <w:shd w:val="clear" w:color="auto" w:fill="auto"/>
          </w:tcPr>
          <w:p w14:paraId="0866EC90" w14:textId="77777777" w:rsidR="0012790E" w:rsidRPr="001C06E6" w:rsidRDefault="0012790E">
            <w:pPr>
              <w:pStyle w:val="MeasureTableDataRightAlignedwith2ptsspacing"/>
              <w:keepNext/>
            </w:pPr>
            <w:r w:rsidRPr="001C06E6">
              <w:t>60.0</w:t>
            </w:r>
          </w:p>
        </w:tc>
        <w:tc>
          <w:tcPr>
            <w:tcW w:w="1045" w:type="dxa"/>
            <w:tcBorders>
              <w:top w:val="single" w:sz="4" w:space="0" w:color="293F5B"/>
              <w:bottom w:val="single" w:sz="4" w:space="0" w:color="293F5B"/>
            </w:tcBorders>
            <w:shd w:val="clear" w:color="auto" w:fill="auto"/>
          </w:tcPr>
          <w:p w14:paraId="6F8E13AC" w14:textId="77777777" w:rsidR="0012790E" w:rsidRPr="001C06E6" w:rsidRDefault="0012790E">
            <w:pPr>
              <w:pStyle w:val="MeasureTableDataRightAlignedwith2ptsspacing"/>
              <w:keepNext/>
            </w:pPr>
            <w:r w:rsidRPr="001C06E6">
              <w:t>-65.0</w:t>
            </w:r>
          </w:p>
        </w:tc>
        <w:tc>
          <w:tcPr>
            <w:tcW w:w="1045" w:type="dxa"/>
            <w:tcBorders>
              <w:top w:val="single" w:sz="4" w:space="0" w:color="293F5B"/>
              <w:bottom w:val="single" w:sz="4" w:space="0" w:color="293F5B"/>
            </w:tcBorders>
            <w:shd w:val="clear" w:color="auto" w:fill="auto"/>
          </w:tcPr>
          <w:p w14:paraId="389592A3" w14:textId="77777777" w:rsidR="0012790E" w:rsidRPr="001C06E6" w:rsidRDefault="0012790E">
            <w:pPr>
              <w:pStyle w:val="MeasureTableDataRightAlignedwith2ptsspacing"/>
              <w:keepNext/>
            </w:pPr>
            <w:r w:rsidRPr="001C06E6">
              <w:t>-55.0</w:t>
            </w:r>
          </w:p>
        </w:tc>
        <w:tc>
          <w:tcPr>
            <w:tcW w:w="1045" w:type="dxa"/>
            <w:tcBorders>
              <w:top w:val="single" w:sz="4" w:space="0" w:color="293F5B"/>
              <w:bottom w:val="single" w:sz="4" w:space="0" w:color="293F5B"/>
            </w:tcBorders>
            <w:shd w:val="clear" w:color="auto" w:fill="auto"/>
          </w:tcPr>
          <w:p w14:paraId="5D275972" w14:textId="77777777" w:rsidR="0012790E" w:rsidRPr="001C06E6" w:rsidRDefault="0012790E">
            <w:pPr>
              <w:pStyle w:val="MeasureTableDataRightAlignedwith2ptsspacing"/>
              <w:keepNext/>
            </w:pPr>
            <w:r w:rsidRPr="001C06E6">
              <w:t>-65.0</w:t>
            </w:r>
          </w:p>
        </w:tc>
      </w:tr>
      <w:tr w:rsidR="0012790E" w:rsidRPr="001C06E6" w14:paraId="38AB1796" w14:textId="77777777">
        <w:tc>
          <w:tcPr>
            <w:tcW w:w="2497" w:type="dxa"/>
            <w:tcBorders>
              <w:top w:val="single" w:sz="4" w:space="0" w:color="293F5B"/>
              <w:bottom w:val="single" w:sz="4" w:space="0" w:color="293F5B"/>
            </w:tcBorders>
            <w:shd w:val="clear" w:color="auto" w:fill="auto"/>
          </w:tcPr>
          <w:p w14:paraId="7ECADA9E" w14:textId="77777777" w:rsidR="0012790E" w:rsidRPr="001C06E6" w:rsidRDefault="0012790E">
            <w:pPr>
              <w:pStyle w:val="Totalrowleftaligned"/>
              <w:keepNext/>
            </w:pPr>
            <w:r w:rsidRPr="001C06E6">
              <w:t>Total – Receipts</w:t>
            </w:r>
          </w:p>
        </w:tc>
        <w:tc>
          <w:tcPr>
            <w:tcW w:w="1045" w:type="dxa"/>
            <w:tcBorders>
              <w:top w:val="single" w:sz="4" w:space="0" w:color="293F5B"/>
              <w:bottom w:val="single" w:sz="4" w:space="0" w:color="293F5B"/>
            </w:tcBorders>
            <w:shd w:val="clear" w:color="auto" w:fill="auto"/>
          </w:tcPr>
          <w:p w14:paraId="4731D795" w14:textId="77777777" w:rsidR="0012790E" w:rsidRPr="001C06E6" w:rsidRDefault="0012790E">
            <w:pPr>
              <w:pStyle w:val="Totaldatarowrightaligned"/>
              <w:keepNext/>
            </w:pPr>
            <w:r w:rsidRPr="001C06E6">
              <w:t>-30.0</w:t>
            </w:r>
          </w:p>
        </w:tc>
        <w:tc>
          <w:tcPr>
            <w:tcW w:w="1045" w:type="dxa"/>
            <w:tcBorders>
              <w:top w:val="single" w:sz="4" w:space="0" w:color="293F5B"/>
              <w:bottom w:val="single" w:sz="4" w:space="0" w:color="293F5B"/>
            </w:tcBorders>
            <w:shd w:val="clear" w:color="auto" w:fill="auto"/>
          </w:tcPr>
          <w:p w14:paraId="5E285674" w14:textId="77777777" w:rsidR="0012790E" w:rsidRPr="001C06E6" w:rsidRDefault="0012790E">
            <w:pPr>
              <w:pStyle w:val="Totaldatarowrightaligned"/>
              <w:keepNext/>
            </w:pPr>
            <w:r w:rsidRPr="001C06E6">
              <w:t>59.1</w:t>
            </w:r>
          </w:p>
        </w:tc>
        <w:tc>
          <w:tcPr>
            <w:tcW w:w="1045" w:type="dxa"/>
            <w:tcBorders>
              <w:top w:val="single" w:sz="4" w:space="0" w:color="293F5B"/>
              <w:bottom w:val="single" w:sz="4" w:space="0" w:color="293F5B"/>
            </w:tcBorders>
            <w:shd w:val="clear" w:color="auto" w:fill="auto"/>
          </w:tcPr>
          <w:p w14:paraId="4C898C7D" w14:textId="77777777" w:rsidR="0012790E" w:rsidRPr="001C06E6" w:rsidRDefault="0012790E">
            <w:pPr>
              <w:pStyle w:val="Totaldatarowrightaligned"/>
              <w:keepNext/>
            </w:pPr>
            <w:r w:rsidRPr="001C06E6">
              <w:t>-65.9</w:t>
            </w:r>
          </w:p>
        </w:tc>
        <w:tc>
          <w:tcPr>
            <w:tcW w:w="1045" w:type="dxa"/>
            <w:tcBorders>
              <w:top w:val="single" w:sz="4" w:space="0" w:color="293F5B"/>
              <w:bottom w:val="single" w:sz="4" w:space="0" w:color="293F5B"/>
            </w:tcBorders>
            <w:shd w:val="clear" w:color="auto" w:fill="auto"/>
          </w:tcPr>
          <w:p w14:paraId="53DF63E9" w14:textId="77777777" w:rsidR="0012790E" w:rsidRPr="001C06E6" w:rsidRDefault="0012790E">
            <w:pPr>
              <w:pStyle w:val="Totaldatarowrightaligned"/>
              <w:keepNext/>
            </w:pPr>
            <w:r w:rsidRPr="001C06E6">
              <w:t>-55.9</w:t>
            </w:r>
          </w:p>
        </w:tc>
        <w:tc>
          <w:tcPr>
            <w:tcW w:w="1045" w:type="dxa"/>
            <w:tcBorders>
              <w:top w:val="single" w:sz="4" w:space="0" w:color="293F5B"/>
              <w:bottom w:val="single" w:sz="4" w:space="0" w:color="293F5B"/>
            </w:tcBorders>
            <w:shd w:val="clear" w:color="auto" w:fill="auto"/>
          </w:tcPr>
          <w:p w14:paraId="3C08CCF1" w14:textId="77777777" w:rsidR="0012790E" w:rsidRPr="001C06E6" w:rsidRDefault="0012790E">
            <w:pPr>
              <w:pStyle w:val="Totaldatarowrightaligned"/>
              <w:keepNext/>
            </w:pPr>
            <w:r w:rsidRPr="001C06E6">
              <w:t>-65.9</w:t>
            </w:r>
          </w:p>
        </w:tc>
      </w:tr>
      <w:tr w:rsidR="0012790E" w:rsidRPr="001C06E6" w14:paraId="5AA8DE31" w14:textId="77777777">
        <w:tc>
          <w:tcPr>
            <w:tcW w:w="2497" w:type="dxa"/>
            <w:tcBorders>
              <w:top w:val="single" w:sz="4" w:space="0" w:color="293F5B"/>
            </w:tcBorders>
            <w:shd w:val="clear" w:color="auto" w:fill="auto"/>
          </w:tcPr>
          <w:p w14:paraId="16B4ADC3" w14:textId="77777777" w:rsidR="0012790E" w:rsidRPr="001C06E6" w:rsidRDefault="0012790E">
            <w:pPr>
              <w:pStyle w:val="AgencyName"/>
              <w:keepNext/>
            </w:pPr>
            <w:r w:rsidRPr="001C06E6">
              <w:t>Related payments ($m)</w:t>
            </w:r>
          </w:p>
        </w:tc>
        <w:tc>
          <w:tcPr>
            <w:tcW w:w="1045" w:type="dxa"/>
            <w:tcBorders>
              <w:top w:val="single" w:sz="4" w:space="0" w:color="293F5B"/>
            </w:tcBorders>
            <w:shd w:val="clear" w:color="auto" w:fill="auto"/>
          </w:tcPr>
          <w:p w14:paraId="2C7AC445" w14:textId="77777777" w:rsidR="0012790E" w:rsidRPr="001C06E6" w:rsidRDefault="0012790E">
            <w:pPr>
              <w:pStyle w:val="AgencyName"/>
              <w:keepNext/>
            </w:pPr>
          </w:p>
        </w:tc>
        <w:tc>
          <w:tcPr>
            <w:tcW w:w="1045" w:type="dxa"/>
            <w:tcBorders>
              <w:top w:val="single" w:sz="4" w:space="0" w:color="293F5B"/>
            </w:tcBorders>
            <w:shd w:val="clear" w:color="auto" w:fill="auto"/>
          </w:tcPr>
          <w:p w14:paraId="7CC847E8" w14:textId="77777777" w:rsidR="0012790E" w:rsidRPr="001C06E6" w:rsidRDefault="0012790E">
            <w:pPr>
              <w:pStyle w:val="AgencyName"/>
              <w:keepNext/>
            </w:pPr>
          </w:p>
        </w:tc>
        <w:tc>
          <w:tcPr>
            <w:tcW w:w="1045" w:type="dxa"/>
            <w:tcBorders>
              <w:top w:val="single" w:sz="4" w:space="0" w:color="293F5B"/>
            </w:tcBorders>
            <w:shd w:val="clear" w:color="auto" w:fill="auto"/>
          </w:tcPr>
          <w:p w14:paraId="2A7B7C01" w14:textId="77777777" w:rsidR="0012790E" w:rsidRPr="001C06E6" w:rsidRDefault="0012790E">
            <w:pPr>
              <w:pStyle w:val="AgencyName"/>
              <w:keepNext/>
            </w:pPr>
          </w:p>
        </w:tc>
        <w:tc>
          <w:tcPr>
            <w:tcW w:w="1045" w:type="dxa"/>
            <w:tcBorders>
              <w:top w:val="single" w:sz="4" w:space="0" w:color="293F5B"/>
            </w:tcBorders>
            <w:shd w:val="clear" w:color="auto" w:fill="auto"/>
          </w:tcPr>
          <w:p w14:paraId="5E50FB6B" w14:textId="77777777" w:rsidR="0012790E" w:rsidRPr="001C06E6" w:rsidRDefault="0012790E">
            <w:pPr>
              <w:pStyle w:val="AgencyName"/>
              <w:keepNext/>
            </w:pPr>
          </w:p>
        </w:tc>
        <w:tc>
          <w:tcPr>
            <w:tcW w:w="1045" w:type="dxa"/>
            <w:tcBorders>
              <w:top w:val="single" w:sz="4" w:space="0" w:color="293F5B"/>
            </w:tcBorders>
            <w:shd w:val="clear" w:color="auto" w:fill="auto"/>
          </w:tcPr>
          <w:p w14:paraId="63CA1588" w14:textId="77777777" w:rsidR="0012790E" w:rsidRPr="001C06E6" w:rsidRDefault="0012790E">
            <w:pPr>
              <w:pStyle w:val="AgencyName"/>
              <w:keepNext/>
            </w:pPr>
          </w:p>
        </w:tc>
      </w:tr>
      <w:tr w:rsidR="0012790E" w:rsidRPr="001C06E6" w14:paraId="4271DFFB" w14:textId="77777777">
        <w:tc>
          <w:tcPr>
            <w:tcW w:w="2497" w:type="dxa"/>
            <w:tcBorders>
              <w:bottom w:val="single" w:sz="4" w:space="0" w:color="293F5B"/>
            </w:tcBorders>
            <w:shd w:val="clear" w:color="auto" w:fill="auto"/>
          </w:tcPr>
          <w:p w14:paraId="1B60EB33" w14:textId="77777777" w:rsidR="0012790E" w:rsidRPr="001C06E6" w:rsidRDefault="0012790E">
            <w:pPr>
              <w:pStyle w:val="AgencyNamewith2ptsspacing"/>
              <w:keepNext/>
            </w:pPr>
            <w:r w:rsidRPr="001C06E6">
              <w:t>Department of the Treasury</w:t>
            </w:r>
          </w:p>
        </w:tc>
        <w:tc>
          <w:tcPr>
            <w:tcW w:w="1045" w:type="dxa"/>
            <w:tcBorders>
              <w:bottom w:val="single" w:sz="4" w:space="0" w:color="293F5B"/>
            </w:tcBorders>
            <w:shd w:val="clear" w:color="auto" w:fill="auto"/>
          </w:tcPr>
          <w:p w14:paraId="702BBE7E" w14:textId="0B4D0954" w:rsidR="0012790E" w:rsidRPr="001C06E6" w:rsidRDefault="00AD3F98">
            <w:pPr>
              <w:pStyle w:val="Measuretabledatarightaligneditalics"/>
              <w:keepNext/>
            </w:pPr>
            <w:r>
              <w:t>..</w:t>
            </w:r>
          </w:p>
        </w:tc>
        <w:tc>
          <w:tcPr>
            <w:tcW w:w="1045" w:type="dxa"/>
            <w:tcBorders>
              <w:bottom w:val="single" w:sz="4" w:space="0" w:color="293F5B"/>
            </w:tcBorders>
            <w:shd w:val="clear" w:color="auto" w:fill="auto"/>
          </w:tcPr>
          <w:p w14:paraId="5937E61A" w14:textId="256B99EF" w:rsidR="0012790E" w:rsidRPr="001C06E6" w:rsidRDefault="00AD3F98">
            <w:pPr>
              <w:pStyle w:val="Measuretabledatarightaligneditalics"/>
              <w:keepNext/>
            </w:pPr>
            <w:r>
              <w:t>..</w:t>
            </w:r>
          </w:p>
        </w:tc>
        <w:tc>
          <w:tcPr>
            <w:tcW w:w="1045" w:type="dxa"/>
            <w:tcBorders>
              <w:bottom w:val="single" w:sz="4" w:space="0" w:color="293F5B"/>
            </w:tcBorders>
            <w:shd w:val="clear" w:color="auto" w:fill="auto"/>
          </w:tcPr>
          <w:p w14:paraId="508356E0" w14:textId="2BFD2511" w:rsidR="0012790E" w:rsidRPr="001C06E6" w:rsidRDefault="00AD3F98">
            <w:pPr>
              <w:pStyle w:val="Measuretabledatarightaligneditalics"/>
              <w:keepNext/>
            </w:pPr>
            <w:r>
              <w:t>..</w:t>
            </w:r>
          </w:p>
        </w:tc>
        <w:tc>
          <w:tcPr>
            <w:tcW w:w="1045" w:type="dxa"/>
            <w:tcBorders>
              <w:bottom w:val="single" w:sz="4" w:space="0" w:color="293F5B"/>
            </w:tcBorders>
            <w:shd w:val="clear" w:color="auto" w:fill="auto"/>
          </w:tcPr>
          <w:p w14:paraId="59A8AAA3" w14:textId="2983BC58" w:rsidR="0012790E" w:rsidRPr="001C06E6" w:rsidRDefault="00AD3F98">
            <w:pPr>
              <w:pStyle w:val="Measuretabledatarightaligneditalics"/>
              <w:keepNext/>
            </w:pPr>
            <w:r>
              <w:t>..</w:t>
            </w:r>
          </w:p>
        </w:tc>
        <w:tc>
          <w:tcPr>
            <w:tcW w:w="1045" w:type="dxa"/>
            <w:tcBorders>
              <w:bottom w:val="single" w:sz="4" w:space="0" w:color="293F5B"/>
            </w:tcBorders>
            <w:shd w:val="clear" w:color="auto" w:fill="auto"/>
          </w:tcPr>
          <w:p w14:paraId="36A71232" w14:textId="3DDD342A" w:rsidR="0012790E" w:rsidRPr="001C06E6" w:rsidRDefault="00AD3F98">
            <w:pPr>
              <w:pStyle w:val="Measuretabledatarightaligneditalics"/>
              <w:keepNext/>
            </w:pPr>
            <w:r>
              <w:t>..</w:t>
            </w:r>
          </w:p>
        </w:tc>
      </w:tr>
      <w:tr w:rsidR="0012790E" w:rsidRPr="001C06E6" w14:paraId="30DEC991" w14:textId="77777777">
        <w:tc>
          <w:tcPr>
            <w:tcW w:w="2497" w:type="dxa"/>
            <w:tcBorders>
              <w:top w:val="single" w:sz="4" w:space="0" w:color="293F5B"/>
              <w:bottom w:val="single" w:sz="4" w:space="0" w:color="293F5B"/>
            </w:tcBorders>
            <w:shd w:val="clear" w:color="auto" w:fill="auto"/>
          </w:tcPr>
          <w:p w14:paraId="25AA7587" w14:textId="77777777" w:rsidR="0012790E" w:rsidRPr="001C06E6" w:rsidRDefault="0012790E">
            <w:pPr>
              <w:pStyle w:val="AgencyNamewith2ptsspacing"/>
              <w:keepNext/>
            </w:pPr>
            <w:r>
              <w:t xml:space="preserve">Department of Agriculture, Fisheries and Forestry </w:t>
            </w:r>
          </w:p>
        </w:tc>
        <w:tc>
          <w:tcPr>
            <w:tcW w:w="1045" w:type="dxa"/>
            <w:tcBorders>
              <w:top w:val="single" w:sz="4" w:space="0" w:color="293F5B"/>
              <w:bottom w:val="single" w:sz="4" w:space="0" w:color="293F5B"/>
            </w:tcBorders>
            <w:shd w:val="clear" w:color="auto" w:fill="auto"/>
          </w:tcPr>
          <w:p w14:paraId="176B919D"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14BDF826" w14:textId="77777777" w:rsidR="0012790E" w:rsidRPr="001C06E6" w:rsidRDefault="0012790E">
            <w:pPr>
              <w:pStyle w:val="Measuretabledatarightaligneditalics"/>
              <w:keepNext/>
            </w:pPr>
            <w:r>
              <w:t xml:space="preserve">-0.9 </w:t>
            </w:r>
          </w:p>
        </w:tc>
        <w:tc>
          <w:tcPr>
            <w:tcW w:w="1045" w:type="dxa"/>
            <w:tcBorders>
              <w:top w:val="single" w:sz="4" w:space="0" w:color="293F5B"/>
              <w:bottom w:val="single" w:sz="4" w:space="0" w:color="293F5B"/>
            </w:tcBorders>
            <w:shd w:val="clear" w:color="auto" w:fill="auto"/>
          </w:tcPr>
          <w:p w14:paraId="56E5818D" w14:textId="77777777" w:rsidR="0012790E" w:rsidRPr="001C06E6" w:rsidRDefault="0012790E">
            <w:pPr>
              <w:pStyle w:val="Measuretabledatarightaligneditalics"/>
              <w:keepNext/>
            </w:pPr>
            <w:r>
              <w:t xml:space="preserve">-0.9 </w:t>
            </w:r>
          </w:p>
        </w:tc>
        <w:tc>
          <w:tcPr>
            <w:tcW w:w="1045" w:type="dxa"/>
            <w:tcBorders>
              <w:top w:val="single" w:sz="4" w:space="0" w:color="293F5B"/>
              <w:bottom w:val="single" w:sz="4" w:space="0" w:color="293F5B"/>
            </w:tcBorders>
            <w:shd w:val="clear" w:color="auto" w:fill="auto"/>
          </w:tcPr>
          <w:p w14:paraId="3DA7DD75" w14:textId="77777777" w:rsidR="0012790E" w:rsidRPr="001C06E6" w:rsidRDefault="0012790E">
            <w:pPr>
              <w:pStyle w:val="Measuretabledatarightaligneditalics"/>
              <w:keepNext/>
            </w:pPr>
            <w:r>
              <w:t xml:space="preserve">-0.9 </w:t>
            </w:r>
          </w:p>
        </w:tc>
        <w:tc>
          <w:tcPr>
            <w:tcW w:w="1045" w:type="dxa"/>
            <w:tcBorders>
              <w:top w:val="single" w:sz="4" w:space="0" w:color="293F5B"/>
              <w:bottom w:val="single" w:sz="4" w:space="0" w:color="293F5B"/>
            </w:tcBorders>
            <w:shd w:val="clear" w:color="auto" w:fill="auto"/>
          </w:tcPr>
          <w:p w14:paraId="6BE7A62C" w14:textId="77777777" w:rsidR="0012790E" w:rsidRPr="001C06E6" w:rsidRDefault="0012790E">
            <w:pPr>
              <w:pStyle w:val="Measuretabledatarightaligneditalics"/>
              <w:keepNext/>
            </w:pPr>
            <w:r>
              <w:t xml:space="preserve">-1.0 </w:t>
            </w:r>
          </w:p>
        </w:tc>
      </w:tr>
      <w:tr w:rsidR="0012790E" w:rsidRPr="001C06E6" w14:paraId="66F296DF" w14:textId="77777777">
        <w:tc>
          <w:tcPr>
            <w:tcW w:w="2497" w:type="dxa"/>
            <w:tcBorders>
              <w:top w:val="single" w:sz="4" w:space="0" w:color="293F5B"/>
              <w:bottom w:val="single" w:sz="4" w:space="0" w:color="293F5B"/>
            </w:tcBorders>
            <w:shd w:val="clear" w:color="auto" w:fill="auto"/>
          </w:tcPr>
          <w:p w14:paraId="6DE78296" w14:textId="77777777" w:rsidR="0012790E" w:rsidRPr="001C06E6" w:rsidRDefault="0012790E">
            <w:pPr>
              <w:pStyle w:val="AgencyName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65899632" w14:textId="77777777" w:rsidR="0012790E" w:rsidRPr="001C06E6" w:rsidRDefault="0012790E">
            <w:pPr>
              <w:pStyle w:val="Measuretabledatarightaligneditalics"/>
              <w:keepNext/>
            </w:pPr>
            <w:r w:rsidRPr="001C06E6">
              <w:t>-5.0</w:t>
            </w:r>
          </w:p>
        </w:tc>
        <w:tc>
          <w:tcPr>
            <w:tcW w:w="1045" w:type="dxa"/>
            <w:tcBorders>
              <w:top w:val="single" w:sz="4" w:space="0" w:color="293F5B"/>
              <w:bottom w:val="single" w:sz="4" w:space="0" w:color="293F5B"/>
            </w:tcBorders>
            <w:shd w:val="clear" w:color="auto" w:fill="auto"/>
          </w:tcPr>
          <w:p w14:paraId="6A53F6F8" w14:textId="77777777" w:rsidR="0012790E" w:rsidRPr="001C06E6" w:rsidRDefault="0012790E">
            <w:pPr>
              <w:pStyle w:val="Measuretabledatarightaligneditalics"/>
              <w:keepNext/>
            </w:pPr>
            <w:r w:rsidRPr="001C06E6">
              <w:t>132.2</w:t>
            </w:r>
          </w:p>
        </w:tc>
        <w:tc>
          <w:tcPr>
            <w:tcW w:w="1045" w:type="dxa"/>
            <w:tcBorders>
              <w:top w:val="single" w:sz="4" w:space="0" w:color="293F5B"/>
              <w:bottom w:val="single" w:sz="4" w:space="0" w:color="293F5B"/>
            </w:tcBorders>
            <w:shd w:val="clear" w:color="auto" w:fill="auto"/>
          </w:tcPr>
          <w:p w14:paraId="32367D22" w14:textId="77777777" w:rsidR="0012790E" w:rsidRPr="001C06E6" w:rsidRDefault="0012790E">
            <w:pPr>
              <w:pStyle w:val="Measuretabledatarightaligneditalics"/>
              <w:keepNext/>
            </w:pPr>
            <w:r w:rsidRPr="001C06E6">
              <w:t>-0.8</w:t>
            </w:r>
          </w:p>
        </w:tc>
        <w:tc>
          <w:tcPr>
            <w:tcW w:w="1045" w:type="dxa"/>
            <w:tcBorders>
              <w:top w:val="single" w:sz="4" w:space="0" w:color="293F5B"/>
              <w:bottom w:val="single" w:sz="4" w:space="0" w:color="293F5B"/>
            </w:tcBorders>
            <w:shd w:val="clear" w:color="auto" w:fill="auto"/>
          </w:tcPr>
          <w:p w14:paraId="6F6B508C" w14:textId="77777777" w:rsidR="0012790E" w:rsidRPr="001C06E6" w:rsidRDefault="0012790E">
            <w:pPr>
              <w:pStyle w:val="Measuretabledatarightaligneditalics"/>
              <w:keepNext/>
            </w:pPr>
            <w:r w:rsidRPr="001C06E6">
              <w:t>-0.2</w:t>
            </w:r>
          </w:p>
        </w:tc>
        <w:tc>
          <w:tcPr>
            <w:tcW w:w="1045" w:type="dxa"/>
            <w:tcBorders>
              <w:top w:val="single" w:sz="4" w:space="0" w:color="293F5B"/>
              <w:bottom w:val="single" w:sz="4" w:space="0" w:color="293F5B"/>
            </w:tcBorders>
            <w:shd w:val="clear" w:color="auto" w:fill="auto"/>
          </w:tcPr>
          <w:p w14:paraId="02FE0AD7" w14:textId="77777777" w:rsidR="0012790E" w:rsidRPr="001C06E6" w:rsidRDefault="0012790E">
            <w:pPr>
              <w:pStyle w:val="Measuretabledatarightaligneditalics"/>
              <w:keepNext/>
            </w:pPr>
            <w:r w:rsidRPr="001C06E6">
              <w:t>-0.2</w:t>
            </w:r>
          </w:p>
        </w:tc>
      </w:tr>
      <w:tr w:rsidR="0012790E" w:rsidRPr="001C06E6" w14:paraId="7B40C45E" w14:textId="77777777">
        <w:tc>
          <w:tcPr>
            <w:tcW w:w="2497" w:type="dxa"/>
            <w:tcBorders>
              <w:top w:val="single" w:sz="4" w:space="0" w:color="293F5B"/>
              <w:bottom w:val="single" w:sz="4" w:space="0" w:color="293F5B"/>
            </w:tcBorders>
            <w:shd w:val="clear" w:color="auto" w:fill="auto"/>
          </w:tcPr>
          <w:p w14:paraId="0392CEC5" w14:textId="77777777" w:rsidR="0012790E" w:rsidRPr="001C06E6" w:rsidRDefault="0012790E">
            <w:pPr>
              <w:pStyle w:val="Totalrowitalicsleftaligned"/>
              <w:keepNext/>
            </w:pPr>
            <w:r w:rsidRPr="001C06E6">
              <w:t>Total – Payments</w:t>
            </w:r>
          </w:p>
        </w:tc>
        <w:tc>
          <w:tcPr>
            <w:tcW w:w="1045" w:type="dxa"/>
            <w:tcBorders>
              <w:top w:val="single" w:sz="4" w:space="0" w:color="293F5B"/>
              <w:bottom w:val="single" w:sz="4" w:space="0" w:color="293F5B"/>
            </w:tcBorders>
            <w:shd w:val="clear" w:color="auto" w:fill="auto"/>
          </w:tcPr>
          <w:p w14:paraId="3213194F" w14:textId="77777777" w:rsidR="0012790E" w:rsidRPr="001C06E6" w:rsidRDefault="0012790E">
            <w:pPr>
              <w:pStyle w:val="Totalrowitalicsrightaligned"/>
              <w:keepNext/>
            </w:pPr>
            <w:r w:rsidRPr="001C06E6">
              <w:t>-5.0</w:t>
            </w:r>
          </w:p>
        </w:tc>
        <w:tc>
          <w:tcPr>
            <w:tcW w:w="1045" w:type="dxa"/>
            <w:tcBorders>
              <w:top w:val="single" w:sz="4" w:space="0" w:color="293F5B"/>
              <w:bottom w:val="single" w:sz="4" w:space="0" w:color="293F5B"/>
            </w:tcBorders>
            <w:shd w:val="clear" w:color="auto" w:fill="auto"/>
          </w:tcPr>
          <w:p w14:paraId="21BEB8F4" w14:textId="77777777" w:rsidR="0012790E" w:rsidRPr="001C06E6" w:rsidRDefault="0012790E">
            <w:pPr>
              <w:pStyle w:val="Totalrowitalicsrightaligned"/>
              <w:keepNext/>
            </w:pPr>
            <w:r w:rsidRPr="001C06E6">
              <w:t>131.3</w:t>
            </w:r>
          </w:p>
        </w:tc>
        <w:tc>
          <w:tcPr>
            <w:tcW w:w="1045" w:type="dxa"/>
            <w:tcBorders>
              <w:top w:val="single" w:sz="4" w:space="0" w:color="293F5B"/>
              <w:bottom w:val="single" w:sz="4" w:space="0" w:color="293F5B"/>
            </w:tcBorders>
            <w:shd w:val="clear" w:color="auto" w:fill="auto"/>
          </w:tcPr>
          <w:p w14:paraId="2CCA2688" w14:textId="77777777" w:rsidR="0012790E" w:rsidRPr="001C06E6" w:rsidRDefault="0012790E">
            <w:pPr>
              <w:pStyle w:val="Totalrowitalicsrightaligned"/>
              <w:keepNext/>
            </w:pPr>
            <w:r w:rsidRPr="001C06E6">
              <w:t>-1.7</w:t>
            </w:r>
          </w:p>
        </w:tc>
        <w:tc>
          <w:tcPr>
            <w:tcW w:w="1045" w:type="dxa"/>
            <w:tcBorders>
              <w:top w:val="single" w:sz="4" w:space="0" w:color="293F5B"/>
              <w:bottom w:val="single" w:sz="4" w:space="0" w:color="293F5B"/>
            </w:tcBorders>
            <w:shd w:val="clear" w:color="auto" w:fill="auto"/>
          </w:tcPr>
          <w:p w14:paraId="62350A98" w14:textId="77777777" w:rsidR="0012790E" w:rsidRPr="001C06E6" w:rsidRDefault="0012790E">
            <w:pPr>
              <w:pStyle w:val="Totalrowitalicsrightaligned"/>
              <w:keepNext/>
            </w:pPr>
            <w:r w:rsidRPr="001C06E6">
              <w:t>-1.1</w:t>
            </w:r>
          </w:p>
        </w:tc>
        <w:tc>
          <w:tcPr>
            <w:tcW w:w="1045" w:type="dxa"/>
            <w:tcBorders>
              <w:top w:val="single" w:sz="4" w:space="0" w:color="293F5B"/>
              <w:bottom w:val="single" w:sz="4" w:space="0" w:color="293F5B"/>
            </w:tcBorders>
            <w:shd w:val="clear" w:color="auto" w:fill="auto"/>
          </w:tcPr>
          <w:p w14:paraId="27E4453C" w14:textId="77777777" w:rsidR="0012790E" w:rsidRPr="001C06E6" w:rsidRDefault="0012790E">
            <w:pPr>
              <w:pStyle w:val="Totalrowitalicsrightaligned"/>
              <w:keepNext/>
            </w:pPr>
            <w:r w:rsidRPr="001C06E6">
              <w:t>-1.1</w:t>
            </w:r>
          </w:p>
        </w:tc>
      </w:tr>
    </w:tbl>
    <w:p w14:paraId="7EBA457A" w14:textId="77777777" w:rsidR="0012790E" w:rsidRPr="001C06E6" w:rsidRDefault="0012790E">
      <w:pPr>
        <w:keepNext/>
        <w:widowControl w:val="0"/>
        <w:tabs>
          <w:tab w:val="right" w:pos="3536"/>
          <w:tab w:val="right" w:pos="4579"/>
          <w:tab w:val="right" w:pos="5622"/>
          <w:tab w:val="right" w:pos="6664"/>
          <w:tab w:val="right" w:pos="7707"/>
        </w:tabs>
        <w:spacing w:line="226" w:lineRule="exact"/>
        <w:rPr>
          <w:i/>
          <w:iCs/>
          <w:color w:val="000000"/>
          <w:sz w:val="16"/>
          <w:szCs w:val="16"/>
          <w:lang w:val="en-AU"/>
        </w:rPr>
      </w:pPr>
    </w:p>
    <w:p w14:paraId="4B0858EC" w14:textId="77777777" w:rsidR="0012790E" w:rsidRDefault="0012790E">
      <w:pPr>
        <w:pStyle w:val="Normal2"/>
        <w:rPr>
          <w:rFonts w:cs="Book Antiqua"/>
        </w:rPr>
      </w:pPr>
      <w:r w:rsidRPr="001C06E6">
        <w:rPr>
          <w:rFonts w:cs="Book Antiqua"/>
        </w:rPr>
        <w:t>The Government will:</w:t>
      </w:r>
    </w:p>
    <w:p w14:paraId="1A483C77" w14:textId="77777777" w:rsidR="0012790E" w:rsidRDefault="0012790E">
      <w:pPr>
        <w:pStyle w:val="Bullet"/>
      </w:pPr>
      <w:r w:rsidRPr="001C06E6">
        <w:t>Make minor amendments to Treasury portfolio legislation that clarify the law to ensure it operates in accordance with the policy intent and make minor policy changes to improve administrative outcomes. Further information can be found on the Treasury website under the consultation page Miscellaneous Amendments to Treasury Portfolio Laws 2024.</w:t>
      </w:r>
      <w:r>
        <w:t xml:space="preserve"> </w:t>
      </w:r>
    </w:p>
    <w:p w14:paraId="604455D4" w14:textId="0ED0BAD0" w:rsidR="0012790E" w:rsidRDefault="0012790E">
      <w:pPr>
        <w:pStyle w:val="Bullet"/>
      </w:pPr>
      <w:r w:rsidRPr="001C06E6">
        <w:t xml:space="preserve">Amend the start date of the </w:t>
      </w:r>
      <w:r>
        <w:t>2023–24 </w:t>
      </w:r>
      <w:r w:rsidRPr="001C06E6">
        <w:t xml:space="preserve">Budget measure </w:t>
      </w:r>
      <w:r w:rsidRPr="001C06E6">
        <w:rPr>
          <w:i/>
          <w:iCs/>
        </w:rPr>
        <w:t>Tax Integrity – expanding the general anti</w:t>
      </w:r>
      <w:r>
        <w:rPr>
          <w:i/>
          <w:iCs/>
        </w:rPr>
        <w:noBreakHyphen/>
      </w:r>
      <w:r w:rsidRPr="001C06E6">
        <w:rPr>
          <w:i/>
          <w:iCs/>
        </w:rPr>
        <w:t>avoidance rule in the income tax law</w:t>
      </w:r>
      <w:r w:rsidRPr="001C06E6">
        <w:t xml:space="preserve"> from income years commencing on or after 1</w:t>
      </w:r>
      <w:r>
        <w:t> </w:t>
      </w:r>
      <w:r w:rsidRPr="001C06E6">
        <w:t>July</w:t>
      </w:r>
      <w:r>
        <w:t> </w:t>
      </w:r>
      <w:r w:rsidRPr="001C06E6">
        <w:t>2024 to income years commencing on or after the day the amending legislation receives Royal Assent, regardless of whether the scheme was entered into before that</w:t>
      </w:r>
      <w:r w:rsidR="00E87983">
        <w:t> </w:t>
      </w:r>
      <w:r w:rsidRPr="001C06E6">
        <w:t>date.</w:t>
      </w:r>
      <w:r>
        <w:t xml:space="preserve"> </w:t>
      </w:r>
    </w:p>
    <w:p w14:paraId="389D937D" w14:textId="59AA266F" w:rsidR="0012790E" w:rsidRDefault="0012790E">
      <w:pPr>
        <w:pStyle w:val="Bullet"/>
      </w:pPr>
      <w:r w:rsidRPr="001C06E6">
        <w:t xml:space="preserve">Make minor amendments to the start date of certain components of the </w:t>
      </w:r>
      <w:r>
        <w:t>2022–23</w:t>
      </w:r>
      <w:r w:rsidRPr="001C06E6">
        <w:t xml:space="preserve"> March Budget measure </w:t>
      </w:r>
      <w:r w:rsidRPr="001C06E6">
        <w:rPr>
          <w:i/>
          <w:iCs/>
        </w:rPr>
        <w:t>Streamlining excise administration for fuel and alcohol package</w:t>
      </w:r>
      <w:r w:rsidRPr="001C06E6">
        <w:t>. Components that streamline licence application and renewal requirements will commence the later of 1</w:t>
      </w:r>
      <w:r w:rsidRPr="001C06E6">
        <w:rPr>
          <w:rFonts w:ascii="Times New Roman" w:hAnsi="Times New Roman"/>
        </w:rPr>
        <w:t> </w:t>
      </w:r>
      <w:r w:rsidRPr="001C06E6">
        <w:t xml:space="preserve">July 2024 (current start date) or the day following Royal Assent, with the requirement for the </w:t>
      </w:r>
      <w:r w:rsidR="00A34F5A">
        <w:t>Australian Taxation Office (</w:t>
      </w:r>
      <w:r w:rsidRPr="001C06E6">
        <w:t>ATO</w:t>
      </w:r>
      <w:r w:rsidR="00A34F5A">
        <w:t>)</w:t>
      </w:r>
      <w:r w:rsidRPr="001C06E6">
        <w:t xml:space="preserve"> to publish on its website a public register of excise licences and excise equivalent warehouse licences applying from 30 days following commencement of legislation. In addition, the removal of regulatory barriers applying to bunker fuels for commercial shipping industries will apply from 1</w:t>
      </w:r>
      <w:r>
        <w:t> </w:t>
      </w:r>
      <w:r w:rsidRPr="001C06E6">
        <w:t>January</w:t>
      </w:r>
      <w:r>
        <w:t> </w:t>
      </w:r>
      <w:r w:rsidRPr="001C06E6">
        <w:t>2025, instead of 1</w:t>
      </w:r>
      <w:r>
        <w:t> </w:t>
      </w:r>
      <w:r w:rsidRPr="001C06E6">
        <w:t>July</w:t>
      </w:r>
      <w:r>
        <w:t> </w:t>
      </w:r>
      <w:r w:rsidRPr="001C06E6">
        <w:t>2024.</w:t>
      </w:r>
      <w:r>
        <w:t xml:space="preserve"> </w:t>
      </w:r>
    </w:p>
    <w:p w14:paraId="102FE45A" w14:textId="77777777" w:rsidR="0012790E" w:rsidRDefault="0012790E">
      <w:pPr>
        <w:pStyle w:val="Bullet"/>
      </w:pPr>
      <w:r w:rsidRPr="001C06E6">
        <w:lastRenderedPageBreak/>
        <w:t>Extend refunds of indirect tax (including GST, fuel and alcohol taxes) under the Indirect Tax Concession Scheme (ITCS). The Square Kilometre Array Observatory (SKAO) will have ITCS access upgraded for additional concessions to be claimed for the purchase of vehicles for personal use by SKAO officials, or a member of their family. Additional concessions for commercial rent will also be formalised for existing ITCS packages for Bangladesh, Costa Rica, El Salvador and the Taipei Economic and Cultural Office. Construction and renovation concessions will be formalised for the existing ITCS package for the Netherlands. Concessions for both commercial rent and construction and renovation will be formalised for the existing ITCS</w:t>
      </w:r>
      <w:r>
        <w:t xml:space="preserve"> </w:t>
      </w:r>
      <w:r w:rsidRPr="001C06E6">
        <w:t>package for Pacific Trade Invest.</w:t>
      </w:r>
      <w:r>
        <w:t xml:space="preserve"> </w:t>
      </w:r>
    </w:p>
    <w:p w14:paraId="1857FE2E" w14:textId="6A2711F0" w:rsidR="0012790E" w:rsidRDefault="0012790E">
      <w:pPr>
        <w:pStyle w:val="Bullet"/>
        <w:rPr>
          <w:iCs/>
        </w:rPr>
      </w:pPr>
      <w:r w:rsidRPr="001C06E6">
        <w:t xml:space="preserve">No longer proceed with the </w:t>
      </w:r>
      <w:r>
        <w:t>2019–20 </w:t>
      </w:r>
      <w:r w:rsidRPr="001C06E6">
        <w:t xml:space="preserve">Budget measure announced by the former Government </w:t>
      </w:r>
      <w:r w:rsidRPr="001C06E6">
        <w:rPr>
          <w:i/>
          <w:iCs/>
        </w:rPr>
        <w:t xml:space="preserve">Black Economy – Strengthening the Australian Business Number system </w:t>
      </w:r>
      <w:r w:rsidRPr="001C06E6">
        <w:t xml:space="preserve">as integrity issues are being addressed through enhanced administrative processes implemented by the </w:t>
      </w:r>
      <w:r w:rsidR="002D4317">
        <w:t>ATO</w:t>
      </w:r>
      <w:r w:rsidRPr="001C06E6">
        <w:rPr>
          <w:i/>
          <w:iCs/>
        </w:rPr>
        <w:t>.</w:t>
      </w:r>
      <w:r>
        <w:rPr>
          <w:iCs/>
        </w:rPr>
        <w:t xml:space="preserve"> </w:t>
      </w:r>
    </w:p>
    <w:p w14:paraId="02BEE802" w14:textId="77777777" w:rsidR="0012790E" w:rsidRDefault="0012790E">
      <w:pPr>
        <w:pStyle w:val="Bullet"/>
      </w:pPr>
      <w:r w:rsidRPr="001C06E6">
        <w:t xml:space="preserve">Further to the measure </w:t>
      </w:r>
      <w:r w:rsidRPr="001C06E6">
        <w:rPr>
          <w:i/>
          <w:iCs/>
        </w:rPr>
        <w:t>Rugby World Cup 2027 (men’s) and Rugby World Cup 2029 (women’s)</w:t>
      </w:r>
      <w:r w:rsidRPr="001C06E6">
        <w:t xml:space="preserve"> announced in the </w:t>
      </w:r>
      <w:r>
        <w:t>2022–23</w:t>
      </w:r>
      <w:r w:rsidRPr="001C06E6">
        <w:t xml:space="preserve"> March Budget, the Government will provide income tax exemptions to World Rugby and/or related entities for income derived in relation to the Rugby World Cup 2027 (men’s) and Rugby World Cup 2029 (women’s) events (‘RWC events’). The exemptions will apply to income derived in relation to the RWC events for the </w:t>
      </w:r>
      <w:r>
        <w:t>2023–24</w:t>
      </w:r>
      <w:r w:rsidRPr="001C06E6">
        <w:t xml:space="preserve"> to </w:t>
      </w:r>
      <w:r>
        <w:t>2030–31</w:t>
      </w:r>
      <w:r w:rsidRPr="001C06E6">
        <w:t xml:space="preserve"> income years (inclusive). The Government will also provide an exemption from interest, dividend and royalty withholding tax liabilities arising from payments relating to RWC events.</w:t>
      </w:r>
      <w:r>
        <w:t xml:space="preserve"> </w:t>
      </w:r>
    </w:p>
    <w:p w14:paraId="70D7382A" w14:textId="1B4DF59B" w:rsidR="0012790E" w:rsidRDefault="0012790E">
      <w:pPr>
        <w:pStyle w:val="Bullet"/>
      </w:pPr>
      <w:r w:rsidRPr="001C06E6">
        <w:t>Make changes to the agricultural levy and charge on sweet potatoes at the request of Australian Sweet</w:t>
      </w:r>
      <w:r w:rsidR="0020524F">
        <w:t>p</w:t>
      </w:r>
      <w:r w:rsidRPr="001C06E6">
        <w:t>otato Growers Inc. From 1</w:t>
      </w:r>
      <w:r>
        <w:t> </w:t>
      </w:r>
      <w:r w:rsidRPr="001C06E6">
        <w:t>July</w:t>
      </w:r>
      <w:r>
        <w:t> </w:t>
      </w:r>
      <w:r w:rsidRPr="001C06E6">
        <w:t>2024, the Government will decrease the marketing component of the levy and charge from 1.0 per cent of sale value to nil. This change will decrease the overall levy rate on sweet potatoes from 1.5 per cent to 0.5</w:t>
      </w:r>
      <w:r w:rsidR="00C94796">
        <w:t> </w:t>
      </w:r>
      <w:r w:rsidRPr="001C06E6">
        <w:t>per cent.</w:t>
      </w:r>
      <w:r>
        <w:t xml:space="preserve"> </w:t>
      </w:r>
    </w:p>
    <w:p w14:paraId="0B92A03E" w14:textId="77777777" w:rsidR="0012790E" w:rsidRDefault="0012790E">
      <w:pPr>
        <w:pStyle w:val="Bullet"/>
      </w:pPr>
      <w:r w:rsidRPr="001C06E6">
        <w:t xml:space="preserve">Amend the </w:t>
      </w:r>
      <w:r>
        <w:t>2022–23</w:t>
      </w:r>
      <w:r w:rsidRPr="001C06E6">
        <w:t xml:space="preserve"> October Budget measure </w:t>
      </w:r>
      <w:r w:rsidRPr="001C06E6">
        <w:rPr>
          <w:i/>
          <w:iCs/>
        </w:rPr>
        <w:t>Multinational Tax Integrity Package – amending Australia’s interest limitation (thin capitalisation) rules</w:t>
      </w:r>
      <w:r w:rsidRPr="001C06E6">
        <w:t xml:space="preserve"> to exempt Australian plantation forestry entities from the new earnings</w:t>
      </w:r>
      <w:r>
        <w:noBreakHyphen/>
      </w:r>
      <w:r w:rsidRPr="001C06E6">
        <w:t>based rules, allowing these entities to continue to apply the former asset</w:t>
      </w:r>
      <w:r>
        <w:noBreakHyphen/>
      </w:r>
      <w:r w:rsidRPr="001C06E6">
        <w:t>based thin capitalisation rules.</w:t>
      </w:r>
      <w:r>
        <w:t xml:space="preserve"> </w:t>
      </w:r>
    </w:p>
    <w:p w14:paraId="131A342E" w14:textId="50E3EAFC" w:rsidR="0012790E" w:rsidRDefault="0012790E">
      <w:pPr>
        <w:pStyle w:val="Bullet"/>
      </w:pPr>
      <w:r w:rsidRPr="001C06E6">
        <w:t xml:space="preserve">Discontinue the measure </w:t>
      </w:r>
      <w:r w:rsidRPr="001C06E6">
        <w:rPr>
          <w:i/>
          <w:iCs/>
        </w:rPr>
        <w:t>Denying deductions for payments relating to intangibles held in low</w:t>
      </w:r>
      <w:r>
        <w:rPr>
          <w:i/>
          <w:iCs/>
        </w:rPr>
        <w:noBreakHyphen/>
      </w:r>
      <w:r w:rsidR="00DE1FA6">
        <w:rPr>
          <w:i/>
          <w:iCs/>
        </w:rPr>
        <w:t xml:space="preserve"> </w:t>
      </w:r>
      <w:r w:rsidRPr="001C06E6">
        <w:rPr>
          <w:i/>
          <w:iCs/>
        </w:rPr>
        <w:t>or no</w:t>
      </w:r>
      <w:r>
        <w:rPr>
          <w:i/>
          <w:iCs/>
        </w:rPr>
        <w:noBreakHyphen/>
      </w:r>
      <w:r w:rsidRPr="001C06E6">
        <w:rPr>
          <w:i/>
          <w:iCs/>
        </w:rPr>
        <w:t>tax jurisdictions</w:t>
      </w:r>
      <w:r w:rsidRPr="001C06E6">
        <w:t xml:space="preserve"> announced in the </w:t>
      </w:r>
      <w:r>
        <w:t>2022–23</w:t>
      </w:r>
      <w:r w:rsidRPr="001C06E6">
        <w:t xml:space="preserve"> October Budget as the integrity issues will now be addressed through the Global Minimum Tax and Domestic Minimum Tax being implemented by the Government. The Government will also introduce a new provision from 1</w:t>
      </w:r>
      <w:r>
        <w:t> </w:t>
      </w:r>
      <w:r w:rsidRPr="001C06E6">
        <w:t>July</w:t>
      </w:r>
      <w:r>
        <w:t> </w:t>
      </w:r>
      <w:r w:rsidRPr="001C06E6">
        <w:t>2026 that applies a penalty to taxpayers who are part of a group with more than $1 billion in global turnover annually that are found to have mischaracterised or undervalued royalty payments, to which royalty withholding tax would otherwise apply.</w:t>
      </w:r>
      <w:r>
        <w:t xml:space="preserve"> </w:t>
      </w:r>
    </w:p>
    <w:p w14:paraId="6F509164" w14:textId="77777777" w:rsidR="0012790E" w:rsidRDefault="0012790E">
      <w:pPr>
        <w:pStyle w:val="Bullet"/>
      </w:pPr>
      <w:r w:rsidRPr="001C06E6">
        <w:lastRenderedPageBreak/>
        <w:t>Amend the tax law to give the Commissioner of Taxation (Commissioner) a discretion to not use a taxpayer’s refund to offset old tax debts, where the Commissioner had put that old tax debt on hold prior to 1</w:t>
      </w:r>
      <w:r>
        <w:t> </w:t>
      </w:r>
      <w:r w:rsidRPr="001C06E6">
        <w:t>January</w:t>
      </w:r>
      <w:r>
        <w:t> </w:t>
      </w:r>
      <w:r w:rsidRPr="001C06E6">
        <w:t>2017. This discretion will apply to individuals, small businesses and not</w:t>
      </w:r>
      <w:r>
        <w:noBreakHyphen/>
      </w:r>
      <w:r w:rsidRPr="001C06E6">
        <w:t>for</w:t>
      </w:r>
      <w:r>
        <w:noBreakHyphen/>
      </w:r>
      <w:r w:rsidRPr="001C06E6">
        <w:t>profits, and will maintain the Commissioner’s current administrative approach.</w:t>
      </w:r>
      <w:r>
        <w:t xml:space="preserve"> </w:t>
      </w:r>
    </w:p>
    <w:p w14:paraId="00E68A84" w14:textId="14A1F086" w:rsidR="0012790E" w:rsidRDefault="0012790E">
      <w:pPr>
        <w:pStyle w:val="Normal2"/>
        <w:rPr>
          <w:rFonts w:cs="Book Antiqua"/>
        </w:rPr>
      </w:pPr>
      <w:r w:rsidRPr="001C06E6">
        <w:rPr>
          <w:rFonts w:cs="Book Antiqua"/>
        </w:rPr>
        <w:t>These changes will decrease receipts by $158.7</w:t>
      </w:r>
      <w:r>
        <w:rPr>
          <w:rFonts w:cs="Book Antiqua"/>
        </w:rPr>
        <w:t> </w:t>
      </w:r>
      <w:r w:rsidRPr="001C06E6">
        <w:rPr>
          <w:rFonts w:cs="Book Antiqua"/>
        </w:rPr>
        <w:t>million and increase payments by</w:t>
      </w:r>
      <w:r>
        <w:rPr>
          <w:rFonts w:cs="Book Antiqua"/>
        </w:rPr>
        <w:t xml:space="preserve"> </w:t>
      </w:r>
      <w:r w:rsidRPr="001C06E6">
        <w:rPr>
          <w:rFonts w:cs="Book Antiqua"/>
        </w:rPr>
        <w:t>$122.3</w:t>
      </w:r>
      <w:r>
        <w:rPr>
          <w:rFonts w:cs="Book Antiqua"/>
        </w:rPr>
        <w:t> </w:t>
      </w:r>
      <w:r w:rsidRPr="001C06E6">
        <w:rPr>
          <w:rFonts w:cs="Book Antiqua"/>
        </w:rPr>
        <w:t xml:space="preserve">million over the </w:t>
      </w:r>
      <w:r w:rsidR="00900FA2">
        <w:rPr>
          <w:rFonts w:cs="Book Antiqua"/>
        </w:rPr>
        <w:t>5</w:t>
      </w:r>
      <w:r w:rsidR="00900FA2" w:rsidRPr="001C06E6">
        <w:rPr>
          <w:rFonts w:cs="Book Antiqua"/>
        </w:rPr>
        <w:t xml:space="preserve"> </w:t>
      </w:r>
      <w:r w:rsidRPr="001C06E6">
        <w:rPr>
          <w:rFonts w:cs="Book Antiqua"/>
        </w:rPr>
        <w:t xml:space="preserve">years from </w:t>
      </w:r>
      <w:r>
        <w:rPr>
          <w:rFonts w:cs="Book Antiqua"/>
        </w:rPr>
        <w:t>2023–24</w:t>
      </w:r>
      <w:r w:rsidRPr="001C06E6">
        <w:rPr>
          <w:rFonts w:cs="Book Antiqua"/>
        </w:rPr>
        <w:t>.</w:t>
      </w:r>
      <w:r>
        <w:rPr>
          <w:rFonts w:cs="Book Antiqua"/>
        </w:rPr>
        <w:t xml:space="preserve"> </w:t>
      </w:r>
    </w:p>
    <w:p w14:paraId="275C8DB2" w14:textId="210200C2" w:rsidR="0012790E" w:rsidRPr="001C06E6" w:rsidRDefault="0012790E">
      <w:pPr>
        <w:pStyle w:val="MeasureTitle"/>
        <w:rPr>
          <w:b w:val="0"/>
          <w:bCs/>
        </w:rPr>
      </w:pPr>
      <w:r w:rsidRPr="001C06E6">
        <w:rPr>
          <w:bCs/>
        </w:rPr>
        <w:t>Personal Income Tax – Cost of Living – increasing the Medicare levy low</w:t>
      </w:r>
      <w:r w:rsidR="000F470F">
        <w:rPr>
          <w:b w:val="0"/>
          <w:bCs/>
        </w:rPr>
        <w:noBreakHyphen/>
      </w:r>
      <w:r w:rsidRPr="001C06E6">
        <w:rPr>
          <w:bCs/>
        </w:rPr>
        <w:t>income thresholds</w:t>
      </w:r>
    </w:p>
    <w:p w14:paraId="24B4B1CB" w14:textId="77777777" w:rsidR="0012790E" w:rsidRPr="001C06E6" w:rsidRDefault="0012790E">
      <w:pPr>
        <w:pStyle w:val="MeasureTableHeading"/>
      </w:pPr>
      <w:r w:rsidRPr="001C06E6">
        <w:rPr>
          <w:color w:val="000000"/>
          <w:szCs w:val="16"/>
        </w:rPr>
        <w:t>Receipts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EC8E116" w14:textId="77777777">
        <w:tc>
          <w:tcPr>
            <w:tcW w:w="2497" w:type="dxa"/>
            <w:tcBorders>
              <w:top w:val="single" w:sz="4" w:space="0" w:color="293F5B"/>
              <w:bottom w:val="single" w:sz="4" w:space="0" w:color="293F5B"/>
            </w:tcBorders>
            <w:shd w:val="clear" w:color="auto" w:fill="auto"/>
          </w:tcPr>
          <w:p w14:paraId="43158CB4"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CC3B051"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A4FEA31"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6D840AE"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13615C0"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2ED259E" w14:textId="77777777" w:rsidR="0012790E" w:rsidRPr="001C06E6" w:rsidRDefault="0012790E">
            <w:pPr>
              <w:pStyle w:val="MeasureTableYearHeadings"/>
              <w:keepNext/>
            </w:pPr>
            <w:r w:rsidRPr="001C06E6">
              <w:t>2027</w:t>
            </w:r>
            <w:r>
              <w:noBreakHyphen/>
            </w:r>
            <w:r w:rsidRPr="001C06E6">
              <w:t>28</w:t>
            </w:r>
          </w:p>
        </w:tc>
      </w:tr>
      <w:tr w:rsidR="0012790E" w:rsidRPr="001C06E6" w14:paraId="4EDD4790" w14:textId="77777777">
        <w:tc>
          <w:tcPr>
            <w:tcW w:w="2497" w:type="dxa"/>
            <w:tcBorders>
              <w:top w:val="single" w:sz="4" w:space="0" w:color="293F5B"/>
              <w:bottom w:val="single" w:sz="4" w:space="0" w:color="293F5B"/>
            </w:tcBorders>
            <w:shd w:val="clear" w:color="auto" w:fill="auto"/>
          </w:tcPr>
          <w:p w14:paraId="6B6FE14B"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3E22E9B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C6C6C6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687158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752277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5C12CB7" w14:textId="77777777" w:rsidR="0012790E" w:rsidRPr="001C06E6" w:rsidRDefault="0012790E">
            <w:pPr>
              <w:pStyle w:val="MeasureTableDataRightAlignedwith2ptsspacing"/>
              <w:keepNext/>
            </w:pPr>
            <w:r w:rsidRPr="001C06E6">
              <w:t>-</w:t>
            </w:r>
          </w:p>
        </w:tc>
      </w:tr>
    </w:tbl>
    <w:p w14:paraId="1A0F4C69"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57F31D9A" w14:textId="77777777" w:rsidR="0012790E" w:rsidRDefault="0012790E" w:rsidP="54937204">
      <w:pPr>
        <w:pStyle w:val="Normal2"/>
        <w:rPr>
          <w:rFonts w:cs="Book Antiqua"/>
          <w:lang w:val="en-US"/>
        </w:rPr>
      </w:pPr>
      <w:r w:rsidRPr="54937204">
        <w:rPr>
          <w:rFonts w:cs="Book Antiqua"/>
          <w:lang w:val="en-US"/>
        </w:rPr>
        <w:t>The Government has increased the Medicare levy low</w:t>
      </w:r>
      <w:r>
        <w:rPr>
          <w:rFonts w:cs="Book Antiqua"/>
        </w:rPr>
        <w:noBreakHyphen/>
      </w:r>
      <w:r w:rsidRPr="54937204">
        <w:rPr>
          <w:rFonts w:cs="Book Antiqua"/>
          <w:lang w:val="en-US"/>
        </w:rPr>
        <w:t>income thresholds for singles, families, and seniors and pensioners from 1 July 2023 to provide cost</w:t>
      </w:r>
      <w:r>
        <w:rPr>
          <w:rFonts w:cs="Book Antiqua"/>
        </w:rPr>
        <w:noBreakHyphen/>
      </w:r>
      <w:r w:rsidRPr="54937204">
        <w:rPr>
          <w:rFonts w:cs="Book Antiqua"/>
          <w:lang w:val="en-US"/>
        </w:rPr>
        <w:t>of</w:t>
      </w:r>
      <w:r>
        <w:rPr>
          <w:rFonts w:cs="Book Antiqua"/>
        </w:rPr>
        <w:noBreakHyphen/>
      </w:r>
      <w:r w:rsidRPr="54937204">
        <w:rPr>
          <w:rFonts w:cs="Book Antiqua"/>
          <w:lang w:val="en-US"/>
        </w:rPr>
        <w:t xml:space="preserve">living relief. The increase to the thresholds ensures that low income individuals continue to be exempt from paying the Medicare levy or pay a reduced levy rate. </w:t>
      </w:r>
    </w:p>
    <w:p w14:paraId="24C38566" w14:textId="77777777" w:rsidR="0012790E" w:rsidRDefault="0012790E" w:rsidP="54937204">
      <w:pPr>
        <w:pStyle w:val="Normal2"/>
        <w:rPr>
          <w:rFonts w:cs="Book Antiqua"/>
          <w:lang w:val="en-US"/>
        </w:rPr>
      </w:pPr>
      <w:r w:rsidRPr="54937204">
        <w:rPr>
          <w:rFonts w:cs="Book Antiqua"/>
          <w:lang w:val="en-US"/>
        </w:rPr>
        <w:t xml:space="preserve">The increase to the thresholds accounts for recent annual CPI outcomes and is estimated to decrease receipts by $640 million over the four years to 2026–27. </w:t>
      </w:r>
    </w:p>
    <w:p w14:paraId="7BE15578" w14:textId="77777777" w:rsidR="0012790E" w:rsidRDefault="0012790E">
      <w:pPr>
        <w:pStyle w:val="Normal2"/>
        <w:rPr>
          <w:rFonts w:cs="Book Antiqua"/>
        </w:rPr>
      </w:pPr>
      <w:r w:rsidRPr="001C06E6">
        <w:rPr>
          <w:rFonts w:cs="Book Antiqua"/>
        </w:rPr>
        <w:t>The threshold for singles has been increased from $24,276 to $26,000. The family</w:t>
      </w:r>
      <w:r>
        <w:rPr>
          <w:rFonts w:cs="Book Antiqua"/>
        </w:rPr>
        <w:t xml:space="preserve"> </w:t>
      </w:r>
      <w:r w:rsidRPr="001C06E6">
        <w:rPr>
          <w:rFonts w:cs="Book Antiqua"/>
        </w:rPr>
        <w:t>threshold has been increased from $40,939 to $43,846. For single seniors and</w:t>
      </w:r>
      <w:r>
        <w:rPr>
          <w:rFonts w:cs="Book Antiqua"/>
        </w:rPr>
        <w:t xml:space="preserve"> </w:t>
      </w:r>
      <w:r w:rsidRPr="001C06E6">
        <w:rPr>
          <w:rFonts w:cs="Book Antiqua"/>
        </w:rPr>
        <w:t>pensioners, the threshold has been increased from $38,365 to $41,089. The family</w:t>
      </w:r>
      <w:r>
        <w:rPr>
          <w:rFonts w:cs="Book Antiqua"/>
        </w:rPr>
        <w:t xml:space="preserve"> </w:t>
      </w:r>
      <w:r w:rsidRPr="001C06E6">
        <w:rPr>
          <w:rFonts w:cs="Book Antiqua"/>
        </w:rPr>
        <w:t>threshold for seniors and pensioners has been increased from $53,406 to $57,198.</w:t>
      </w:r>
      <w:r>
        <w:rPr>
          <w:rFonts w:cs="Book Antiqua"/>
        </w:rPr>
        <w:t xml:space="preserve"> </w:t>
      </w:r>
      <w:r w:rsidRPr="001C06E6">
        <w:rPr>
          <w:rFonts w:cs="Book Antiqua"/>
        </w:rPr>
        <w:t>The family income thresholds will now increase by $4,027 for each dependent child,</w:t>
      </w:r>
      <w:r>
        <w:rPr>
          <w:rFonts w:cs="Book Antiqua"/>
        </w:rPr>
        <w:t xml:space="preserve"> </w:t>
      </w:r>
      <w:r w:rsidRPr="001C06E6">
        <w:rPr>
          <w:rFonts w:cs="Book Antiqua"/>
        </w:rPr>
        <w:t>up from $3,760.</w:t>
      </w:r>
      <w:r>
        <w:rPr>
          <w:rFonts w:cs="Book Antiqua"/>
        </w:rPr>
        <w:t xml:space="preserve"> </w:t>
      </w:r>
    </w:p>
    <w:p w14:paraId="0E98DE5F" w14:textId="77777777" w:rsidR="0012790E" w:rsidRDefault="0012790E">
      <w:pPr>
        <w:pStyle w:val="Normal2"/>
        <w:rPr>
          <w:rFonts w:cs="Book Antiqua"/>
        </w:rPr>
      </w:pPr>
      <w:r w:rsidRPr="001C06E6">
        <w:rPr>
          <w:rFonts w:cs="Book Antiqua"/>
        </w:rPr>
        <w:t>This measure has already been provisioned for by the Government.</w:t>
      </w:r>
      <w:r>
        <w:rPr>
          <w:rFonts w:cs="Book Antiqua"/>
        </w:rPr>
        <w:t xml:space="preserve"> </w:t>
      </w:r>
    </w:p>
    <w:p w14:paraId="1997AD11" w14:textId="77777777" w:rsidR="0012790E" w:rsidRPr="001C06E6" w:rsidRDefault="0012790E">
      <w:pPr>
        <w:pStyle w:val="MeasureTitle"/>
        <w:rPr>
          <w:b w:val="0"/>
          <w:bCs/>
        </w:rPr>
      </w:pPr>
      <w:r w:rsidRPr="001C06E6">
        <w:rPr>
          <w:bCs/>
        </w:rPr>
        <w:t>Personal Income Tax – Cost of Living Tax Cuts</w:t>
      </w:r>
    </w:p>
    <w:p w14:paraId="6AD734BF" w14:textId="77777777" w:rsidR="0012790E" w:rsidRPr="001C06E6" w:rsidRDefault="0012790E">
      <w:pPr>
        <w:pStyle w:val="MeasureTableHeading"/>
      </w:pPr>
      <w:r w:rsidRPr="001C06E6">
        <w:rPr>
          <w:color w:val="000000"/>
          <w:szCs w:val="16"/>
        </w:rPr>
        <w:t>Receipts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B53B737" w14:textId="77777777">
        <w:tc>
          <w:tcPr>
            <w:tcW w:w="2497" w:type="dxa"/>
            <w:tcBorders>
              <w:top w:val="single" w:sz="4" w:space="0" w:color="293F5B"/>
              <w:bottom w:val="single" w:sz="4" w:space="0" w:color="293F5B"/>
            </w:tcBorders>
            <w:shd w:val="clear" w:color="auto" w:fill="auto"/>
          </w:tcPr>
          <w:p w14:paraId="5D0F7FD7"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36A85012"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2148AC4"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91C854E"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632BDCD"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3A851B8" w14:textId="77777777" w:rsidR="0012790E" w:rsidRPr="001C06E6" w:rsidRDefault="0012790E">
            <w:pPr>
              <w:pStyle w:val="MeasureTableYearHeadings"/>
              <w:keepNext/>
            </w:pPr>
            <w:r w:rsidRPr="001C06E6">
              <w:t>2027</w:t>
            </w:r>
            <w:r>
              <w:noBreakHyphen/>
            </w:r>
            <w:r w:rsidRPr="001C06E6">
              <w:t>28</w:t>
            </w:r>
          </w:p>
        </w:tc>
      </w:tr>
      <w:tr w:rsidR="0012790E" w:rsidRPr="001C06E6" w14:paraId="358A5F6B" w14:textId="77777777">
        <w:tc>
          <w:tcPr>
            <w:tcW w:w="2497" w:type="dxa"/>
            <w:tcBorders>
              <w:top w:val="single" w:sz="4" w:space="0" w:color="293F5B"/>
              <w:bottom w:val="single" w:sz="4" w:space="0" w:color="293F5B"/>
            </w:tcBorders>
            <w:shd w:val="clear" w:color="auto" w:fill="auto"/>
          </w:tcPr>
          <w:p w14:paraId="15A89BBD"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006B649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2FE16BF" w14:textId="77777777" w:rsidR="0012790E" w:rsidRPr="001C06E6" w:rsidRDefault="0012790E">
            <w:pPr>
              <w:pStyle w:val="MeasureTableDataRightAlignedwith2ptsspacing"/>
              <w:keepNext/>
            </w:pPr>
            <w:r w:rsidRPr="001C06E6">
              <w:t>1,260.0</w:t>
            </w:r>
          </w:p>
        </w:tc>
        <w:tc>
          <w:tcPr>
            <w:tcW w:w="1045" w:type="dxa"/>
            <w:tcBorders>
              <w:top w:val="single" w:sz="4" w:space="0" w:color="293F5B"/>
              <w:bottom w:val="single" w:sz="4" w:space="0" w:color="293F5B"/>
            </w:tcBorders>
            <w:shd w:val="clear" w:color="auto" w:fill="auto"/>
          </w:tcPr>
          <w:p w14:paraId="58BB71D5" w14:textId="77777777" w:rsidR="0012790E" w:rsidRPr="001C06E6" w:rsidRDefault="0012790E">
            <w:pPr>
              <w:pStyle w:val="MeasureTableDataRightAlignedwith2ptsspacing"/>
              <w:keepNext/>
            </w:pPr>
            <w:r w:rsidRPr="001C06E6">
              <w:t>-1,630.0</w:t>
            </w:r>
          </w:p>
        </w:tc>
        <w:tc>
          <w:tcPr>
            <w:tcW w:w="1045" w:type="dxa"/>
            <w:tcBorders>
              <w:top w:val="single" w:sz="4" w:space="0" w:color="293F5B"/>
              <w:bottom w:val="single" w:sz="4" w:space="0" w:color="293F5B"/>
            </w:tcBorders>
            <w:shd w:val="clear" w:color="auto" w:fill="auto"/>
          </w:tcPr>
          <w:p w14:paraId="2A0AD28F" w14:textId="77777777" w:rsidR="0012790E" w:rsidRPr="001C06E6" w:rsidRDefault="0012790E">
            <w:pPr>
              <w:pStyle w:val="MeasureTableDataRightAlignedwith2ptsspacing"/>
              <w:keepNext/>
            </w:pPr>
            <w:r w:rsidRPr="001C06E6">
              <w:t>-920.0</w:t>
            </w:r>
          </w:p>
        </w:tc>
        <w:tc>
          <w:tcPr>
            <w:tcW w:w="1045" w:type="dxa"/>
            <w:tcBorders>
              <w:top w:val="single" w:sz="4" w:space="0" w:color="293F5B"/>
              <w:bottom w:val="single" w:sz="4" w:space="0" w:color="293F5B"/>
            </w:tcBorders>
            <w:shd w:val="clear" w:color="auto" w:fill="auto"/>
          </w:tcPr>
          <w:p w14:paraId="7C3C6F65" w14:textId="77777777" w:rsidR="0012790E" w:rsidRPr="001C06E6" w:rsidRDefault="0012790E">
            <w:pPr>
              <w:pStyle w:val="MeasureTableDataRightAlignedwith2ptsspacing"/>
              <w:keepNext/>
            </w:pPr>
            <w:r w:rsidRPr="001C06E6">
              <w:t>-10.0</w:t>
            </w:r>
          </w:p>
        </w:tc>
      </w:tr>
    </w:tbl>
    <w:p w14:paraId="187B4ABD"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4CEEF759" w14:textId="77777777" w:rsidR="0012790E" w:rsidRDefault="0012790E">
      <w:pPr>
        <w:pStyle w:val="Normal2"/>
        <w:rPr>
          <w:rFonts w:cs="Book Antiqua"/>
        </w:rPr>
      </w:pPr>
      <w:r w:rsidRPr="001C06E6">
        <w:rPr>
          <w:rFonts w:cs="Book Antiqua"/>
        </w:rPr>
        <w:t>The Government has legislated permanent tax cuts for all 13.6</w:t>
      </w:r>
      <w:r>
        <w:rPr>
          <w:rFonts w:cs="Book Antiqua"/>
        </w:rPr>
        <w:t> </w:t>
      </w:r>
      <w:r w:rsidRPr="001C06E6">
        <w:rPr>
          <w:rFonts w:cs="Book Antiqua"/>
        </w:rPr>
        <w:t>million Australian</w:t>
      </w:r>
      <w:r>
        <w:rPr>
          <w:rFonts w:cs="Book Antiqua"/>
        </w:rPr>
        <w:t xml:space="preserve"> </w:t>
      </w:r>
      <w:r w:rsidRPr="001C06E6">
        <w:rPr>
          <w:rFonts w:cs="Book Antiqua"/>
        </w:rPr>
        <w:t>taxpayers from 1</w:t>
      </w:r>
      <w:r>
        <w:rPr>
          <w:rFonts w:cs="Book Antiqua"/>
        </w:rPr>
        <w:t> </w:t>
      </w:r>
      <w:r w:rsidRPr="001C06E6">
        <w:rPr>
          <w:rFonts w:cs="Book Antiqua"/>
        </w:rPr>
        <w:t>July</w:t>
      </w:r>
      <w:r>
        <w:rPr>
          <w:rFonts w:cs="Book Antiqua"/>
        </w:rPr>
        <w:t> </w:t>
      </w:r>
      <w:r w:rsidRPr="001C06E6">
        <w:rPr>
          <w:rFonts w:cs="Book Antiqua"/>
        </w:rPr>
        <w:t>2024.</w:t>
      </w:r>
      <w:r>
        <w:rPr>
          <w:rFonts w:cs="Book Antiqua"/>
        </w:rPr>
        <w:t xml:space="preserve"> </w:t>
      </w:r>
    </w:p>
    <w:p w14:paraId="0693DE23" w14:textId="77777777" w:rsidR="0012790E" w:rsidRDefault="0012790E" w:rsidP="54937204">
      <w:pPr>
        <w:pStyle w:val="Normal2"/>
        <w:rPr>
          <w:rFonts w:cs="Book Antiqua"/>
          <w:lang w:val="en-US"/>
        </w:rPr>
      </w:pPr>
      <w:r w:rsidRPr="54937204">
        <w:rPr>
          <w:rFonts w:cs="Book Antiqua"/>
          <w:lang w:val="en-US"/>
        </w:rPr>
        <w:t>The tax cuts provide cost</w:t>
      </w:r>
      <w:r>
        <w:rPr>
          <w:rFonts w:cs="Book Antiqua"/>
        </w:rPr>
        <w:noBreakHyphen/>
      </w:r>
      <w:r w:rsidRPr="54937204">
        <w:rPr>
          <w:rFonts w:cs="Book Antiqua"/>
          <w:lang w:val="en-US"/>
        </w:rPr>
        <w:t>of</w:t>
      </w:r>
      <w:r>
        <w:rPr>
          <w:rFonts w:cs="Book Antiqua"/>
        </w:rPr>
        <w:noBreakHyphen/>
      </w:r>
      <w:r w:rsidRPr="54937204">
        <w:rPr>
          <w:rFonts w:cs="Book Antiqua"/>
          <w:lang w:val="en-US"/>
        </w:rPr>
        <w:t xml:space="preserve">living relief, return bracket creep, support women and boost labour supply. </w:t>
      </w:r>
    </w:p>
    <w:p w14:paraId="71BD9F28" w14:textId="77777777" w:rsidR="0012790E" w:rsidRDefault="0012790E" w:rsidP="006F10F3">
      <w:pPr>
        <w:pStyle w:val="Normal2"/>
        <w:keepNext/>
        <w:keepLines/>
        <w:rPr>
          <w:rFonts w:cs="Book Antiqua"/>
          <w:lang w:val="en-US"/>
        </w:rPr>
      </w:pPr>
      <w:r w:rsidRPr="54937204">
        <w:rPr>
          <w:rFonts w:cs="Book Antiqua"/>
          <w:lang w:val="en-US"/>
        </w:rPr>
        <w:lastRenderedPageBreak/>
        <w:t xml:space="preserve">The Government’s tax changes provide bigger tax cuts for more taxpayers, delivering </w:t>
      </w:r>
      <w:r w:rsidRPr="006F10F3">
        <w:rPr>
          <w:rFonts w:cs="Book Antiqua"/>
          <w:spacing w:val="-2"/>
          <w:lang w:val="en-US"/>
        </w:rPr>
        <w:t>meaningful cost</w:t>
      </w:r>
      <w:r w:rsidRPr="006F10F3">
        <w:rPr>
          <w:rFonts w:cs="Book Antiqua"/>
          <w:spacing w:val="-2"/>
        </w:rPr>
        <w:noBreakHyphen/>
      </w:r>
      <w:r w:rsidRPr="006F10F3">
        <w:rPr>
          <w:rFonts w:cs="Book Antiqua"/>
          <w:spacing w:val="-2"/>
          <w:lang w:val="en-US"/>
        </w:rPr>
        <w:t>of</w:t>
      </w:r>
      <w:r w:rsidRPr="006F10F3">
        <w:rPr>
          <w:rFonts w:cs="Book Antiqua"/>
          <w:spacing w:val="-2"/>
        </w:rPr>
        <w:noBreakHyphen/>
      </w:r>
      <w:r w:rsidRPr="006F10F3">
        <w:rPr>
          <w:rFonts w:cs="Book Antiqua"/>
          <w:spacing w:val="-2"/>
          <w:lang w:val="en-US"/>
        </w:rPr>
        <w:t>living relief to middle Australia without adding to inflationary pressures.</w:t>
      </w:r>
      <w:r w:rsidRPr="54937204">
        <w:rPr>
          <w:rFonts w:cs="Book Antiqua"/>
          <w:lang w:val="en-US"/>
        </w:rPr>
        <w:t xml:space="preserve"> </w:t>
      </w:r>
    </w:p>
    <w:p w14:paraId="128FB573" w14:textId="77777777" w:rsidR="0012790E" w:rsidRDefault="0012790E" w:rsidP="006F10F3">
      <w:pPr>
        <w:pStyle w:val="Normal2"/>
        <w:keepNext/>
        <w:keepLines/>
        <w:rPr>
          <w:rFonts w:cs="Book Antiqua"/>
          <w:lang w:val="en-US"/>
        </w:rPr>
      </w:pPr>
      <w:r w:rsidRPr="54937204">
        <w:rPr>
          <w:rFonts w:cs="Book Antiqua"/>
          <w:lang w:val="en-US"/>
        </w:rPr>
        <w:t>Under the Government’s tax cuts, from 2024–25:</w:t>
      </w:r>
    </w:p>
    <w:p w14:paraId="2E30B041" w14:textId="2394FE00" w:rsidR="0012790E" w:rsidRDefault="0012790E">
      <w:pPr>
        <w:pStyle w:val="Bullet"/>
      </w:pPr>
      <w:r w:rsidRPr="001C06E6">
        <w:t>the 19 per cent tax rate will be reduced to 16 per cent</w:t>
      </w:r>
      <w:r>
        <w:t xml:space="preserve"> </w:t>
      </w:r>
    </w:p>
    <w:p w14:paraId="1CE67F4A" w14:textId="25E11E1E" w:rsidR="0012790E" w:rsidRDefault="0012790E">
      <w:pPr>
        <w:pStyle w:val="Bullet"/>
      </w:pPr>
      <w:r w:rsidRPr="001C06E6">
        <w:t>the 32.5 per cent tax rate will be reduced to 30 per cent</w:t>
      </w:r>
      <w:r>
        <w:t xml:space="preserve"> </w:t>
      </w:r>
    </w:p>
    <w:p w14:paraId="51ADECE9" w14:textId="484D2FC0" w:rsidR="0012790E" w:rsidRDefault="0012790E">
      <w:pPr>
        <w:pStyle w:val="Bullet"/>
      </w:pPr>
      <w:r w:rsidRPr="001C06E6">
        <w:t>the income threshold above which the 37 per cent tax rate applies will be increased from $120,000 to $135,000</w:t>
      </w:r>
      <w:r>
        <w:t xml:space="preserve"> </w:t>
      </w:r>
    </w:p>
    <w:p w14:paraId="186674DF" w14:textId="77777777" w:rsidR="0012790E" w:rsidRDefault="0012790E">
      <w:pPr>
        <w:pStyle w:val="Bullet"/>
      </w:pPr>
      <w:r w:rsidRPr="001C06E6">
        <w:t>the income threshold above which the 45 per cent tax rate applies will be increased from $180,000 to $190,000.</w:t>
      </w:r>
      <w:r>
        <w:t xml:space="preserve"> </w:t>
      </w:r>
    </w:p>
    <w:p w14:paraId="2D9E5AC4" w14:textId="77777777" w:rsidR="0012790E" w:rsidRDefault="0012790E" w:rsidP="54937204">
      <w:pPr>
        <w:pStyle w:val="Normal2"/>
        <w:rPr>
          <w:rFonts w:cs="Book Antiqua"/>
          <w:lang w:val="en-US"/>
        </w:rPr>
      </w:pPr>
      <w:r w:rsidRPr="54937204">
        <w:rPr>
          <w:rFonts w:cs="Book Antiqua"/>
          <w:lang w:val="en-US"/>
        </w:rPr>
        <w:t xml:space="preserve">This measure is estimated to decrease receipts by $1.3 billion over the 5 years from 2023–24. </w:t>
      </w:r>
    </w:p>
    <w:p w14:paraId="2F0CDD2F" w14:textId="77777777" w:rsidR="0012790E" w:rsidRPr="001C06E6" w:rsidRDefault="0012790E">
      <w:pPr>
        <w:pStyle w:val="MeasureTitle"/>
        <w:rPr>
          <w:b w:val="0"/>
          <w:bCs/>
        </w:rPr>
      </w:pPr>
      <w:r w:rsidRPr="001C06E6">
        <w:rPr>
          <w:bCs/>
        </w:rPr>
        <w:t>Philanthropy – updates to the list of specifically listed deductible gift recipients</w:t>
      </w:r>
    </w:p>
    <w:p w14:paraId="1B8E0E99" w14:textId="77777777" w:rsidR="0012790E" w:rsidRPr="001C06E6" w:rsidRDefault="0012790E">
      <w:pPr>
        <w:pStyle w:val="MeasureTableHeading"/>
      </w:pPr>
      <w:r w:rsidRPr="001C06E6">
        <w:rPr>
          <w:color w:val="000000"/>
          <w:szCs w:val="16"/>
        </w:rPr>
        <w:t>Receipts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C2CCDBE" w14:textId="77777777">
        <w:tc>
          <w:tcPr>
            <w:tcW w:w="2497" w:type="dxa"/>
            <w:tcBorders>
              <w:top w:val="single" w:sz="4" w:space="0" w:color="293F5B"/>
              <w:bottom w:val="single" w:sz="4" w:space="0" w:color="293F5B"/>
            </w:tcBorders>
            <w:shd w:val="clear" w:color="auto" w:fill="auto"/>
          </w:tcPr>
          <w:p w14:paraId="33D2B1B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34F9754E"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115FC6A"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23814880"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1C70FBF"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CB3E389" w14:textId="77777777" w:rsidR="0012790E" w:rsidRPr="001C06E6" w:rsidRDefault="0012790E">
            <w:pPr>
              <w:pStyle w:val="MeasureTableYearHeadings"/>
              <w:keepNext/>
            </w:pPr>
            <w:r w:rsidRPr="001C06E6">
              <w:t>2027</w:t>
            </w:r>
            <w:r>
              <w:noBreakHyphen/>
            </w:r>
            <w:r w:rsidRPr="001C06E6">
              <w:t>28</w:t>
            </w:r>
          </w:p>
        </w:tc>
      </w:tr>
      <w:tr w:rsidR="0012790E" w:rsidRPr="001C06E6" w14:paraId="0695245B" w14:textId="77777777">
        <w:tc>
          <w:tcPr>
            <w:tcW w:w="2497" w:type="dxa"/>
            <w:tcBorders>
              <w:top w:val="single" w:sz="4" w:space="0" w:color="293F5B"/>
              <w:bottom w:val="single" w:sz="4" w:space="0" w:color="293F5B"/>
            </w:tcBorders>
            <w:shd w:val="clear" w:color="auto" w:fill="auto"/>
          </w:tcPr>
          <w:p w14:paraId="3DDDDD19"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0377D13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6A1E93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C7DED8E" w14:textId="77777777" w:rsidR="0012790E" w:rsidRPr="001C06E6" w:rsidRDefault="0012790E">
            <w:pPr>
              <w:pStyle w:val="MeasureTableDataRightAlignedwith2ptsspacing"/>
              <w:keepNext/>
            </w:pPr>
            <w:r w:rsidRPr="001C06E6">
              <w:t>-1.1</w:t>
            </w:r>
          </w:p>
        </w:tc>
        <w:tc>
          <w:tcPr>
            <w:tcW w:w="1045" w:type="dxa"/>
            <w:tcBorders>
              <w:top w:val="single" w:sz="4" w:space="0" w:color="293F5B"/>
              <w:bottom w:val="single" w:sz="4" w:space="0" w:color="293F5B"/>
            </w:tcBorders>
            <w:shd w:val="clear" w:color="auto" w:fill="auto"/>
          </w:tcPr>
          <w:p w14:paraId="760F27FD" w14:textId="77777777" w:rsidR="0012790E" w:rsidRPr="001C06E6" w:rsidRDefault="0012790E">
            <w:pPr>
              <w:pStyle w:val="MeasureTableDataRightAlignedwith2ptsspacing"/>
              <w:keepNext/>
            </w:pPr>
            <w:r w:rsidRPr="001C06E6">
              <w:t>-0.9</w:t>
            </w:r>
          </w:p>
        </w:tc>
        <w:tc>
          <w:tcPr>
            <w:tcW w:w="1045" w:type="dxa"/>
            <w:tcBorders>
              <w:top w:val="single" w:sz="4" w:space="0" w:color="293F5B"/>
              <w:bottom w:val="single" w:sz="4" w:space="0" w:color="293F5B"/>
            </w:tcBorders>
            <w:shd w:val="clear" w:color="auto" w:fill="auto"/>
          </w:tcPr>
          <w:p w14:paraId="3E7E1916" w14:textId="77777777" w:rsidR="0012790E" w:rsidRPr="001C06E6" w:rsidRDefault="0012790E">
            <w:pPr>
              <w:pStyle w:val="MeasureTableDataRightAlignedwith2ptsspacing"/>
              <w:keepNext/>
            </w:pPr>
            <w:r w:rsidRPr="001C06E6">
              <w:t>-1.0</w:t>
            </w:r>
          </w:p>
        </w:tc>
      </w:tr>
    </w:tbl>
    <w:p w14:paraId="22A075DA"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00D5E7EB" w14:textId="77777777" w:rsidR="0012790E" w:rsidRDefault="0012790E" w:rsidP="54937204">
      <w:pPr>
        <w:pStyle w:val="Normal2"/>
        <w:rPr>
          <w:rFonts w:cs="Book Antiqua"/>
          <w:lang w:val="en-US"/>
        </w:rPr>
      </w:pPr>
      <w:r w:rsidRPr="54937204">
        <w:rPr>
          <w:rFonts w:cs="Book Antiqua"/>
          <w:lang w:val="en-US"/>
        </w:rPr>
        <w:t>The Government will amend the tax law to specifically list the following organisations as deductible gift recipients (DGRs):</w:t>
      </w:r>
    </w:p>
    <w:p w14:paraId="292ECCEF" w14:textId="77777777" w:rsidR="0012790E" w:rsidRDefault="0012790E">
      <w:pPr>
        <w:pStyle w:val="Bullet"/>
      </w:pPr>
      <w:r w:rsidRPr="001C06E6">
        <w:t>The Hillview Foundation Australia Limited for gifts received from 1</w:t>
      </w:r>
      <w:r>
        <w:t> </w:t>
      </w:r>
      <w:r w:rsidRPr="001C06E6">
        <w:t>July</w:t>
      </w:r>
      <w:r>
        <w:t> </w:t>
      </w:r>
      <w:r w:rsidRPr="001C06E6">
        <w:t>2024 to 30</w:t>
      </w:r>
      <w:r>
        <w:t> </w:t>
      </w:r>
      <w:r w:rsidRPr="001C06E6">
        <w:t>June</w:t>
      </w:r>
      <w:r>
        <w:t> </w:t>
      </w:r>
      <w:r w:rsidRPr="001C06E6">
        <w:t>2029</w:t>
      </w:r>
      <w:r>
        <w:t xml:space="preserve"> </w:t>
      </w:r>
    </w:p>
    <w:p w14:paraId="0378A6E6" w14:textId="77777777" w:rsidR="0012790E" w:rsidRDefault="0012790E">
      <w:pPr>
        <w:pStyle w:val="Bullet"/>
      </w:pPr>
      <w:r w:rsidRPr="001C06E6">
        <w:t>Skip Foundation Ltd for gifts received from 1</w:t>
      </w:r>
      <w:r>
        <w:t> </w:t>
      </w:r>
      <w:r w:rsidRPr="001C06E6">
        <w:t>July</w:t>
      </w:r>
      <w:r>
        <w:t> </w:t>
      </w:r>
      <w:r w:rsidRPr="001C06E6">
        <w:t>2025 to 30</w:t>
      </w:r>
      <w:r>
        <w:t> </w:t>
      </w:r>
      <w:r w:rsidRPr="001C06E6">
        <w:t>June</w:t>
      </w:r>
      <w:r>
        <w:t> </w:t>
      </w:r>
      <w:r w:rsidRPr="001C06E6">
        <w:t>2030</w:t>
      </w:r>
      <w:r>
        <w:t xml:space="preserve"> </w:t>
      </w:r>
    </w:p>
    <w:p w14:paraId="46A77BC4" w14:textId="77777777" w:rsidR="0012790E" w:rsidRDefault="0012790E">
      <w:pPr>
        <w:pStyle w:val="Bullet"/>
      </w:pPr>
      <w:r w:rsidRPr="001C06E6">
        <w:t>Combatting Antisemitism Fund Limited for gifts received from 1</w:t>
      </w:r>
      <w:r>
        <w:t> </w:t>
      </w:r>
      <w:r w:rsidRPr="001C06E6">
        <w:t>July</w:t>
      </w:r>
      <w:r>
        <w:t> </w:t>
      </w:r>
      <w:r w:rsidRPr="001C06E6">
        <w:t>2025 to 30</w:t>
      </w:r>
      <w:r>
        <w:t> </w:t>
      </w:r>
      <w:r w:rsidRPr="001C06E6">
        <w:t>June</w:t>
      </w:r>
      <w:r>
        <w:t> </w:t>
      </w:r>
      <w:r w:rsidRPr="001C06E6">
        <w:t>2030</w:t>
      </w:r>
      <w:r>
        <w:t xml:space="preserve"> </w:t>
      </w:r>
    </w:p>
    <w:p w14:paraId="2243E4DC" w14:textId="77777777" w:rsidR="0012790E" w:rsidRDefault="0012790E">
      <w:pPr>
        <w:pStyle w:val="Normal2"/>
        <w:rPr>
          <w:rFonts w:cs="Book Antiqua"/>
        </w:rPr>
      </w:pPr>
      <w:r w:rsidRPr="001C06E6">
        <w:rPr>
          <w:rFonts w:cs="Book Antiqua"/>
        </w:rPr>
        <w:t>The Government has also approved DGR status for the Australian Muslim Advocacy</w:t>
      </w:r>
      <w:r>
        <w:rPr>
          <w:rFonts w:cs="Book Antiqua"/>
        </w:rPr>
        <w:t xml:space="preserve"> </w:t>
      </w:r>
      <w:r w:rsidRPr="001C06E6">
        <w:rPr>
          <w:rFonts w:cs="Book Antiqua"/>
        </w:rPr>
        <w:t>Network’s AMAN Foundation Ltd.</w:t>
      </w:r>
      <w:r>
        <w:rPr>
          <w:rFonts w:cs="Book Antiqua"/>
        </w:rPr>
        <w:t xml:space="preserve"> </w:t>
      </w:r>
    </w:p>
    <w:p w14:paraId="21AF9534" w14:textId="77777777" w:rsidR="0012790E" w:rsidRDefault="0012790E">
      <w:pPr>
        <w:pStyle w:val="Normal2"/>
        <w:rPr>
          <w:rFonts w:cs="Book Antiqua"/>
        </w:rPr>
      </w:pPr>
      <w:r w:rsidRPr="001C06E6">
        <w:rPr>
          <w:rFonts w:cs="Book Antiqua"/>
        </w:rPr>
        <w:t>The listing of Combatting Antisemitism Fund Limited and Skip Foundation Ltd is</w:t>
      </w:r>
      <w:r>
        <w:rPr>
          <w:rFonts w:cs="Book Antiqua"/>
        </w:rPr>
        <w:t xml:space="preserve"> </w:t>
      </w:r>
      <w:r w:rsidRPr="001C06E6">
        <w:rPr>
          <w:rFonts w:cs="Book Antiqua"/>
        </w:rPr>
        <w:t>subject to charity registration with the Australian Charities and Not</w:t>
      </w:r>
      <w:r>
        <w:rPr>
          <w:rFonts w:cs="Book Antiqua"/>
        </w:rPr>
        <w:noBreakHyphen/>
      </w:r>
      <w:r w:rsidRPr="001C06E6">
        <w:rPr>
          <w:rFonts w:cs="Book Antiqua"/>
        </w:rPr>
        <w:t>for</w:t>
      </w:r>
      <w:r>
        <w:rPr>
          <w:rFonts w:cs="Book Antiqua"/>
        </w:rPr>
        <w:noBreakHyphen/>
      </w:r>
      <w:r w:rsidRPr="001C06E6">
        <w:rPr>
          <w:rFonts w:cs="Book Antiqua"/>
        </w:rPr>
        <w:t>profits</w:t>
      </w:r>
      <w:r>
        <w:rPr>
          <w:rFonts w:cs="Book Antiqua"/>
        </w:rPr>
        <w:t xml:space="preserve"> </w:t>
      </w:r>
      <w:r w:rsidRPr="001C06E6">
        <w:rPr>
          <w:rFonts w:cs="Book Antiqua"/>
        </w:rPr>
        <w:t>Commission.</w:t>
      </w:r>
      <w:r>
        <w:rPr>
          <w:rFonts w:cs="Book Antiqua"/>
        </w:rPr>
        <w:t xml:space="preserve"> </w:t>
      </w:r>
    </w:p>
    <w:p w14:paraId="67FBB817" w14:textId="77777777" w:rsidR="0012790E" w:rsidRDefault="0012790E" w:rsidP="54937204">
      <w:pPr>
        <w:pStyle w:val="Normal2"/>
        <w:rPr>
          <w:rFonts w:cs="Book Antiqua"/>
          <w:lang w:val="en-US"/>
        </w:rPr>
      </w:pPr>
      <w:r w:rsidRPr="54937204">
        <w:rPr>
          <w:rFonts w:cs="Book Antiqua"/>
          <w:lang w:val="en-US"/>
        </w:rPr>
        <w:t xml:space="preserve">In addition, the listing of Skip Foundation Ltd is subject to the condition that DGR funds can only be used for purposes consistent with existing DGR categories in the tax law, and it will maintain minimum annual distributions consistent with the current requirements for ancillary funds. </w:t>
      </w:r>
    </w:p>
    <w:p w14:paraId="3ED24025" w14:textId="77777777" w:rsidR="0012790E" w:rsidRDefault="0012790E" w:rsidP="006F10F3">
      <w:pPr>
        <w:pStyle w:val="Normal2"/>
        <w:keepNext/>
        <w:rPr>
          <w:rFonts w:cs="Book Antiqua"/>
          <w:lang w:val="en-US"/>
        </w:rPr>
      </w:pPr>
      <w:r w:rsidRPr="54937204">
        <w:rPr>
          <w:rFonts w:cs="Book Antiqua"/>
          <w:lang w:val="en-US"/>
        </w:rPr>
        <w:lastRenderedPageBreak/>
        <w:t>The Government will also remove the following specifically listed DGRs as the organisations are no longer operating:</w:t>
      </w:r>
    </w:p>
    <w:p w14:paraId="22F39399" w14:textId="77777777" w:rsidR="0012790E" w:rsidRDefault="0012790E" w:rsidP="006F10F3">
      <w:pPr>
        <w:pStyle w:val="Bullet"/>
        <w:keepNext/>
      </w:pPr>
      <w:r w:rsidRPr="001C06E6">
        <w:t>Don Chipp Foundation Ltd</w:t>
      </w:r>
      <w:r>
        <w:t xml:space="preserve"> </w:t>
      </w:r>
    </w:p>
    <w:p w14:paraId="75722B59" w14:textId="77777777" w:rsidR="0012790E" w:rsidRDefault="0012790E">
      <w:pPr>
        <w:pStyle w:val="Bullet"/>
      </w:pPr>
      <w:r w:rsidRPr="001C06E6">
        <w:t>Ian Clunies Ross Memorial Foundation</w:t>
      </w:r>
      <w:r>
        <w:t xml:space="preserve"> </w:t>
      </w:r>
    </w:p>
    <w:p w14:paraId="37F5DC36" w14:textId="77777777" w:rsidR="0012790E" w:rsidRDefault="0012790E">
      <w:pPr>
        <w:pStyle w:val="Bullet"/>
      </w:pPr>
      <w:r w:rsidRPr="001C06E6">
        <w:t>Ian Thorpe’s Fountain for Youth</w:t>
      </w:r>
      <w:r>
        <w:t xml:space="preserve"> </w:t>
      </w:r>
    </w:p>
    <w:p w14:paraId="6E0DC63A" w14:textId="77777777" w:rsidR="0012790E" w:rsidRDefault="0012790E">
      <w:pPr>
        <w:pStyle w:val="Bullet"/>
      </w:pPr>
      <w:r w:rsidRPr="001C06E6">
        <w:t>Layne Beachley – Aim for The Stars Foundation Limited</w:t>
      </w:r>
      <w:r>
        <w:t xml:space="preserve"> </w:t>
      </w:r>
    </w:p>
    <w:p w14:paraId="217A8B45" w14:textId="77777777" w:rsidR="0012790E" w:rsidRDefault="0012790E">
      <w:pPr>
        <w:pStyle w:val="Bullet"/>
      </w:pPr>
      <w:r w:rsidRPr="001C06E6">
        <w:t>National Congress of Australia’s First Peoples Limited</w:t>
      </w:r>
      <w:r>
        <w:t xml:space="preserve"> </w:t>
      </w:r>
    </w:p>
    <w:p w14:paraId="753D94A1" w14:textId="77777777" w:rsidR="0012790E" w:rsidRDefault="0012790E">
      <w:pPr>
        <w:pStyle w:val="Bullet"/>
      </w:pPr>
      <w:r w:rsidRPr="001C06E6">
        <w:t>Sir William Tyree Foundation</w:t>
      </w:r>
      <w:r>
        <w:t xml:space="preserve"> </w:t>
      </w:r>
    </w:p>
    <w:p w14:paraId="567BD807" w14:textId="77777777" w:rsidR="0012790E" w:rsidRDefault="0012790E">
      <w:pPr>
        <w:pStyle w:val="Bullet"/>
      </w:pPr>
      <w:r w:rsidRPr="001C06E6">
        <w:t>SouthCare Helicopter Fund Pty Limited</w:t>
      </w:r>
      <w:r>
        <w:t xml:space="preserve"> </w:t>
      </w:r>
    </w:p>
    <w:p w14:paraId="681B61FA" w14:textId="4981084A" w:rsidR="0012790E" w:rsidRDefault="0012790E">
      <w:pPr>
        <w:pStyle w:val="Bullet"/>
      </w:pPr>
      <w:r w:rsidRPr="001C06E6">
        <w:t>The Lingiari Policy Centre Limited</w:t>
      </w:r>
      <w:r w:rsidR="0030318E">
        <w:t>.</w:t>
      </w:r>
      <w:r>
        <w:t xml:space="preserve"> </w:t>
      </w:r>
    </w:p>
    <w:p w14:paraId="7D8AA110" w14:textId="542DC432" w:rsidR="0012790E" w:rsidRDefault="0012790E">
      <w:pPr>
        <w:pStyle w:val="Normal2"/>
        <w:rPr>
          <w:rFonts w:cs="Book Antiqua"/>
        </w:rPr>
      </w:pPr>
      <w:r w:rsidRPr="001C06E6">
        <w:rPr>
          <w:rFonts w:cs="Book Antiqua"/>
        </w:rPr>
        <w:t xml:space="preserve">Further, the Government will remake the </w:t>
      </w:r>
      <w:r w:rsidRPr="001C06E6">
        <w:rPr>
          <w:rFonts w:cs="Book Antiqua"/>
          <w:i/>
          <w:iCs/>
        </w:rPr>
        <w:t>Australian Charities and Not</w:t>
      </w:r>
      <w:r>
        <w:rPr>
          <w:rFonts w:cs="Book Antiqua"/>
          <w:i/>
          <w:iCs/>
        </w:rPr>
        <w:noBreakHyphen/>
      </w:r>
      <w:r w:rsidRPr="001C06E6">
        <w:rPr>
          <w:rFonts w:cs="Book Antiqua"/>
          <w:i/>
          <w:iCs/>
        </w:rPr>
        <w:t>for</w:t>
      </w:r>
      <w:r>
        <w:rPr>
          <w:rFonts w:cs="Book Antiqua"/>
          <w:i/>
          <w:iCs/>
        </w:rPr>
        <w:noBreakHyphen/>
      </w:r>
      <w:r w:rsidRPr="001C06E6">
        <w:rPr>
          <w:rFonts w:cs="Book Antiqua"/>
          <w:i/>
          <w:iCs/>
        </w:rPr>
        <w:t>profits</w:t>
      </w:r>
      <w:r>
        <w:rPr>
          <w:rFonts w:cs="Book Antiqua"/>
          <w:i/>
          <w:iCs/>
        </w:rPr>
        <w:t xml:space="preserve"> </w:t>
      </w:r>
      <w:r w:rsidRPr="001C06E6">
        <w:rPr>
          <w:rFonts w:cs="Book Antiqua"/>
          <w:i/>
          <w:iCs/>
        </w:rPr>
        <w:t xml:space="preserve">Commission (Consequential and Transitional) Regulation 2016 </w:t>
      </w:r>
      <w:r w:rsidRPr="001C06E6">
        <w:rPr>
          <w:rFonts w:cs="Book Antiqua"/>
        </w:rPr>
        <w:t>with an extension of</w:t>
      </w:r>
      <w:r>
        <w:rPr>
          <w:rFonts w:cs="Book Antiqua"/>
        </w:rPr>
        <w:t xml:space="preserve"> </w:t>
      </w:r>
      <w:r w:rsidRPr="001C06E6">
        <w:rPr>
          <w:rFonts w:cs="Book Antiqua"/>
        </w:rPr>
        <w:t xml:space="preserve">the current charity transitional reporting arrangement for </w:t>
      </w:r>
      <w:r w:rsidR="005F7D00">
        <w:rPr>
          <w:rFonts w:cs="Book Antiqua"/>
        </w:rPr>
        <w:t>five</w:t>
      </w:r>
      <w:r>
        <w:rPr>
          <w:rFonts w:cs="Book Antiqua"/>
        </w:rPr>
        <w:t> </w:t>
      </w:r>
      <w:r w:rsidRPr="001C06E6">
        <w:rPr>
          <w:rFonts w:cs="Book Antiqua"/>
        </w:rPr>
        <w:t>years.</w:t>
      </w:r>
      <w:r>
        <w:rPr>
          <w:rFonts w:cs="Book Antiqua"/>
        </w:rPr>
        <w:t xml:space="preserve"> </w:t>
      </w:r>
    </w:p>
    <w:p w14:paraId="4A51DC92" w14:textId="14CE8A36" w:rsidR="0012790E" w:rsidRDefault="0012790E">
      <w:pPr>
        <w:pStyle w:val="Normal2"/>
        <w:rPr>
          <w:rFonts w:cs="Book Antiqua"/>
        </w:rPr>
      </w:pPr>
      <w:r w:rsidRPr="001C06E6">
        <w:rPr>
          <w:rFonts w:cs="Book Antiqua"/>
        </w:rPr>
        <w:t>This measure is estimated to decrease receipts by $3.0</w:t>
      </w:r>
      <w:r>
        <w:rPr>
          <w:rFonts w:cs="Book Antiqua"/>
        </w:rPr>
        <w:t> </w:t>
      </w:r>
      <w:r w:rsidRPr="001C06E6">
        <w:rPr>
          <w:rFonts w:cs="Book Antiqua"/>
        </w:rPr>
        <w:t>million over the 5</w:t>
      </w:r>
      <w:r>
        <w:rPr>
          <w:rFonts w:cs="Book Antiqua"/>
        </w:rPr>
        <w:t> </w:t>
      </w:r>
      <w:r w:rsidRPr="001C06E6">
        <w:rPr>
          <w:rFonts w:cs="Book Antiqua"/>
        </w:rPr>
        <w:t>years from</w:t>
      </w:r>
      <w:r>
        <w:rPr>
          <w:rFonts w:cs="Book Antiqua"/>
        </w:rPr>
        <w:t xml:space="preserve"> </w:t>
      </w:r>
      <w:r w:rsidR="00634633">
        <w:rPr>
          <w:rFonts w:cs="Book Antiqua"/>
        </w:rPr>
        <w:br/>
      </w:r>
      <w:r>
        <w:rPr>
          <w:rFonts w:cs="Book Antiqua"/>
        </w:rPr>
        <w:t>2023–24</w:t>
      </w:r>
      <w:r w:rsidRPr="001C06E6">
        <w:rPr>
          <w:rFonts w:cs="Book Antiqua"/>
        </w:rPr>
        <w:t>.</w:t>
      </w:r>
      <w:r>
        <w:rPr>
          <w:rFonts w:cs="Book Antiqua"/>
        </w:rPr>
        <w:t xml:space="preserve"> </w:t>
      </w:r>
    </w:p>
    <w:p w14:paraId="4187AD52" w14:textId="77777777" w:rsidR="0012790E" w:rsidRPr="001C06E6" w:rsidRDefault="0012790E" w:rsidP="54937204">
      <w:pPr>
        <w:pStyle w:val="MeasureTitle"/>
        <w:rPr>
          <w:b w:val="0"/>
          <w:lang w:val="en-US"/>
        </w:rPr>
      </w:pPr>
      <w:r w:rsidRPr="54937204">
        <w:rPr>
          <w:lang w:val="en-US"/>
        </w:rPr>
        <w:t>Small Business Support – $20,000 instant asset write</w:t>
      </w:r>
      <w:r>
        <w:rPr>
          <w:bCs/>
        </w:rPr>
        <w:noBreakHyphen/>
      </w:r>
      <w:r w:rsidRPr="54937204">
        <w:rPr>
          <w:lang w:val="en-US"/>
        </w:rPr>
        <w:t>off</w:t>
      </w:r>
    </w:p>
    <w:p w14:paraId="0D110C4B" w14:textId="77777777" w:rsidR="0012790E" w:rsidRPr="001C06E6" w:rsidRDefault="0012790E">
      <w:pPr>
        <w:pStyle w:val="MeasureTableHeading"/>
      </w:pPr>
      <w:r w:rsidRPr="001C06E6">
        <w:rPr>
          <w:color w:val="000000"/>
          <w:szCs w:val="16"/>
        </w:rPr>
        <w:t>Receipts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B96C28C" w14:textId="77777777">
        <w:tc>
          <w:tcPr>
            <w:tcW w:w="2497" w:type="dxa"/>
            <w:tcBorders>
              <w:top w:val="single" w:sz="4" w:space="0" w:color="293F5B"/>
              <w:bottom w:val="single" w:sz="4" w:space="0" w:color="293F5B"/>
            </w:tcBorders>
            <w:shd w:val="clear" w:color="auto" w:fill="auto"/>
          </w:tcPr>
          <w:p w14:paraId="62114321"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B49376F"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52E06D1F"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6C72943"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186B181"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7546440" w14:textId="77777777" w:rsidR="0012790E" w:rsidRPr="001C06E6" w:rsidRDefault="0012790E">
            <w:pPr>
              <w:pStyle w:val="MeasureTableYearHeadings"/>
              <w:keepNext/>
            </w:pPr>
            <w:r w:rsidRPr="001C06E6">
              <w:t>2027</w:t>
            </w:r>
            <w:r>
              <w:noBreakHyphen/>
            </w:r>
            <w:r w:rsidRPr="001C06E6">
              <w:t>28</w:t>
            </w:r>
          </w:p>
        </w:tc>
      </w:tr>
      <w:tr w:rsidR="0012790E" w:rsidRPr="001C06E6" w14:paraId="04D1E3CD" w14:textId="77777777">
        <w:tc>
          <w:tcPr>
            <w:tcW w:w="2497" w:type="dxa"/>
            <w:tcBorders>
              <w:top w:val="single" w:sz="4" w:space="0" w:color="293F5B"/>
              <w:bottom w:val="single" w:sz="4" w:space="0" w:color="293F5B"/>
            </w:tcBorders>
            <w:shd w:val="clear" w:color="auto" w:fill="auto"/>
          </w:tcPr>
          <w:p w14:paraId="31B2196D"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188636A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FEB662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4BADCEE" w14:textId="77777777" w:rsidR="0012790E" w:rsidRPr="001C06E6" w:rsidRDefault="0012790E">
            <w:pPr>
              <w:pStyle w:val="MeasureTableDataRightAlignedwith2ptsspacing"/>
              <w:keepNext/>
            </w:pPr>
            <w:r w:rsidRPr="001C06E6">
              <w:t>-670.0</w:t>
            </w:r>
          </w:p>
        </w:tc>
        <w:tc>
          <w:tcPr>
            <w:tcW w:w="1045" w:type="dxa"/>
            <w:tcBorders>
              <w:top w:val="single" w:sz="4" w:space="0" w:color="293F5B"/>
              <w:bottom w:val="single" w:sz="4" w:space="0" w:color="293F5B"/>
            </w:tcBorders>
            <w:shd w:val="clear" w:color="auto" w:fill="auto"/>
          </w:tcPr>
          <w:p w14:paraId="7FBA6C8D" w14:textId="77777777" w:rsidR="0012790E" w:rsidRPr="001C06E6" w:rsidRDefault="0012790E">
            <w:pPr>
              <w:pStyle w:val="MeasureTableDataRightAlignedwith2ptsspacing"/>
              <w:keepNext/>
            </w:pPr>
            <w:r w:rsidRPr="001C06E6">
              <w:t>-60.0</w:t>
            </w:r>
          </w:p>
        </w:tc>
        <w:tc>
          <w:tcPr>
            <w:tcW w:w="1045" w:type="dxa"/>
            <w:tcBorders>
              <w:top w:val="single" w:sz="4" w:space="0" w:color="293F5B"/>
              <w:bottom w:val="single" w:sz="4" w:space="0" w:color="293F5B"/>
            </w:tcBorders>
            <w:shd w:val="clear" w:color="auto" w:fill="auto"/>
          </w:tcPr>
          <w:p w14:paraId="2DE3521D" w14:textId="77777777" w:rsidR="0012790E" w:rsidRPr="001C06E6" w:rsidRDefault="0012790E">
            <w:pPr>
              <w:pStyle w:val="MeasureTableDataRightAlignedwith2ptsspacing"/>
              <w:keepNext/>
            </w:pPr>
            <w:r w:rsidRPr="001C06E6">
              <w:t>440.0</w:t>
            </w:r>
          </w:p>
        </w:tc>
      </w:tr>
    </w:tbl>
    <w:p w14:paraId="031CEAF8"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076EE81D" w14:textId="77777777" w:rsidR="0012790E" w:rsidRDefault="0012790E" w:rsidP="54937204">
      <w:pPr>
        <w:pStyle w:val="Normal2"/>
        <w:rPr>
          <w:rFonts w:cs="Book Antiqua"/>
          <w:lang w:val="en-US"/>
        </w:rPr>
      </w:pPr>
      <w:r w:rsidRPr="54937204">
        <w:rPr>
          <w:rFonts w:cs="Book Antiqua"/>
          <w:lang w:val="en-US"/>
        </w:rPr>
        <w:t>The Government will continue to improve cash flow and reduce compliance costs for small businesses by extending the $20,000 instant asset write</w:t>
      </w:r>
      <w:r>
        <w:rPr>
          <w:rFonts w:cs="Book Antiqua"/>
        </w:rPr>
        <w:noBreakHyphen/>
      </w:r>
      <w:r w:rsidRPr="54937204">
        <w:rPr>
          <w:rFonts w:cs="Book Antiqua"/>
          <w:lang w:val="en-US"/>
        </w:rPr>
        <w:t xml:space="preserve">off by 12 months until 30 June 2025. </w:t>
      </w:r>
    </w:p>
    <w:p w14:paraId="44CB66F8" w14:textId="77777777" w:rsidR="0012790E" w:rsidRDefault="0012790E" w:rsidP="54937204">
      <w:pPr>
        <w:pStyle w:val="Normal2"/>
        <w:rPr>
          <w:rFonts w:cs="Book Antiqua"/>
          <w:lang w:val="en-US"/>
        </w:rPr>
      </w:pPr>
      <w:r w:rsidRPr="54937204">
        <w:rPr>
          <w:rFonts w:cs="Book Antiqua"/>
          <w:lang w:val="en-US"/>
        </w:rPr>
        <w:t xml:space="preserve">Small businesses, with an aggregated annual turnover of less than $10 million, will continue to be able to immediately deduct the full cost of eligible assets costing less than $20,000 that are first used or installed ready for use by 30 June 2025. The asset threshold applies on a per asset basis so small businesses can instantly write off multiple assets. </w:t>
      </w:r>
    </w:p>
    <w:p w14:paraId="4A3A1F09" w14:textId="76B7AE5E" w:rsidR="0012790E" w:rsidRDefault="0012790E" w:rsidP="54937204">
      <w:pPr>
        <w:pStyle w:val="Normal2"/>
        <w:rPr>
          <w:rFonts w:cs="Book Antiqua"/>
          <w:lang w:val="en-US"/>
        </w:rPr>
      </w:pPr>
      <w:r w:rsidRPr="54937204">
        <w:rPr>
          <w:rFonts w:cs="Book Antiqua"/>
          <w:lang w:val="en-US"/>
        </w:rPr>
        <w:t>Assets valued at $20,000 or more (which cannot be immediately deducted) can continue to</w:t>
      </w:r>
      <w:r w:rsidR="00634633">
        <w:rPr>
          <w:rFonts w:cs="Book Antiqua"/>
          <w:lang w:val="en-US"/>
        </w:rPr>
        <w:t> </w:t>
      </w:r>
      <w:r w:rsidRPr="54937204">
        <w:rPr>
          <w:rFonts w:cs="Book Antiqua"/>
          <w:lang w:val="en-US"/>
        </w:rPr>
        <w:t>be placed into the small business simplified depreciation pool and depreciated at 15</w:t>
      </w:r>
      <w:r w:rsidR="00634633">
        <w:rPr>
          <w:rFonts w:cs="Book Antiqua"/>
          <w:lang w:val="en-US"/>
        </w:rPr>
        <w:t> </w:t>
      </w:r>
      <w:r w:rsidRPr="54937204">
        <w:rPr>
          <w:rFonts w:cs="Book Antiqua"/>
          <w:lang w:val="en-US"/>
        </w:rPr>
        <w:t>per</w:t>
      </w:r>
      <w:r w:rsidR="00634633">
        <w:rPr>
          <w:rFonts w:cs="Book Antiqua"/>
          <w:lang w:val="en-US"/>
        </w:rPr>
        <w:t> </w:t>
      </w:r>
      <w:r w:rsidRPr="54937204">
        <w:rPr>
          <w:rFonts w:cs="Book Antiqua"/>
          <w:lang w:val="en-US"/>
        </w:rPr>
        <w:t xml:space="preserve">cent in the first income year and 30 per cent each income year thereafter. </w:t>
      </w:r>
    </w:p>
    <w:p w14:paraId="32C57CDA" w14:textId="7ACC9E22" w:rsidR="0012790E" w:rsidRDefault="0012790E">
      <w:pPr>
        <w:pStyle w:val="Normal2"/>
        <w:rPr>
          <w:rFonts w:cs="Book Antiqua"/>
        </w:rPr>
      </w:pPr>
      <w:r w:rsidRPr="001C06E6">
        <w:rPr>
          <w:rFonts w:cs="Book Antiqua"/>
        </w:rPr>
        <w:t>The provisions that prevent small businesses from re</w:t>
      </w:r>
      <w:r>
        <w:rPr>
          <w:rFonts w:cs="Book Antiqua"/>
        </w:rPr>
        <w:noBreakHyphen/>
      </w:r>
      <w:r w:rsidRPr="001C06E6">
        <w:rPr>
          <w:rFonts w:cs="Book Antiqua"/>
        </w:rPr>
        <w:t>entering the simplified</w:t>
      </w:r>
      <w:r>
        <w:rPr>
          <w:rFonts w:cs="Book Antiqua"/>
        </w:rPr>
        <w:t xml:space="preserve"> </w:t>
      </w:r>
      <w:r w:rsidRPr="001C06E6">
        <w:rPr>
          <w:rFonts w:cs="Book Antiqua"/>
        </w:rPr>
        <w:t xml:space="preserve">depreciation regime for </w:t>
      </w:r>
      <w:r w:rsidR="002C6F5C">
        <w:rPr>
          <w:rFonts w:cs="Book Antiqua"/>
        </w:rPr>
        <w:t>five</w:t>
      </w:r>
      <w:r>
        <w:rPr>
          <w:rFonts w:cs="Book Antiqua"/>
        </w:rPr>
        <w:t> </w:t>
      </w:r>
      <w:r w:rsidRPr="001C06E6">
        <w:rPr>
          <w:rFonts w:cs="Book Antiqua"/>
        </w:rPr>
        <w:t>years if they opt</w:t>
      </w:r>
      <w:r>
        <w:rPr>
          <w:rFonts w:cs="Book Antiqua"/>
        </w:rPr>
        <w:noBreakHyphen/>
      </w:r>
      <w:r w:rsidRPr="001C06E6">
        <w:rPr>
          <w:rFonts w:cs="Book Antiqua"/>
        </w:rPr>
        <w:t>out will continue to be suspended until 30</w:t>
      </w:r>
      <w:r>
        <w:rPr>
          <w:rFonts w:cs="Book Antiqua"/>
        </w:rPr>
        <w:t> </w:t>
      </w:r>
      <w:r w:rsidRPr="001C06E6">
        <w:rPr>
          <w:rFonts w:cs="Book Antiqua"/>
        </w:rPr>
        <w:t>June</w:t>
      </w:r>
      <w:r>
        <w:rPr>
          <w:rFonts w:cs="Book Antiqua"/>
        </w:rPr>
        <w:t> </w:t>
      </w:r>
      <w:r w:rsidRPr="001C06E6">
        <w:rPr>
          <w:rFonts w:cs="Book Antiqua"/>
        </w:rPr>
        <w:t>2025.</w:t>
      </w:r>
      <w:r>
        <w:rPr>
          <w:rFonts w:cs="Book Antiqua"/>
        </w:rPr>
        <w:t xml:space="preserve"> </w:t>
      </w:r>
    </w:p>
    <w:p w14:paraId="5D539634" w14:textId="1F823D44" w:rsidR="0012790E" w:rsidRDefault="0012790E">
      <w:pPr>
        <w:pStyle w:val="Normal2"/>
        <w:rPr>
          <w:rFonts w:cs="Book Antiqua"/>
        </w:rPr>
      </w:pPr>
      <w:r w:rsidRPr="001C06E6">
        <w:rPr>
          <w:rFonts w:cs="Book Antiqua"/>
        </w:rPr>
        <w:lastRenderedPageBreak/>
        <w:t>This measure is estimated to decrease receipts by $290.0</w:t>
      </w:r>
      <w:r>
        <w:rPr>
          <w:rFonts w:cs="Book Antiqua"/>
        </w:rPr>
        <w:t> </w:t>
      </w:r>
      <w:r w:rsidRPr="001C06E6">
        <w:rPr>
          <w:rFonts w:cs="Book Antiqua"/>
        </w:rPr>
        <w:t>million over the 5</w:t>
      </w:r>
      <w:r>
        <w:rPr>
          <w:rFonts w:cs="Book Antiqua"/>
        </w:rPr>
        <w:t> </w:t>
      </w:r>
      <w:r w:rsidRPr="001C06E6">
        <w:rPr>
          <w:rFonts w:cs="Book Antiqua"/>
        </w:rPr>
        <w:t>years</w:t>
      </w:r>
      <w:r>
        <w:rPr>
          <w:rFonts w:cs="Book Antiqua"/>
        </w:rPr>
        <w:t xml:space="preserve"> </w:t>
      </w:r>
      <w:r w:rsidRPr="001C06E6">
        <w:rPr>
          <w:rFonts w:cs="Book Antiqua"/>
        </w:rPr>
        <w:t xml:space="preserve">from </w:t>
      </w:r>
      <w:r w:rsidR="00FC63E0">
        <w:rPr>
          <w:rFonts w:cs="Book Antiqua"/>
        </w:rPr>
        <w:br/>
      </w:r>
      <w:r>
        <w:rPr>
          <w:rFonts w:cs="Book Antiqua"/>
        </w:rPr>
        <w:t>2023–24</w:t>
      </w:r>
      <w:r w:rsidRPr="001C06E6">
        <w:rPr>
          <w:rFonts w:cs="Book Antiqua"/>
        </w:rPr>
        <w:t>.</w:t>
      </w:r>
      <w:r>
        <w:rPr>
          <w:rFonts w:cs="Book Antiqua"/>
        </w:rPr>
        <w:t xml:space="preserve"> </w:t>
      </w:r>
    </w:p>
    <w:p w14:paraId="6AB62F04" w14:textId="77777777" w:rsidR="0012790E" w:rsidRPr="001C06E6" w:rsidRDefault="0012790E">
      <w:pPr>
        <w:pStyle w:val="MeasureTitle"/>
        <w:rPr>
          <w:b w:val="0"/>
          <w:bCs/>
        </w:rPr>
      </w:pPr>
      <w:r w:rsidRPr="001C06E6">
        <w:rPr>
          <w:bCs/>
        </w:rPr>
        <w:t>Strengthening Tax Compliance</w:t>
      </w:r>
      <w:r>
        <w:rPr>
          <w:bCs/>
        </w:rPr>
        <w:t xml:space="preserve"> – </w:t>
      </w:r>
      <w:r w:rsidRPr="001C06E6">
        <w:rPr>
          <w:bCs/>
        </w:rPr>
        <w:t>extending the Personal Income Tax</w:t>
      </w:r>
      <w:r>
        <w:rPr>
          <w:bCs/>
        </w:rPr>
        <w:t xml:space="preserve"> </w:t>
      </w:r>
      <w:r w:rsidRPr="001C06E6">
        <w:rPr>
          <w:bCs/>
        </w:rPr>
        <w:t>Compliance Program</w:t>
      </w:r>
    </w:p>
    <w:p w14:paraId="6A369C65" w14:textId="77777777" w:rsidR="0012790E" w:rsidRPr="001C06E6" w:rsidRDefault="0012790E">
      <w:pPr>
        <w:pStyle w:val="MeasureTableHeading"/>
      </w:pPr>
      <w:r w:rsidRPr="001C06E6">
        <w:rPr>
          <w:color w:val="000000"/>
          <w:szCs w:val="16"/>
        </w:rPr>
        <w:t>Receipts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EDD1340" w14:textId="77777777">
        <w:tc>
          <w:tcPr>
            <w:tcW w:w="2497" w:type="dxa"/>
            <w:tcBorders>
              <w:top w:val="single" w:sz="4" w:space="0" w:color="293F5B"/>
              <w:bottom w:val="single" w:sz="4" w:space="0" w:color="293F5B"/>
            </w:tcBorders>
            <w:shd w:val="clear" w:color="auto" w:fill="auto"/>
          </w:tcPr>
          <w:p w14:paraId="4C1AB6C4"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37E26282"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02E9DEE3"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1184CC8"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C4675D6"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6239A23" w14:textId="77777777" w:rsidR="0012790E" w:rsidRPr="001C06E6" w:rsidRDefault="0012790E">
            <w:pPr>
              <w:pStyle w:val="MeasureTableYearHeadings"/>
              <w:keepNext/>
            </w:pPr>
            <w:r w:rsidRPr="001C06E6">
              <w:t>2027</w:t>
            </w:r>
            <w:r>
              <w:noBreakHyphen/>
            </w:r>
            <w:r w:rsidRPr="001C06E6">
              <w:t>28</w:t>
            </w:r>
          </w:p>
        </w:tc>
      </w:tr>
      <w:tr w:rsidR="0012790E" w:rsidRPr="001C06E6" w14:paraId="506E3835" w14:textId="77777777">
        <w:tc>
          <w:tcPr>
            <w:tcW w:w="2497" w:type="dxa"/>
            <w:tcBorders>
              <w:top w:val="single" w:sz="4" w:space="0" w:color="293F5B"/>
              <w:bottom w:val="single" w:sz="4" w:space="0" w:color="293F5B"/>
            </w:tcBorders>
            <w:shd w:val="clear" w:color="auto" w:fill="auto"/>
          </w:tcPr>
          <w:p w14:paraId="52382C41"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5006A7A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A5BB7E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BAAA56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C99539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1298208" w14:textId="77777777" w:rsidR="0012790E" w:rsidRPr="001C06E6" w:rsidRDefault="0012790E">
            <w:pPr>
              <w:pStyle w:val="MeasureTableDataRightAlignedwith2ptsspacing"/>
              <w:keepNext/>
            </w:pPr>
            <w:r w:rsidRPr="001C06E6">
              <w:t>180.3</w:t>
            </w:r>
          </w:p>
        </w:tc>
      </w:tr>
      <w:tr w:rsidR="0012790E" w:rsidRPr="001C06E6" w14:paraId="0F6FE0FF" w14:textId="77777777">
        <w:tc>
          <w:tcPr>
            <w:tcW w:w="2497" w:type="dxa"/>
            <w:tcBorders>
              <w:top w:val="single" w:sz="4" w:space="0" w:color="293F5B"/>
            </w:tcBorders>
            <w:shd w:val="clear" w:color="auto" w:fill="auto"/>
          </w:tcPr>
          <w:p w14:paraId="2F6F3826" w14:textId="77777777" w:rsidR="0012790E" w:rsidRPr="001C06E6" w:rsidRDefault="0012790E">
            <w:pPr>
              <w:pStyle w:val="AgencyName"/>
              <w:keepNext/>
            </w:pPr>
            <w:r w:rsidRPr="001C06E6">
              <w:t>Related payments ($m)</w:t>
            </w:r>
          </w:p>
        </w:tc>
        <w:tc>
          <w:tcPr>
            <w:tcW w:w="1045" w:type="dxa"/>
            <w:tcBorders>
              <w:top w:val="single" w:sz="4" w:space="0" w:color="293F5B"/>
            </w:tcBorders>
            <w:shd w:val="clear" w:color="auto" w:fill="auto"/>
          </w:tcPr>
          <w:p w14:paraId="58C9DD0D" w14:textId="77777777" w:rsidR="0012790E" w:rsidRPr="001C06E6" w:rsidRDefault="0012790E">
            <w:pPr>
              <w:pStyle w:val="AgencyName"/>
              <w:keepNext/>
            </w:pPr>
          </w:p>
        </w:tc>
        <w:tc>
          <w:tcPr>
            <w:tcW w:w="1045" w:type="dxa"/>
            <w:tcBorders>
              <w:top w:val="single" w:sz="4" w:space="0" w:color="293F5B"/>
            </w:tcBorders>
            <w:shd w:val="clear" w:color="auto" w:fill="auto"/>
          </w:tcPr>
          <w:p w14:paraId="53320DFE" w14:textId="77777777" w:rsidR="0012790E" w:rsidRPr="001C06E6" w:rsidRDefault="0012790E">
            <w:pPr>
              <w:pStyle w:val="AgencyName"/>
              <w:keepNext/>
            </w:pPr>
          </w:p>
        </w:tc>
        <w:tc>
          <w:tcPr>
            <w:tcW w:w="1045" w:type="dxa"/>
            <w:tcBorders>
              <w:top w:val="single" w:sz="4" w:space="0" w:color="293F5B"/>
            </w:tcBorders>
            <w:shd w:val="clear" w:color="auto" w:fill="auto"/>
          </w:tcPr>
          <w:p w14:paraId="424FB40C" w14:textId="77777777" w:rsidR="0012790E" w:rsidRPr="001C06E6" w:rsidRDefault="0012790E">
            <w:pPr>
              <w:pStyle w:val="AgencyName"/>
              <w:keepNext/>
            </w:pPr>
          </w:p>
        </w:tc>
        <w:tc>
          <w:tcPr>
            <w:tcW w:w="1045" w:type="dxa"/>
            <w:tcBorders>
              <w:top w:val="single" w:sz="4" w:space="0" w:color="293F5B"/>
            </w:tcBorders>
            <w:shd w:val="clear" w:color="auto" w:fill="auto"/>
          </w:tcPr>
          <w:p w14:paraId="06BB03FC" w14:textId="77777777" w:rsidR="0012790E" w:rsidRPr="001C06E6" w:rsidRDefault="0012790E">
            <w:pPr>
              <w:pStyle w:val="AgencyName"/>
              <w:keepNext/>
            </w:pPr>
          </w:p>
        </w:tc>
        <w:tc>
          <w:tcPr>
            <w:tcW w:w="1045" w:type="dxa"/>
            <w:tcBorders>
              <w:top w:val="single" w:sz="4" w:space="0" w:color="293F5B"/>
            </w:tcBorders>
            <w:shd w:val="clear" w:color="auto" w:fill="auto"/>
          </w:tcPr>
          <w:p w14:paraId="4F9482EF" w14:textId="77777777" w:rsidR="0012790E" w:rsidRPr="001C06E6" w:rsidRDefault="0012790E">
            <w:pPr>
              <w:pStyle w:val="AgencyName"/>
              <w:keepNext/>
            </w:pPr>
          </w:p>
        </w:tc>
      </w:tr>
      <w:tr w:rsidR="0012790E" w:rsidRPr="001C06E6" w14:paraId="56AE4C1E" w14:textId="77777777">
        <w:tc>
          <w:tcPr>
            <w:tcW w:w="2497" w:type="dxa"/>
            <w:tcBorders>
              <w:bottom w:val="single" w:sz="4" w:space="0" w:color="293F5B"/>
            </w:tcBorders>
            <w:shd w:val="clear" w:color="auto" w:fill="auto"/>
          </w:tcPr>
          <w:p w14:paraId="521745C4" w14:textId="77777777" w:rsidR="0012790E" w:rsidRPr="001C06E6" w:rsidRDefault="0012790E">
            <w:pPr>
              <w:pStyle w:val="AgencyNamewith2ptsspacing"/>
              <w:keepNext/>
            </w:pPr>
            <w:r w:rsidRPr="001C06E6">
              <w:t>Australian Taxation Office</w:t>
            </w:r>
          </w:p>
        </w:tc>
        <w:tc>
          <w:tcPr>
            <w:tcW w:w="1045" w:type="dxa"/>
            <w:tcBorders>
              <w:bottom w:val="single" w:sz="4" w:space="0" w:color="293F5B"/>
            </w:tcBorders>
            <w:shd w:val="clear" w:color="auto" w:fill="auto"/>
          </w:tcPr>
          <w:p w14:paraId="61DC53B5"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5C8428FC"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55252A68"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0DD8AFFA"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4CE3B547" w14:textId="77777777" w:rsidR="0012790E" w:rsidRPr="001C06E6" w:rsidRDefault="0012790E">
            <w:pPr>
              <w:pStyle w:val="Measuretabledatarightaligneditalics"/>
              <w:keepNext/>
            </w:pPr>
            <w:r w:rsidRPr="001C06E6">
              <w:t>44.3</w:t>
            </w:r>
          </w:p>
        </w:tc>
      </w:tr>
    </w:tbl>
    <w:p w14:paraId="77AB073E" w14:textId="77777777" w:rsidR="0012790E" w:rsidRPr="001C06E6" w:rsidRDefault="0012790E">
      <w:pPr>
        <w:keepNext/>
        <w:widowControl w:val="0"/>
        <w:tabs>
          <w:tab w:val="right" w:pos="3536"/>
          <w:tab w:val="right" w:pos="4579"/>
          <w:tab w:val="right" w:pos="5622"/>
          <w:tab w:val="right" w:pos="6664"/>
          <w:tab w:val="right" w:pos="7707"/>
        </w:tabs>
        <w:spacing w:line="240" w:lineRule="exact"/>
        <w:rPr>
          <w:i/>
          <w:iCs/>
          <w:color w:val="000000"/>
          <w:sz w:val="16"/>
          <w:szCs w:val="16"/>
          <w:lang w:val="en-AU"/>
        </w:rPr>
      </w:pPr>
    </w:p>
    <w:p w14:paraId="7741C863" w14:textId="77777777" w:rsidR="0012790E" w:rsidRDefault="0012790E">
      <w:pPr>
        <w:pStyle w:val="Normal2"/>
        <w:rPr>
          <w:rFonts w:cs="Book Antiqua"/>
        </w:rPr>
      </w:pPr>
      <w:r w:rsidRPr="001C06E6">
        <w:rPr>
          <w:rFonts w:cs="Book Antiqua"/>
        </w:rPr>
        <w:t>The Government will extend the ATO Personal Income Tax Compliance Program for</w:t>
      </w:r>
      <w:r>
        <w:rPr>
          <w:rFonts w:cs="Book Antiqua"/>
        </w:rPr>
        <w:t xml:space="preserve"> </w:t>
      </w:r>
      <w:r w:rsidRPr="001C06E6">
        <w:rPr>
          <w:rFonts w:cs="Book Antiqua"/>
        </w:rPr>
        <w:t>one year from 1</w:t>
      </w:r>
      <w:r>
        <w:rPr>
          <w:rFonts w:cs="Book Antiqua"/>
        </w:rPr>
        <w:t> </w:t>
      </w:r>
      <w:r w:rsidRPr="001C06E6">
        <w:rPr>
          <w:rFonts w:cs="Book Antiqua"/>
        </w:rPr>
        <w:t>July</w:t>
      </w:r>
      <w:r>
        <w:rPr>
          <w:rFonts w:cs="Book Antiqua"/>
        </w:rPr>
        <w:t> </w:t>
      </w:r>
      <w:r w:rsidRPr="001C06E6">
        <w:rPr>
          <w:rFonts w:cs="Book Antiqua"/>
        </w:rPr>
        <w:t>2027.</w:t>
      </w:r>
      <w:r>
        <w:rPr>
          <w:rFonts w:cs="Book Antiqua"/>
        </w:rPr>
        <w:t xml:space="preserve"> </w:t>
      </w:r>
    </w:p>
    <w:p w14:paraId="31B16957" w14:textId="77777777" w:rsidR="0012790E" w:rsidRDefault="0012790E" w:rsidP="54937204">
      <w:pPr>
        <w:pStyle w:val="Normal2"/>
        <w:rPr>
          <w:rFonts w:cs="Book Antiqua"/>
          <w:lang w:val="en-US"/>
        </w:rPr>
      </w:pPr>
      <w:r w:rsidRPr="54937204">
        <w:rPr>
          <w:rFonts w:cs="Book Antiqua"/>
          <w:lang w:val="en-US"/>
        </w:rPr>
        <w:t>This extension will enable the ATO to continue to deliver a combination of proactive, preventative and corrective activities in key areas of non</w:t>
      </w:r>
      <w:r>
        <w:rPr>
          <w:rFonts w:cs="Book Antiqua"/>
        </w:rPr>
        <w:noBreakHyphen/>
      </w:r>
      <w:r w:rsidRPr="54937204">
        <w:rPr>
          <w:rFonts w:cs="Book Antiqua"/>
          <w:lang w:val="en-US"/>
        </w:rPr>
        <w:t>compliance, including overclaiming of deductions, incorrect reporting of income and inappropriate tax agent influence. This will enable the ATO to continue its focus on emerging risks to the tax system, such as deductions relating to short</w:t>
      </w:r>
      <w:r>
        <w:rPr>
          <w:rFonts w:cs="Book Antiqua"/>
        </w:rPr>
        <w:noBreakHyphen/>
      </w:r>
      <w:r w:rsidRPr="54937204">
        <w:rPr>
          <w:rFonts w:cs="Book Antiqua"/>
          <w:lang w:val="en-US"/>
        </w:rPr>
        <w:t xml:space="preserve">term rental properties. </w:t>
      </w:r>
    </w:p>
    <w:p w14:paraId="7E22ED51" w14:textId="7220950C" w:rsidR="0012790E" w:rsidRDefault="0012790E">
      <w:pPr>
        <w:pStyle w:val="Normal2"/>
        <w:rPr>
          <w:rFonts w:cs="Book Antiqua"/>
        </w:rPr>
      </w:pPr>
      <w:r w:rsidRPr="001C06E6">
        <w:rPr>
          <w:rFonts w:cs="Book Antiqua"/>
        </w:rPr>
        <w:t>This measure is estimated to increase receipts by $180.3</w:t>
      </w:r>
      <w:r>
        <w:rPr>
          <w:rFonts w:cs="Book Antiqua"/>
        </w:rPr>
        <w:t> </w:t>
      </w:r>
      <w:r w:rsidRPr="001C06E6">
        <w:rPr>
          <w:rFonts w:cs="Book Antiqua"/>
        </w:rPr>
        <w:t>million and increase</w:t>
      </w:r>
      <w:r>
        <w:rPr>
          <w:rFonts w:cs="Book Antiqua"/>
        </w:rPr>
        <w:t xml:space="preserve"> </w:t>
      </w:r>
      <w:r w:rsidRPr="001C06E6">
        <w:rPr>
          <w:rFonts w:cs="Book Antiqua"/>
        </w:rPr>
        <w:t>payments by $44.3</w:t>
      </w:r>
      <w:r>
        <w:rPr>
          <w:rFonts w:cs="Book Antiqua"/>
        </w:rPr>
        <w:t> </w:t>
      </w:r>
      <w:r w:rsidRPr="001C06E6">
        <w:rPr>
          <w:rFonts w:cs="Book Antiqua"/>
        </w:rPr>
        <w:t>million over the 5</w:t>
      </w:r>
      <w:r>
        <w:rPr>
          <w:rFonts w:cs="Book Antiqua"/>
        </w:rPr>
        <w:t> </w:t>
      </w:r>
      <w:r w:rsidRPr="001C06E6">
        <w:rPr>
          <w:rFonts w:cs="Book Antiqua"/>
        </w:rPr>
        <w:t xml:space="preserve">years from </w:t>
      </w:r>
      <w:r>
        <w:rPr>
          <w:rFonts w:cs="Book Antiqua"/>
        </w:rPr>
        <w:t>2023–24</w:t>
      </w:r>
      <w:r w:rsidRPr="001C06E6">
        <w:rPr>
          <w:rFonts w:cs="Book Antiqua"/>
        </w:rPr>
        <w:t>.</w:t>
      </w:r>
      <w:r>
        <w:rPr>
          <w:rFonts w:cs="Book Antiqua"/>
        </w:rPr>
        <w:t xml:space="preserve"> </w:t>
      </w:r>
    </w:p>
    <w:p w14:paraId="1CF73DE8" w14:textId="455A9449" w:rsidR="0012790E" w:rsidRPr="001C06E6" w:rsidRDefault="0012790E">
      <w:pPr>
        <w:pStyle w:val="MeasureTitle"/>
        <w:rPr>
          <w:b w:val="0"/>
          <w:bCs/>
        </w:rPr>
      </w:pPr>
      <w:r w:rsidRPr="001C06E6">
        <w:rPr>
          <w:bCs/>
        </w:rPr>
        <w:t>Strengthening Tax Compliance – Australian Taxation Office Counter Fraud</w:t>
      </w:r>
      <w:r w:rsidR="006F10F3">
        <w:rPr>
          <w:bCs/>
        </w:rPr>
        <w:t> </w:t>
      </w:r>
      <w:r w:rsidRPr="001C06E6">
        <w:rPr>
          <w:bCs/>
        </w:rPr>
        <w:t>Strategy</w:t>
      </w:r>
    </w:p>
    <w:p w14:paraId="540E9BF6" w14:textId="77777777" w:rsidR="0012790E" w:rsidRPr="001C06E6" w:rsidRDefault="0012790E">
      <w:pPr>
        <w:pStyle w:val="MeasureTableHeading"/>
      </w:pPr>
      <w:r w:rsidRPr="001C06E6">
        <w:rPr>
          <w:color w:val="000000"/>
          <w:szCs w:val="16"/>
        </w:rPr>
        <w:t>Receipts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1D4003D" w14:textId="77777777">
        <w:tc>
          <w:tcPr>
            <w:tcW w:w="2497" w:type="dxa"/>
            <w:tcBorders>
              <w:top w:val="single" w:sz="4" w:space="0" w:color="293F5B"/>
              <w:bottom w:val="single" w:sz="4" w:space="0" w:color="293F5B"/>
            </w:tcBorders>
            <w:shd w:val="clear" w:color="auto" w:fill="auto"/>
          </w:tcPr>
          <w:p w14:paraId="4F820C6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B238631"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2CDFE26A"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23FDC378"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59408698"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B78514F" w14:textId="77777777" w:rsidR="0012790E" w:rsidRPr="001C06E6" w:rsidRDefault="0012790E">
            <w:pPr>
              <w:pStyle w:val="MeasureTableYearHeadings"/>
              <w:keepNext/>
            </w:pPr>
            <w:r w:rsidRPr="001C06E6">
              <w:t>2027</w:t>
            </w:r>
            <w:r>
              <w:noBreakHyphen/>
            </w:r>
            <w:r w:rsidRPr="001C06E6">
              <w:t>28</w:t>
            </w:r>
          </w:p>
        </w:tc>
      </w:tr>
      <w:tr w:rsidR="0012790E" w:rsidRPr="001C06E6" w14:paraId="2E8A2D12" w14:textId="77777777">
        <w:tc>
          <w:tcPr>
            <w:tcW w:w="2497" w:type="dxa"/>
            <w:tcBorders>
              <w:top w:val="single" w:sz="4" w:space="0" w:color="293F5B"/>
              <w:bottom w:val="single" w:sz="4" w:space="0" w:color="293F5B"/>
            </w:tcBorders>
            <w:shd w:val="clear" w:color="auto" w:fill="auto"/>
          </w:tcPr>
          <w:p w14:paraId="6D1A1B5E"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1D98E50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D97FFF6" w14:textId="77777777" w:rsidR="0012790E" w:rsidRPr="001C06E6" w:rsidRDefault="0012790E">
            <w:pPr>
              <w:pStyle w:val="MeasureTableDataRightAlignedwith2ptsspacing"/>
              <w:keepNext/>
            </w:pPr>
            <w:r w:rsidRPr="001C06E6">
              <w:t>62.3</w:t>
            </w:r>
          </w:p>
        </w:tc>
        <w:tc>
          <w:tcPr>
            <w:tcW w:w="1045" w:type="dxa"/>
            <w:tcBorders>
              <w:top w:val="single" w:sz="4" w:space="0" w:color="293F5B"/>
              <w:bottom w:val="single" w:sz="4" w:space="0" w:color="293F5B"/>
            </w:tcBorders>
            <w:shd w:val="clear" w:color="auto" w:fill="auto"/>
          </w:tcPr>
          <w:p w14:paraId="1B434AD9" w14:textId="77777777" w:rsidR="0012790E" w:rsidRPr="001C06E6" w:rsidRDefault="0012790E">
            <w:pPr>
              <w:pStyle w:val="MeasureTableDataRightAlignedwith2ptsspacing"/>
              <w:keepNext/>
            </w:pPr>
            <w:r w:rsidRPr="001C06E6">
              <w:t>115.8</w:t>
            </w:r>
          </w:p>
        </w:tc>
        <w:tc>
          <w:tcPr>
            <w:tcW w:w="1045" w:type="dxa"/>
            <w:tcBorders>
              <w:top w:val="single" w:sz="4" w:space="0" w:color="293F5B"/>
              <w:bottom w:val="single" w:sz="4" w:space="0" w:color="293F5B"/>
            </w:tcBorders>
            <w:shd w:val="clear" w:color="auto" w:fill="auto"/>
          </w:tcPr>
          <w:p w14:paraId="7F9B2F6F" w14:textId="77777777" w:rsidR="0012790E" w:rsidRPr="001C06E6" w:rsidRDefault="0012790E">
            <w:pPr>
              <w:pStyle w:val="MeasureTableDataRightAlignedwith2ptsspacing"/>
              <w:keepNext/>
            </w:pPr>
            <w:r w:rsidRPr="001C06E6">
              <w:t>80.3</w:t>
            </w:r>
          </w:p>
        </w:tc>
        <w:tc>
          <w:tcPr>
            <w:tcW w:w="1045" w:type="dxa"/>
            <w:tcBorders>
              <w:top w:val="single" w:sz="4" w:space="0" w:color="293F5B"/>
              <w:bottom w:val="single" w:sz="4" w:space="0" w:color="293F5B"/>
            </w:tcBorders>
            <w:shd w:val="clear" w:color="auto" w:fill="auto"/>
          </w:tcPr>
          <w:p w14:paraId="7F77B5E6" w14:textId="77777777" w:rsidR="0012790E" w:rsidRPr="001C06E6" w:rsidRDefault="0012790E">
            <w:pPr>
              <w:pStyle w:val="MeasureTableDataRightAlignedwith2ptsspacing"/>
              <w:keepNext/>
            </w:pPr>
            <w:r w:rsidRPr="001C06E6">
              <w:t>43.8</w:t>
            </w:r>
          </w:p>
        </w:tc>
      </w:tr>
      <w:tr w:rsidR="0012790E" w:rsidRPr="001C06E6" w14:paraId="03521379" w14:textId="77777777">
        <w:tc>
          <w:tcPr>
            <w:tcW w:w="2497" w:type="dxa"/>
            <w:tcBorders>
              <w:top w:val="single" w:sz="4" w:space="0" w:color="293F5B"/>
            </w:tcBorders>
            <w:shd w:val="clear" w:color="auto" w:fill="auto"/>
          </w:tcPr>
          <w:p w14:paraId="05EFD067" w14:textId="77777777" w:rsidR="0012790E" w:rsidRPr="001C06E6" w:rsidRDefault="0012790E">
            <w:pPr>
              <w:pStyle w:val="AgencyName"/>
              <w:keepNext/>
            </w:pPr>
            <w:r w:rsidRPr="001C06E6">
              <w:t>Related payments ($m)</w:t>
            </w:r>
          </w:p>
        </w:tc>
        <w:tc>
          <w:tcPr>
            <w:tcW w:w="1045" w:type="dxa"/>
            <w:tcBorders>
              <w:top w:val="single" w:sz="4" w:space="0" w:color="293F5B"/>
            </w:tcBorders>
            <w:shd w:val="clear" w:color="auto" w:fill="auto"/>
          </w:tcPr>
          <w:p w14:paraId="5C1AB01F" w14:textId="77777777" w:rsidR="0012790E" w:rsidRPr="001C06E6" w:rsidRDefault="0012790E">
            <w:pPr>
              <w:pStyle w:val="AgencyName"/>
              <w:keepNext/>
            </w:pPr>
          </w:p>
        </w:tc>
        <w:tc>
          <w:tcPr>
            <w:tcW w:w="1045" w:type="dxa"/>
            <w:tcBorders>
              <w:top w:val="single" w:sz="4" w:space="0" w:color="293F5B"/>
            </w:tcBorders>
            <w:shd w:val="clear" w:color="auto" w:fill="auto"/>
          </w:tcPr>
          <w:p w14:paraId="06E371A7" w14:textId="77777777" w:rsidR="0012790E" w:rsidRPr="001C06E6" w:rsidRDefault="0012790E">
            <w:pPr>
              <w:pStyle w:val="AgencyName"/>
              <w:keepNext/>
            </w:pPr>
          </w:p>
        </w:tc>
        <w:tc>
          <w:tcPr>
            <w:tcW w:w="1045" w:type="dxa"/>
            <w:tcBorders>
              <w:top w:val="single" w:sz="4" w:space="0" w:color="293F5B"/>
            </w:tcBorders>
            <w:shd w:val="clear" w:color="auto" w:fill="auto"/>
          </w:tcPr>
          <w:p w14:paraId="5E8BC5B8" w14:textId="77777777" w:rsidR="0012790E" w:rsidRPr="001C06E6" w:rsidRDefault="0012790E">
            <w:pPr>
              <w:pStyle w:val="AgencyName"/>
              <w:keepNext/>
            </w:pPr>
          </w:p>
        </w:tc>
        <w:tc>
          <w:tcPr>
            <w:tcW w:w="1045" w:type="dxa"/>
            <w:tcBorders>
              <w:top w:val="single" w:sz="4" w:space="0" w:color="293F5B"/>
            </w:tcBorders>
            <w:shd w:val="clear" w:color="auto" w:fill="auto"/>
          </w:tcPr>
          <w:p w14:paraId="332D0A92" w14:textId="77777777" w:rsidR="0012790E" w:rsidRPr="001C06E6" w:rsidRDefault="0012790E">
            <w:pPr>
              <w:pStyle w:val="AgencyName"/>
              <w:keepNext/>
            </w:pPr>
          </w:p>
        </w:tc>
        <w:tc>
          <w:tcPr>
            <w:tcW w:w="1045" w:type="dxa"/>
            <w:tcBorders>
              <w:top w:val="single" w:sz="4" w:space="0" w:color="293F5B"/>
            </w:tcBorders>
            <w:shd w:val="clear" w:color="auto" w:fill="auto"/>
          </w:tcPr>
          <w:p w14:paraId="61FB5E00" w14:textId="77777777" w:rsidR="0012790E" w:rsidRPr="001C06E6" w:rsidRDefault="0012790E">
            <w:pPr>
              <w:pStyle w:val="AgencyName"/>
              <w:keepNext/>
            </w:pPr>
          </w:p>
        </w:tc>
      </w:tr>
      <w:tr w:rsidR="0012790E" w:rsidRPr="001C06E6" w14:paraId="10571375" w14:textId="77777777">
        <w:tc>
          <w:tcPr>
            <w:tcW w:w="2497" w:type="dxa"/>
            <w:tcBorders>
              <w:bottom w:val="single" w:sz="4" w:space="0" w:color="293F5B"/>
            </w:tcBorders>
            <w:shd w:val="clear" w:color="auto" w:fill="auto"/>
          </w:tcPr>
          <w:p w14:paraId="7EC1CAE4" w14:textId="77777777" w:rsidR="0012790E" w:rsidRPr="001C06E6" w:rsidRDefault="0012790E">
            <w:pPr>
              <w:pStyle w:val="AgencyNamewith2ptsspacing"/>
              <w:keepNext/>
            </w:pPr>
            <w:r w:rsidRPr="001C06E6">
              <w:t>Australian Taxation Office</w:t>
            </w:r>
          </w:p>
        </w:tc>
        <w:tc>
          <w:tcPr>
            <w:tcW w:w="1045" w:type="dxa"/>
            <w:tcBorders>
              <w:bottom w:val="single" w:sz="4" w:space="0" w:color="293F5B"/>
            </w:tcBorders>
            <w:shd w:val="clear" w:color="auto" w:fill="auto"/>
          </w:tcPr>
          <w:p w14:paraId="6B918709"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48F65EED" w14:textId="77777777" w:rsidR="0012790E" w:rsidRPr="001C06E6" w:rsidRDefault="0012790E">
            <w:pPr>
              <w:pStyle w:val="Measuretabledatarightaligneditalics"/>
              <w:keepNext/>
            </w:pPr>
            <w:r w:rsidRPr="001C06E6">
              <w:t>68.9</w:t>
            </w:r>
          </w:p>
        </w:tc>
        <w:tc>
          <w:tcPr>
            <w:tcW w:w="1045" w:type="dxa"/>
            <w:tcBorders>
              <w:bottom w:val="single" w:sz="4" w:space="0" w:color="293F5B"/>
            </w:tcBorders>
            <w:shd w:val="clear" w:color="auto" w:fill="auto"/>
          </w:tcPr>
          <w:p w14:paraId="2EA49146" w14:textId="77777777" w:rsidR="0012790E" w:rsidRPr="001C06E6" w:rsidRDefault="0012790E">
            <w:pPr>
              <w:pStyle w:val="Measuretabledatarightaligneditalics"/>
              <w:keepNext/>
            </w:pPr>
            <w:r w:rsidRPr="001C06E6">
              <w:t>72.7</w:t>
            </w:r>
          </w:p>
        </w:tc>
        <w:tc>
          <w:tcPr>
            <w:tcW w:w="1045" w:type="dxa"/>
            <w:tcBorders>
              <w:bottom w:val="single" w:sz="4" w:space="0" w:color="293F5B"/>
            </w:tcBorders>
            <w:shd w:val="clear" w:color="auto" w:fill="auto"/>
          </w:tcPr>
          <w:p w14:paraId="7A6608D6" w14:textId="77777777" w:rsidR="0012790E" w:rsidRPr="001C06E6" w:rsidRDefault="0012790E">
            <w:pPr>
              <w:pStyle w:val="Measuretabledatarightaligneditalics"/>
              <w:keepNext/>
            </w:pPr>
            <w:r w:rsidRPr="001C06E6">
              <w:t>25.2</w:t>
            </w:r>
          </w:p>
        </w:tc>
        <w:tc>
          <w:tcPr>
            <w:tcW w:w="1045" w:type="dxa"/>
            <w:tcBorders>
              <w:bottom w:val="single" w:sz="4" w:space="0" w:color="293F5B"/>
            </w:tcBorders>
            <w:shd w:val="clear" w:color="auto" w:fill="auto"/>
          </w:tcPr>
          <w:p w14:paraId="376DF4DA" w14:textId="77777777" w:rsidR="0012790E" w:rsidRPr="001C06E6" w:rsidRDefault="0012790E">
            <w:pPr>
              <w:pStyle w:val="Measuretabledatarightaligneditalics"/>
              <w:keepNext/>
            </w:pPr>
            <w:r w:rsidRPr="001C06E6">
              <w:t>20.2</w:t>
            </w:r>
          </w:p>
        </w:tc>
      </w:tr>
      <w:tr w:rsidR="0012790E" w:rsidRPr="001C06E6" w14:paraId="213E9FA9" w14:textId="77777777">
        <w:tc>
          <w:tcPr>
            <w:tcW w:w="2497" w:type="dxa"/>
            <w:tcBorders>
              <w:top w:val="single" w:sz="4" w:space="0" w:color="293F5B"/>
              <w:bottom w:val="single" w:sz="4" w:space="0" w:color="293F5B"/>
            </w:tcBorders>
            <w:shd w:val="clear" w:color="auto" w:fill="auto"/>
          </w:tcPr>
          <w:p w14:paraId="7792352F" w14:textId="77777777" w:rsidR="0012790E" w:rsidRPr="001C06E6" w:rsidRDefault="0012790E">
            <w:pPr>
              <w:pStyle w:val="AgencyName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3F0F496E"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4880D674" w14:textId="77777777" w:rsidR="0012790E" w:rsidRPr="001C06E6" w:rsidRDefault="0012790E">
            <w:pPr>
              <w:pStyle w:val="Measuretabledatarightaligneditalics"/>
              <w:keepNext/>
            </w:pPr>
            <w:r w:rsidRPr="001C06E6">
              <w:t>0.1</w:t>
            </w:r>
          </w:p>
        </w:tc>
        <w:tc>
          <w:tcPr>
            <w:tcW w:w="1045" w:type="dxa"/>
            <w:tcBorders>
              <w:top w:val="single" w:sz="4" w:space="0" w:color="293F5B"/>
              <w:bottom w:val="single" w:sz="4" w:space="0" w:color="293F5B"/>
            </w:tcBorders>
            <w:shd w:val="clear" w:color="auto" w:fill="auto"/>
          </w:tcPr>
          <w:p w14:paraId="11B003A6" w14:textId="77777777" w:rsidR="0012790E" w:rsidRPr="001C06E6" w:rsidRDefault="0012790E">
            <w:pPr>
              <w:pStyle w:val="Measuretabledatarightaligneditalics"/>
              <w:keepNext/>
            </w:pPr>
            <w:r w:rsidRPr="001C06E6">
              <w:t>0.1</w:t>
            </w:r>
          </w:p>
        </w:tc>
        <w:tc>
          <w:tcPr>
            <w:tcW w:w="1045" w:type="dxa"/>
            <w:tcBorders>
              <w:top w:val="single" w:sz="4" w:space="0" w:color="293F5B"/>
              <w:bottom w:val="single" w:sz="4" w:space="0" w:color="293F5B"/>
            </w:tcBorders>
            <w:shd w:val="clear" w:color="auto" w:fill="auto"/>
          </w:tcPr>
          <w:p w14:paraId="2888B32D" w14:textId="77777777" w:rsidR="0012790E" w:rsidRPr="001C06E6" w:rsidRDefault="0012790E">
            <w:pPr>
              <w:pStyle w:val="Measuretabledatarightaligneditalics"/>
              <w:keepNext/>
            </w:pPr>
            <w:r w:rsidRPr="001C06E6">
              <w:t>0.1</w:t>
            </w:r>
          </w:p>
        </w:tc>
        <w:tc>
          <w:tcPr>
            <w:tcW w:w="1045" w:type="dxa"/>
            <w:tcBorders>
              <w:top w:val="single" w:sz="4" w:space="0" w:color="293F5B"/>
              <w:bottom w:val="single" w:sz="4" w:space="0" w:color="293F5B"/>
            </w:tcBorders>
            <w:shd w:val="clear" w:color="auto" w:fill="auto"/>
          </w:tcPr>
          <w:p w14:paraId="1F4E7DD9" w14:textId="77777777" w:rsidR="0012790E" w:rsidRPr="001C06E6" w:rsidRDefault="0012790E">
            <w:pPr>
              <w:pStyle w:val="Measuretabledatarightaligneditalics"/>
              <w:keepNext/>
            </w:pPr>
            <w:r w:rsidRPr="001C06E6">
              <w:t>0.1</w:t>
            </w:r>
          </w:p>
        </w:tc>
      </w:tr>
      <w:tr w:rsidR="0012790E" w:rsidRPr="001C06E6" w14:paraId="49A2C4F2" w14:textId="77777777">
        <w:tc>
          <w:tcPr>
            <w:tcW w:w="2497" w:type="dxa"/>
            <w:tcBorders>
              <w:top w:val="single" w:sz="4" w:space="0" w:color="293F5B"/>
              <w:bottom w:val="single" w:sz="4" w:space="0" w:color="293F5B"/>
            </w:tcBorders>
            <w:shd w:val="clear" w:color="auto" w:fill="auto"/>
          </w:tcPr>
          <w:p w14:paraId="7A7FE837" w14:textId="77777777" w:rsidR="0012790E" w:rsidRPr="001C06E6" w:rsidRDefault="0012790E">
            <w:pPr>
              <w:pStyle w:val="AgencyName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17FC6D4F"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49FA35C2"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1EED26F3" w14:textId="16DB74BE" w:rsidR="0012790E" w:rsidRPr="00F319D9" w:rsidRDefault="008F6896">
            <w:pPr>
              <w:pStyle w:val="Measuretabledatarightaligneditalics"/>
              <w:keepNext/>
              <w:rPr>
                <w:i w:val="0"/>
              </w:rPr>
            </w:pPr>
            <w:r w:rsidRPr="00F319D9">
              <w:rPr>
                <w:i w:val="0"/>
                <w:iCs/>
              </w:rPr>
              <w:t>*</w:t>
            </w:r>
          </w:p>
        </w:tc>
        <w:tc>
          <w:tcPr>
            <w:tcW w:w="1045" w:type="dxa"/>
            <w:tcBorders>
              <w:top w:val="single" w:sz="4" w:space="0" w:color="293F5B"/>
              <w:bottom w:val="single" w:sz="4" w:space="0" w:color="293F5B"/>
            </w:tcBorders>
            <w:shd w:val="clear" w:color="auto" w:fill="auto"/>
          </w:tcPr>
          <w:p w14:paraId="0AFBF918" w14:textId="7C1A5032" w:rsidR="0012790E" w:rsidRPr="00F319D9" w:rsidRDefault="008F6896">
            <w:pPr>
              <w:pStyle w:val="Measuretabledatarightaligneditalics"/>
              <w:keepNext/>
              <w:rPr>
                <w:i w:val="0"/>
              </w:rPr>
            </w:pPr>
            <w:r w:rsidRPr="00F319D9">
              <w:rPr>
                <w:i w:val="0"/>
                <w:iCs/>
              </w:rPr>
              <w:t>*</w:t>
            </w:r>
          </w:p>
        </w:tc>
        <w:tc>
          <w:tcPr>
            <w:tcW w:w="1045" w:type="dxa"/>
            <w:tcBorders>
              <w:top w:val="single" w:sz="4" w:space="0" w:color="293F5B"/>
              <w:bottom w:val="single" w:sz="4" w:space="0" w:color="293F5B"/>
            </w:tcBorders>
            <w:shd w:val="clear" w:color="auto" w:fill="auto"/>
          </w:tcPr>
          <w:p w14:paraId="7F8FC5C3" w14:textId="188390B1" w:rsidR="0012790E" w:rsidRPr="00F319D9" w:rsidRDefault="008F6896">
            <w:pPr>
              <w:pStyle w:val="Measuretabledatarightaligneditalics"/>
              <w:keepNext/>
              <w:rPr>
                <w:i w:val="0"/>
              </w:rPr>
            </w:pPr>
            <w:r w:rsidRPr="00F319D9">
              <w:rPr>
                <w:i w:val="0"/>
                <w:iCs/>
              </w:rPr>
              <w:t>*</w:t>
            </w:r>
          </w:p>
        </w:tc>
      </w:tr>
      <w:tr w:rsidR="0012790E" w:rsidRPr="001C06E6" w14:paraId="1B1480AA" w14:textId="77777777">
        <w:tc>
          <w:tcPr>
            <w:tcW w:w="2497" w:type="dxa"/>
            <w:tcBorders>
              <w:top w:val="single" w:sz="4" w:space="0" w:color="293F5B"/>
              <w:bottom w:val="single" w:sz="4" w:space="0" w:color="293F5B"/>
            </w:tcBorders>
            <w:shd w:val="clear" w:color="auto" w:fill="auto"/>
          </w:tcPr>
          <w:p w14:paraId="046A628A" w14:textId="77777777" w:rsidR="0012790E" w:rsidRPr="001C06E6" w:rsidRDefault="0012790E">
            <w:pPr>
              <w:pStyle w:val="Totalrowitalicsleftaligned"/>
              <w:keepNext/>
            </w:pPr>
            <w:r w:rsidRPr="001C06E6">
              <w:t>Total – Payments</w:t>
            </w:r>
          </w:p>
        </w:tc>
        <w:tc>
          <w:tcPr>
            <w:tcW w:w="1045" w:type="dxa"/>
            <w:tcBorders>
              <w:top w:val="single" w:sz="4" w:space="0" w:color="293F5B"/>
              <w:bottom w:val="single" w:sz="4" w:space="0" w:color="293F5B"/>
            </w:tcBorders>
            <w:shd w:val="clear" w:color="auto" w:fill="auto"/>
          </w:tcPr>
          <w:p w14:paraId="00530DD2"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0D45E1EC" w14:textId="77777777" w:rsidR="0012790E" w:rsidRPr="001C06E6" w:rsidRDefault="0012790E">
            <w:pPr>
              <w:pStyle w:val="Totalrowitalicsrightaligned"/>
              <w:keepNext/>
            </w:pPr>
            <w:r w:rsidRPr="001C06E6">
              <w:t>69.0</w:t>
            </w:r>
          </w:p>
        </w:tc>
        <w:tc>
          <w:tcPr>
            <w:tcW w:w="1045" w:type="dxa"/>
            <w:tcBorders>
              <w:top w:val="single" w:sz="4" w:space="0" w:color="293F5B"/>
              <w:bottom w:val="single" w:sz="4" w:space="0" w:color="293F5B"/>
            </w:tcBorders>
            <w:shd w:val="clear" w:color="auto" w:fill="auto"/>
          </w:tcPr>
          <w:p w14:paraId="4CF8C9CA" w14:textId="77777777" w:rsidR="0012790E" w:rsidRPr="001C06E6" w:rsidRDefault="0012790E">
            <w:pPr>
              <w:pStyle w:val="Totalrowitalicsrightaligned"/>
              <w:keepNext/>
            </w:pPr>
            <w:r w:rsidRPr="001C06E6">
              <w:t>72.8</w:t>
            </w:r>
          </w:p>
        </w:tc>
        <w:tc>
          <w:tcPr>
            <w:tcW w:w="1045" w:type="dxa"/>
            <w:tcBorders>
              <w:top w:val="single" w:sz="4" w:space="0" w:color="293F5B"/>
              <w:bottom w:val="single" w:sz="4" w:space="0" w:color="293F5B"/>
            </w:tcBorders>
            <w:shd w:val="clear" w:color="auto" w:fill="auto"/>
          </w:tcPr>
          <w:p w14:paraId="7F62354B" w14:textId="77777777" w:rsidR="0012790E" w:rsidRPr="001C06E6" w:rsidRDefault="0012790E">
            <w:pPr>
              <w:pStyle w:val="Totalrowitalicsrightaligned"/>
              <w:keepNext/>
            </w:pPr>
            <w:r w:rsidRPr="001C06E6">
              <w:t>25.3</w:t>
            </w:r>
          </w:p>
        </w:tc>
        <w:tc>
          <w:tcPr>
            <w:tcW w:w="1045" w:type="dxa"/>
            <w:tcBorders>
              <w:top w:val="single" w:sz="4" w:space="0" w:color="293F5B"/>
              <w:bottom w:val="single" w:sz="4" w:space="0" w:color="293F5B"/>
            </w:tcBorders>
            <w:shd w:val="clear" w:color="auto" w:fill="auto"/>
          </w:tcPr>
          <w:p w14:paraId="75A376E1" w14:textId="77777777" w:rsidR="0012790E" w:rsidRPr="001C06E6" w:rsidRDefault="0012790E">
            <w:pPr>
              <w:pStyle w:val="Totalrowitalicsrightaligned"/>
              <w:keepNext/>
            </w:pPr>
            <w:r w:rsidRPr="001C06E6">
              <w:t>20.3</w:t>
            </w:r>
          </w:p>
        </w:tc>
      </w:tr>
    </w:tbl>
    <w:p w14:paraId="7C98B506" w14:textId="77777777" w:rsidR="0012790E" w:rsidRPr="001C06E6" w:rsidRDefault="0012790E">
      <w:pPr>
        <w:keepNext/>
        <w:widowControl w:val="0"/>
        <w:tabs>
          <w:tab w:val="right" w:pos="3536"/>
          <w:tab w:val="right" w:pos="4579"/>
          <w:tab w:val="right" w:pos="5622"/>
          <w:tab w:val="right" w:pos="6664"/>
          <w:tab w:val="right" w:pos="7707"/>
        </w:tabs>
        <w:spacing w:line="226" w:lineRule="exact"/>
        <w:rPr>
          <w:i/>
          <w:iCs/>
          <w:color w:val="000000"/>
          <w:sz w:val="16"/>
          <w:szCs w:val="16"/>
          <w:lang w:val="en-AU"/>
        </w:rPr>
      </w:pPr>
    </w:p>
    <w:p w14:paraId="09659B06" w14:textId="7349A639" w:rsidR="0012790E" w:rsidRDefault="0012790E">
      <w:pPr>
        <w:pStyle w:val="Normal2"/>
        <w:rPr>
          <w:rFonts w:cs="Book Antiqua"/>
        </w:rPr>
      </w:pPr>
      <w:r w:rsidRPr="001C06E6">
        <w:rPr>
          <w:rFonts w:cs="Book Antiqua"/>
        </w:rPr>
        <w:t>The Government will provide $187.0</w:t>
      </w:r>
      <w:r>
        <w:rPr>
          <w:rFonts w:cs="Book Antiqua"/>
        </w:rPr>
        <w:t> </w:t>
      </w:r>
      <w:r w:rsidRPr="001C06E6">
        <w:rPr>
          <w:rFonts w:cs="Book Antiqua"/>
        </w:rPr>
        <w:t xml:space="preserve">million over </w:t>
      </w:r>
      <w:r w:rsidR="001D2A48">
        <w:rPr>
          <w:rFonts w:cs="Book Antiqua"/>
        </w:rPr>
        <w:t>four</w:t>
      </w:r>
      <w:r>
        <w:rPr>
          <w:rFonts w:cs="Book Antiqua"/>
        </w:rPr>
        <w:t> </w:t>
      </w:r>
      <w:r w:rsidRPr="001C06E6">
        <w:rPr>
          <w:rFonts w:cs="Book Antiqua"/>
        </w:rPr>
        <w:t>years from 1</w:t>
      </w:r>
      <w:r>
        <w:rPr>
          <w:rFonts w:cs="Book Antiqua"/>
        </w:rPr>
        <w:t> </w:t>
      </w:r>
      <w:r w:rsidRPr="001C06E6">
        <w:rPr>
          <w:rFonts w:cs="Book Antiqua"/>
        </w:rPr>
        <w:t>July</w:t>
      </w:r>
      <w:r>
        <w:rPr>
          <w:rFonts w:cs="Book Antiqua"/>
        </w:rPr>
        <w:t> </w:t>
      </w:r>
      <w:r w:rsidRPr="001C06E6">
        <w:rPr>
          <w:rFonts w:cs="Book Antiqua"/>
        </w:rPr>
        <w:t>2024 to the</w:t>
      </w:r>
      <w:r>
        <w:rPr>
          <w:rFonts w:cs="Book Antiqua"/>
        </w:rPr>
        <w:t xml:space="preserve"> </w:t>
      </w:r>
      <w:r w:rsidRPr="001C06E6">
        <w:rPr>
          <w:rFonts w:cs="Book Antiqua"/>
        </w:rPr>
        <w:t>ATO to</w:t>
      </w:r>
      <w:r w:rsidR="006F10F3">
        <w:rPr>
          <w:rFonts w:cs="Book Antiqua"/>
        </w:rPr>
        <w:t> </w:t>
      </w:r>
      <w:r w:rsidRPr="001C06E6">
        <w:rPr>
          <w:rFonts w:cs="Book Antiqua"/>
        </w:rPr>
        <w:t>strengthen its ability to detect, prevent and</w:t>
      </w:r>
      <w:r>
        <w:rPr>
          <w:rFonts w:cs="Book Antiqua"/>
        </w:rPr>
        <w:t xml:space="preserve"> </w:t>
      </w:r>
      <w:r w:rsidRPr="001C06E6">
        <w:rPr>
          <w:rFonts w:cs="Book Antiqua"/>
        </w:rPr>
        <w:t>mitigate fraud against the tax and superannuation systems. Funding includes:</w:t>
      </w:r>
    </w:p>
    <w:p w14:paraId="19F8E1C4" w14:textId="77777777" w:rsidR="0012790E" w:rsidRDefault="0012790E">
      <w:pPr>
        <w:pStyle w:val="Bullet"/>
      </w:pPr>
      <w:r w:rsidRPr="001C06E6">
        <w:t>$78.7</w:t>
      </w:r>
      <w:r>
        <w:t> </w:t>
      </w:r>
      <w:r w:rsidRPr="001C06E6">
        <w:t>million for upgrades to information and communications technologies to enable the ATO to identify and block suspicious activity in real time</w:t>
      </w:r>
      <w:r>
        <w:t xml:space="preserve"> </w:t>
      </w:r>
    </w:p>
    <w:p w14:paraId="7BF9D299" w14:textId="77777777" w:rsidR="0012790E" w:rsidRDefault="0012790E">
      <w:pPr>
        <w:pStyle w:val="Bullet"/>
      </w:pPr>
      <w:r w:rsidRPr="001C06E6">
        <w:t>$83.5</w:t>
      </w:r>
      <w:r>
        <w:t> </w:t>
      </w:r>
      <w:r w:rsidRPr="001C06E6">
        <w:t>million for a new compliance taskforce to recover lost revenue and intervene when attempts to obtain fraudulent refunds are made</w:t>
      </w:r>
      <w:r>
        <w:t xml:space="preserve"> </w:t>
      </w:r>
    </w:p>
    <w:p w14:paraId="3A1132D7" w14:textId="77777777" w:rsidR="0012790E" w:rsidRDefault="0012790E">
      <w:pPr>
        <w:pStyle w:val="Bullet"/>
      </w:pPr>
      <w:r w:rsidRPr="001C06E6">
        <w:lastRenderedPageBreak/>
        <w:t>$24.8</w:t>
      </w:r>
      <w:r>
        <w:t> </w:t>
      </w:r>
      <w:r w:rsidRPr="001C06E6">
        <w:t>million to improve the ATO’s management and governance of its counter</w:t>
      </w:r>
      <w:r>
        <w:noBreakHyphen/>
      </w:r>
      <w:r w:rsidRPr="001C06E6">
        <w:t>fraud activities, including improving how the ATO assists individuals harmed by fraud.</w:t>
      </w:r>
      <w:r>
        <w:t xml:space="preserve"> </w:t>
      </w:r>
    </w:p>
    <w:p w14:paraId="40D8344D" w14:textId="30D61049" w:rsidR="0012790E" w:rsidRDefault="0012790E" w:rsidP="54937204">
      <w:pPr>
        <w:pStyle w:val="Normal2"/>
        <w:rPr>
          <w:rFonts w:cs="Book Antiqua"/>
          <w:lang w:val="en-US"/>
        </w:rPr>
      </w:pPr>
      <w:r w:rsidRPr="54937204">
        <w:rPr>
          <w:rFonts w:cs="Book Antiqua"/>
          <w:lang w:val="en-US"/>
        </w:rPr>
        <w:t xml:space="preserve">The Government will also provide $0.4 million over </w:t>
      </w:r>
      <w:r w:rsidR="00DF7F1B">
        <w:rPr>
          <w:rFonts w:cs="Book Antiqua"/>
          <w:lang w:val="en-US"/>
        </w:rPr>
        <w:t>four</w:t>
      </w:r>
      <w:r w:rsidRPr="54937204">
        <w:rPr>
          <w:rFonts w:cs="Book Antiqua"/>
          <w:lang w:val="en-US"/>
        </w:rPr>
        <w:t xml:space="preserve"> years from 1 July 2024 to the Department of Finance to undertake a Gateway Review process over the life of the proposal to ensure independent assurance, oversight and delivery of the measure. </w:t>
      </w:r>
    </w:p>
    <w:p w14:paraId="415B51C7" w14:textId="77777777" w:rsidR="0012790E" w:rsidRDefault="0012790E" w:rsidP="54937204">
      <w:pPr>
        <w:pStyle w:val="Normal2"/>
        <w:rPr>
          <w:rFonts w:cs="Book Antiqua"/>
          <w:lang w:val="en-US"/>
        </w:rPr>
      </w:pPr>
      <w:r w:rsidRPr="54937204">
        <w:rPr>
          <w:rFonts w:cs="Book Antiqua"/>
          <w:lang w:val="en-US"/>
        </w:rPr>
        <w:t>Further, the Government will strengthen the ATO’s ability to combat fraud by extending the time the ATO has to notify a taxpayer if it intends to retain a business activity statement (BAS) refund for further investigation. The ATO’s mandatory notification period for BAS refund retention will be increased from 14 days to 30 days to align with time limits for non</w:t>
      </w:r>
      <w:r>
        <w:rPr>
          <w:rFonts w:cs="Book Antiqua"/>
        </w:rPr>
        <w:noBreakHyphen/>
      </w:r>
      <w:r w:rsidRPr="54937204">
        <w:rPr>
          <w:rFonts w:cs="Book Antiqua"/>
          <w:lang w:val="en-US"/>
        </w:rPr>
        <w:t xml:space="preserve">BAS refunds. </w:t>
      </w:r>
    </w:p>
    <w:p w14:paraId="675D1708" w14:textId="77777777" w:rsidR="0012790E" w:rsidRDefault="0012790E" w:rsidP="54937204">
      <w:pPr>
        <w:pStyle w:val="Normal2"/>
        <w:rPr>
          <w:rFonts w:cs="Book Antiqua"/>
          <w:lang w:val="en-US"/>
        </w:rPr>
      </w:pPr>
      <w:r w:rsidRPr="54937204">
        <w:rPr>
          <w:rFonts w:cs="Book Antiqua"/>
          <w:lang w:val="en-US"/>
        </w:rPr>
        <w:t xml:space="preserve">The extended period will strengthen the ATO’s ability to combat fraud during peak fraud events like the one that triggered Operation Protego. Legitimate refunds will be largely unaffected. Any legitimate refunds retained for over 14 days would result in the ATO paying interest to the taxpayer (as is currently the case). The ATO will publish BAS processing times online. </w:t>
      </w:r>
    </w:p>
    <w:p w14:paraId="794982A4" w14:textId="77777777" w:rsidR="0012790E" w:rsidRDefault="0012790E" w:rsidP="54937204">
      <w:pPr>
        <w:pStyle w:val="Normal2"/>
        <w:rPr>
          <w:rFonts w:cs="Book Antiqua"/>
          <w:lang w:val="en-US"/>
        </w:rPr>
      </w:pPr>
      <w:r w:rsidRPr="54937204">
        <w:rPr>
          <w:rFonts w:cs="Book Antiqua"/>
          <w:lang w:val="en-US"/>
        </w:rPr>
        <w:t xml:space="preserve">This will have effect from the start of the first financial year after Royal Assent of the enabling legislation. </w:t>
      </w:r>
    </w:p>
    <w:p w14:paraId="1425CDA2" w14:textId="1F182605" w:rsidR="0012790E" w:rsidRDefault="0012790E">
      <w:pPr>
        <w:pStyle w:val="Normal2"/>
        <w:rPr>
          <w:rFonts w:cs="Book Antiqua"/>
        </w:rPr>
      </w:pPr>
      <w:r w:rsidRPr="001C06E6">
        <w:rPr>
          <w:rFonts w:cs="Book Antiqua"/>
        </w:rPr>
        <w:t>This measure is estimated to increase receipts by $302.2</w:t>
      </w:r>
      <w:r>
        <w:rPr>
          <w:rFonts w:cs="Book Antiqua"/>
        </w:rPr>
        <w:t> </w:t>
      </w:r>
      <w:r w:rsidRPr="001C06E6">
        <w:rPr>
          <w:rFonts w:cs="Book Antiqua"/>
        </w:rPr>
        <w:t>million and increase</w:t>
      </w:r>
      <w:r>
        <w:rPr>
          <w:rFonts w:cs="Book Antiqua"/>
        </w:rPr>
        <w:t xml:space="preserve"> </w:t>
      </w:r>
      <w:r w:rsidRPr="001C06E6">
        <w:rPr>
          <w:rFonts w:cs="Book Antiqua"/>
        </w:rPr>
        <w:t>payments by $187.4</w:t>
      </w:r>
      <w:r>
        <w:rPr>
          <w:rFonts w:cs="Book Antiqua"/>
        </w:rPr>
        <w:t> </w:t>
      </w:r>
      <w:r w:rsidRPr="001C06E6">
        <w:rPr>
          <w:rFonts w:cs="Book Antiqua"/>
        </w:rPr>
        <w:t xml:space="preserve">million over </w:t>
      </w:r>
      <w:r w:rsidR="00550460">
        <w:rPr>
          <w:rFonts w:cs="Book Antiqua"/>
        </w:rPr>
        <w:t>the</w:t>
      </w:r>
      <w:r w:rsidRPr="001C06E6">
        <w:rPr>
          <w:rFonts w:cs="Book Antiqua"/>
        </w:rPr>
        <w:t xml:space="preserve"> 5</w:t>
      </w:r>
      <w:r>
        <w:rPr>
          <w:rFonts w:cs="Book Antiqua"/>
        </w:rPr>
        <w:t> </w:t>
      </w:r>
      <w:r w:rsidRPr="001C06E6">
        <w:rPr>
          <w:rFonts w:cs="Book Antiqua"/>
        </w:rPr>
        <w:t xml:space="preserve">years from </w:t>
      </w:r>
      <w:r>
        <w:rPr>
          <w:rFonts w:cs="Book Antiqua"/>
        </w:rPr>
        <w:t>2023–24</w:t>
      </w:r>
      <w:r w:rsidRPr="001C06E6">
        <w:rPr>
          <w:rFonts w:cs="Book Antiqua"/>
        </w:rPr>
        <w:t>.</w:t>
      </w:r>
      <w:r>
        <w:rPr>
          <w:rFonts w:cs="Book Antiqua"/>
        </w:rPr>
        <w:t xml:space="preserve"> </w:t>
      </w:r>
    </w:p>
    <w:p w14:paraId="094E83AA" w14:textId="3BAED3BD" w:rsidR="0012790E" w:rsidRPr="001C06E6" w:rsidRDefault="0012790E">
      <w:pPr>
        <w:pStyle w:val="MeasureTitle"/>
        <w:rPr>
          <w:b w:val="0"/>
          <w:bCs/>
        </w:rPr>
      </w:pPr>
      <w:r w:rsidRPr="001C06E6">
        <w:rPr>
          <w:bCs/>
        </w:rPr>
        <w:t>Strengthening Tax Compliance – extending the Shadow Economy Compliance</w:t>
      </w:r>
      <w:r w:rsidR="006F10F3">
        <w:rPr>
          <w:bCs/>
        </w:rPr>
        <w:t> </w:t>
      </w:r>
      <w:r w:rsidRPr="001C06E6">
        <w:rPr>
          <w:bCs/>
        </w:rPr>
        <w:t>Program</w:t>
      </w:r>
    </w:p>
    <w:p w14:paraId="241DD2FF" w14:textId="77777777" w:rsidR="0012790E" w:rsidRPr="001C06E6" w:rsidRDefault="0012790E">
      <w:pPr>
        <w:pStyle w:val="MeasureTableHeading"/>
      </w:pPr>
      <w:r w:rsidRPr="001C06E6">
        <w:rPr>
          <w:color w:val="000000"/>
          <w:szCs w:val="16"/>
        </w:rPr>
        <w:t>Receipts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D02BC1F" w14:textId="77777777">
        <w:tc>
          <w:tcPr>
            <w:tcW w:w="2497" w:type="dxa"/>
            <w:tcBorders>
              <w:top w:val="single" w:sz="4" w:space="0" w:color="293F5B"/>
              <w:bottom w:val="single" w:sz="4" w:space="0" w:color="293F5B"/>
            </w:tcBorders>
            <w:shd w:val="clear" w:color="auto" w:fill="auto"/>
          </w:tcPr>
          <w:p w14:paraId="273449FE"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C076872"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33EA8B7"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5DB635F"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C802D1E"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C4FD09B" w14:textId="77777777" w:rsidR="0012790E" w:rsidRPr="001C06E6" w:rsidRDefault="0012790E">
            <w:pPr>
              <w:pStyle w:val="MeasureTableYearHeadings"/>
              <w:keepNext/>
            </w:pPr>
            <w:r w:rsidRPr="001C06E6">
              <w:t>2027</w:t>
            </w:r>
            <w:r>
              <w:noBreakHyphen/>
            </w:r>
            <w:r w:rsidRPr="001C06E6">
              <w:t>28</w:t>
            </w:r>
          </w:p>
        </w:tc>
      </w:tr>
      <w:tr w:rsidR="0012790E" w:rsidRPr="001C06E6" w14:paraId="0321334E" w14:textId="77777777">
        <w:tc>
          <w:tcPr>
            <w:tcW w:w="2497" w:type="dxa"/>
            <w:tcBorders>
              <w:top w:val="single" w:sz="4" w:space="0" w:color="293F5B"/>
              <w:bottom w:val="single" w:sz="4" w:space="0" w:color="293F5B"/>
            </w:tcBorders>
            <w:shd w:val="clear" w:color="auto" w:fill="auto"/>
          </w:tcPr>
          <w:p w14:paraId="6CF7EE17"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7E75D9D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A34210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CE4858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5E3606A" w14:textId="77777777" w:rsidR="0012790E" w:rsidRPr="001C06E6" w:rsidRDefault="0012790E">
            <w:pPr>
              <w:pStyle w:val="MeasureTableDataRightAlignedwith2ptsspacing"/>
              <w:keepNext/>
            </w:pPr>
            <w:r w:rsidRPr="001C06E6">
              <w:t>684.4</w:t>
            </w:r>
          </w:p>
        </w:tc>
        <w:tc>
          <w:tcPr>
            <w:tcW w:w="1045" w:type="dxa"/>
            <w:tcBorders>
              <w:top w:val="single" w:sz="4" w:space="0" w:color="293F5B"/>
              <w:bottom w:val="single" w:sz="4" w:space="0" w:color="293F5B"/>
            </w:tcBorders>
            <w:shd w:val="clear" w:color="auto" w:fill="auto"/>
          </w:tcPr>
          <w:p w14:paraId="6EF68A36" w14:textId="77777777" w:rsidR="0012790E" w:rsidRPr="001C06E6" w:rsidRDefault="0012790E">
            <w:pPr>
              <w:pStyle w:val="MeasureTableDataRightAlignedwith2ptsspacing"/>
              <w:keepNext/>
            </w:pPr>
            <w:r w:rsidRPr="001C06E6">
              <w:t>1,192.4</w:t>
            </w:r>
          </w:p>
        </w:tc>
      </w:tr>
      <w:tr w:rsidR="0012790E" w:rsidRPr="001C06E6" w14:paraId="58103BAE" w14:textId="77777777">
        <w:tc>
          <w:tcPr>
            <w:tcW w:w="2497" w:type="dxa"/>
            <w:tcBorders>
              <w:top w:val="single" w:sz="4" w:space="0" w:color="293F5B"/>
            </w:tcBorders>
            <w:shd w:val="clear" w:color="auto" w:fill="auto"/>
          </w:tcPr>
          <w:p w14:paraId="2BB9EA37" w14:textId="77777777" w:rsidR="0012790E" w:rsidRPr="001C06E6" w:rsidRDefault="0012790E">
            <w:pPr>
              <w:pStyle w:val="AgencyName"/>
              <w:keepNext/>
            </w:pPr>
            <w:r w:rsidRPr="001C06E6">
              <w:t>Related payments ($m)</w:t>
            </w:r>
          </w:p>
        </w:tc>
        <w:tc>
          <w:tcPr>
            <w:tcW w:w="1045" w:type="dxa"/>
            <w:tcBorders>
              <w:top w:val="single" w:sz="4" w:space="0" w:color="293F5B"/>
            </w:tcBorders>
            <w:shd w:val="clear" w:color="auto" w:fill="auto"/>
          </w:tcPr>
          <w:p w14:paraId="165B0046" w14:textId="77777777" w:rsidR="0012790E" w:rsidRPr="001C06E6" w:rsidRDefault="0012790E">
            <w:pPr>
              <w:pStyle w:val="AgencyName"/>
              <w:keepNext/>
            </w:pPr>
          </w:p>
        </w:tc>
        <w:tc>
          <w:tcPr>
            <w:tcW w:w="1045" w:type="dxa"/>
            <w:tcBorders>
              <w:top w:val="single" w:sz="4" w:space="0" w:color="293F5B"/>
            </w:tcBorders>
            <w:shd w:val="clear" w:color="auto" w:fill="auto"/>
          </w:tcPr>
          <w:p w14:paraId="3C264211" w14:textId="77777777" w:rsidR="0012790E" w:rsidRPr="001C06E6" w:rsidRDefault="0012790E">
            <w:pPr>
              <w:pStyle w:val="AgencyName"/>
              <w:keepNext/>
            </w:pPr>
          </w:p>
        </w:tc>
        <w:tc>
          <w:tcPr>
            <w:tcW w:w="1045" w:type="dxa"/>
            <w:tcBorders>
              <w:top w:val="single" w:sz="4" w:space="0" w:color="293F5B"/>
            </w:tcBorders>
            <w:shd w:val="clear" w:color="auto" w:fill="auto"/>
          </w:tcPr>
          <w:p w14:paraId="22C14857" w14:textId="77777777" w:rsidR="0012790E" w:rsidRPr="001C06E6" w:rsidRDefault="0012790E">
            <w:pPr>
              <w:pStyle w:val="AgencyName"/>
              <w:keepNext/>
            </w:pPr>
          </w:p>
        </w:tc>
        <w:tc>
          <w:tcPr>
            <w:tcW w:w="1045" w:type="dxa"/>
            <w:tcBorders>
              <w:top w:val="single" w:sz="4" w:space="0" w:color="293F5B"/>
            </w:tcBorders>
            <w:shd w:val="clear" w:color="auto" w:fill="auto"/>
          </w:tcPr>
          <w:p w14:paraId="6C00F3FD" w14:textId="77777777" w:rsidR="0012790E" w:rsidRPr="001C06E6" w:rsidRDefault="0012790E">
            <w:pPr>
              <w:pStyle w:val="AgencyName"/>
              <w:keepNext/>
            </w:pPr>
          </w:p>
        </w:tc>
        <w:tc>
          <w:tcPr>
            <w:tcW w:w="1045" w:type="dxa"/>
            <w:tcBorders>
              <w:top w:val="single" w:sz="4" w:space="0" w:color="293F5B"/>
            </w:tcBorders>
            <w:shd w:val="clear" w:color="auto" w:fill="auto"/>
          </w:tcPr>
          <w:p w14:paraId="7B9D2E90" w14:textId="77777777" w:rsidR="0012790E" w:rsidRPr="001C06E6" w:rsidRDefault="0012790E">
            <w:pPr>
              <w:pStyle w:val="AgencyName"/>
              <w:keepNext/>
            </w:pPr>
          </w:p>
        </w:tc>
      </w:tr>
      <w:tr w:rsidR="0012790E" w:rsidRPr="001C06E6" w14:paraId="61BE35DD" w14:textId="77777777">
        <w:tc>
          <w:tcPr>
            <w:tcW w:w="2497" w:type="dxa"/>
            <w:tcBorders>
              <w:bottom w:val="single" w:sz="4" w:space="0" w:color="293F5B"/>
            </w:tcBorders>
            <w:shd w:val="clear" w:color="auto" w:fill="auto"/>
          </w:tcPr>
          <w:p w14:paraId="01CE554F" w14:textId="77777777" w:rsidR="0012790E" w:rsidRPr="001C06E6" w:rsidRDefault="0012790E">
            <w:pPr>
              <w:pStyle w:val="AgencyNamewith2ptsspacing"/>
              <w:keepNext/>
            </w:pPr>
            <w:r w:rsidRPr="001C06E6">
              <w:t>Department of the Treasury</w:t>
            </w:r>
          </w:p>
        </w:tc>
        <w:tc>
          <w:tcPr>
            <w:tcW w:w="1045" w:type="dxa"/>
            <w:tcBorders>
              <w:bottom w:val="single" w:sz="4" w:space="0" w:color="293F5B"/>
            </w:tcBorders>
            <w:shd w:val="clear" w:color="auto" w:fill="auto"/>
          </w:tcPr>
          <w:p w14:paraId="63AB7C08"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44C231EC"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6902149B"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0FDD7167" w14:textId="77777777" w:rsidR="0012790E" w:rsidRPr="001C06E6" w:rsidRDefault="0012790E">
            <w:pPr>
              <w:pStyle w:val="Measuretabledatarightaligneditalics"/>
              <w:keepNext/>
            </w:pPr>
            <w:r w:rsidRPr="001C06E6">
              <w:t>158.0</w:t>
            </w:r>
          </w:p>
        </w:tc>
        <w:tc>
          <w:tcPr>
            <w:tcW w:w="1045" w:type="dxa"/>
            <w:tcBorders>
              <w:bottom w:val="single" w:sz="4" w:space="0" w:color="293F5B"/>
            </w:tcBorders>
            <w:shd w:val="clear" w:color="auto" w:fill="auto"/>
          </w:tcPr>
          <w:p w14:paraId="3D542FE5" w14:textId="77777777" w:rsidR="0012790E" w:rsidRPr="001C06E6" w:rsidRDefault="0012790E">
            <w:pPr>
              <w:pStyle w:val="Measuretabledatarightaligneditalics"/>
              <w:keepNext/>
            </w:pPr>
            <w:r w:rsidRPr="001C06E6">
              <w:t>271.6</w:t>
            </w:r>
          </w:p>
        </w:tc>
      </w:tr>
      <w:tr w:rsidR="0012790E" w:rsidRPr="001C06E6" w14:paraId="468FEF60" w14:textId="77777777">
        <w:tc>
          <w:tcPr>
            <w:tcW w:w="2497" w:type="dxa"/>
            <w:tcBorders>
              <w:top w:val="single" w:sz="4" w:space="0" w:color="293F5B"/>
              <w:bottom w:val="single" w:sz="4" w:space="0" w:color="293F5B"/>
            </w:tcBorders>
            <w:shd w:val="clear" w:color="auto" w:fill="auto"/>
          </w:tcPr>
          <w:p w14:paraId="592538AC" w14:textId="77777777" w:rsidR="0012790E" w:rsidRPr="001C06E6" w:rsidRDefault="0012790E">
            <w:pPr>
              <w:pStyle w:val="AgencyName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03FC1314"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78748BA7"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2A1E7803"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6DEEC5C2" w14:textId="77777777" w:rsidR="0012790E" w:rsidRPr="001C06E6" w:rsidRDefault="0012790E">
            <w:pPr>
              <w:pStyle w:val="Measuretabledatarightaligneditalics"/>
              <w:keepNext/>
            </w:pPr>
            <w:r w:rsidRPr="001C06E6">
              <w:t>89.7</w:t>
            </w:r>
          </w:p>
        </w:tc>
        <w:tc>
          <w:tcPr>
            <w:tcW w:w="1045" w:type="dxa"/>
            <w:tcBorders>
              <w:top w:val="single" w:sz="4" w:space="0" w:color="293F5B"/>
              <w:bottom w:val="single" w:sz="4" w:space="0" w:color="293F5B"/>
            </w:tcBorders>
            <w:shd w:val="clear" w:color="auto" w:fill="auto"/>
          </w:tcPr>
          <w:p w14:paraId="7C2585EE" w14:textId="77777777" w:rsidR="0012790E" w:rsidRPr="001C06E6" w:rsidRDefault="0012790E">
            <w:pPr>
              <w:pStyle w:val="Measuretabledatarightaligneditalics"/>
              <w:keepNext/>
            </w:pPr>
            <w:r w:rsidRPr="001C06E6">
              <w:t>90.9</w:t>
            </w:r>
          </w:p>
        </w:tc>
      </w:tr>
      <w:tr w:rsidR="0012790E" w:rsidRPr="001C06E6" w14:paraId="09BF9153" w14:textId="77777777">
        <w:tc>
          <w:tcPr>
            <w:tcW w:w="2497" w:type="dxa"/>
            <w:tcBorders>
              <w:top w:val="single" w:sz="4" w:space="0" w:color="293F5B"/>
              <w:bottom w:val="single" w:sz="4" w:space="0" w:color="293F5B"/>
            </w:tcBorders>
            <w:shd w:val="clear" w:color="auto" w:fill="auto"/>
          </w:tcPr>
          <w:p w14:paraId="1ADF0FB7" w14:textId="77777777" w:rsidR="0012790E" w:rsidRPr="001C06E6" w:rsidRDefault="0012790E">
            <w:pPr>
              <w:pStyle w:val="Totalrowitalicsleftaligned"/>
              <w:keepNext/>
            </w:pPr>
            <w:r w:rsidRPr="001C06E6">
              <w:t>Total – Payments</w:t>
            </w:r>
          </w:p>
        </w:tc>
        <w:tc>
          <w:tcPr>
            <w:tcW w:w="1045" w:type="dxa"/>
            <w:tcBorders>
              <w:top w:val="single" w:sz="4" w:space="0" w:color="293F5B"/>
              <w:bottom w:val="single" w:sz="4" w:space="0" w:color="293F5B"/>
            </w:tcBorders>
            <w:shd w:val="clear" w:color="auto" w:fill="auto"/>
          </w:tcPr>
          <w:p w14:paraId="7A6AB126"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6A1AFE8E"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28A48240"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4A25A3F8" w14:textId="77777777" w:rsidR="0012790E" w:rsidRPr="001C06E6" w:rsidRDefault="0012790E">
            <w:pPr>
              <w:pStyle w:val="Totalrowitalicsrightaligned"/>
              <w:keepNext/>
            </w:pPr>
            <w:r w:rsidRPr="001C06E6">
              <w:t>247.7</w:t>
            </w:r>
          </w:p>
        </w:tc>
        <w:tc>
          <w:tcPr>
            <w:tcW w:w="1045" w:type="dxa"/>
            <w:tcBorders>
              <w:top w:val="single" w:sz="4" w:space="0" w:color="293F5B"/>
              <w:bottom w:val="single" w:sz="4" w:space="0" w:color="293F5B"/>
            </w:tcBorders>
            <w:shd w:val="clear" w:color="auto" w:fill="auto"/>
          </w:tcPr>
          <w:p w14:paraId="21104F51" w14:textId="77777777" w:rsidR="0012790E" w:rsidRPr="001C06E6" w:rsidRDefault="0012790E">
            <w:pPr>
              <w:pStyle w:val="Totalrowitalicsrightaligned"/>
              <w:keepNext/>
            </w:pPr>
            <w:r w:rsidRPr="001C06E6">
              <w:t>362.5</w:t>
            </w:r>
          </w:p>
        </w:tc>
      </w:tr>
    </w:tbl>
    <w:p w14:paraId="1536C7CA" w14:textId="77777777" w:rsidR="0012790E" w:rsidRPr="001C06E6" w:rsidRDefault="0012790E">
      <w:pPr>
        <w:keepNext/>
        <w:widowControl w:val="0"/>
        <w:tabs>
          <w:tab w:val="right" w:pos="3536"/>
          <w:tab w:val="right" w:pos="4579"/>
          <w:tab w:val="right" w:pos="5622"/>
          <w:tab w:val="right" w:pos="6664"/>
          <w:tab w:val="right" w:pos="7707"/>
        </w:tabs>
        <w:spacing w:line="226" w:lineRule="exact"/>
        <w:rPr>
          <w:i/>
          <w:iCs/>
          <w:color w:val="000000"/>
          <w:sz w:val="16"/>
          <w:szCs w:val="16"/>
          <w:lang w:val="en-AU"/>
        </w:rPr>
      </w:pPr>
    </w:p>
    <w:p w14:paraId="719B516B" w14:textId="77777777" w:rsidR="0012790E" w:rsidRPr="0001327E" w:rsidRDefault="0012790E">
      <w:pPr>
        <w:pStyle w:val="Normal2"/>
        <w:rPr>
          <w:rFonts w:cs="Book Antiqua"/>
          <w:spacing w:val="-2"/>
        </w:rPr>
      </w:pPr>
      <w:r w:rsidRPr="0001327E">
        <w:rPr>
          <w:rFonts w:cs="Book Antiqua"/>
          <w:spacing w:val="-2"/>
        </w:rPr>
        <w:t xml:space="preserve">The Government will extend the ATO Shadow Economy Compliance Program for two years from 1 July 2026. </w:t>
      </w:r>
    </w:p>
    <w:p w14:paraId="6E8F692F" w14:textId="77777777" w:rsidR="0012790E" w:rsidRDefault="0012790E">
      <w:pPr>
        <w:pStyle w:val="Normal2"/>
        <w:rPr>
          <w:rFonts w:cs="Book Antiqua"/>
        </w:rPr>
      </w:pPr>
      <w:r w:rsidRPr="001C06E6">
        <w:rPr>
          <w:rFonts w:cs="Book Antiqua"/>
        </w:rPr>
        <w:t>This extension of the Shadow Economy Compliance Program will enable the ATO to</w:t>
      </w:r>
      <w:r>
        <w:rPr>
          <w:rFonts w:cs="Book Antiqua"/>
        </w:rPr>
        <w:t xml:space="preserve"> </w:t>
      </w:r>
      <w:r w:rsidRPr="001C06E6">
        <w:rPr>
          <w:rFonts w:cs="Book Antiqua"/>
        </w:rPr>
        <w:t>continue to reduce shadow economy activity, thereby protecting revenue and</w:t>
      </w:r>
      <w:r>
        <w:rPr>
          <w:rFonts w:cs="Book Antiqua"/>
        </w:rPr>
        <w:t xml:space="preserve"> </w:t>
      </w:r>
      <w:r w:rsidRPr="001C06E6">
        <w:rPr>
          <w:rFonts w:cs="Book Antiqua"/>
        </w:rPr>
        <w:t>preventing non</w:t>
      </w:r>
      <w:r>
        <w:rPr>
          <w:rFonts w:cs="Book Antiqua"/>
        </w:rPr>
        <w:noBreakHyphen/>
      </w:r>
      <w:r w:rsidRPr="001C06E6">
        <w:rPr>
          <w:rFonts w:cs="Book Antiqua"/>
        </w:rPr>
        <w:t>compliant businesses from undercutting competition.</w:t>
      </w:r>
      <w:r>
        <w:rPr>
          <w:rFonts w:cs="Book Antiqua"/>
        </w:rPr>
        <w:t xml:space="preserve"> </w:t>
      </w:r>
    </w:p>
    <w:p w14:paraId="0EC31EE6" w14:textId="77777777" w:rsidR="0012790E" w:rsidRDefault="0012790E" w:rsidP="54937204">
      <w:pPr>
        <w:pStyle w:val="Normal2"/>
        <w:rPr>
          <w:rFonts w:cs="Book Antiqua"/>
          <w:lang w:val="en-US"/>
        </w:rPr>
      </w:pPr>
      <w:r w:rsidRPr="54937204">
        <w:rPr>
          <w:rFonts w:cs="Book Antiqua"/>
          <w:lang w:val="en-US"/>
        </w:rPr>
        <w:t xml:space="preserve">This measure is estimated to increase receipts by $1.9 billion and increase payments by $610.2 million over the 5 years from 2023–24. This includes an increase in GST payments to the states and territories of $429.6 million. </w:t>
      </w:r>
    </w:p>
    <w:p w14:paraId="6E85038A" w14:textId="77777777" w:rsidR="0012790E" w:rsidRPr="001C06E6" w:rsidRDefault="0012790E">
      <w:pPr>
        <w:pStyle w:val="MeasureTitle"/>
        <w:rPr>
          <w:b w:val="0"/>
          <w:bCs/>
        </w:rPr>
      </w:pPr>
      <w:r w:rsidRPr="001C06E6">
        <w:rPr>
          <w:bCs/>
        </w:rPr>
        <w:lastRenderedPageBreak/>
        <w:t>Strengthening Tax Compliance – extending the Tax Avoidance Taskforce</w:t>
      </w:r>
    </w:p>
    <w:p w14:paraId="7FE5C8DA" w14:textId="77777777" w:rsidR="0012790E" w:rsidRPr="001C06E6" w:rsidRDefault="0012790E">
      <w:pPr>
        <w:pStyle w:val="MeasureTableHeading"/>
      </w:pPr>
      <w:r w:rsidRPr="001C06E6">
        <w:rPr>
          <w:color w:val="000000"/>
          <w:szCs w:val="16"/>
        </w:rPr>
        <w:t>Receipts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565D3F4" w14:textId="77777777">
        <w:tc>
          <w:tcPr>
            <w:tcW w:w="2497" w:type="dxa"/>
            <w:tcBorders>
              <w:top w:val="single" w:sz="4" w:space="0" w:color="293F5B"/>
              <w:bottom w:val="single" w:sz="4" w:space="0" w:color="293F5B"/>
            </w:tcBorders>
            <w:shd w:val="clear" w:color="auto" w:fill="auto"/>
          </w:tcPr>
          <w:p w14:paraId="2D575FF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C0A2C14"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D49B375"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F76988D"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53C7153D"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786B1F5" w14:textId="77777777" w:rsidR="0012790E" w:rsidRPr="001C06E6" w:rsidRDefault="0012790E">
            <w:pPr>
              <w:pStyle w:val="MeasureTableYearHeadings"/>
              <w:keepNext/>
            </w:pPr>
            <w:r w:rsidRPr="001C06E6">
              <w:t>2027</w:t>
            </w:r>
            <w:r>
              <w:noBreakHyphen/>
            </w:r>
            <w:r w:rsidRPr="001C06E6">
              <w:t>28</w:t>
            </w:r>
          </w:p>
        </w:tc>
      </w:tr>
      <w:tr w:rsidR="0012790E" w:rsidRPr="001C06E6" w14:paraId="18F2482B" w14:textId="77777777">
        <w:tc>
          <w:tcPr>
            <w:tcW w:w="2497" w:type="dxa"/>
            <w:tcBorders>
              <w:top w:val="single" w:sz="4" w:space="0" w:color="293F5B"/>
              <w:bottom w:val="single" w:sz="4" w:space="0" w:color="293F5B"/>
            </w:tcBorders>
            <w:shd w:val="clear" w:color="auto" w:fill="auto"/>
          </w:tcPr>
          <w:p w14:paraId="4E810A36"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477199E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C29F60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0D1475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7AA7667" w14:textId="77777777" w:rsidR="0012790E" w:rsidRPr="001C06E6" w:rsidRDefault="0012790E">
            <w:pPr>
              <w:pStyle w:val="MeasureTableDataRightAlignedwith2ptsspacing"/>
              <w:keepNext/>
            </w:pPr>
            <w:r w:rsidRPr="001C06E6">
              <w:t>829.3</w:t>
            </w:r>
          </w:p>
        </w:tc>
        <w:tc>
          <w:tcPr>
            <w:tcW w:w="1045" w:type="dxa"/>
            <w:tcBorders>
              <w:top w:val="single" w:sz="4" w:space="0" w:color="293F5B"/>
              <w:bottom w:val="single" w:sz="4" w:space="0" w:color="293F5B"/>
            </w:tcBorders>
            <w:shd w:val="clear" w:color="auto" w:fill="auto"/>
          </w:tcPr>
          <w:p w14:paraId="018CFDD3" w14:textId="77777777" w:rsidR="0012790E" w:rsidRPr="001C06E6" w:rsidRDefault="0012790E">
            <w:pPr>
              <w:pStyle w:val="MeasureTableDataRightAlignedwith2ptsspacing"/>
              <w:keepNext/>
            </w:pPr>
            <w:r w:rsidRPr="001C06E6">
              <w:t>1,602.2</w:t>
            </w:r>
          </w:p>
        </w:tc>
      </w:tr>
      <w:tr w:rsidR="0012790E" w:rsidRPr="001C06E6" w14:paraId="2F2D04F9" w14:textId="77777777">
        <w:tc>
          <w:tcPr>
            <w:tcW w:w="2497" w:type="dxa"/>
            <w:tcBorders>
              <w:top w:val="single" w:sz="4" w:space="0" w:color="293F5B"/>
            </w:tcBorders>
            <w:shd w:val="clear" w:color="auto" w:fill="auto"/>
          </w:tcPr>
          <w:p w14:paraId="21C75C29" w14:textId="77777777" w:rsidR="0012790E" w:rsidRPr="001C06E6" w:rsidRDefault="0012790E">
            <w:pPr>
              <w:pStyle w:val="AgencyName"/>
              <w:keepNext/>
            </w:pPr>
            <w:r w:rsidRPr="001C06E6">
              <w:t>Related payments ($m)</w:t>
            </w:r>
          </w:p>
        </w:tc>
        <w:tc>
          <w:tcPr>
            <w:tcW w:w="1045" w:type="dxa"/>
            <w:tcBorders>
              <w:top w:val="single" w:sz="4" w:space="0" w:color="293F5B"/>
            </w:tcBorders>
            <w:shd w:val="clear" w:color="auto" w:fill="auto"/>
          </w:tcPr>
          <w:p w14:paraId="78275B42" w14:textId="77777777" w:rsidR="0012790E" w:rsidRPr="001C06E6" w:rsidRDefault="0012790E">
            <w:pPr>
              <w:pStyle w:val="AgencyName"/>
              <w:keepNext/>
            </w:pPr>
          </w:p>
        </w:tc>
        <w:tc>
          <w:tcPr>
            <w:tcW w:w="1045" w:type="dxa"/>
            <w:tcBorders>
              <w:top w:val="single" w:sz="4" w:space="0" w:color="293F5B"/>
            </w:tcBorders>
            <w:shd w:val="clear" w:color="auto" w:fill="auto"/>
          </w:tcPr>
          <w:p w14:paraId="18E4EAAD" w14:textId="77777777" w:rsidR="0012790E" w:rsidRPr="001C06E6" w:rsidRDefault="0012790E">
            <w:pPr>
              <w:pStyle w:val="AgencyName"/>
              <w:keepNext/>
            </w:pPr>
          </w:p>
        </w:tc>
        <w:tc>
          <w:tcPr>
            <w:tcW w:w="1045" w:type="dxa"/>
            <w:tcBorders>
              <w:top w:val="single" w:sz="4" w:space="0" w:color="293F5B"/>
            </w:tcBorders>
            <w:shd w:val="clear" w:color="auto" w:fill="auto"/>
          </w:tcPr>
          <w:p w14:paraId="210BBC1A" w14:textId="77777777" w:rsidR="0012790E" w:rsidRPr="001C06E6" w:rsidRDefault="0012790E">
            <w:pPr>
              <w:pStyle w:val="AgencyName"/>
              <w:keepNext/>
            </w:pPr>
          </w:p>
        </w:tc>
        <w:tc>
          <w:tcPr>
            <w:tcW w:w="1045" w:type="dxa"/>
            <w:tcBorders>
              <w:top w:val="single" w:sz="4" w:space="0" w:color="293F5B"/>
            </w:tcBorders>
            <w:shd w:val="clear" w:color="auto" w:fill="auto"/>
          </w:tcPr>
          <w:p w14:paraId="5A3BEF56" w14:textId="77777777" w:rsidR="0012790E" w:rsidRPr="001C06E6" w:rsidRDefault="0012790E">
            <w:pPr>
              <w:pStyle w:val="AgencyName"/>
              <w:keepNext/>
            </w:pPr>
          </w:p>
        </w:tc>
        <w:tc>
          <w:tcPr>
            <w:tcW w:w="1045" w:type="dxa"/>
            <w:tcBorders>
              <w:top w:val="single" w:sz="4" w:space="0" w:color="293F5B"/>
            </w:tcBorders>
            <w:shd w:val="clear" w:color="auto" w:fill="auto"/>
          </w:tcPr>
          <w:p w14:paraId="4859916E" w14:textId="77777777" w:rsidR="0012790E" w:rsidRPr="001C06E6" w:rsidRDefault="0012790E">
            <w:pPr>
              <w:pStyle w:val="AgencyName"/>
              <w:keepNext/>
            </w:pPr>
          </w:p>
        </w:tc>
      </w:tr>
      <w:tr w:rsidR="0012790E" w:rsidRPr="001C06E6" w14:paraId="6609D099" w14:textId="77777777">
        <w:tc>
          <w:tcPr>
            <w:tcW w:w="2497" w:type="dxa"/>
            <w:tcBorders>
              <w:bottom w:val="single" w:sz="4" w:space="0" w:color="293F5B"/>
            </w:tcBorders>
            <w:shd w:val="clear" w:color="auto" w:fill="auto"/>
          </w:tcPr>
          <w:p w14:paraId="6D24A064" w14:textId="77777777" w:rsidR="0012790E" w:rsidRPr="001C06E6" w:rsidRDefault="0012790E">
            <w:pPr>
              <w:pStyle w:val="AgencyNamewith2ptsspacing"/>
              <w:keepNext/>
            </w:pPr>
            <w:r w:rsidRPr="001C06E6">
              <w:t>Australian Taxation Office</w:t>
            </w:r>
          </w:p>
        </w:tc>
        <w:tc>
          <w:tcPr>
            <w:tcW w:w="1045" w:type="dxa"/>
            <w:tcBorders>
              <w:bottom w:val="single" w:sz="4" w:space="0" w:color="293F5B"/>
            </w:tcBorders>
            <w:shd w:val="clear" w:color="auto" w:fill="auto"/>
          </w:tcPr>
          <w:p w14:paraId="312A17A9"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36DA87A3"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78923880"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1C8E80DC" w14:textId="77777777" w:rsidR="0012790E" w:rsidRPr="001C06E6" w:rsidRDefault="0012790E">
            <w:pPr>
              <w:pStyle w:val="Measuretabledatarightaligneditalics"/>
              <w:keepNext/>
            </w:pPr>
            <w:r w:rsidRPr="001C06E6">
              <w:t>579.3</w:t>
            </w:r>
          </w:p>
        </w:tc>
        <w:tc>
          <w:tcPr>
            <w:tcW w:w="1045" w:type="dxa"/>
            <w:tcBorders>
              <w:bottom w:val="single" w:sz="4" w:space="0" w:color="293F5B"/>
            </w:tcBorders>
            <w:shd w:val="clear" w:color="auto" w:fill="auto"/>
          </w:tcPr>
          <w:p w14:paraId="21F2433A" w14:textId="77777777" w:rsidR="0012790E" w:rsidRPr="001C06E6" w:rsidRDefault="0012790E">
            <w:pPr>
              <w:pStyle w:val="Measuretabledatarightaligneditalics"/>
              <w:keepNext/>
            </w:pPr>
            <w:r w:rsidRPr="001C06E6">
              <w:t>586.7</w:t>
            </w:r>
          </w:p>
        </w:tc>
      </w:tr>
    </w:tbl>
    <w:p w14:paraId="21947731" w14:textId="77777777" w:rsidR="0012790E" w:rsidRPr="001C06E6" w:rsidRDefault="0012790E">
      <w:pPr>
        <w:keepNext/>
        <w:widowControl w:val="0"/>
        <w:tabs>
          <w:tab w:val="right" w:pos="3536"/>
          <w:tab w:val="right" w:pos="4579"/>
          <w:tab w:val="right" w:pos="5622"/>
          <w:tab w:val="right" w:pos="6664"/>
          <w:tab w:val="right" w:pos="7707"/>
        </w:tabs>
        <w:spacing w:line="240" w:lineRule="exact"/>
        <w:rPr>
          <w:i/>
          <w:iCs/>
          <w:color w:val="000000"/>
          <w:sz w:val="16"/>
          <w:szCs w:val="16"/>
          <w:lang w:val="en-AU"/>
        </w:rPr>
      </w:pPr>
    </w:p>
    <w:p w14:paraId="57AD6512" w14:textId="77777777" w:rsidR="0012790E" w:rsidRDefault="0012790E">
      <w:pPr>
        <w:pStyle w:val="Normal2"/>
        <w:rPr>
          <w:rFonts w:cs="Book Antiqua"/>
        </w:rPr>
      </w:pPr>
      <w:r w:rsidRPr="001C06E6">
        <w:rPr>
          <w:rFonts w:cs="Book Antiqua"/>
        </w:rPr>
        <w:t>The Government will extend the ATO Tax Avoidance Taskforce for two years from 1</w:t>
      </w:r>
      <w:r>
        <w:rPr>
          <w:rFonts w:cs="Book Antiqua"/>
        </w:rPr>
        <w:t> </w:t>
      </w:r>
      <w:r w:rsidRPr="001C06E6">
        <w:rPr>
          <w:rFonts w:cs="Book Antiqua"/>
        </w:rPr>
        <w:t>July</w:t>
      </w:r>
      <w:r>
        <w:rPr>
          <w:rFonts w:cs="Book Antiqua"/>
        </w:rPr>
        <w:t> </w:t>
      </w:r>
      <w:r w:rsidRPr="001C06E6">
        <w:rPr>
          <w:rFonts w:cs="Book Antiqua"/>
        </w:rPr>
        <w:t>2026.</w:t>
      </w:r>
      <w:r>
        <w:rPr>
          <w:rFonts w:cs="Book Antiqua"/>
        </w:rPr>
        <w:t xml:space="preserve"> </w:t>
      </w:r>
    </w:p>
    <w:p w14:paraId="320B4E50" w14:textId="77777777" w:rsidR="0012790E" w:rsidRDefault="0012790E" w:rsidP="54937204">
      <w:pPr>
        <w:pStyle w:val="Normal2"/>
        <w:rPr>
          <w:rFonts w:cs="Book Antiqua"/>
          <w:lang w:val="en-US"/>
        </w:rPr>
      </w:pPr>
      <w:r w:rsidRPr="54937204">
        <w:rPr>
          <w:rFonts w:cs="Book Antiqua"/>
          <w:lang w:val="en-US"/>
        </w:rPr>
        <w:t>Extending the Taskforce ensures the ATO continues to be well</w:t>
      </w:r>
      <w:r>
        <w:rPr>
          <w:rFonts w:cs="Book Antiqua"/>
        </w:rPr>
        <w:noBreakHyphen/>
      </w:r>
      <w:r w:rsidRPr="54937204">
        <w:rPr>
          <w:rFonts w:cs="Book Antiqua"/>
          <w:lang w:val="en-US"/>
        </w:rPr>
        <w:t>resourced to pursue key tax avoidance risks, with a focus on multinationals, large public and private businesses, and high</w:t>
      </w:r>
      <w:r>
        <w:rPr>
          <w:rFonts w:cs="Book Antiqua"/>
        </w:rPr>
        <w:noBreakHyphen/>
      </w:r>
      <w:r w:rsidRPr="54937204">
        <w:rPr>
          <w:rFonts w:cs="Book Antiqua"/>
          <w:lang w:val="en-US"/>
        </w:rPr>
        <w:t xml:space="preserve">wealth individuals. </w:t>
      </w:r>
    </w:p>
    <w:p w14:paraId="76C826AE" w14:textId="32F0EBE2" w:rsidR="0012790E" w:rsidRDefault="0012790E" w:rsidP="54937204">
      <w:pPr>
        <w:pStyle w:val="Normal2"/>
        <w:rPr>
          <w:rFonts w:cs="Book Antiqua"/>
          <w:lang w:val="en-US"/>
        </w:rPr>
      </w:pPr>
      <w:r w:rsidRPr="54937204">
        <w:rPr>
          <w:rFonts w:cs="Book Antiqua"/>
          <w:lang w:val="en-US"/>
        </w:rPr>
        <w:t>This measure is estimated to increase receipts by $2.4 billion and increase payments by $1.2</w:t>
      </w:r>
      <w:r w:rsidR="006F07E8">
        <w:rPr>
          <w:rFonts w:cs="Book Antiqua"/>
          <w:lang w:val="en-US"/>
        </w:rPr>
        <w:t> </w:t>
      </w:r>
      <w:r w:rsidRPr="54937204">
        <w:rPr>
          <w:rFonts w:cs="Book Antiqua"/>
          <w:lang w:val="en-US"/>
        </w:rPr>
        <w:t xml:space="preserve">billion over the 5 years from 2023–24. </w:t>
      </w:r>
    </w:p>
    <w:p w14:paraId="7780D652" w14:textId="77777777" w:rsidR="0012790E" w:rsidRPr="001C06E6" w:rsidRDefault="0012790E">
      <w:pPr>
        <w:pStyle w:val="MeasureTitle"/>
        <w:rPr>
          <w:b w:val="0"/>
          <w:bCs/>
        </w:rPr>
      </w:pPr>
      <w:r w:rsidRPr="001C06E6">
        <w:rPr>
          <w:bCs/>
        </w:rPr>
        <w:t>Strengthening the foreign resident capital gains tax regime</w:t>
      </w:r>
    </w:p>
    <w:p w14:paraId="24AB0466" w14:textId="77777777" w:rsidR="0012790E" w:rsidRPr="001C06E6" w:rsidRDefault="0012790E">
      <w:pPr>
        <w:pStyle w:val="MeasureTableHeading"/>
      </w:pPr>
      <w:r w:rsidRPr="001C06E6">
        <w:rPr>
          <w:color w:val="000000"/>
          <w:szCs w:val="16"/>
        </w:rPr>
        <w:t>Receipts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8966AF5" w14:textId="77777777">
        <w:tc>
          <w:tcPr>
            <w:tcW w:w="2497" w:type="dxa"/>
            <w:tcBorders>
              <w:top w:val="single" w:sz="4" w:space="0" w:color="293F5B"/>
              <w:bottom w:val="single" w:sz="4" w:space="0" w:color="293F5B"/>
            </w:tcBorders>
            <w:shd w:val="clear" w:color="auto" w:fill="auto"/>
          </w:tcPr>
          <w:p w14:paraId="4FD4733A"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4555E6D"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A1433B7"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410F58E"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9A92F03"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A7D6B9D" w14:textId="77777777" w:rsidR="0012790E" w:rsidRPr="001C06E6" w:rsidRDefault="0012790E">
            <w:pPr>
              <w:pStyle w:val="MeasureTableYearHeadings"/>
              <w:keepNext/>
            </w:pPr>
            <w:r w:rsidRPr="001C06E6">
              <w:t>2027</w:t>
            </w:r>
            <w:r>
              <w:noBreakHyphen/>
            </w:r>
            <w:r w:rsidRPr="001C06E6">
              <w:t>28</w:t>
            </w:r>
          </w:p>
        </w:tc>
      </w:tr>
      <w:tr w:rsidR="0012790E" w:rsidRPr="001C06E6" w14:paraId="479A209D" w14:textId="77777777">
        <w:tc>
          <w:tcPr>
            <w:tcW w:w="2497" w:type="dxa"/>
            <w:tcBorders>
              <w:top w:val="single" w:sz="4" w:space="0" w:color="293F5B"/>
              <w:bottom w:val="single" w:sz="4" w:space="0" w:color="293F5B"/>
            </w:tcBorders>
            <w:shd w:val="clear" w:color="auto" w:fill="auto"/>
          </w:tcPr>
          <w:p w14:paraId="7D921BD5"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6942AA9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D98737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C93B1E5" w14:textId="77777777" w:rsidR="0012790E" w:rsidRPr="001C06E6" w:rsidRDefault="0012790E">
            <w:pPr>
              <w:pStyle w:val="MeasureTableDataRightAlignedwith2ptsspacing"/>
              <w:keepNext/>
            </w:pPr>
            <w:r w:rsidRPr="001C06E6">
              <w:t>200.0</w:t>
            </w:r>
          </w:p>
        </w:tc>
        <w:tc>
          <w:tcPr>
            <w:tcW w:w="1045" w:type="dxa"/>
            <w:tcBorders>
              <w:top w:val="single" w:sz="4" w:space="0" w:color="293F5B"/>
              <w:bottom w:val="single" w:sz="4" w:space="0" w:color="293F5B"/>
            </w:tcBorders>
            <w:shd w:val="clear" w:color="auto" w:fill="auto"/>
          </w:tcPr>
          <w:p w14:paraId="691C611A" w14:textId="77777777" w:rsidR="0012790E" w:rsidRPr="001C06E6" w:rsidRDefault="0012790E">
            <w:pPr>
              <w:pStyle w:val="MeasureTableDataRightAlignedwith2ptsspacing"/>
              <w:keepNext/>
            </w:pPr>
            <w:r w:rsidRPr="001C06E6">
              <w:t>200.0</w:t>
            </w:r>
          </w:p>
        </w:tc>
        <w:tc>
          <w:tcPr>
            <w:tcW w:w="1045" w:type="dxa"/>
            <w:tcBorders>
              <w:top w:val="single" w:sz="4" w:space="0" w:color="293F5B"/>
              <w:bottom w:val="single" w:sz="4" w:space="0" w:color="293F5B"/>
            </w:tcBorders>
            <w:shd w:val="clear" w:color="auto" w:fill="auto"/>
          </w:tcPr>
          <w:p w14:paraId="00C60428" w14:textId="77777777" w:rsidR="0012790E" w:rsidRPr="001C06E6" w:rsidRDefault="0012790E">
            <w:pPr>
              <w:pStyle w:val="MeasureTableDataRightAlignedwith2ptsspacing"/>
              <w:keepNext/>
            </w:pPr>
            <w:r w:rsidRPr="001C06E6">
              <w:t>200.0</w:t>
            </w:r>
          </w:p>
        </w:tc>
      </w:tr>
      <w:tr w:rsidR="0012790E" w:rsidRPr="001C06E6" w14:paraId="5446F287" w14:textId="77777777">
        <w:tc>
          <w:tcPr>
            <w:tcW w:w="2497" w:type="dxa"/>
            <w:tcBorders>
              <w:top w:val="single" w:sz="4" w:space="0" w:color="293F5B"/>
            </w:tcBorders>
            <w:shd w:val="clear" w:color="auto" w:fill="auto"/>
          </w:tcPr>
          <w:p w14:paraId="7EE1F5B5" w14:textId="77777777" w:rsidR="0012790E" w:rsidRPr="001C06E6" w:rsidRDefault="0012790E">
            <w:pPr>
              <w:pStyle w:val="AgencyName"/>
              <w:keepNext/>
            </w:pPr>
            <w:r w:rsidRPr="001C06E6">
              <w:t>Related payments ($m)</w:t>
            </w:r>
          </w:p>
        </w:tc>
        <w:tc>
          <w:tcPr>
            <w:tcW w:w="1045" w:type="dxa"/>
            <w:tcBorders>
              <w:top w:val="single" w:sz="4" w:space="0" w:color="293F5B"/>
            </w:tcBorders>
            <w:shd w:val="clear" w:color="auto" w:fill="auto"/>
          </w:tcPr>
          <w:p w14:paraId="3D9C21C8" w14:textId="77777777" w:rsidR="0012790E" w:rsidRPr="001C06E6" w:rsidRDefault="0012790E">
            <w:pPr>
              <w:pStyle w:val="AgencyName"/>
              <w:keepNext/>
            </w:pPr>
          </w:p>
        </w:tc>
        <w:tc>
          <w:tcPr>
            <w:tcW w:w="1045" w:type="dxa"/>
            <w:tcBorders>
              <w:top w:val="single" w:sz="4" w:space="0" w:color="293F5B"/>
            </w:tcBorders>
            <w:shd w:val="clear" w:color="auto" w:fill="auto"/>
          </w:tcPr>
          <w:p w14:paraId="29C8C768" w14:textId="77777777" w:rsidR="0012790E" w:rsidRPr="001C06E6" w:rsidRDefault="0012790E">
            <w:pPr>
              <w:pStyle w:val="AgencyName"/>
              <w:keepNext/>
            </w:pPr>
          </w:p>
        </w:tc>
        <w:tc>
          <w:tcPr>
            <w:tcW w:w="1045" w:type="dxa"/>
            <w:tcBorders>
              <w:top w:val="single" w:sz="4" w:space="0" w:color="293F5B"/>
            </w:tcBorders>
            <w:shd w:val="clear" w:color="auto" w:fill="auto"/>
          </w:tcPr>
          <w:p w14:paraId="16969AC7" w14:textId="77777777" w:rsidR="0012790E" w:rsidRPr="001C06E6" w:rsidRDefault="0012790E">
            <w:pPr>
              <w:pStyle w:val="AgencyName"/>
              <w:keepNext/>
            </w:pPr>
          </w:p>
        </w:tc>
        <w:tc>
          <w:tcPr>
            <w:tcW w:w="1045" w:type="dxa"/>
            <w:tcBorders>
              <w:top w:val="single" w:sz="4" w:space="0" w:color="293F5B"/>
            </w:tcBorders>
            <w:shd w:val="clear" w:color="auto" w:fill="auto"/>
          </w:tcPr>
          <w:p w14:paraId="2ABC8E66" w14:textId="77777777" w:rsidR="0012790E" w:rsidRPr="001C06E6" w:rsidRDefault="0012790E">
            <w:pPr>
              <w:pStyle w:val="AgencyName"/>
              <w:keepNext/>
            </w:pPr>
          </w:p>
        </w:tc>
        <w:tc>
          <w:tcPr>
            <w:tcW w:w="1045" w:type="dxa"/>
            <w:tcBorders>
              <w:top w:val="single" w:sz="4" w:space="0" w:color="293F5B"/>
            </w:tcBorders>
            <w:shd w:val="clear" w:color="auto" w:fill="auto"/>
          </w:tcPr>
          <w:p w14:paraId="1EAFAB2F" w14:textId="77777777" w:rsidR="0012790E" w:rsidRPr="001C06E6" w:rsidRDefault="0012790E">
            <w:pPr>
              <w:pStyle w:val="AgencyName"/>
              <w:keepNext/>
            </w:pPr>
          </w:p>
        </w:tc>
      </w:tr>
      <w:tr w:rsidR="0012790E" w:rsidRPr="001C06E6" w14:paraId="16C3FF72" w14:textId="77777777">
        <w:tc>
          <w:tcPr>
            <w:tcW w:w="2497" w:type="dxa"/>
            <w:tcBorders>
              <w:bottom w:val="single" w:sz="4" w:space="0" w:color="293F5B"/>
            </w:tcBorders>
            <w:shd w:val="clear" w:color="auto" w:fill="auto"/>
          </w:tcPr>
          <w:p w14:paraId="40D317AF" w14:textId="77777777" w:rsidR="0012790E" w:rsidRPr="001C06E6" w:rsidRDefault="0012790E">
            <w:pPr>
              <w:pStyle w:val="AgencyNamewith2ptsspacing"/>
              <w:keepNext/>
            </w:pPr>
            <w:r w:rsidRPr="001C06E6">
              <w:t>Australian Taxation Office</w:t>
            </w:r>
          </w:p>
        </w:tc>
        <w:tc>
          <w:tcPr>
            <w:tcW w:w="1045" w:type="dxa"/>
            <w:tcBorders>
              <w:bottom w:val="single" w:sz="4" w:space="0" w:color="293F5B"/>
            </w:tcBorders>
            <w:shd w:val="clear" w:color="auto" w:fill="auto"/>
          </w:tcPr>
          <w:p w14:paraId="7D406AF7"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2B547021" w14:textId="77777777" w:rsidR="0012790E" w:rsidRPr="001C06E6" w:rsidRDefault="0012790E">
            <w:pPr>
              <w:pStyle w:val="Measuretabledatarightaligneditalics"/>
              <w:keepNext/>
            </w:pPr>
            <w:r w:rsidRPr="001C06E6">
              <w:t>0.1</w:t>
            </w:r>
          </w:p>
        </w:tc>
        <w:tc>
          <w:tcPr>
            <w:tcW w:w="1045" w:type="dxa"/>
            <w:tcBorders>
              <w:bottom w:val="single" w:sz="4" w:space="0" w:color="293F5B"/>
            </w:tcBorders>
            <w:shd w:val="clear" w:color="auto" w:fill="auto"/>
          </w:tcPr>
          <w:p w14:paraId="615E7921" w14:textId="77777777" w:rsidR="0012790E" w:rsidRPr="001C06E6" w:rsidRDefault="0012790E">
            <w:pPr>
              <w:pStyle w:val="Measuretabledatarightaligneditalics"/>
              <w:keepNext/>
            </w:pPr>
            <w:r w:rsidRPr="001C06E6">
              <w:t>3.3</w:t>
            </w:r>
          </w:p>
        </w:tc>
        <w:tc>
          <w:tcPr>
            <w:tcW w:w="1045" w:type="dxa"/>
            <w:tcBorders>
              <w:bottom w:val="single" w:sz="4" w:space="0" w:color="293F5B"/>
            </w:tcBorders>
            <w:shd w:val="clear" w:color="auto" w:fill="auto"/>
          </w:tcPr>
          <w:p w14:paraId="0059CA59" w14:textId="77777777" w:rsidR="0012790E" w:rsidRPr="001C06E6" w:rsidRDefault="0012790E">
            <w:pPr>
              <w:pStyle w:val="Measuretabledatarightaligneditalics"/>
              <w:keepNext/>
            </w:pPr>
            <w:r w:rsidRPr="001C06E6">
              <w:t>3.0</w:t>
            </w:r>
          </w:p>
        </w:tc>
        <w:tc>
          <w:tcPr>
            <w:tcW w:w="1045" w:type="dxa"/>
            <w:tcBorders>
              <w:bottom w:val="single" w:sz="4" w:space="0" w:color="293F5B"/>
            </w:tcBorders>
            <w:shd w:val="clear" w:color="auto" w:fill="auto"/>
          </w:tcPr>
          <w:p w14:paraId="0FB46644" w14:textId="77777777" w:rsidR="0012790E" w:rsidRPr="001C06E6" w:rsidRDefault="0012790E">
            <w:pPr>
              <w:pStyle w:val="Measuretabledatarightaligneditalics"/>
              <w:keepNext/>
            </w:pPr>
            <w:r w:rsidRPr="001C06E6">
              <w:t>1.5</w:t>
            </w:r>
          </w:p>
        </w:tc>
      </w:tr>
    </w:tbl>
    <w:p w14:paraId="782B77DB" w14:textId="77777777" w:rsidR="0012790E" w:rsidRPr="001C06E6" w:rsidRDefault="0012790E">
      <w:pPr>
        <w:keepNext/>
        <w:widowControl w:val="0"/>
        <w:tabs>
          <w:tab w:val="right" w:pos="3536"/>
          <w:tab w:val="right" w:pos="4579"/>
          <w:tab w:val="right" w:pos="5622"/>
          <w:tab w:val="right" w:pos="6664"/>
          <w:tab w:val="right" w:pos="7707"/>
        </w:tabs>
        <w:spacing w:line="240" w:lineRule="exact"/>
        <w:rPr>
          <w:i/>
          <w:iCs/>
          <w:color w:val="000000"/>
          <w:sz w:val="16"/>
          <w:szCs w:val="16"/>
          <w:lang w:val="en-AU"/>
        </w:rPr>
      </w:pPr>
    </w:p>
    <w:p w14:paraId="36A20ED7" w14:textId="77777777" w:rsidR="0012790E" w:rsidRDefault="0012790E" w:rsidP="54937204">
      <w:pPr>
        <w:pStyle w:val="Normal2"/>
        <w:rPr>
          <w:rFonts w:cs="Book Antiqua"/>
          <w:lang w:val="en-US"/>
        </w:rPr>
      </w:pPr>
      <w:r w:rsidRPr="54937204">
        <w:rPr>
          <w:rFonts w:cs="Book Antiqua"/>
          <w:lang w:val="en-US"/>
        </w:rPr>
        <w:t>The Government will strengthen the foreign resident capital gains tax (CGT) regime to ensure foreign residents pay their fair share of tax in Australia and to provide greater certainty about the operation of the rules. The amendments will apply to CGT events commencing on or after 1 July 2025 to:</w:t>
      </w:r>
    </w:p>
    <w:p w14:paraId="02202AF2" w14:textId="1F3B92DE" w:rsidR="0012790E" w:rsidRDefault="0012790E">
      <w:pPr>
        <w:pStyle w:val="Bullet"/>
      </w:pPr>
      <w:r w:rsidRPr="001C06E6">
        <w:t>clarify and broaden the types of assets that foreign residents are subject to CGT on</w:t>
      </w:r>
      <w:r>
        <w:t xml:space="preserve"> </w:t>
      </w:r>
    </w:p>
    <w:p w14:paraId="271C3B6A" w14:textId="4B7E1A07" w:rsidR="0012790E" w:rsidRDefault="0012790E">
      <w:pPr>
        <w:pStyle w:val="Bullet"/>
      </w:pPr>
      <w:r w:rsidRPr="001C06E6">
        <w:t>amend the point</w:t>
      </w:r>
      <w:r>
        <w:noBreakHyphen/>
      </w:r>
      <w:r w:rsidRPr="001C06E6">
        <w:t>in</w:t>
      </w:r>
      <w:r>
        <w:noBreakHyphen/>
      </w:r>
      <w:r w:rsidRPr="001C06E6">
        <w:t>time principal asset test to a 365</w:t>
      </w:r>
      <w:r>
        <w:noBreakHyphen/>
      </w:r>
      <w:r w:rsidRPr="001C06E6">
        <w:t>day testing period</w:t>
      </w:r>
      <w:r>
        <w:t xml:space="preserve"> </w:t>
      </w:r>
    </w:p>
    <w:p w14:paraId="01201F84" w14:textId="77777777" w:rsidR="0012790E" w:rsidRDefault="0012790E">
      <w:pPr>
        <w:pStyle w:val="Bullet"/>
      </w:pPr>
      <w:r w:rsidRPr="001C06E6">
        <w:t>require foreign residents disposing of shares and other membership interests exceeding $20</w:t>
      </w:r>
      <w:r>
        <w:t> </w:t>
      </w:r>
      <w:r w:rsidRPr="001C06E6">
        <w:t>million in value to notify the ATO, prior to the transaction being executed.</w:t>
      </w:r>
      <w:r>
        <w:t xml:space="preserve"> </w:t>
      </w:r>
    </w:p>
    <w:p w14:paraId="4865B271" w14:textId="77777777" w:rsidR="0012790E" w:rsidRDefault="0012790E" w:rsidP="54937204">
      <w:pPr>
        <w:pStyle w:val="Normal2"/>
        <w:rPr>
          <w:rFonts w:cs="Book Antiqua"/>
          <w:lang w:val="en-US"/>
        </w:rPr>
      </w:pPr>
      <w:r w:rsidRPr="54937204">
        <w:rPr>
          <w:rFonts w:cs="Book Antiqua"/>
          <w:lang w:val="en-US"/>
        </w:rPr>
        <w:t>This measure will ensure that Australia can tax foreign residents on direct and indirect sales of assets with a close economic connection to Australian land, more in line with the tax treatment that already applies to Australian residents. The new ATO notification process will improve oversight and compliance with the foreign resident CGT withholding rules, where a vendor self</w:t>
      </w:r>
      <w:r>
        <w:rPr>
          <w:rFonts w:cs="Book Antiqua"/>
        </w:rPr>
        <w:noBreakHyphen/>
      </w:r>
      <w:r w:rsidRPr="54937204">
        <w:rPr>
          <w:rFonts w:cs="Book Antiqua"/>
          <w:lang w:val="en-US"/>
        </w:rPr>
        <w:t xml:space="preserve">assesses their sale is not taxable real property. </w:t>
      </w:r>
    </w:p>
    <w:p w14:paraId="007B6855" w14:textId="77777777" w:rsidR="0012790E" w:rsidRDefault="0012790E">
      <w:pPr>
        <w:pStyle w:val="Normal2"/>
        <w:rPr>
          <w:rFonts w:cs="Book Antiqua"/>
        </w:rPr>
      </w:pPr>
      <w:r w:rsidRPr="001C06E6">
        <w:rPr>
          <w:rFonts w:cs="Book Antiqua"/>
        </w:rPr>
        <w:lastRenderedPageBreak/>
        <w:t>These reforms will also improve certainty for foreign investors by aligning Australia’s</w:t>
      </w:r>
      <w:r>
        <w:rPr>
          <w:rFonts w:cs="Book Antiqua"/>
        </w:rPr>
        <w:t xml:space="preserve"> </w:t>
      </w:r>
      <w:r w:rsidRPr="001C06E6">
        <w:rPr>
          <w:rFonts w:cs="Book Antiqua"/>
        </w:rPr>
        <w:t>tax law for foreign resident capital gains more closely with OECD standards and</w:t>
      </w:r>
      <w:r>
        <w:rPr>
          <w:rFonts w:cs="Book Antiqua"/>
        </w:rPr>
        <w:t xml:space="preserve"> </w:t>
      </w:r>
      <w:r w:rsidRPr="001C06E6">
        <w:rPr>
          <w:rFonts w:cs="Book Antiqua"/>
        </w:rPr>
        <w:t>international best practice.</w:t>
      </w:r>
      <w:r>
        <w:rPr>
          <w:rFonts w:cs="Book Antiqua"/>
        </w:rPr>
        <w:t xml:space="preserve"> </w:t>
      </w:r>
    </w:p>
    <w:p w14:paraId="195E2434" w14:textId="77777777" w:rsidR="0012790E" w:rsidRDefault="0012790E">
      <w:pPr>
        <w:pStyle w:val="Normal2"/>
        <w:rPr>
          <w:rFonts w:cs="Book Antiqua"/>
        </w:rPr>
      </w:pPr>
      <w:r w:rsidRPr="001C06E6">
        <w:rPr>
          <w:rFonts w:cs="Book Antiqua"/>
        </w:rPr>
        <w:t>The Government will consult on the implementation details of the measure.</w:t>
      </w:r>
      <w:r>
        <w:rPr>
          <w:rFonts w:cs="Book Antiqua"/>
        </w:rPr>
        <w:t xml:space="preserve"> </w:t>
      </w:r>
    </w:p>
    <w:p w14:paraId="4B9F8F85" w14:textId="77777777" w:rsidR="0012790E" w:rsidRDefault="0012790E">
      <w:pPr>
        <w:pStyle w:val="Normal2"/>
        <w:rPr>
          <w:rFonts w:cs="Book Antiqua"/>
        </w:rPr>
      </w:pPr>
      <w:r w:rsidRPr="001C06E6">
        <w:rPr>
          <w:rFonts w:cs="Book Antiqua"/>
        </w:rPr>
        <w:t>This measure is estimated to increase receipts by $600.0</w:t>
      </w:r>
      <w:r>
        <w:rPr>
          <w:rFonts w:cs="Book Antiqua"/>
        </w:rPr>
        <w:t> </w:t>
      </w:r>
      <w:r w:rsidRPr="001C06E6">
        <w:rPr>
          <w:rFonts w:cs="Book Antiqua"/>
        </w:rPr>
        <w:t>million and increase</w:t>
      </w:r>
      <w:r>
        <w:rPr>
          <w:rFonts w:cs="Book Antiqua"/>
        </w:rPr>
        <w:t xml:space="preserve"> </w:t>
      </w:r>
      <w:r w:rsidRPr="001C06E6">
        <w:rPr>
          <w:rFonts w:cs="Book Antiqua"/>
        </w:rPr>
        <w:t>payments by $8.0</w:t>
      </w:r>
      <w:r>
        <w:rPr>
          <w:rFonts w:cs="Book Antiqua"/>
        </w:rPr>
        <w:t> </w:t>
      </w:r>
      <w:r w:rsidRPr="001C06E6">
        <w:rPr>
          <w:rFonts w:cs="Book Antiqua"/>
        </w:rPr>
        <w:t>million over the 5</w:t>
      </w:r>
      <w:r>
        <w:rPr>
          <w:rFonts w:cs="Book Antiqua"/>
        </w:rPr>
        <w:t> </w:t>
      </w:r>
      <w:r w:rsidRPr="001C06E6">
        <w:rPr>
          <w:rFonts w:cs="Book Antiqua"/>
        </w:rPr>
        <w:t xml:space="preserve">years from </w:t>
      </w:r>
      <w:r>
        <w:rPr>
          <w:rFonts w:cs="Book Antiqua"/>
        </w:rPr>
        <w:t>2023–24</w:t>
      </w:r>
      <w:r w:rsidRPr="001C06E6">
        <w:rPr>
          <w:rFonts w:cs="Book Antiqua"/>
        </w:rPr>
        <w:t>.</w:t>
      </w:r>
      <w:r>
        <w:rPr>
          <w:rFonts w:cs="Book Antiqua"/>
        </w:rPr>
        <w:t xml:space="preserve"> </w:t>
      </w:r>
    </w:p>
    <w:p w14:paraId="4351C23C" w14:textId="77777777" w:rsidR="0012790E" w:rsidRDefault="0012790E">
      <w:pPr>
        <w:pStyle w:val="PortfolioName"/>
        <w:rPr>
          <w:bCs/>
          <w:szCs w:val="26"/>
        </w:rPr>
        <w:sectPr w:rsidR="0012790E" w:rsidSect="00EA5BFE">
          <w:pgSz w:w="11905" w:h="16837"/>
          <w:pgMar w:top="2835" w:right="2098" w:bottom="2466" w:left="2098" w:header="1814" w:footer="1814" w:gutter="0"/>
          <w:cols w:space="720"/>
          <w:noEndnote/>
          <w:docGrid w:linePitch="272"/>
        </w:sectPr>
      </w:pPr>
    </w:p>
    <w:p w14:paraId="07580EA9" w14:textId="77777777" w:rsidR="0012790E" w:rsidRPr="0012790E" w:rsidRDefault="0012790E" w:rsidP="0012790E">
      <w:pPr>
        <w:pStyle w:val="Heading1"/>
      </w:pPr>
      <w:r w:rsidRPr="0012790E">
        <w:lastRenderedPageBreak/>
        <w:tab/>
      </w:r>
      <w:r w:rsidRPr="0012790E">
        <w:rPr>
          <w:color w:val="000000"/>
          <w:sz w:val="30"/>
          <w:szCs w:val="30"/>
        </w:rPr>
        <w:t>Part 2: Payment Measures</w:t>
      </w:r>
    </w:p>
    <w:p w14:paraId="58371CA5" w14:textId="235FD875" w:rsidR="0012790E" w:rsidRPr="0012790E" w:rsidRDefault="0012790E" w:rsidP="0012790E">
      <w:pPr>
        <w:pStyle w:val="TableHeading"/>
      </w:pPr>
      <w:r w:rsidRPr="0012790E">
        <w:t>Table 2: Payment measures since the 2023–24 MYEFO</w:t>
      </w:r>
      <w:r w:rsidRPr="0012790E">
        <w:rPr>
          <w:rFonts w:ascii="Cambria Math" w:hAnsi="Cambria Math" w:cs="Cambria Math"/>
          <w:vertAlign w:val="superscript"/>
        </w:rPr>
        <w:t>(a)</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5DAF55EE" w14:textId="77777777" w:rsidTr="54937204">
        <w:tc>
          <w:tcPr>
            <w:tcW w:w="3470" w:type="dxa"/>
            <w:tcBorders>
              <w:top w:val="single" w:sz="4" w:space="0" w:color="293F5B"/>
            </w:tcBorders>
            <w:shd w:val="clear" w:color="auto" w:fill="auto"/>
            <w:vAlign w:val="bottom"/>
          </w:tcPr>
          <w:p w14:paraId="5552C912"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63F89D4A"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53B71359"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316E13A7"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66F4AABC"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5346C98F"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14C2A27D" w14:textId="77777777" w:rsidTr="54937204">
        <w:tc>
          <w:tcPr>
            <w:tcW w:w="3470" w:type="dxa"/>
            <w:shd w:val="clear" w:color="auto" w:fill="auto"/>
            <w:vAlign w:val="bottom"/>
          </w:tcPr>
          <w:p w14:paraId="2A806347" w14:textId="77777777" w:rsidR="0012790E" w:rsidRPr="0012790E" w:rsidRDefault="0012790E">
            <w:pPr>
              <w:pStyle w:val="Summarytabletextrightaligned"/>
            </w:pPr>
          </w:p>
        </w:tc>
        <w:tc>
          <w:tcPr>
            <w:tcW w:w="851" w:type="dxa"/>
            <w:tcBorders>
              <w:bottom w:val="single" w:sz="4" w:space="0" w:color="293F5B"/>
            </w:tcBorders>
            <w:vAlign w:val="bottom"/>
          </w:tcPr>
          <w:p w14:paraId="1A6D7024"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7373C448"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3B3DE8A1"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511246AC"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452E1AB0" w14:textId="77777777" w:rsidR="0012790E" w:rsidRPr="0012790E" w:rsidRDefault="0012790E">
            <w:pPr>
              <w:pStyle w:val="Summarytabletextrightaligned"/>
            </w:pPr>
            <w:r w:rsidRPr="0012790E">
              <w:t>$m</w:t>
            </w:r>
          </w:p>
        </w:tc>
      </w:tr>
      <w:tr w:rsidR="0012790E" w:rsidRPr="0012790E" w14:paraId="07D2EB45" w14:textId="77777777" w:rsidTr="54937204">
        <w:tc>
          <w:tcPr>
            <w:tcW w:w="3470" w:type="dxa"/>
            <w:shd w:val="clear" w:color="auto" w:fill="auto"/>
            <w:vAlign w:val="bottom"/>
          </w:tcPr>
          <w:p w14:paraId="09E05301" w14:textId="77777777" w:rsidR="0012790E" w:rsidRPr="0012790E" w:rsidRDefault="0012790E">
            <w:pPr>
              <w:pStyle w:val="SummaryPortfolioTitle-BP2"/>
            </w:pPr>
            <w:r w:rsidRPr="0012790E">
              <w:t>AGRICULTURE, FISHERIES AND FORESTRY</w:t>
            </w:r>
          </w:p>
        </w:tc>
        <w:tc>
          <w:tcPr>
            <w:tcW w:w="851" w:type="dxa"/>
            <w:tcBorders>
              <w:top w:val="single" w:sz="4" w:space="0" w:color="293F5B"/>
            </w:tcBorders>
            <w:vAlign w:val="bottom"/>
          </w:tcPr>
          <w:p w14:paraId="7DDD0CAD" w14:textId="77777777" w:rsidR="0012790E" w:rsidRPr="0012790E" w:rsidRDefault="0012790E">
            <w:pPr>
              <w:pStyle w:val="MeasureTableTextRightAlignedBefore6ptAfter1pt"/>
              <w:rPr>
                <w:b/>
                <w:bCs/>
              </w:rPr>
            </w:pPr>
          </w:p>
        </w:tc>
        <w:tc>
          <w:tcPr>
            <w:tcW w:w="851" w:type="dxa"/>
            <w:tcBorders>
              <w:top w:val="single" w:sz="4" w:space="0" w:color="293F5B"/>
            </w:tcBorders>
            <w:shd w:val="clear" w:color="auto" w:fill="E6F2FF"/>
            <w:vAlign w:val="bottom"/>
          </w:tcPr>
          <w:p w14:paraId="243C3559"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34D74B69"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4274B7D6"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12BD6B88" w14:textId="77777777" w:rsidR="0012790E" w:rsidRPr="0012790E" w:rsidRDefault="0012790E">
            <w:pPr>
              <w:pStyle w:val="MeasureTableTextRightAlignedBefore6ptAfter1pt"/>
              <w:rPr>
                <w:b/>
                <w:bCs/>
              </w:rPr>
            </w:pPr>
          </w:p>
        </w:tc>
      </w:tr>
      <w:tr w:rsidR="0012790E" w:rsidRPr="0012790E" w14:paraId="02763ECB" w14:textId="77777777" w:rsidTr="54937204">
        <w:tc>
          <w:tcPr>
            <w:tcW w:w="3470" w:type="dxa"/>
            <w:shd w:val="clear" w:color="auto" w:fill="auto"/>
            <w:vAlign w:val="bottom"/>
          </w:tcPr>
          <w:p w14:paraId="419865A5" w14:textId="77777777" w:rsidR="0012790E" w:rsidRPr="0012790E" w:rsidRDefault="0012790E">
            <w:pPr>
              <w:pStyle w:val="SummaryAgencyTitle-BP2"/>
              <w:rPr>
                <w:iCs/>
              </w:rPr>
            </w:pPr>
            <w:r w:rsidRPr="0012790E">
              <w:rPr>
                <w:iCs/>
              </w:rPr>
              <w:t>Australian Fisheries Management Authority</w:t>
            </w:r>
          </w:p>
        </w:tc>
        <w:tc>
          <w:tcPr>
            <w:tcW w:w="851" w:type="dxa"/>
            <w:vAlign w:val="bottom"/>
          </w:tcPr>
          <w:p w14:paraId="0E8051E5" w14:textId="77777777" w:rsidR="0012790E" w:rsidRPr="0012790E" w:rsidRDefault="0012790E">
            <w:pPr>
              <w:pStyle w:val="SummaryAgencyTitle-BP2"/>
              <w:rPr>
                <w:iCs/>
              </w:rPr>
            </w:pPr>
          </w:p>
        </w:tc>
        <w:tc>
          <w:tcPr>
            <w:tcW w:w="851" w:type="dxa"/>
            <w:shd w:val="clear" w:color="auto" w:fill="E6F2FF"/>
            <w:vAlign w:val="bottom"/>
          </w:tcPr>
          <w:p w14:paraId="6BD287B2" w14:textId="77777777" w:rsidR="0012790E" w:rsidRPr="0012790E" w:rsidRDefault="0012790E">
            <w:pPr>
              <w:pStyle w:val="SummaryAgencyTitle-BP2"/>
              <w:rPr>
                <w:iCs/>
              </w:rPr>
            </w:pPr>
          </w:p>
        </w:tc>
        <w:tc>
          <w:tcPr>
            <w:tcW w:w="851" w:type="dxa"/>
            <w:vAlign w:val="bottom"/>
          </w:tcPr>
          <w:p w14:paraId="06AC98C6" w14:textId="77777777" w:rsidR="0012790E" w:rsidRPr="0012790E" w:rsidRDefault="0012790E">
            <w:pPr>
              <w:pStyle w:val="SummaryAgencyTitle-BP2"/>
              <w:rPr>
                <w:iCs/>
              </w:rPr>
            </w:pPr>
          </w:p>
        </w:tc>
        <w:tc>
          <w:tcPr>
            <w:tcW w:w="851" w:type="dxa"/>
            <w:vAlign w:val="bottom"/>
          </w:tcPr>
          <w:p w14:paraId="266DA6FE" w14:textId="77777777" w:rsidR="0012790E" w:rsidRPr="0012790E" w:rsidRDefault="0012790E">
            <w:pPr>
              <w:pStyle w:val="SummaryAgencyTitle-BP2"/>
              <w:rPr>
                <w:iCs/>
              </w:rPr>
            </w:pPr>
          </w:p>
        </w:tc>
        <w:tc>
          <w:tcPr>
            <w:tcW w:w="851" w:type="dxa"/>
            <w:vAlign w:val="bottom"/>
          </w:tcPr>
          <w:p w14:paraId="57AC278D" w14:textId="77777777" w:rsidR="0012790E" w:rsidRPr="0012790E" w:rsidRDefault="0012790E">
            <w:pPr>
              <w:pStyle w:val="SummaryAgencyTitle-BP2"/>
              <w:rPr>
                <w:iCs/>
              </w:rPr>
            </w:pPr>
          </w:p>
        </w:tc>
      </w:tr>
      <w:tr w:rsidR="0012790E" w:rsidRPr="0012790E" w14:paraId="7E66B2A0" w14:textId="77777777" w:rsidTr="54937204">
        <w:tc>
          <w:tcPr>
            <w:tcW w:w="3470" w:type="dxa"/>
            <w:shd w:val="clear" w:color="auto" w:fill="auto"/>
            <w:vAlign w:val="bottom"/>
          </w:tcPr>
          <w:p w14:paraId="0D539ACF" w14:textId="77777777" w:rsidR="0012790E" w:rsidRPr="0012790E" w:rsidRDefault="0012790E">
            <w:pPr>
              <w:pStyle w:val="SummaryMeasureTitlewithTheme"/>
            </w:pPr>
            <w:r w:rsidRPr="0012790E">
              <w:t>Civil Maritime Critical Security Capabilities</w:t>
            </w:r>
          </w:p>
        </w:tc>
        <w:tc>
          <w:tcPr>
            <w:tcW w:w="851" w:type="dxa"/>
            <w:vAlign w:val="bottom"/>
          </w:tcPr>
          <w:p w14:paraId="5B66BF5B"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FC7F3D3" w14:textId="77777777" w:rsidR="0012790E" w:rsidRPr="0012790E" w:rsidRDefault="0012790E">
            <w:pPr>
              <w:pStyle w:val="Summarytabletextrightaligned"/>
              <w:rPr>
                <w:szCs w:val="16"/>
              </w:rPr>
            </w:pPr>
            <w:r w:rsidRPr="0012790E">
              <w:rPr>
                <w:szCs w:val="16"/>
              </w:rPr>
              <w:t>1.7</w:t>
            </w:r>
          </w:p>
        </w:tc>
        <w:tc>
          <w:tcPr>
            <w:tcW w:w="851" w:type="dxa"/>
            <w:vAlign w:val="bottom"/>
          </w:tcPr>
          <w:p w14:paraId="04E18DD1"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C0A4C3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219AF4C" w14:textId="77777777" w:rsidR="0012790E" w:rsidRPr="0012790E" w:rsidRDefault="0012790E">
            <w:pPr>
              <w:pStyle w:val="Summarytabletextrightaligned"/>
              <w:rPr>
                <w:szCs w:val="16"/>
              </w:rPr>
            </w:pPr>
            <w:r w:rsidRPr="0012790E">
              <w:rPr>
                <w:szCs w:val="16"/>
              </w:rPr>
              <w:noBreakHyphen/>
            </w:r>
          </w:p>
        </w:tc>
      </w:tr>
      <w:tr w:rsidR="0012790E" w:rsidRPr="0012790E" w14:paraId="64D3EC71" w14:textId="77777777" w:rsidTr="54937204">
        <w:tc>
          <w:tcPr>
            <w:tcW w:w="3470" w:type="dxa"/>
            <w:shd w:val="clear" w:color="auto" w:fill="auto"/>
            <w:vAlign w:val="bottom"/>
          </w:tcPr>
          <w:p w14:paraId="44DF90EC" w14:textId="77777777" w:rsidR="0012790E" w:rsidRPr="0012790E" w:rsidRDefault="0012790E">
            <w:pPr>
              <w:pStyle w:val="SummaryAgencyTitle-BP2"/>
              <w:rPr>
                <w:iCs/>
              </w:rPr>
            </w:pPr>
            <w:r w:rsidRPr="0012790E">
              <w:rPr>
                <w:iCs/>
              </w:rPr>
              <w:t>Department of Agriculture, Fisheries and Forestry</w:t>
            </w:r>
          </w:p>
        </w:tc>
        <w:tc>
          <w:tcPr>
            <w:tcW w:w="851" w:type="dxa"/>
            <w:vAlign w:val="bottom"/>
          </w:tcPr>
          <w:p w14:paraId="4FC77DAF" w14:textId="77777777" w:rsidR="0012790E" w:rsidRPr="0012790E" w:rsidRDefault="0012790E">
            <w:pPr>
              <w:pStyle w:val="SummaryAgencyTitle-BP2"/>
              <w:rPr>
                <w:iCs/>
              </w:rPr>
            </w:pPr>
          </w:p>
        </w:tc>
        <w:tc>
          <w:tcPr>
            <w:tcW w:w="851" w:type="dxa"/>
            <w:shd w:val="clear" w:color="auto" w:fill="E6F2FF"/>
            <w:vAlign w:val="bottom"/>
          </w:tcPr>
          <w:p w14:paraId="332D7525" w14:textId="77777777" w:rsidR="0012790E" w:rsidRPr="0012790E" w:rsidRDefault="0012790E">
            <w:pPr>
              <w:pStyle w:val="SummaryAgencyTitle-BP2"/>
              <w:rPr>
                <w:iCs/>
              </w:rPr>
            </w:pPr>
          </w:p>
        </w:tc>
        <w:tc>
          <w:tcPr>
            <w:tcW w:w="851" w:type="dxa"/>
            <w:vAlign w:val="bottom"/>
          </w:tcPr>
          <w:p w14:paraId="71F3ECB9" w14:textId="77777777" w:rsidR="0012790E" w:rsidRPr="0012790E" w:rsidRDefault="0012790E">
            <w:pPr>
              <w:pStyle w:val="SummaryAgencyTitle-BP2"/>
              <w:rPr>
                <w:iCs/>
              </w:rPr>
            </w:pPr>
          </w:p>
        </w:tc>
        <w:tc>
          <w:tcPr>
            <w:tcW w:w="851" w:type="dxa"/>
            <w:vAlign w:val="bottom"/>
          </w:tcPr>
          <w:p w14:paraId="35CD5EB5" w14:textId="77777777" w:rsidR="0012790E" w:rsidRPr="0012790E" w:rsidRDefault="0012790E">
            <w:pPr>
              <w:pStyle w:val="SummaryAgencyTitle-BP2"/>
              <w:rPr>
                <w:iCs/>
              </w:rPr>
            </w:pPr>
          </w:p>
        </w:tc>
        <w:tc>
          <w:tcPr>
            <w:tcW w:w="851" w:type="dxa"/>
            <w:vAlign w:val="bottom"/>
          </w:tcPr>
          <w:p w14:paraId="22B71601" w14:textId="77777777" w:rsidR="0012790E" w:rsidRPr="0012790E" w:rsidRDefault="0012790E">
            <w:pPr>
              <w:pStyle w:val="SummaryAgencyTitle-BP2"/>
              <w:rPr>
                <w:iCs/>
              </w:rPr>
            </w:pPr>
          </w:p>
        </w:tc>
      </w:tr>
      <w:tr w:rsidR="0012790E" w:rsidRPr="0012790E" w14:paraId="7B42FCE5" w14:textId="77777777" w:rsidTr="54937204">
        <w:tc>
          <w:tcPr>
            <w:tcW w:w="3470" w:type="dxa"/>
            <w:shd w:val="clear" w:color="auto" w:fill="auto"/>
            <w:vAlign w:val="bottom"/>
          </w:tcPr>
          <w:p w14:paraId="3122A137" w14:textId="77777777" w:rsidR="0012790E" w:rsidRPr="0012790E" w:rsidRDefault="0012790E">
            <w:pPr>
              <w:pStyle w:val="SummaryMeasureTitlewithTheme"/>
            </w:pPr>
            <w:r w:rsidRPr="0012790E">
              <w:t>Agriculture – other priorities(b)</w:t>
            </w:r>
          </w:p>
        </w:tc>
        <w:tc>
          <w:tcPr>
            <w:tcW w:w="851" w:type="dxa"/>
            <w:vAlign w:val="bottom"/>
          </w:tcPr>
          <w:p w14:paraId="188F7F9E" w14:textId="77777777" w:rsidR="0012790E" w:rsidRPr="0012790E" w:rsidRDefault="0012790E">
            <w:pPr>
              <w:pStyle w:val="Summarytabletextrightaligned"/>
              <w:rPr>
                <w:szCs w:val="16"/>
              </w:rPr>
            </w:pPr>
            <w:r w:rsidRPr="0012790E">
              <w:rPr>
                <w:szCs w:val="16"/>
              </w:rPr>
              <w:noBreakHyphen/>
              <w:t>6.2</w:t>
            </w:r>
          </w:p>
        </w:tc>
        <w:tc>
          <w:tcPr>
            <w:tcW w:w="851" w:type="dxa"/>
            <w:shd w:val="clear" w:color="auto" w:fill="E6F2FF"/>
            <w:vAlign w:val="bottom"/>
          </w:tcPr>
          <w:p w14:paraId="541F928F" w14:textId="77777777" w:rsidR="0012790E" w:rsidRPr="0012790E" w:rsidRDefault="0012790E">
            <w:pPr>
              <w:pStyle w:val="Summarytabletextrightaligned"/>
              <w:rPr>
                <w:szCs w:val="16"/>
              </w:rPr>
            </w:pPr>
            <w:r w:rsidRPr="0012790E">
              <w:rPr>
                <w:szCs w:val="16"/>
              </w:rPr>
              <w:t>2.2</w:t>
            </w:r>
          </w:p>
        </w:tc>
        <w:tc>
          <w:tcPr>
            <w:tcW w:w="851" w:type="dxa"/>
            <w:vAlign w:val="bottom"/>
          </w:tcPr>
          <w:p w14:paraId="5A4660B3" w14:textId="77777777" w:rsidR="0012790E" w:rsidRPr="0012790E" w:rsidRDefault="0012790E">
            <w:pPr>
              <w:pStyle w:val="Summarytabletextrightaligned"/>
              <w:rPr>
                <w:szCs w:val="16"/>
              </w:rPr>
            </w:pPr>
            <w:r w:rsidRPr="0012790E">
              <w:rPr>
                <w:szCs w:val="16"/>
              </w:rPr>
              <w:t>5.0</w:t>
            </w:r>
          </w:p>
        </w:tc>
        <w:tc>
          <w:tcPr>
            <w:tcW w:w="851" w:type="dxa"/>
            <w:vAlign w:val="bottom"/>
          </w:tcPr>
          <w:p w14:paraId="58F88A51" w14:textId="77777777" w:rsidR="0012790E" w:rsidRPr="0012790E" w:rsidRDefault="0012790E">
            <w:pPr>
              <w:pStyle w:val="Summarytabletextrightaligned"/>
              <w:rPr>
                <w:szCs w:val="16"/>
              </w:rPr>
            </w:pPr>
            <w:r w:rsidRPr="0012790E">
              <w:rPr>
                <w:szCs w:val="16"/>
              </w:rPr>
              <w:t>3.4</w:t>
            </w:r>
          </w:p>
        </w:tc>
        <w:tc>
          <w:tcPr>
            <w:tcW w:w="851" w:type="dxa"/>
            <w:vAlign w:val="bottom"/>
          </w:tcPr>
          <w:p w14:paraId="51DF36B7" w14:textId="77777777" w:rsidR="0012790E" w:rsidRPr="0012790E" w:rsidRDefault="0012790E">
            <w:pPr>
              <w:pStyle w:val="Summarytabletextrightaligned"/>
              <w:rPr>
                <w:szCs w:val="16"/>
              </w:rPr>
            </w:pPr>
            <w:r w:rsidRPr="0012790E">
              <w:rPr>
                <w:szCs w:val="16"/>
              </w:rPr>
              <w:t>3.9</w:t>
            </w:r>
          </w:p>
        </w:tc>
      </w:tr>
      <w:tr w:rsidR="0012790E" w:rsidRPr="0012790E" w14:paraId="22C44ABA" w14:textId="77777777" w:rsidTr="54937204">
        <w:tc>
          <w:tcPr>
            <w:tcW w:w="3470" w:type="dxa"/>
            <w:shd w:val="clear" w:color="auto" w:fill="auto"/>
            <w:vAlign w:val="bottom"/>
          </w:tcPr>
          <w:p w14:paraId="53ECC50B" w14:textId="77777777" w:rsidR="0012790E" w:rsidRPr="0012790E" w:rsidRDefault="0012790E">
            <w:pPr>
              <w:pStyle w:val="SummaryMeasureTitlewithTheme"/>
            </w:pPr>
            <w:r w:rsidRPr="0012790E">
              <w:t>Agriculture and Land Sectors – low emissions future</w:t>
            </w:r>
          </w:p>
        </w:tc>
        <w:tc>
          <w:tcPr>
            <w:tcW w:w="851" w:type="dxa"/>
            <w:vAlign w:val="bottom"/>
          </w:tcPr>
          <w:p w14:paraId="3D50078B"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23E4373" w14:textId="77777777" w:rsidR="0012790E" w:rsidRPr="0012790E" w:rsidRDefault="0012790E">
            <w:pPr>
              <w:pStyle w:val="Summarytabletextrightaligned"/>
              <w:rPr>
                <w:szCs w:val="16"/>
              </w:rPr>
            </w:pPr>
            <w:r w:rsidRPr="0012790E">
              <w:rPr>
                <w:szCs w:val="16"/>
              </w:rPr>
              <w:t>9.9</w:t>
            </w:r>
          </w:p>
        </w:tc>
        <w:tc>
          <w:tcPr>
            <w:tcW w:w="851" w:type="dxa"/>
            <w:vAlign w:val="bottom"/>
          </w:tcPr>
          <w:p w14:paraId="69AE7874" w14:textId="77777777" w:rsidR="0012790E" w:rsidRPr="0012790E" w:rsidRDefault="0012790E">
            <w:pPr>
              <w:pStyle w:val="Summarytabletextrightaligned"/>
              <w:rPr>
                <w:szCs w:val="16"/>
              </w:rPr>
            </w:pPr>
            <w:r w:rsidRPr="0012790E">
              <w:rPr>
                <w:szCs w:val="16"/>
              </w:rPr>
              <w:t>13.4</w:t>
            </w:r>
          </w:p>
        </w:tc>
        <w:tc>
          <w:tcPr>
            <w:tcW w:w="851" w:type="dxa"/>
            <w:vAlign w:val="bottom"/>
          </w:tcPr>
          <w:p w14:paraId="654FE6A3" w14:textId="77777777" w:rsidR="0012790E" w:rsidRPr="0012790E" w:rsidRDefault="0012790E">
            <w:pPr>
              <w:pStyle w:val="Summarytabletextrightaligned"/>
              <w:rPr>
                <w:szCs w:val="16"/>
              </w:rPr>
            </w:pPr>
            <w:r w:rsidRPr="0012790E">
              <w:rPr>
                <w:szCs w:val="16"/>
              </w:rPr>
              <w:t>6.8</w:t>
            </w:r>
          </w:p>
        </w:tc>
        <w:tc>
          <w:tcPr>
            <w:tcW w:w="851" w:type="dxa"/>
            <w:vAlign w:val="bottom"/>
          </w:tcPr>
          <w:p w14:paraId="454FD5A7" w14:textId="77777777" w:rsidR="0012790E" w:rsidRPr="0012790E" w:rsidRDefault="0012790E">
            <w:pPr>
              <w:pStyle w:val="Summarytabletextrightaligned"/>
              <w:rPr>
                <w:szCs w:val="16"/>
              </w:rPr>
            </w:pPr>
            <w:r w:rsidRPr="0012790E">
              <w:rPr>
                <w:szCs w:val="16"/>
              </w:rPr>
              <w:t>6.9</w:t>
            </w:r>
          </w:p>
        </w:tc>
      </w:tr>
      <w:tr w:rsidR="0012790E" w:rsidRPr="0012790E" w14:paraId="6E87891C" w14:textId="77777777" w:rsidTr="54937204">
        <w:tc>
          <w:tcPr>
            <w:tcW w:w="3470" w:type="dxa"/>
            <w:shd w:val="clear" w:color="auto" w:fill="auto"/>
            <w:vAlign w:val="bottom"/>
          </w:tcPr>
          <w:p w14:paraId="5F7379FD" w14:textId="77777777" w:rsidR="0012790E" w:rsidRPr="0012790E" w:rsidRDefault="0012790E">
            <w:pPr>
              <w:pStyle w:val="SummaryMeasureTitlewithTheme"/>
            </w:pPr>
            <w:r w:rsidRPr="0012790E">
              <w:t>Amendments to existing measures(b)</w:t>
            </w:r>
          </w:p>
        </w:tc>
        <w:tc>
          <w:tcPr>
            <w:tcW w:w="851" w:type="dxa"/>
            <w:vAlign w:val="bottom"/>
          </w:tcPr>
          <w:p w14:paraId="6C1BD67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3009C15" w14:textId="77777777" w:rsidR="0012790E" w:rsidRPr="0012790E" w:rsidRDefault="0012790E">
            <w:pPr>
              <w:pStyle w:val="Summarytabletextrightaligned"/>
              <w:rPr>
                <w:szCs w:val="16"/>
              </w:rPr>
            </w:pPr>
            <w:r w:rsidRPr="0012790E">
              <w:rPr>
                <w:szCs w:val="16"/>
              </w:rPr>
              <w:noBreakHyphen/>
              <w:t>0.9</w:t>
            </w:r>
          </w:p>
        </w:tc>
        <w:tc>
          <w:tcPr>
            <w:tcW w:w="851" w:type="dxa"/>
            <w:vAlign w:val="bottom"/>
          </w:tcPr>
          <w:p w14:paraId="4970924B" w14:textId="77777777" w:rsidR="0012790E" w:rsidRPr="0012790E" w:rsidRDefault="0012790E">
            <w:pPr>
              <w:pStyle w:val="Summarytabletextrightaligned"/>
              <w:rPr>
                <w:szCs w:val="16"/>
              </w:rPr>
            </w:pPr>
            <w:r w:rsidRPr="0012790E">
              <w:rPr>
                <w:szCs w:val="16"/>
              </w:rPr>
              <w:noBreakHyphen/>
              <w:t>0.9</w:t>
            </w:r>
          </w:p>
        </w:tc>
        <w:tc>
          <w:tcPr>
            <w:tcW w:w="851" w:type="dxa"/>
            <w:vAlign w:val="bottom"/>
          </w:tcPr>
          <w:p w14:paraId="7EA917B8" w14:textId="77777777" w:rsidR="0012790E" w:rsidRPr="0012790E" w:rsidRDefault="0012790E">
            <w:pPr>
              <w:pStyle w:val="Summarytabletextrightaligned"/>
              <w:rPr>
                <w:szCs w:val="16"/>
              </w:rPr>
            </w:pPr>
            <w:r w:rsidRPr="0012790E">
              <w:rPr>
                <w:szCs w:val="16"/>
              </w:rPr>
              <w:noBreakHyphen/>
              <w:t>0.9</w:t>
            </w:r>
          </w:p>
        </w:tc>
        <w:tc>
          <w:tcPr>
            <w:tcW w:w="851" w:type="dxa"/>
            <w:vAlign w:val="bottom"/>
          </w:tcPr>
          <w:p w14:paraId="37FFE1D5" w14:textId="77777777" w:rsidR="0012790E" w:rsidRPr="0012790E" w:rsidRDefault="0012790E">
            <w:pPr>
              <w:pStyle w:val="Summarytabletextrightaligned"/>
              <w:rPr>
                <w:szCs w:val="16"/>
              </w:rPr>
            </w:pPr>
            <w:r w:rsidRPr="0012790E">
              <w:rPr>
                <w:szCs w:val="16"/>
              </w:rPr>
              <w:noBreakHyphen/>
              <w:t>1.0</w:t>
            </w:r>
          </w:p>
        </w:tc>
      </w:tr>
      <w:tr w:rsidR="0012790E" w:rsidRPr="0012790E" w14:paraId="5CD3B5FB" w14:textId="77777777" w:rsidTr="54937204">
        <w:tc>
          <w:tcPr>
            <w:tcW w:w="3470" w:type="dxa"/>
            <w:shd w:val="clear" w:color="auto" w:fill="auto"/>
            <w:vAlign w:val="bottom"/>
          </w:tcPr>
          <w:p w14:paraId="60A3E41E" w14:textId="77777777" w:rsidR="0012790E" w:rsidRPr="0012790E" w:rsidRDefault="0012790E">
            <w:pPr>
              <w:pStyle w:val="SummaryMeasureTitlewithTheme"/>
            </w:pPr>
            <w:r w:rsidRPr="0012790E">
              <w:t>Enabling Western Sydney International Airport</w:t>
            </w:r>
          </w:p>
        </w:tc>
        <w:tc>
          <w:tcPr>
            <w:tcW w:w="851" w:type="dxa"/>
            <w:vAlign w:val="bottom"/>
          </w:tcPr>
          <w:p w14:paraId="0A7330F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0291918" w14:textId="77777777" w:rsidR="0012790E" w:rsidRPr="0012790E" w:rsidRDefault="0012790E">
            <w:pPr>
              <w:pStyle w:val="Summarytabletextrightaligned"/>
              <w:rPr>
                <w:szCs w:val="16"/>
              </w:rPr>
            </w:pPr>
            <w:r w:rsidRPr="0012790E">
              <w:rPr>
                <w:szCs w:val="16"/>
              </w:rPr>
              <w:t>5.5</w:t>
            </w:r>
          </w:p>
        </w:tc>
        <w:tc>
          <w:tcPr>
            <w:tcW w:w="851" w:type="dxa"/>
            <w:vAlign w:val="bottom"/>
          </w:tcPr>
          <w:p w14:paraId="43B46025" w14:textId="77777777" w:rsidR="0012790E" w:rsidRPr="0012790E" w:rsidRDefault="0012790E">
            <w:pPr>
              <w:pStyle w:val="Summarytabletextrightaligned"/>
              <w:rPr>
                <w:szCs w:val="16"/>
              </w:rPr>
            </w:pPr>
            <w:r w:rsidRPr="0012790E">
              <w:rPr>
                <w:szCs w:val="16"/>
              </w:rPr>
              <w:t>5.6</w:t>
            </w:r>
          </w:p>
        </w:tc>
        <w:tc>
          <w:tcPr>
            <w:tcW w:w="851" w:type="dxa"/>
            <w:vAlign w:val="bottom"/>
          </w:tcPr>
          <w:p w14:paraId="79D94EA5" w14:textId="77777777" w:rsidR="0012790E" w:rsidRPr="0012790E" w:rsidRDefault="0012790E">
            <w:pPr>
              <w:pStyle w:val="Summarytabletextrightaligned"/>
              <w:rPr>
                <w:szCs w:val="16"/>
              </w:rPr>
            </w:pPr>
            <w:r w:rsidRPr="0012790E">
              <w:rPr>
                <w:szCs w:val="16"/>
              </w:rPr>
              <w:t>4.7</w:t>
            </w:r>
          </w:p>
        </w:tc>
        <w:tc>
          <w:tcPr>
            <w:tcW w:w="851" w:type="dxa"/>
            <w:vAlign w:val="bottom"/>
          </w:tcPr>
          <w:p w14:paraId="20AB0B0D" w14:textId="77777777" w:rsidR="0012790E" w:rsidRPr="0012790E" w:rsidRDefault="0012790E">
            <w:pPr>
              <w:pStyle w:val="Summarytabletextrightaligned"/>
              <w:rPr>
                <w:szCs w:val="16"/>
              </w:rPr>
            </w:pPr>
            <w:r w:rsidRPr="0012790E">
              <w:rPr>
                <w:szCs w:val="16"/>
              </w:rPr>
              <w:t>1.3</w:t>
            </w:r>
          </w:p>
        </w:tc>
      </w:tr>
      <w:tr w:rsidR="0012790E" w:rsidRPr="0012790E" w14:paraId="27C53042" w14:textId="77777777" w:rsidTr="54937204">
        <w:tc>
          <w:tcPr>
            <w:tcW w:w="3470" w:type="dxa"/>
            <w:shd w:val="clear" w:color="auto" w:fill="auto"/>
            <w:vAlign w:val="bottom"/>
          </w:tcPr>
          <w:p w14:paraId="40F94A3B" w14:textId="77777777" w:rsidR="0012790E" w:rsidRPr="0012790E" w:rsidRDefault="0012790E">
            <w:pPr>
              <w:pStyle w:val="SummaryMeasureTitlewithTheme"/>
            </w:pPr>
            <w:r w:rsidRPr="0012790E">
              <w:t>Future Drought Fund – better support for farmers and communities to manage drought and adapt to climate change</w:t>
            </w:r>
          </w:p>
        </w:tc>
        <w:tc>
          <w:tcPr>
            <w:tcW w:w="851" w:type="dxa"/>
            <w:vAlign w:val="bottom"/>
          </w:tcPr>
          <w:p w14:paraId="36A1906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F2E7B03" w14:textId="77777777" w:rsidR="0012790E" w:rsidRPr="0012790E" w:rsidRDefault="0012790E">
            <w:pPr>
              <w:pStyle w:val="Summarytabletextrightaligned"/>
              <w:rPr>
                <w:szCs w:val="16"/>
              </w:rPr>
            </w:pPr>
            <w:r w:rsidRPr="0012790E">
              <w:rPr>
                <w:szCs w:val="16"/>
              </w:rPr>
              <w:t>11.1</w:t>
            </w:r>
          </w:p>
        </w:tc>
        <w:tc>
          <w:tcPr>
            <w:tcW w:w="851" w:type="dxa"/>
            <w:vAlign w:val="bottom"/>
          </w:tcPr>
          <w:p w14:paraId="653224FD" w14:textId="77777777" w:rsidR="0012790E" w:rsidRPr="0012790E" w:rsidRDefault="0012790E">
            <w:pPr>
              <w:pStyle w:val="Summarytabletextrightaligned"/>
              <w:rPr>
                <w:szCs w:val="16"/>
              </w:rPr>
            </w:pPr>
            <w:r w:rsidRPr="0012790E">
              <w:rPr>
                <w:szCs w:val="16"/>
              </w:rPr>
              <w:t>10.7</w:t>
            </w:r>
          </w:p>
        </w:tc>
        <w:tc>
          <w:tcPr>
            <w:tcW w:w="851" w:type="dxa"/>
            <w:vAlign w:val="bottom"/>
          </w:tcPr>
          <w:p w14:paraId="4FC1E456" w14:textId="77777777" w:rsidR="0012790E" w:rsidRPr="0012790E" w:rsidRDefault="0012790E">
            <w:pPr>
              <w:pStyle w:val="Summarytabletextrightaligned"/>
              <w:rPr>
                <w:szCs w:val="16"/>
              </w:rPr>
            </w:pPr>
            <w:r w:rsidRPr="0012790E">
              <w:rPr>
                <w:szCs w:val="16"/>
              </w:rPr>
              <w:t>9.3</w:t>
            </w:r>
          </w:p>
        </w:tc>
        <w:tc>
          <w:tcPr>
            <w:tcW w:w="851" w:type="dxa"/>
            <w:vAlign w:val="bottom"/>
          </w:tcPr>
          <w:p w14:paraId="5C619CB2" w14:textId="77777777" w:rsidR="0012790E" w:rsidRPr="0012790E" w:rsidRDefault="0012790E">
            <w:pPr>
              <w:pStyle w:val="Summarytabletextrightaligned"/>
              <w:rPr>
                <w:szCs w:val="16"/>
              </w:rPr>
            </w:pPr>
            <w:r w:rsidRPr="0012790E">
              <w:rPr>
                <w:szCs w:val="16"/>
              </w:rPr>
              <w:t>11.1</w:t>
            </w:r>
          </w:p>
        </w:tc>
      </w:tr>
      <w:tr w:rsidR="0050012E" w:rsidRPr="0012790E" w14:paraId="0A3BE798" w14:textId="77777777" w:rsidTr="54937204">
        <w:tc>
          <w:tcPr>
            <w:tcW w:w="3470" w:type="dxa"/>
            <w:shd w:val="clear" w:color="auto" w:fill="auto"/>
            <w:vAlign w:val="bottom"/>
          </w:tcPr>
          <w:p w14:paraId="52D9146A" w14:textId="77777777" w:rsidR="0050012E" w:rsidRPr="0012790E" w:rsidRDefault="0050012E" w:rsidP="0050012E">
            <w:pPr>
              <w:pStyle w:val="SummaryMeasureTitlewithTheme"/>
            </w:pPr>
            <w:r w:rsidRPr="0012790E">
              <w:t>Phase Out of Live Sheep Exports by Sea – transition support</w:t>
            </w:r>
          </w:p>
        </w:tc>
        <w:tc>
          <w:tcPr>
            <w:tcW w:w="851" w:type="dxa"/>
            <w:vAlign w:val="bottom"/>
          </w:tcPr>
          <w:p w14:paraId="6CF10870" w14:textId="6AC39DF6" w:rsidR="0050012E" w:rsidRPr="0012790E" w:rsidRDefault="0050012E" w:rsidP="0050012E">
            <w:pPr>
              <w:pStyle w:val="Summarytabletextrightaligned"/>
              <w:rPr>
                <w:szCs w:val="16"/>
              </w:rPr>
            </w:pPr>
            <w:r w:rsidRPr="0012790E">
              <w:rPr>
                <w:szCs w:val="16"/>
              </w:rPr>
              <w:noBreakHyphen/>
            </w:r>
          </w:p>
        </w:tc>
        <w:tc>
          <w:tcPr>
            <w:tcW w:w="851" w:type="dxa"/>
            <w:shd w:val="clear" w:color="auto" w:fill="E6F2FF"/>
            <w:vAlign w:val="bottom"/>
          </w:tcPr>
          <w:p w14:paraId="75DD9A09" w14:textId="6D8FCD64" w:rsidR="0050012E" w:rsidRPr="0012790E" w:rsidRDefault="0050012E" w:rsidP="0050012E">
            <w:pPr>
              <w:pStyle w:val="Summarytabletextrightaligned"/>
              <w:rPr>
                <w:szCs w:val="16"/>
              </w:rPr>
            </w:pPr>
            <w:r>
              <w:rPr>
                <w:szCs w:val="16"/>
              </w:rPr>
              <w:t>15.9</w:t>
            </w:r>
          </w:p>
        </w:tc>
        <w:tc>
          <w:tcPr>
            <w:tcW w:w="851" w:type="dxa"/>
            <w:vAlign w:val="bottom"/>
          </w:tcPr>
          <w:p w14:paraId="516B3418" w14:textId="40C76C2A" w:rsidR="0050012E" w:rsidRPr="0012790E" w:rsidRDefault="0050012E" w:rsidP="0050012E">
            <w:pPr>
              <w:pStyle w:val="Summarytabletextrightaligned"/>
              <w:rPr>
                <w:szCs w:val="16"/>
              </w:rPr>
            </w:pPr>
            <w:r>
              <w:rPr>
                <w:szCs w:val="16"/>
              </w:rPr>
              <w:t>25.5</w:t>
            </w:r>
          </w:p>
        </w:tc>
        <w:tc>
          <w:tcPr>
            <w:tcW w:w="851" w:type="dxa"/>
            <w:vAlign w:val="bottom"/>
          </w:tcPr>
          <w:p w14:paraId="18BA5B0E" w14:textId="3D8D6465" w:rsidR="0050012E" w:rsidRPr="0012790E" w:rsidRDefault="0050012E" w:rsidP="0050012E">
            <w:pPr>
              <w:pStyle w:val="Summarytabletextrightaligned"/>
              <w:rPr>
                <w:szCs w:val="16"/>
              </w:rPr>
            </w:pPr>
            <w:r>
              <w:rPr>
                <w:szCs w:val="16"/>
              </w:rPr>
              <w:t>24.1</w:t>
            </w:r>
          </w:p>
        </w:tc>
        <w:tc>
          <w:tcPr>
            <w:tcW w:w="851" w:type="dxa"/>
            <w:vAlign w:val="bottom"/>
          </w:tcPr>
          <w:p w14:paraId="4043F5DD" w14:textId="74514810" w:rsidR="0050012E" w:rsidRPr="0012790E" w:rsidRDefault="0050012E" w:rsidP="0050012E">
            <w:pPr>
              <w:pStyle w:val="Summarytabletextrightaligned"/>
              <w:rPr>
                <w:szCs w:val="16"/>
              </w:rPr>
            </w:pPr>
            <w:r>
              <w:rPr>
                <w:szCs w:val="16"/>
              </w:rPr>
              <w:t>21.5</w:t>
            </w:r>
          </w:p>
        </w:tc>
      </w:tr>
      <w:tr w:rsidR="0012790E" w:rsidRPr="0012790E" w14:paraId="46686D06" w14:textId="77777777" w:rsidTr="54937204">
        <w:tc>
          <w:tcPr>
            <w:tcW w:w="3470" w:type="dxa"/>
            <w:shd w:val="clear" w:color="auto" w:fill="auto"/>
            <w:vAlign w:val="bottom"/>
          </w:tcPr>
          <w:p w14:paraId="3730708F" w14:textId="77777777" w:rsidR="0012790E" w:rsidRPr="0012790E" w:rsidRDefault="0012790E">
            <w:pPr>
              <w:pStyle w:val="SummaryMeasureTitlewithTheme"/>
            </w:pPr>
            <w:r w:rsidRPr="0012790E">
              <w:t>Trade and Tourism Strategies – additional funding</w:t>
            </w:r>
          </w:p>
        </w:tc>
        <w:tc>
          <w:tcPr>
            <w:tcW w:w="851" w:type="dxa"/>
            <w:tcBorders>
              <w:bottom w:val="single" w:sz="4" w:space="0" w:color="293F5B"/>
            </w:tcBorders>
            <w:vAlign w:val="bottom"/>
          </w:tcPr>
          <w:p w14:paraId="585AFC95"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3598C9C7" w14:textId="77777777" w:rsidR="0012790E" w:rsidRPr="0012790E" w:rsidRDefault="0012790E">
            <w:pPr>
              <w:pStyle w:val="Summarytabletextrightaligned"/>
              <w:rPr>
                <w:szCs w:val="16"/>
              </w:rPr>
            </w:pPr>
            <w:r w:rsidRPr="0012790E">
              <w:rPr>
                <w:szCs w:val="16"/>
              </w:rPr>
              <w:t>1.8</w:t>
            </w:r>
          </w:p>
        </w:tc>
        <w:tc>
          <w:tcPr>
            <w:tcW w:w="851" w:type="dxa"/>
            <w:tcBorders>
              <w:bottom w:val="single" w:sz="4" w:space="0" w:color="293F5B"/>
            </w:tcBorders>
            <w:vAlign w:val="bottom"/>
          </w:tcPr>
          <w:p w14:paraId="4181B57A" w14:textId="77777777" w:rsidR="0012790E" w:rsidRPr="0012790E" w:rsidRDefault="0012790E">
            <w:pPr>
              <w:pStyle w:val="Summarytabletextrightaligned"/>
              <w:rPr>
                <w:szCs w:val="16"/>
              </w:rPr>
            </w:pPr>
            <w:r w:rsidRPr="0012790E">
              <w:rPr>
                <w:szCs w:val="16"/>
              </w:rPr>
              <w:t>1.8</w:t>
            </w:r>
          </w:p>
        </w:tc>
        <w:tc>
          <w:tcPr>
            <w:tcW w:w="851" w:type="dxa"/>
            <w:tcBorders>
              <w:bottom w:val="single" w:sz="4" w:space="0" w:color="293F5B"/>
            </w:tcBorders>
            <w:vAlign w:val="bottom"/>
          </w:tcPr>
          <w:p w14:paraId="281BEF86"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52C0B83A" w14:textId="77777777" w:rsidR="0012790E" w:rsidRPr="0012790E" w:rsidRDefault="0012790E">
            <w:pPr>
              <w:pStyle w:val="Summarytabletextrightaligned"/>
              <w:rPr>
                <w:szCs w:val="16"/>
              </w:rPr>
            </w:pPr>
            <w:r w:rsidRPr="0012790E">
              <w:rPr>
                <w:szCs w:val="16"/>
              </w:rPr>
              <w:noBreakHyphen/>
            </w:r>
          </w:p>
        </w:tc>
      </w:tr>
      <w:tr w:rsidR="00AB2A44" w:rsidRPr="0012790E" w14:paraId="0E5735EC" w14:textId="77777777" w:rsidTr="54937204">
        <w:tc>
          <w:tcPr>
            <w:tcW w:w="3470" w:type="dxa"/>
            <w:shd w:val="clear" w:color="auto" w:fill="auto"/>
            <w:vAlign w:val="bottom"/>
          </w:tcPr>
          <w:p w14:paraId="2F2B64DC" w14:textId="77777777" w:rsidR="00AB2A44" w:rsidRPr="0012790E" w:rsidRDefault="00AB2A44" w:rsidP="00AB2A44">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2EC9120E" w14:textId="6D4671B1" w:rsidR="00AB2A44" w:rsidRPr="0012790E" w:rsidRDefault="00AB2A44" w:rsidP="00AB2A44">
            <w:pPr>
              <w:pStyle w:val="Summarytabletextrightalignedbold"/>
              <w:rPr>
                <w:bCs/>
                <w:szCs w:val="16"/>
              </w:rPr>
            </w:pPr>
            <w:r w:rsidRPr="0012790E">
              <w:rPr>
                <w:bCs/>
                <w:szCs w:val="16"/>
              </w:rPr>
              <w:noBreakHyphen/>
              <w:t>6.2</w:t>
            </w:r>
          </w:p>
        </w:tc>
        <w:tc>
          <w:tcPr>
            <w:tcW w:w="851" w:type="dxa"/>
            <w:tcBorders>
              <w:top w:val="single" w:sz="4" w:space="0" w:color="293F5B"/>
              <w:bottom w:val="single" w:sz="4" w:space="0" w:color="293F5B"/>
            </w:tcBorders>
            <w:shd w:val="clear" w:color="auto" w:fill="E6F2FF"/>
            <w:vAlign w:val="bottom"/>
          </w:tcPr>
          <w:p w14:paraId="72C67D86" w14:textId="42847216" w:rsidR="00AB2A44" w:rsidRPr="0012790E" w:rsidRDefault="00AB2A44" w:rsidP="00AB2A44">
            <w:pPr>
              <w:pStyle w:val="Summarytabletextrightalignedbold"/>
              <w:rPr>
                <w:bCs/>
                <w:szCs w:val="16"/>
              </w:rPr>
            </w:pPr>
            <w:r>
              <w:rPr>
                <w:bCs/>
                <w:szCs w:val="16"/>
              </w:rPr>
              <w:t>47.2</w:t>
            </w:r>
          </w:p>
        </w:tc>
        <w:tc>
          <w:tcPr>
            <w:tcW w:w="851" w:type="dxa"/>
            <w:tcBorders>
              <w:top w:val="single" w:sz="4" w:space="0" w:color="293F5B"/>
              <w:bottom w:val="single" w:sz="4" w:space="0" w:color="293F5B"/>
            </w:tcBorders>
            <w:vAlign w:val="bottom"/>
          </w:tcPr>
          <w:p w14:paraId="43CA60BC" w14:textId="6E198749" w:rsidR="00AB2A44" w:rsidRPr="0012790E" w:rsidRDefault="00AB2A44" w:rsidP="00AB2A44">
            <w:pPr>
              <w:pStyle w:val="Summarytabletextrightalignedbold"/>
              <w:rPr>
                <w:bCs/>
                <w:szCs w:val="16"/>
              </w:rPr>
            </w:pPr>
            <w:r>
              <w:rPr>
                <w:bCs/>
                <w:szCs w:val="16"/>
              </w:rPr>
              <w:t>61.1</w:t>
            </w:r>
          </w:p>
        </w:tc>
        <w:tc>
          <w:tcPr>
            <w:tcW w:w="851" w:type="dxa"/>
            <w:tcBorders>
              <w:top w:val="single" w:sz="4" w:space="0" w:color="293F5B"/>
              <w:bottom w:val="single" w:sz="4" w:space="0" w:color="293F5B"/>
            </w:tcBorders>
            <w:vAlign w:val="bottom"/>
          </w:tcPr>
          <w:p w14:paraId="45EDEB3B" w14:textId="6467FECB" w:rsidR="00AB2A44" w:rsidRPr="0012790E" w:rsidRDefault="00AB2A44" w:rsidP="00AB2A44">
            <w:pPr>
              <w:pStyle w:val="Summarytabletextrightalignedbold"/>
              <w:rPr>
                <w:bCs/>
                <w:szCs w:val="16"/>
              </w:rPr>
            </w:pPr>
            <w:r>
              <w:rPr>
                <w:bCs/>
                <w:szCs w:val="16"/>
              </w:rPr>
              <w:t>47.4</w:t>
            </w:r>
          </w:p>
        </w:tc>
        <w:tc>
          <w:tcPr>
            <w:tcW w:w="851" w:type="dxa"/>
            <w:tcBorders>
              <w:top w:val="single" w:sz="4" w:space="0" w:color="293F5B"/>
              <w:bottom w:val="single" w:sz="4" w:space="0" w:color="293F5B"/>
            </w:tcBorders>
            <w:vAlign w:val="bottom"/>
          </w:tcPr>
          <w:p w14:paraId="53661597" w14:textId="04A69495" w:rsidR="00AB2A44" w:rsidRPr="0012790E" w:rsidRDefault="00AB2A44" w:rsidP="00AB2A44">
            <w:pPr>
              <w:pStyle w:val="Summarytabletextrightalignedbold"/>
              <w:rPr>
                <w:bCs/>
                <w:szCs w:val="16"/>
              </w:rPr>
            </w:pPr>
            <w:r>
              <w:rPr>
                <w:bCs/>
                <w:szCs w:val="16"/>
              </w:rPr>
              <w:t>43.7</w:t>
            </w:r>
          </w:p>
        </w:tc>
      </w:tr>
      <w:tr w:rsidR="0012790E" w:rsidRPr="0012790E" w14:paraId="630FCC17" w14:textId="77777777" w:rsidTr="54937204">
        <w:tc>
          <w:tcPr>
            <w:tcW w:w="3470" w:type="dxa"/>
            <w:shd w:val="clear" w:color="auto" w:fill="auto"/>
            <w:vAlign w:val="bottom"/>
          </w:tcPr>
          <w:p w14:paraId="42BC6012" w14:textId="77777777" w:rsidR="0012790E" w:rsidRPr="0012790E" w:rsidRDefault="0012790E">
            <w:pPr>
              <w:pStyle w:val="SummaryPortfolioTitle-BP2"/>
            </w:pPr>
            <w:r w:rsidRPr="0012790E">
              <w:t>ATTORNEY</w:t>
            </w:r>
            <w:r w:rsidRPr="0012790E">
              <w:noBreakHyphen/>
              <w:t>GENERAL'S</w:t>
            </w:r>
          </w:p>
        </w:tc>
        <w:tc>
          <w:tcPr>
            <w:tcW w:w="851" w:type="dxa"/>
            <w:tcBorders>
              <w:top w:val="single" w:sz="4" w:space="0" w:color="293F5B"/>
            </w:tcBorders>
            <w:vAlign w:val="bottom"/>
          </w:tcPr>
          <w:p w14:paraId="4FBE7B5D" w14:textId="77777777" w:rsidR="0012790E" w:rsidRPr="0012790E" w:rsidRDefault="0012790E">
            <w:pPr>
              <w:pStyle w:val="MeasureTableTextRightAlignedBefore6ptAfter1pt"/>
              <w:rPr>
                <w:b/>
                <w:bCs/>
              </w:rPr>
            </w:pPr>
          </w:p>
        </w:tc>
        <w:tc>
          <w:tcPr>
            <w:tcW w:w="851" w:type="dxa"/>
            <w:tcBorders>
              <w:top w:val="single" w:sz="4" w:space="0" w:color="293F5B"/>
            </w:tcBorders>
            <w:shd w:val="clear" w:color="auto" w:fill="E6F2FF"/>
            <w:vAlign w:val="bottom"/>
          </w:tcPr>
          <w:p w14:paraId="598F7D0B"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70BCFC2A"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1D22CA0D"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5AAE12B0" w14:textId="77777777" w:rsidR="0012790E" w:rsidRPr="0012790E" w:rsidRDefault="0012790E">
            <w:pPr>
              <w:pStyle w:val="MeasureTableTextRightAlignedBefore6ptAfter1pt"/>
              <w:rPr>
                <w:b/>
                <w:bCs/>
              </w:rPr>
            </w:pPr>
          </w:p>
        </w:tc>
      </w:tr>
      <w:tr w:rsidR="0012790E" w:rsidRPr="0012790E" w14:paraId="25F1A032" w14:textId="77777777" w:rsidTr="54937204">
        <w:tc>
          <w:tcPr>
            <w:tcW w:w="3470" w:type="dxa"/>
            <w:shd w:val="clear" w:color="auto" w:fill="auto"/>
            <w:vAlign w:val="bottom"/>
          </w:tcPr>
          <w:p w14:paraId="70158C9B" w14:textId="77777777" w:rsidR="0012790E" w:rsidRPr="0012790E" w:rsidRDefault="0012790E">
            <w:pPr>
              <w:pStyle w:val="SummaryAgencyTitle-BP2"/>
              <w:rPr>
                <w:iCs/>
              </w:rPr>
            </w:pPr>
            <w:r w:rsidRPr="0012790E">
              <w:rPr>
                <w:iCs/>
              </w:rPr>
              <w:t>Administrative Appeals Tribunal</w:t>
            </w:r>
          </w:p>
        </w:tc>
        <w:tc>
          <w:tcPr>
            <w:tcW w:w="851" w:type="dxa"/>
            <w:vAlign w:val="bottom"/>
          </w:tcPr>
          <w:p w14:paraId="05C018FD" w14:textId="77777777" w:rsidR="0012790E" w:rsidRPr="0012790E" w:rsidRDefault="0012790E">
            <w:pPr>
              <w:pStyle w:val="SummaryAgencyTitle-BP2"/>
              <w:rPr>
                <w:iCs/>
              </w:rPr>
            </w:pPr>
          </w:p>
        </w:tc>
        <w:tc>
          <w:tcPr>
            <w:tcW w:w="851" w:type="dxa"/>
            <w:shd w:val="clear" w:color="auto" w:fill="E6F2FF"/>
            <w:vAlign w:val="bottom"/>
          </w:tcPr>
          <w:p w14:paraId="358B4CFF" w14:textId="77777777" w:rsidR="0012790E" w:rsidRPr="0012790E" w:rsidRDefault="0012790E">
            <w:pPr>
              <w:pStyle w:val="SummaryAgencyTitle-BP2"/>
              <w:rPr>
                <w:iCs/>
              </w:rPr>
            </w:pPr>
          </w:p>
        </w:tc>
        <w:tc>
          <w:tcPr>
            <w:tcW w:w="851" w:type="dxa"/>
            <w:vAlign w:val="bottom"/>
          </w:tcPr>
          <w:p w14:paraId="3C15971F" w14:textId="77777777" w:rsidR="0012790E" w:rsidRPr="0012790E" w:rsidRDefault="0012790E">
            <w:pPr>
              <w:pStyle w:val="SummaryAgencyTitle-BP2"/>
              <w:rPr>
                <w:iCs/>
              </w:rPr>
            </w:pPr>
          </w:p>
        </w:tc>
        <w:tc>
          <w:tcPr>
            <w:tcW w:w="851" w:type="dxa"/>
            <w:vAlign w:val="bottom"/>
          </w:tcPr>
          <w:p w14:paraId="23535ADA" w14:textId="77777777" w:rsidR="0012790E" w:rsidRPr="0012790E" w:rsidRDefault="0012790E">
            <w:pPr>
              <w:pStyle w:val="SummaryAgencyTitle-BP2"/>
              <w:rPr>
                <w:iCs/>
              </w:rPr>
            </w:pPr>
          </w:p>
        </w:tc>
        <w:tc>
          <w:tcPr>
            <w:tcW w:w="851" w:type="dxa"/>
            <w:vAlign w:val="bottom"/>
          </w:tcPr>
          <w:p w14:paraId="4FD127D3" w14:textId="77777777" w:rsidR="0012790E" w:rsidRPr="0012790E" w:rsidRDefault="0012790E">
            <w:pPr>
              <w:pStyle w:val="SummaryAgencyTitle-BP2"/>
              <w:rPr>
                <w:iCs/>
              </w:rPr>
            </w:pPr>
          </w:p>
        </w:tc>
      </w:tr>
      <w:tr w:rsidR="0012790E" w:rsidRPr="0012790E" w14:paraId="4CF5BC8F" w14:textId="77777777" w:rsidTr="54937204">
        <w:tc>
          <w:tcPr>
            <w:tcW w:w="3470" w:type="dxa"/>
            <w:shd w:val="clear" w:color="auto" w:fill="auto"/>
            <w:vAlign w:val="bottom"/>
          </w:tcPr>
          <w:p w14:paraId="419B7023" w14:textId="77777777" w:rsidR="0012790E" w:rsidRPr="0012790E" w:rsidRDefault="0012790E">
            <w:pPr>
              <w:pStyle w:val="SummaryMeasureTitlewithTheme"/>
            </w:pPr>
            <w:r w:rsidRPr="0012790E">
              <w:t>Establishment of the Administrative Review Tribunal and Addressing Extremely High Migration Backlogs in the Courts(b)</w:t>
            </w:r>
          </w:p>
        </w:tc>
        <w:tc>
          <w:tcPr>
            <w:tcW w:w="851" w:type="dxa"/>
            <w:vAlign w:val="bottom"/>
          </w:tcPr>
          <w:p w14:paraId="0329BD9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35C1423" w14:textId="77777777" w:rsidR="0012790E" w:rsidRPr="0012790E" w:rsidRDefault="0012790E">
            <w:pPr>
              <w:pStyle w:val="Summarytabletextrightaligned"/>
              <w:rPr>
                <w:szCs w:val="16"/>
              </w:rPr>
            </w:pPr>
            <w:r w:rsidRPr="0012790E">
              <w:rPr>
                <w:szCs w:val="16"/>
              </w:rPr>
              <w:t>47.3</w:t>
            </w:r>
          </w:p>
        </w:tc>
        <w:tc>
          <w:tcPr>
            <w:tcW w:w="851" w:type="dxa"/>
            <w:vAlign w:val="bottom"/>
          </w:tcPr>
          <w:p w14:paraId="2E7D7655" w14:textId="059EBBA6" w:rsidR="0012790E" w:rsidRPr="0012790E" w:rsidRDefault="00672471">
            <w:pPr>
              <w:pStyle w:val="Summarytabletextrightaligned"/>
              <w:rPr>
                <w:szCs w:val="16"/>
              </w:rPr>
            </w:pPr>
            <w:r>
              <w:rPr>
                <w:szCs w:val="16"/>
              </w:rPr>
              <w:t>-173.8</w:t>
            </w:r>
          </w:p>
        </w:tc>
        <w:tc>
          <w:tcPr>
            <w:tcW w:w="851" w:type="dxa"/>
            <w:vAlign w:val="bottom"/>
          </w:tcPr>
          <w:p w14:paraId="1E316FC6" w14:textId="35918687" w:rsidR="0012790E" w:rsidRPr="0012790E" w:rsidRDefault="00672471">
            <w:pPr>
              <w:pStyle w:val="Summarytabletextrightaligned"/>
              <w:rPr>
                <w:szCs w:val="16"/>
              </w:rPr>
            </w:pPr>
            <w:r>
              <w:rPr>
                <w:szCs w:val="16"/>
              </w:rPr>
              <w:t>-163.6</w:t>
            </w:r>
          </w:p>
        </w:tc>
        <w:tc>
          <w:tcPr>
            <w:tcW w:w="851" w:type="dxa"/>
            <w:vAlign w:val="bottom"/>
          </w:tcPr>
          <w:p w14:paraId="6999D10D" w14:textId="2AE2BDDD" w:rsidR="0012790E" w:rsidRPr="0012790E" w:rsidRDefault="00672471">
            <w:pPr>
              <w:pStyle w:val="Summarytabletextrightaligned"/>
              <w:rPr>
                <w:szCs w:val="16"/>
              </w:rPr>
            </w:pPr>
            <w:r>
              <w:rPr>
                <w:szCs w:val="16"/>
              </w:rPr>
              <w:t>-162.4</w:t>
            </w:r>
          </w:p>
        </w:tc>
      </w:tr>
      <w:tr w:rsidR="00684DB2" w:rsidRPr="0012790E" w14:paraId="2D76E627" w14:textId="77777777" w:rsidTr="00AC2FA9">
        <w:tc>
          <w:tcPr>
            <w:tcW w:w="3470" w:type="dxa"/>
            <w:shd w:val="clear" w:color="auto" w:fill="auto"/>
            <w:vAlign w:val="bottom"/>
          </w:tcPr>
          <w:p w14:paraId="414FF964" w14:textId="4D251E18" w:rsidR="00684DB2" w:rsidRPr="0012790E" w:rsidRDefault="00684DB2" w:rsidP="00684DB2">
            <w:pPr>
              <w:pStyle w:val="SummaryAgencyTitle-BP2"/>
              <w:rPr>
                <w:iCs/>
              </w:rPr>
            </w:pPr>
            <w:r w:rsidRPr="0012790E">
              <w:rPr>
                <w:iCs/>
              </w:rPr>
              <w:t xml:space="preserve">Administrative </w:t>
            </w:r>
            <w:r>
              <w:rPr>
                <w:iCs/>
              </w:rPr>
              <w:t>Review</w:t>
            </w:r>
            <w:r w:rsidRPr="0012790E">
              <w:rPr>
                <w:iCs/>
              </w:rPr>
              <w:t xml:space="preserve"> Tribunal</w:t>
            </w:r>
          </w:p>
        </w:tc>
        <w:tc>
          <w:tcPr>
            <w:tcW w:w="851" w:type="dxa"/>
          </w:tcPr>
          <w:p w14:paraId="341F3C7B" w14:textId="44998885" w:rsidR="00684DB2" w:rsidRPr="00AC2FA9" w:rsidRDefault="00684DB2" w:rsidP="00AC2FA9">
            <w:pPr>
              <w:pStyle w:val="SummaryAgencyTitle-BP2"/>
              <w:jc w:val="right"/>
              <w:rPr>
                <w:i w:val="0"/>
              </w:rPr>
            </w:pPr>
          </w:p>
        </w:tc>
        <w:tc>
          <w:tcPr>
            <w:tcW w:w="851" w:type="dxa"/>
            <w:shd w:val="clear" w:color="auto" w:fill="E6F2FF"/>
          </w:tcPr>
          <w:p w14:paraId="2D601BA4" w14:textId="2FAE1648" w:rsidR="00684DB2" w:rsidRPr="00AC2FA9" w:rsidRDefault="00684DB2" w:rsidP="00AC2FA9">
            <w:pPr>
              <w:pStyle w:val="SummaryAgencyTitle-BP2"/>
              <w:jc w:val="right"/>
              <w:rPr>
                <w:i w:val="0"/>
              </w:rPr>
            </w:pPr>
          </w:p>
        </w:tc>
        <w:tc>
          <w:tcPr>
            <w:tcW w:w="851" w:type="dxa"/>
          </w:tcPr>
          <w:p w14:paraId="5B113E10" w14:textId="76F4FD80" w:rsidR="00684DB2" w:rsidRPr="00AC2FA9" w:rsidRDefault="00684DB2" w:rsidP="00AC2FA9">
            <w:pPr>
              <w:pStyle w:val="SummaryAgencyTitle-BP2"/>
              <w:jc w:val="right"/>
              <w:rPr>
                <w:i w:val="0"/>
              </w:rPr>
            </w:pPr>
          </w:p>
        </w:tc>
        <w:tc>
          <w:tcPr>
            <w:tcW w:w="851" w:type="dxa"/>
          </w:tcPr>
          <w:p w14:paraId="3F86E3B3" w14:textId="1C66CEEA" w:rsidR="00684DB2" w:rsidRPr="00AC2FA9" w:rsidRDefault="00684DB2" w:rsidP="00AC2FA9">
            <w:pPr>
              <w:pStyle w:val="SummaryAgencyTitle-BP2"/>
              <w:jc w:val="right"/>
              <w:rPr>
                <w:i w:val="0"/>
              </w:rPr>
            </w:pPr>
          </w:p>
        </w:tc>
        <w:tc>
          <w:tcPr>
            <w:tcW w:w="851" w:type="dxa"/>
          </w:tcPr>
          <w:p w14:paraId="34DA157B" w14:textId="1245D771" w:rsidR="00684DB2" w:rsidRPr="00AC2FA9" w:rsidRDefault="00684DB2" w:rsidP="00AC2FA9">
            <w:pPr>
              <w:pStyle w:val="SummaryAgencyTitle-BP2"/>
              <w:jc w:val="right"/>
              <w:rPr>
                <w:i w:val="0"/>
              </w:rPr>
            </w:pPr>
          </w:p>
        </w:tc>
      </w:tr>
      <w:tr w:rsidR="00672471" w:rsidRPr="0012790E" w14:paraId="444C4783" w14:textId="77777777" w:rsidTr="00AC2FA9">
        <w:tc>
          <w:tcPr>
            <w:tcW w:w="3470" w:type="dxa"/>
            <w:shd w:val="clear" w:color="auto" w:fill="auto"/>
            <w:vAlign w:val="bottom"/>
          </w:tcPr>
          <w:p w14:paraId="100BA293" w14:textId="1A761B74" w:rsidR="00672471" w:rsidRPr="00684DB2" w:rsidRDefault="00672471" w:rsidP="00AC2FA9">
            <w:pPr>
              <w:pStyle w:val="SummaryMeasureTitlewithTheme"/>
            </w:pPr>
            <w:r w:rsidRPr="00684DB2">
              <w:t>Establishment of the Administrative Review Tribunal and Addressing Extremely High Migration Backlogs in the Courts(b)</w:t>
            </w:r>
          </w:p>
        </w:tc>
        <w:tc>
          <w:tcPr>
            <w:tcW w:w="851" w:type="dxa"/>
          </w:tcPr>
          <w:p w14:paraId="2968A8BC" w14:textId="34CB40EE" w:rsidR="00672471" w:rsidRPr="0012790E" w:rsidRDefault="00672471" w:rsidP="00AC2FA9">
            <w:pPr>
              <w:pStyle w:val="SummaryAgencyTitle-BP2"/>
              <w:jc w:val="right"/>
              <w:rPr>
                <w:iCs/>
              </w:rPr>
            </w:pPr>
            <w:r w:rsidRPr="00322A54">
              <w:rPr>
                <w:i w:val="0"/>
              </w:rPr>
              <w:t>-</w:t>
            </w:r>
          </w:p>
        </w:tc>
        <w:tc>
          <w:tcPr>
            <w:tcW w:w="851" w:type="dxa"/>
            <w:shd w:val="clear" w:color="auto" w:fill="E6F2FF"/>
          </w:tcPr>
          <w:p w14:paraId="2F1E0B24" w14:textId="7486BF94" w:rsidR="00672471" w:rsidRPr="0012790E" w:rsidRDefault="00672471" w:rsidP="00AC2FA9">
            <w:pPr>
              <w:pStyle w:val="SummaryAgencyTitle-BP2"/>
              <w:jc w:val="right"/>
              <w:rPr>
                <w:iCs/>
              </w:rPr>
            </w:pPr>
            <w:r w:rsidRPr="00322A54">
              <w:rPr>
                <w:i w:val="0"/>
              </w:rPr>
              <w:t>-</w:t>
            </w:r>
          </w:p>
        </w:tc>
        <w:tc>
          <w:tcPr>
            <w:tcW w:w="851" w:type="dxa"/>
          </w:tcPr>
          <w:p w14:paraId="2E9E2B90" w14:textId="3FB94E0B" w:rsidR="00672471" w:rsidRPr="0012790E" w:rsidRDefault="002C418E" w:rsidP="00AC2FA9">
            <w:pPr>
              <w:pStyle w:val="SummaryAgencyTitle-BP2"/>
              <w:jc w:val="right"/>
              <w:rPr>
                <w:iCs/>
              </w:rPr>
            </w:pPr>
            <w:r w:rsidRPr="00322A54">
              <w:rPr>
                <w:i w:val="0"/>
              </w:rPr>
              <w:t>2</w:t>
            </w:r>
            <w:r>
              <w:rPr>
                <w:i w:val="0"/>
              </w:rPr>
              <w:t>20</w:t>
            </w:r>
            <w:r w:rsidR="00672471" w:rsidRPr="00322A54">
              <w:rPr>
                <w:i w:val="0"/>
              </w:rPr>
              <w:t>.2</w:t>
            </w:r>
          </w:p>
        </w:tc>
        <w:tc>
          <w:tcPr>
            <w:tcW w:w="851" w:type="dxa"/>
          </w:tcPr>
          <w:p w14:paraId="04F9F1BB" w14:textId="25B0774C" w:rsidR="00672471" w:rsidRPr="0012790E" w:rsidRDefault="00672471" w:rsidP="00AC2FA9">
            <w:pPr>
              <w:pStyle w:val="SummaryAgencyTitle-BP2"/>
              <w:jc w:val="right"/>
              <w:rPr>
                <w:iCs/>
              </w:rPr>
            </w:pPr>
            <w:r w:rsidRPr="00322A54">
              <w:rPr>
                <w:i w:val="0"/>
              </w:rPr>
              <w:t>212.6</w:t>
            </w:r>
          </w:p>
        </w:tc>
        <w:tc>
          <w:tcPr>
            <w:tcW w:w="851" w:type="dxa"/>
          </w:tcPr>
          <w:p w14:paraId="03BB522D" w14:textId="7DDD5C46" w:rsidR="00672471" w:rsidRPr="0012790E" w:rsidRDefault="00672471" w:rsidP="00AC2FA9">
            <w:pPr>
              <w:pStyle w:val="SummaryAgencyTitle-BP2"/>
              <w:jc w:val="right"/>
              <w:rPr>
                <w:iCs/>
              </w:rPr>
            </w:pPr>
            <w:r w:rsidRPr="00322A54">
              <w:rPr>
                <w:i w:val="0"/>
              </w:rPr>
              <w:t>208.8</w:t>
            </w:r>
          </w:p>
        </w:tc>
      </w:tr>
      <w:tr w:rsidR="00672471" w:rsidRPr="0012790E" w14:paraId="10CEDB25" w14:textId="77777777" w:rsidTr="54937204">
        <w:tc>
          <w:tcPr>
            <w:tcW w:w="3470" w:type="dxa"/>
            <w:shd w:val="clear" w:color="auto" w:fill="auto"/>
            <w:vAlign w:val="bottom"/>
          </w:tcPr>
          <w:p w14:paraId="0A4F95D1" w14:textId="77777777" w:rsidR="00672471" w:rsidRPr="0012790E" w:rsidRDefault="00672471" w:rsidP="00672471">
            <w:pPr>
              <w:pStyle w:val="SummaryAgencyTitle-BP2"/>
              <w:rPr>
                <w:iCs/>
              </w:rPr>
            </w:pPr>
            <w:r w:rsidRPr="0012790E">
              <w:rPr>
                <w:iCs/>
              </w:rPr>
              <w:t>Attorney</w:t>
            </w:r>
            <w:r w:rsidRPr="0012790E">
              <w:rPr>
                <w:iCs/>
              </w:rPr>
              <w:noBreakHyphen/>
              <w:t>General's Department</w:t>
            </w:r>
          </w:p>
        </w:tc>
        <w:tc>
          <w:tcPr>
            <w:tcW w:w="851" w:type="dxa"/>
            <w:vAlign w:val="bottom"/>
          </w:tcPr>
          <w:p w14:paraId="2A331A91" w14:textId="77777777" w:rsidR="00672471" w:rsidRPr="0012790E" w:rsidRDefault="00672471" w:rsidP="00672471">
            <w:pPr>
              <w:pStyle w:val="SummaryAgencyTitle-BP2"/>
              <w:rPr>
                <w:iCs/>
              </w:rPr>
            </w:pPr>
          </w:p>
        </w:tc>
        <w:tc>
          <w:tcPr>
            <w:tcW w:w="851" w:type="dxa"/>
            <w:shd w:val="clear" w:color="auto" w:fill="E6F2FF"/>
            <w:vAlign w:val="bottom"/>
          </w:tcPr>
          <w:p w14:paraId="058EE387" w14:textId="77777777" w:rsidR="00672471" w:rsidRPr="0012790E" w:rsidRDefault="00672471" w:rsidP="00672471">
            <w:pPr>
              <w:pStyle w:val="SummaryAgencyTitle-BP2"/>
              <w:rPr>
                <w:iCs/>
              </w:rPr>
            </w:pPr>
          </w:p>
        </w:tc>
        <w:tc>
          <w:tcPr>
            <w:tcW w:w="851" w:type="dxa"/>
            <w:vAlign w:val="bottom"/>
          </w:tcPr>
          <w:p w14:paraId="55BB6405" w14:textId="77777777" w:rsidR="00672471" w:rsidRPr="0012790E" w:rsidRDefault="00672471" w:rsidP="00672471">
            <w:pPr>
              <w:pStyle w:val="SummaryAgencyTitle-BP2"/>
              <w:rPr>
                <w:iCs/>
              </w:rPr>
            </w:pPr>
          </w:p>
        </w:tc>
        <w:tc>
          <w:tcPr>
            <w:tcW w:w="851" w:type="dxa"/>
            <w:vAlign w:val="bottom"/>
          </w:tcPr>
          <w:p w14:paraId="10F8F394" w14:textId="77777777" w:rsidR="00672471" w:rsidRPr="0012790E" w:rsidRDefault="00672471" w:rsidP="00672471">
            <w:pPr>
              <w:pStyle w:val="SummaryAgencyTitle-BP2"/>
              <w:rPr>
                <w:iCs/>
              </w:rPr>
            </w:pPr>
          </w:p>
        </w:tc>
        <w:tc>
          <w:tcPr>
            <w:tcW w:w="851" w:type="dxa"/>
            <w:vAlign w:val="bottom"/>
          </w:tcPr>
          <w:p w14:paraId="39A52D7D" w14:textId="77777777" w:rsidR="00672471" w:rsidRPr="0012790E" w:rsidRDefault="00672471" w:rsidP="00672471">
            <w:pPr>
              <w:pStyle w:val="SummaryAgencyTitle-BP2"/>
              <w:rPr>
                <w:iCs/>
              </w:rPr>
            </w:pPr>
          </w:p>
        </w:tc>
      </w:tr>
      <w:tr w:rsidR="00672471" w:rsidRPr="0012790E" w14:paraId="351E898B" w14:textId="77777777" w:rsidTr="54937204">
        <w:tc>
          <w:tcPr>
            <w:tcW w:w="3470" w:type="dxa"/>
            <w:shd w:val="clear" w:color="auto" w:fill="auto"/>
            <w:vAlign w:val="bottom"/>
          </w:tcPr>
          <w:p w14:paraId="6AB9DFE6" w14:textId="2AE24AE7" w:rsidR="00672471" w:rsidRPr="0012790E" w:rsidRDefault="00672471" w:rsidP="00672471">
            <w:pPr>
              <w:pStyle w:val="SummaryMeasureTitlewithTheme"/>
            </w:pPr>
            <w:r w:rsidRPr="0012790E">
              <w:t>Anti</w:t>
            </w:r>
            <w:r w:rsidRPr="0012790E">
              <w:noBreakHyphen/>
              <w:t>Money Laundering and Counter</w:t>
            </w:r>
            <w:r w:rsidRPr="0012790E">
              <w:noBreakHyphen/>
              <w:t>Terrorism Financing Reform</w:t>
            </w:r>
          </w:p>
        </w:tc>
        <w:tc>
          <w:tcPr>
            <w:tcW w:w="851" w:type="dxa"/>
            <w:vAlign w:val="bottom"/>
          </w:tcPr>
          <w:p w14:paraId="77CF6300" w14:textId="77777777" w:rsidR="00672471" w:rsidRPr="0012790E" w:rsidRDefault="00672471" w:rsidP="00672471">
            <w:pPr>
              <w:pStyle w:val="Summarytabletextrightaligned"/>
              <w:rPr>
                <w:szCs w:val="16"/>
              </w:rPr>
            </w:pPr>
            <w:r w:rsidRPr="0012790E">
              <w:rPr>
                <w:szCs w:val="16"/>
              </w:rPr>
              <w:noBreakHyphen/>
            </w:r>
          </w:p>
        </w:tc>
        <w:tc>
          <w:tcPr>
            <w:tcW w:w="851" w:type="dxa"/>
            <w:shd w:val="clear" w:color="auto" w:fill="E6F2FF"/>
            <w:vAlign w:val="bottom"/>
          </w:tcPr>
          <w:p w14:paraId="6A15FF24" w14:textId="77777777" w:rsidR="00672471" w:rsidRPr="0012790E" w:rsidRDefault="00672471" w:rsidP="00672471">
            <w:pPr>
              <w:pStyle w:val="Summarytabletextrightaligned"/>
              <w:rPr>
                <w:szCs w:val="16"/>
              </w:rPr>
            </w:pPr>
            <w:r w:rsidRPr="0012790E">
              <w:rPr>
                <w:szCs w:val="16"/>
              </w:rPr>
              <w:t>1.7</w:t>
            </w:r>
          </w:p>
        </w:tc>
        <w:tc>
          <w:tcPr>
            <w:tcW w:w="851" w:type="dxa"/>
            <w:vAlign w:val="bottom"/>
          </w:tcPr>
          <w:p w14:paraId="68EA09ED" w14:textId="77777777" w:rsidR="00672471" w:rsidRPr="0012790E" w:rsidRDefault="00672471" w:rsidP="00672471">
            <w:pPr>
              <w:pStyle w:val="Summarytabletextrightaligned"/>
              <w:rPr>
                <w:szCs w:val="16"/>
              </w:rPr>
            </w:pPr>
            <w:r w:rsidRPr="0012790E">
              <w:rPr>
                <w:szCs w:val="16"/>
              </w:rPr>
              <w:noBreakHyphen/>
            </w:r>
          </w:p>
        </w:tc>
        <w:tc>
          <w:tcPr>
            <w:tcW w:w="851" w:type="dxa"/>
            <w:vAlign w:val="bottom"/>
          </w:tcPr>
          <w:p w14:paraId="758BC0FB" w14:textId="77777777" w:rsidR="00672471" w:rsidRPr="0012790E" w:rsidRDefault="00672471" w:rsidP="00672471">
            <w:pPr>
              <w:pStyle w:val="Summarytabletextrightaligned"/>
              <w:rPr>
                <w:szCs w:val="16"/>
              </w:rPr>
            </w:pPr>
            <w:r w:rsidRPr="0012790E">
              <w:rPr>
                <w:szCs w:val="16"/>
              </w:rPr>
              <w:noBreakHyphen/>
            </w:r>
          </w:p>
        </w:tc>
        <w:tc>
          <w:tcPr>
            <w:tcW w:w="851" w:type="dxa"/>
            <w:vAlign w:val="bottom"/>
          </w:tcPr>
          <w:p w14:paraId="0D774F01" w14:textId="77777777" w:rsidR="00672471" w:rsidRPr="0012790E" w:rsidRDefault="00672471" w:rsidP="00672471">
            <w:pPr>
              <w:pStyle w:val="Summarytabletextrightaligned"/>
              <w:rPr>
                <w:szCs w:val="16"/>
              </w:rPr>
            </w:pPr>
            <w:r w:rsidRPr="0012790E">
              <w:rPr>
                <w:szCs w:val="16"/>
              </w:rPr>
              <w:noBreakHyphen/>
            </w:r>
          </w:p>
        </w:tc>
      </w:tr>
      <w:tr w:rsidR="00672471" w:rsidRPr="0012790E" w14:paraId="20A38300" w14:textId="77777777" w:rsidTr="54937204">
        <w:tc>
          <w:tcPr>
            <w:tcW w:w="3470" w:type="dxa"/>
            <w:shd w:val="clear" w:color="auto" w:fill="auto"/>
            <w:vAlign w:val="bottom"/>
          </w:tcPr>
          <w:p w14:paraId="6F8F6B77" w14:textId="77777777" w:rsidR="00672471" w:rsidRPr="0012790E" w:rsidRDefault="00672471" w:rsidP="00672471">
            <w:pPr>
              <w:pStyle w:val="SummaryMeasureTitlewithTheme"/>
            </w:pPr>
            <w:r w:rsidRPr="0012790E">
              <w:t>APS Capability Reinvestment Fund: 2024</w:t>
            </w:r>
            <w:r w:rsidRPr="0012790E">
              <w:noBreakHyphen/>
              <w:t>25 projects funded under round two</w:t>
            </w:r>
          </w:p>
        </w:tc>
        <w:tc>
          <w:tcPr>
            <w:tcW w:w="851" w:type="dxa"/>
            <w:vAlign w:val="bottom"/>
          </w:tcPr>
          <w:p w14:paraId="6C1AA97E" w14:textId="77777777" w:rsidR="00672471" w:rsidRPr="0012790E" w:rsidRDefault="00672471" w:rsidP="00672471">
            <w:pPr>
              <w:pStyle w:val="Summarytabletextrightaligned"/>
              <w:rPr>
                <w:szCs w:val="16"/>
              </w:rPr>
            </w:pPr>
            <w:r w:rsidRPr="0012790E">
              <w:rPr>
                <w:szCs w:val="16"/>
              </w:rPr>
              <w:noBreakHyphen/>
            </w:r>
          </w:p>
        </w:tc>
        <w:tc>
          <w:tcPr>
            <w:tcW w:w="851" w:type="dxa"/>
            <w:shd w:val="clear" w:color="auto" w:fill="E6F2FF"/>
            <w:vAlign w:val="bottom"/>
          </w:tcPr>
          <w:p w14:paraId="55E52AF4" w14:textId="579A9270" w:rsidR="00672471" w:rsidRPr="0012790E" w:rsidRDefault="00672471" w:rsidP="00672471">
            <w:pPr>
              <w:pStyle w:val="Summarytabletextrightaligned"/>
              <w:rPr>
                <w:szCs w:val="16"/>
              </w:rPr>
            </w:pPr>
            <w:r>
              <w:rPr>
                <w:szCs w:val="16"/>
              </w:rPr>
              <w:t>-</w:t>
            </w:r>
          </w:p>
        </w:tc>
        <w:tc>
          <w:tcPr>
            <w:tcW w:w="851" w:type="dxa"/>
            <w:vAlign w:val="bottom"/>
          </w:tcPr>
          <w:p w14:paraId="53ADA6EF" w14:textId="77777777" w:rsidR="00672471" w:rsidRPr="0012790E" w:rsidRDefault="00672471" w:rsidP="00672471">
            <w:pPr>
              <w:pStyle w:val="Summarytabletextrightaligned"/>
              <w:rPr>
                <w:szCs w:val="16"/>
              </w:rPr>
            </w:pPr>
            <w:r w:rsidRPr="0012790E">
              <w:rPr>
                <w:szCs w:val="16"/>
              </w:rPr>
              <w:noBreakHyphen/>
            </w:r>
          </w:p>
        </w:tc>
        <w:tc>
          <w:tcPr>
            <w:tcW w:w="851" w:type="dxa"/>
            <w:vAlign w:val="bottom"/>
          </w:tcPr>
          <w:p w14:paraId="47EA05ED" w14:textId="77777777" w:rsidR="00672471" w:rsidRPr="0012790E" w:rsidRDefault="00672471" w:rsidP="00672471">
            <w:pPr>
              <w:pStyle w:val="Summarytabletextrightaligned"/>
              <w:rPr>
                <w:szCs w:val="16"/>
              </w:rPr>
            </w:pPr>
            <w:r w:rsidRPr="0012790E">
              <w:rPr>
                <w:szCs w:val="16"/>
              </w:rPr>
              <w:noBreakHyphen/>
            </w:r>
          </w:p>
        </w:tc>
        <w:tc>
          <w:tcPr>
            <w:tcW w:w="851" w:type="dxa"/>
            <w:vAlign w:val="bottom"/>
          </w:tcPr>
          <w:p w14:paraId="77F22C89" w14:textId="77777777" w:rsidR="00672471" w:rsidRPr="0012790E" w:rsidRDefault="00672471" w:rsidP="00672471">
            <w:pPr>
              <w:pStyle w:val="Summarytabletextrightaligned"/>
              <w:rPr>
                <w:szCs w:val="16"/>
              </w:rPr>
            </w:pPr>
            <w:r w:rsidRPr="0012790E">
              <w:rPr>
                <w:szCs w:val="16"/>
              </w:rPr>
              <w:noBreakHyphen/>
            </w:r>
          </w:p>
        </w:tc>
      </w:tr>
      <w:tr w:rsidR="00672471" w:rsidRPr="0012790E" w14:paraId="00F1904B" w14:textId="77777777" w:rsidTr="54937204">
        <w:tc>
          <w:tcPr>
            <w:tcW w:w="3470" w:type="dxa"/>
            <w:shd w:val="clear" w:color="auto" w:fill="auto"/>
            <w:vAlign w:val="bottom"/>
          </w:tcPr>
          <w:p w14:paraId="3BE55AF6" w14:textId="77777777" w:rsidR="00672471" w:rsidRPr="0012790E" w:rsidRDefault="00672471" w:rsidP="00672471">
            <w:pPr>
              <w:pStyle w:val="SummaryMeasureTitlewithTheme"/>
            </w:pPr>
            <w:r w:rsidRPr="0012790E">
              <w:t>Attorney</w:t>
            </w:r>
            <w:r w:rsidRPr="0012790E">
              <w:noBreakHyphen/>
              <w:t>General's – reprioritisation</w:t>
            </w:r>
          </w:p>
        </w:tc>
        <w:tc>
          <w:tcPr>
            <w:tcW w:w="851" w:type="dxa"/>
            <w:vAlign w:val="bottom"/>
          </w:tcPr>
          <w:p w14:paraId="68DF5F8A" w14:textId="77777777" w:rsidR="00672471" w:rsidRPr="0012790E" w:rsidRDefault="00672471" w:rsidP="00672471">
            <w:pPr>
              <w:pStyle w:val="Summarytabletextrightaligned"/>
              <w:rPr>
                <w:szCs w:val="16"/>
              </w:rPr>
            </w:pPr>
            <w:r w:rsidRPr="0012790E">
              <w:rPr>
                <w:szCs w:val="16"/>
              </w:rPr>
              <w:noBreakHyphen/>
              <w:t>6.9</w:t>
            </w:r>
          </w:p>
        </w:tc>
        <w:tc>
          <w:tcPr>
            <w:tcW w:w="851" w:type="dxa"/>
            <w:shd w:val="clear" w:color="auto" w:fill="E6F2FF"/>
            <w:vAlign w:val="bottom"/>
          </w:tcPr>
          <w:p w14:paraId="5C61189B" w14:textId="77777777" w:rsidR="00672471" w:rsidRPr="0012790E" w:rsidRDefault="00672471" w:rsidP="00672471">
            <w:pPr>
              <w:pStyle w:val="Summarytabletextrightaligned"/>
              <w:rPr>
                <w:szCs w:val="16"/>
              </w:rPr>
            </w:pPr>
            <w:r w:rsidRPr="0012790E">
              <w:rPr>
                <w:szCs w:val="16"/>
              </w:rPr>
              <w:noBreakHyphen/>
              <w:t>14.3</w:t>
            </w:r>
          </w:p>
        </w:tc>
        <w:tc>
          <w:tcPr>
            <w:tcW w:w="851" w:type="dxa"/>
            <w:vAlign w:val="bottom"/>
          </w:tcPr>
          <w:p w14:paraId="13F9EC98" w14:textId="77777777" w:rsidR="00672471" w:rsidRPr="0012790E" w:rsidRDefault="00672471" w:rsidP="00672471">
            <w:pPr>
              <w:pStyle w:val="Summarytabletextrightaligned"/>
              <w:rPr>
                <w:szCs w:val="16"/>
              </w:rPr>
            </w:pPr>
            <w:r w:rsidRPr="0012790E">
              <w:rPr>
                <w:szCs w:val="16"/>
              </w:rPr>
              <w:noBreakHyphen/>
              <w:t>16.2</w:t>
            </w:r>
          </w:p>
        </w:tc>
        <w:tc>
          <w:tcPr>
            <w:tcW w:w="851" w:type="dxa"/>
            <w:vAlign w:val="bottom"/>
          </w:tcPr>
          <w:p w14:paraId="75F6477A" w14:textId="77777777" w:rsidR="00672471" w:rsidRPr="0012790E" w:rsidRDefault="00672471" w:rsidP="00672471">
            <w:pPr>
              <w:pStyle w:val="Summarytabletextrightaligned"/>
              <w:rPr>
                <w:szCs w:val="16"/>
              </w:rPr>
            </w:pPr>
            <w:r w:rsidRPr="0012790E">
              <w:rPr>
                <w:szCs w:val="16"/>
              </w:rPr>
              <w:noBreakHyphen/>
              <w:t>17.0</w:t>
            </w:r>
          </w:p>
        </w:tc>
        <w:tc>
          <w:tcPr>
            <w:tcW w:w="851" w:type="dxa"/>
            <w:vAlign w:val="bottom"/>
          </w:tcPr>
          <w:p w14:paraId="0420FF5F" w14:textId="77777777" w:rsidR="00672471" w:rsidRPr="0012790E" w:rsidRDefault="00672471" w:rsidP="00672471">
            <w:pPr>
              <w:pStyle w:val="Summarytabletextrightaligned"/>
              <w:rPr>
                <w:szCs w:val="16"/>
              </w:rPr>
            </w:pPr>
            <w:r w:rsidRPr="0012790E">
              <w:rPr>
                <w:szCs w:val="16"/>
              </w:rPr>
              <w:noBreakHyphen/>
              <w:t>20.1</w:t>
            </w:r>
          </w:p>
        </w:tc>
      </w:tr>
      <w:tr w:rsidR="00672471" w:rsidRPr="0012790E" w14:paraId="6589B562" w14:textId="77777777" w:rsidTr="54937204">
        <w:tc>
          <w:tcPr>
            <w:tcW w:w="3470" w:type="dxa"/>
            <w:shd w:val="clear" w:color="auto" w:fill="auto"/>
            <w:vAlign w:val="bottom"/>
          </w:tcPr>
          <w:p w14:paraId="4E394A3D" w14:textId="77777777" w:rsidR="00672471" w:rsidRPr="0012790E" w:rsidRDefault="00672471" w:rsidP="00672471">
            <w:pPr>
              <w:pStyle w:val="SummaryMeasureTitlewithTheme"/>
            </w:pPr>
            <w:r w:rsidRPr="0012790E">
              <w:t>Attorney</w:t>
            </w:r>
            <w:r w:rsidRPr="0012790E">
              <w:noBreakHyphen/>
              <w:t>General's Portfolio – additional resourcing</w:t>
            </w:r>
          </w:p>
        </w:tc>
        <w:tc>
          <w:tcPr>
            <w:tcW w:w="851" w:type="dxa"/>
            <w:vAlign w:val="bottom"/>
          </w:tcPr>
          <w:p w14:paraId="06E1DA76" w14:textId="77777777" w:rsidR="00672471" w:rsidRPr="0012790E" w:rsidRDefault="00672471" w:rsidP="00672471">
            <w:pPr>
              <w:pStyle w:val="Summarytabletextrightaligned"/>
              <w:rPr>
                <w:szCs w:val="16"/>
              </w:rPr>
            </w:pPr>
            <w:r w:rsidRPr="0012790E">
              <w:rPr>
                <w:szCs w:val="16"/>
              </w:rPr>
              <w:noBreakHyphen/>
            </w:r>
          </w:p>
        </w:tc>
        <w:tc>
          <w:tcPr>
            <w:tcW w:w="851" w:type="dxa"/>
            <w:shd w:val="clear" w:color="auto" w:fill="E6F2FF"/>
            <w:vAlign w:val="bottom"/>
          </w:tcPr>
          <w:p w14:paraId="218686B5" w14:textId="77777777" w:rsidR="00672471" w:rsidRPr="0012790E" w:rsidRDefault="00672471" w:rsidP="00672471">
            <w:pPr>
              <w:pStyle w:val="Summarytabletextrightaligned"/>
              <w:rPr>
                <w:lang w:val="en-US"/>
              </w:rPr>
            </w:pPr>
            <w:r w:rsidRPr="54937204">
              <w:rPr>
                <w:lang w:val="en-US"/>
              </w:rPr>
              <w:t>nfp</w:t>
            </w:r>
          </w:p>
        </w:tc>
        <w:tc>
          <w:tcPr>
            <w:tcW w:w="851" w:type="dxa"/>
            <w:vAlign w:val="bottom"/>
          </w:tcPr>
          <w:p w14:paraId="40EA9D2E" w14:textId="77777777" w:rsidR="00672471" w:rsidRPr="0012790E" w:rsidRDefault="00672471" w:rsidP="00672471">
            <w:pPr>
              <w:pStyle w:val="Summarytabletextrightaligned"/>
              <w:rPr>
                <w:lang w:val="en-US"/>
              </w:rPr>
            </w:pPr>
            <w:r w:rsidRPr="54937204">
              <w:rPr>
                <w:lang w:val="en-US"/>
              </w:rPr>
              <w:t>nfp</w:t>
            </w:r>
          </w:p>
        </w:tc>
        <w:tc>
          <w:tcPr>
            <w:tcW w:w="851" w:type="dxa"/>
            <w:vAlign w:val="bottom"/>
          </w:tcPr>
          <w:p w14:paraId="039CB5DF" w14:textId="77777777" w:rsidR="00672471" w:rsidRPr="0012790E" w:rsidRDefault="00672471" w:rsidP="00672471">
            <w:pPr>
              <w:pStyle w:val="Summarytabletextrightaligned"/>
              <w:rPr>
                <w:lang w:val="en-US"/>
              </w:rPr>
            </w:pPr>
            <w:r w:rsidRPr="54937204">
              <w:rPr>
                <w:lang w:val="en-US"/>
              </w:rPr>
              <w:t>nfp</w:t>
            </w:r>
          </w:p>
        </w:tc>
        <w:tc>
          <w:tcPr>
            <w:tcW w:w="851" w:type="dxa"/>
            <w:vAlign w:val="bottom"/>
          </w:tcPr>
          <w:p w14:paraId="2DF9DC6B" w14:textId="77777777" w:rsidR="00672471" w:rsidRPr="0012790E" w:rsidRDefault="00672471" w:rsidP="00672471">
            <w:pPr>
              <w:pStyle w:val="Summarytabletextrightaligned"/>
              <w:rPr>
                <w:lang w:val="en-US"/>
              </w:rPr>
            </w:pPr>
            <w:r w:rsidRPr="54937204">
              <w:rPr>
                <w:lang w:val="en-US"/>
              </w:rPr>
              <w:t>nfp</w:t>
            </w:r>
          </w:p>
        </w:tc>
      </w:tr>
      <w:tr w:rsidR="00672471" w:rsidRPr="0012790E" w14:paraId="2548E3A4" w14:textId="77777777" w:rsidTr="54937204">
        <w:tc>
          <w:tcPr>
            <w:tcW w:w="3470" w:type="dxa"/>
            <w:shd w:val="clear" w:color="auto" w:fill="auto"/>
            <w:vAlign w:val="bottom"/>
          </w:tcPr>
          <w:p w14:paraId="6F005980" w14:textId="77777777" w:rsidR="00672471" w:rsidRPr="0012790E" w:rsidRDefault="00672471" w:rsidP="00672471">
            <w:pPr>
              <w:pStyle w:val="SummaryMeasureTitlewithTheme"/>
            </w:pPr>
            <w:r w:rsidRPr="0012790E">
              <w:t>Australian Universities Accord – tertiary education system reforms(b)</w:t>
            </w:r>
          </w:p>
        </w:tc>
        <w:tc>
          <w:tcPr>
            <w:tcW w:w="851" w:type="dxa"/>
            <w:vAlign w:val="bottom"/>
          </w:tcPr>
          <w:p w14:paraId="7B7668BA" w14:textId="77777777" w:rsidR="00672471" w:rsidRPr="0012790E" w:rsidRDefault="00672471" w:rsidP="00672471">
            <w:pPr>
              <w:pStyle w:val="Summarytabletextrightaligned"/>
              <w:rPr>
                <w:szCs w:val="16"/>
              </w:rPr>
            </w:pPr>
            <w:r w:rsidRPr="0012790E">
              <w:rPr>
                <w:szCs w:val="16"/>
              </w:rPr>
              <w:noBreakHyphen/>
            </w:r>
          </w:p>
        </w:tc>
        <w:tc>
          <w:tcPr>
            <w:tcW w:w="851" w:type="dxa"/>
            <w:shd w:val="clear" w:color="auto" w:fill="E6F2FF"/>
            <w:vAlign w:val="bottom"/>
          </w:tcPr>
          <w:p w14:paraId="089C90B3" w14:textId="77777777" w:rsidR="00672471" w:rsidRPr="0012790E" w:rsidRDefault="00672471" w:rsidP="00672471">
            <w:pPr>
              <w:pStyle w:val="Summarytabletextrightaligned"/>
              <w:rPr>
                <w:szCs w:val="16"/>
              </w:rPr>
            </w:pPr>
            <w:r w:rsidRPr="0012790E">
              <w:rPr>
                <w:szCs w:val="16"/>
              </w:rPr>
              <w:t>0.3</w:t>
            </w:r>
          </w:p>
        </w:tc>
        <w:tc>
          <w:tcPr>
            <w:tcW w:w="851" w:type="dxa"/>
            <w:vAlign w:val="bottom"/>
          </w:tcPr>
          <w:p w14:paraId="7967D081" w14:textId="77777777" w:rsidR="00672471" w:rsidRPr="0012790E" w:rsidRDefault="00672471" w:rsidP="00672471">
            <w:pPr>
              <w:pStyle w:val="Summarytabletextrightaligned"/>
              <w:rPr>
                <w:szCs w:val="16"/>
              </w:rPr>
            </w:pPr>
            <w:r w:rsidRPr="0012790E">
              <w:rPr>
                <w:szCs w:val="16"/>
              </w:rPr>
              <w:t>0.4</w:t>
            </w:r>
          </w:p>
        </w:tc>
        <w:tc>
          <w:tcPr>
            <w:tcW w:w="851" w:type="dxa"/>
            <w:vAlign w:val="bottom"/>
          </w:tcPr>
          <w:p w14:paraId="1EB6EEE2" w14:textId="77777777" w:rsidR="00672471" w:rsidRPr="0012790E" w:rsidRDefault="00672471" w:rsidP="00672471">
            <w:pPr>
              <w:pStyle w:val="Summarytabletextrightaligned"/>
              <w:rPr>
                <w:szCs w:val="16"/>
              </w:rPr>
            </w:pPr>
            <w:r w:rsidRPr="0012790E">
              <w:rPr>
                <w:szCs w:val="16"/>
              </w:rPr>
              <w:t>0.2</w:t>
            </w:r>
          </w:p>
        </w:tc>
        <w:tc>
          <w:tcPr>
            <w:tcW w:w="851" w:type="dxa"/>
            <w:vAlign w:val="bottom"/>
          </w:tcPr>
          <w:p w14:paraId="6AF71E0E" w14:textId="77777777" w:rsidR="00672471" w:rsidRPr="0012790E" w:rsidRDefault="00672471" w:rsidP="00672471">
            <w:pPr>
              <w:pStyle w:val="Summarytabletextrightaligned"/>
              <w:rPr>
                <w:szCs w:val="16"/>
              </w:rPr>
            </w:pPr>
            <w:r w:rsidRPr="0012790E">
              <w:rPr>
                <w:szCs w:val="16"/>
              </w:rPr>
              <w:t>0.2</w:t>
            </w:r>
          </w:p>
        </w:tc>
      </w:tr>
      <w:tr w:rsidR="00672471" w:rsidRPr="0012790E" w14:paraId="43D4331A" w14:textId="77777777" w:rsidTr="54937204">
        <w:tc>
          <w:tcPr>
            <w:tcW w:w="3470" w:type="dxa"/>
            <w:shd w:val="clear" w:color="auto" w:fill="auto"/>
            <w:vAlign w:val="bottom"/>
          </w:tcPr>
          <w:p w14:paraId="7851DB6C" w14:textId="77777777" w:rsidR="00672471" w:rsidRPr="0012790E" w:rsidRDefault="00672471" w:rsidP="00672471">
            <w:pPr>
              <w:pStyle w:val="SummaryMeasureTitlewithTheme"/>
            </w:pPr>
            <w:r w:rsidRPr="0012790E">
              <w:t>Digital ID</w:t>
            </w:r>
          </w:p>
        </w:tc>
        <w:tc>
          <w:tcPr>
            <w:tcW w:w="851" w:type="dxa"/>
            <w:vAlign w:val="bottom"/>
          </w:tcPr>
          <w:p w14:paraId="775BBE0F" w14:textId="77777777" w:rsidR="00672471" w:rsidRPr="0012790E" w:rsidRDefault="00672471" w:rsidP="00672471">
            <w:pPr>
              <w:pStyle w:val="Summarytabletextrightaligned"/>
              <w:rPr>
                <w:szCs w:val="16"/>
              </w:rPr>
            </w:pPr>
            <w:r w:rsidRPr="0012790E">
              <w:rPr>
                <w:szCs w:val="16"/>
              </w:rPr>
              <w:noBreakHyphen/>
            </w:r>
          </w:p>
        </w:tc>
        <w:tc>
          <w:tcPr>
            <w:tcW w:w="851" w:type="dxa"/>
            <w:shd w:val="clear" w:color="auto" w:fill="E6F2FF"/>
            <w:vAlign w:val="bottom"/>
          </w:tcPr>
          <w:p w14:paraId="15974129" w14:textId="77777777" w:rsidR="00672471" w:rsidRPr="0012790E" w:rsidRDefault="00672471" w:rsidP="00672471">
            <w:pPr>
              <w:pStyle w:val="Summarytabletextrightaligned"/>
              <w:rPr>
                <w:szCs w:val="16"/>
              </w:rPr>
            </w:pPr>
            <w:r w:rsidRPr="0012790E">
              <w:rPr>
                <w:szCs w:val="16"/>
              </w:rPr>
              <w:t>6.1</w:t>
            </w:r>
          </w:p>
        </w:tc>
        <w:tc>
          <w:tcPr>
            <w:tcW w:w="851" w:type="dxa"/>
            <w:vAlign w:val="bottom"/>
          </w:tcPr>
          <w:p w14:paraId="66AB712C" w14:textId="77777777" w:rsidR="00672471" w:rsidRPr="0012790E" w:rsidRDefault="00672471" w:rsidP="00672471">
            <w:pPr>
              <w:pStyle w:val="Summarytabletextrightaligned"/>
              <w:rPr>
                <w:szCs w:val="16"/>
              </w:rPr>
            </w:pPr>
            <w:r w:rsidRPr="0012790E">
              <w:rPr>
                <w:szCs w:val="16"/>
              </w:rPr>
              <w:t>3.9</w:t>
            </w:r>
          </w:p>
        </w:tc>
        <w:tc>
          <w:tcPr>
            <w:tcW w:w="851" w:type="dxa"/>
            <w:vAlign w:val="bottom"/>
          </w:tcPr>
          <w:p w14:paraId="5A21966D" w14:textId="77777777" w:rsidR="00672471" w:rsidRPr="0012790E" w:rsidRDefault="00672471" w:rsidP="00672471">
            <w:pPr>
              <w:pStyle w:val="Summarytabletextrightaligned"/>
              <w:rPr>
                <w:szCs w:val="16"/>
              </w:rPr>
            </w:pPr>
            <w:r w:rsidRPr="0012790E">
              <w:rPr>
                <w:szCs w:val="16"/>
              </w:rPr>
              <w:t>0.5</w:t>
            </w:r>
          </w:p>
        </w:tc>
        <w:tc>
          <w:tcPr>
            <w:tcW w:w="851" w:type="dxa"/>
            <w:vAlign w:val="bottom"/>
          </w:tcPr>
          <w:p w14:paraId="5594AD96" w14:textId="77777777" w:rsidR="00672471" w:rsidRPr="0012790E" w:rsidRDefault="00672471" w:rsidP="00672471">
            <w:pPr>
              <w:pStyle w:val="Summarytabletextrightaligned"/>
              <w:rPr>
                <w:szCs w:val="16"/>
              </w:rPr>
            </w:pPr>
            <w:r w:rsidRPr="0012790E">
              <w:rPr>
                <w:szCs w:val="16"/>
              </w:rPr>
              <w:t>0.4</w:t>
            </w:r>
          </w:p>
        </w:tc>
      </w:tr>
      <w:tr w:rsidR="00672471" w:rsidRPr="0012790E" w14:paraId="3F8C2375" w14:textId="77777777" w:rsidTr="54937204">
        <w:tc>
          <w:tcPr>
            <w:tcW w:w="3470" w:type="dxa"/>
            <w:shd w:val="clear" w:color="auto" w:fill="auto"/>
            <w:vAlign w:val="bottom"/>
          </w:tcPr>
          <w:p w14:paraId="3EB93D98" w14:textId="77777777" w:rsidR="00672471" w:rsidRPr="0012790E" w:rsidRDefault="00672471" w:rsidP="00672471">
            <w:pPr>
              <w:pStyle w:val="SummaryMeasureTitlewithTheme"/>
            </w:pPr>
            <w:r w:rsidRPr="0012790E">
              <w:t>Enhancing First Nations Justice Policy Outcomes</w:t>
            </w:r>
          </w:p>
        </w:tc>
        <w:tc>
          <w:tcPr>
            <w:tcW w:w="851" w:type="dxa"/>
            <w:vAlign w:val="bottom"/>
          </w:tcPr>
          <w:p w14:paraId="637CBF31" w14:textId="77777777" w:rsidR="00672471" w:rsidRPr="0012790E" w:rsidRDefault="00672471" w:rsidP="00672471">
            <w:pPr>
              <w:pStyle w:val="Summarytabletextrightaligned"/>
              <w:rPr>
                <w:szCs w:val="16"/>
              </w:rPr>
            </w:pPr>
            <w:r w:rsidRPr="0012790E">
              <w:rPr>
                <w:szCs w:val="16"/>
              </w:rPr>
              <w:noBreakHyphen/>
            </w:r>
          </w:p>
        </w:tc>
        <w:tc>
          <w:tcPr>
            <w:tcW w:w="851" w:type="dxa"/>
            <w:shd w:val="clear" w:color="auto" w:fill="E6F2FF"/>
            <w:vAlign w:val="bottom"/>
          </w:tcPr>
          <w:p w14:paraId="43BFA5E0" w14:textId="77777777" w:rsidR="00672471" w:rsidRPr="0012790E" w:rsidRDefault="00672471" w:rsidP="00672471">
            <w:pPr>
              <w:pStyle w:val="Summarytabletextrightaligned"/>
              <w:rPr>
                <w:szCs w:val="16"/>
              </w:rPr>
            </w:pPr>
            <w:r w:rsidRPr="0012790E">
              <w:rPr>
                <w:szCs w:val="16"/>
              </w:rPr>
              <w:t>8.6</w:t>
            </w:r>
          </w:p>
        </w:tc>
        <w:tc>
          <w:tcPr>
            <w:tcW w:w="851" w:type="dxa"/>
            <w:vAlign w:val="bottom"/>
          </w:tcPr>
          <w:p w14:paraId="2A4B4B82" w14:textId="77777777" w:rsidR="00672471" w:rsidRPr="0012790E" w:rsidRDefault="00672471" w:rsidP="00672471">
            <w:pPr>
              <w:pStyle w:val="Summarytabletextrightaligned"/>
              <w:rPr>
                <w:szCs w:val="16"/>
              </w:rPr>
            </w:pPr>
            <w:r w:rsidRPr="0012790E">
              <w:rPr>
                <w:szCs w:val="16"/>
              </w:rPr>
              <w:t>8.4</w:t>
            </w:r>
          </w:p>
        </w:tc>
        <w:tc>
          <w:tcPr>
            <w:tcW w:w="851" w:type="dxa"/>
            <w:vAlign w:val="bottom"/>
          </w:tcPr>
          <w:p w14:paraId="259C787E" w14:textId="77777777" w:rsidR="00672471" w:rsidRPr="0012790E" w:rsidRDefault="00672471" w:rsidP="00672471">
            <w:pPr>
              <w:pStyle w:val="Summarytabletextrightaligned"/>
              <w:rPr>
                <w:szCs w:val="16"/>
              </w:rPr>
            </w:pPr>
            <w:r w:rsidRPr="0012790E">
              <w:rPr>
                <w:szCs w:val="16"/>
              </w:rPr>
              <w:t>2.6</w:t>
            </w:r>
          </w:p>
        </w:tc>
        <w:tc>
          <w:tcPr>
            <w:tcW w:w="851" w:type="dxa"/>
            <w:vAlign w:val="bottom"/>
          </w:tcPr>
          <w:p w14:paraId="7EC75170" w14:textId="77777777" w:rsidR="00672471" w:rsidRPr="0012790E" w:rsidRDefault="00672471" w:rsidP="00672471">
            <w:pPr>
              <w:pStyle w:val="Summarytabletextrightaligned"/>
              <w:rPr>
                <w:szCs w:val="16"/>
              </w:rPr>
            </w:pPr>
            <w:r w:rsidRPr="0012790E">
              <w:rPr>
                <w:szCs w:val="16"/>
              </w:rPr>
              <w:t>2.8</w:t>
            </w:r>
          </w:p>
        </w:tc>
      </w:tr>
      <w:tr w:rsidR="00672471" w:rsidRPr="0012790E" w14:paraId="16A94447" w14:textId="77777777" w:rsidTr="00BC3C38">
        <w:tc>
          <w:tcPr>
            <w:tcW w:w="3470" w:type="dxa"/>
            <w:shd w:val="clear" w:color="auto" w:fill="auto"/>
            <w:vAlign w:val="bottom"/>
          </w:tcPr>
          <w:p w14:paraId="7E391D63" w14:textId="77777777" w:rsidR="00672471" w:rsidRPr="0012790E" w:rsidRDefault="00672471" w:rsidP="00672471">
            <w:pPr>
              <w:pStyle w:val="SummaryMeasureTitlewithTheme"/>
            </w:pPr>
            <w:r w:rsidRPr="0012790E">
              <w:t>Establishment of the Administrative Review Tribunal and Addressing Extremely High Migration Backlogs in the Courts(b)</w:t>
            </w:r>
          </w:p>
        </w:tc>
        <w:tc>
          <w:tcPr>
            <w:tcW w:w="851" w:type="dxa"/>
            <w:vAlign w:val="bottom"/>
          </w:tcPr>
          <w:p w14:paraId="70294FA8" w14:textId="77777777" w:rsidR="00672471" w:rsidRPr="0012790E" w:rsidRDefault="00672471" w:rsidP="00672471">
            <w:pPr>
              <w:pStyle w:val="Summarytabletextrightaligned"/>
              <w:rPr>
                <w:szCs w:val="16"/>
              </w:rPr>
            </w:pPr>
            <w:r w:rsidRPr="0012790E">
              <w:rPr>
                <w:szCs w:val="16"/>
              </w:rPr>
              <w:noBreakHyphen/>
            </w:r>
          </w:p>
        </w:tc>
        <w:tc>
          <w:tcPr>
            <w:tcW w:w="851" w:type="dxa"/>
            <w:shd w:val="clear" w:color="auto" w:fill="E6F2FF"/>
            <w:vAlign w:val="bottom"/>
          </w:tcPr>
          <w:p w14:paraId="7BE1C10F" w14:textId="77777777" w:rsidR="00672471" w:rsidRPr="0012790E" w:rsidRDefault="00672471" w:rsidP="00672471">
            <w:pPr>
              <w:pStyle w:val="Summarytabletextrightaligned"/>
              <w:rPr>
                <w:szCs w:val="16"/>
              </w:rPr>
            </w:pPr>
            <w:r w:rsidRPr="0012790E">
              <w:rPr>
                <w:szCs w:val="16"/>
              </w:rPr>
              <w:t>0.4</w:t>
            </w:r>
          </w:p>
        </w:tc>
        <w:tc>
          <w:tcPr>
            <w:tcW w:w="851" w:type="dxa"/>
            <w:vAlign w:val="bottom"/>
          </w:tcPr>
          <w:p w14:paraId="1EB86558" w14:textId="77777777" w:rsidR="00672471" w:rsidRPr="0012790E" w:rsidRDefault="00672471" w:rsidP="00672471">
            <w:pPr>
              <w:pStyle w:val="Summarytabletextrightaligned"/>
              <w:rPr>
                <w:szCs w:val="16"/>
              </w:rPr>
            </w:pPr>
            <w:r w:rsidRPr="0012790E">
              <w:rPr>
                <w:szCs w:val="16"/>
              </w:rPr>
              <w:noBreakHyphen/>
            </w:r>
          </w:p>
        </w:tc>
        <w:tc>
          <w:tcPr>
            <w:tcW w:w="851" w:type="dxa"/>
            <w:vAlign w:val="bottom"/>
          </w:tcPr>
          <w:p w14:paraId="2314B56A" w14:textId="77777777" w:rsidR="00672471" w:rsidRPr="0012790E" w:rsidRDefault="00672471" w:rsidP="00672471">
            <w:pPr>
              <w:pStyle w:val="Summarytabletextrightaligned"/>
              <w:rPr>
                <w:szCs w:val="16"/>
              </w:rPr>
            </w:pPr>
            <w:r w:rsidRPr="0012790E">
              <w:rPr>
                <w:szCs w:val="16"/>
              </w:rPr>
              <w:noBreakHyphen/>
            </w:r>
          </w:p>
        </w:tc>
        <w:tc>
          <w:tcPr>
            <w:tcW w:w="851" w:type="dxa"/>
            <w:vAlign w:val="bottom"/>
          </w:tcPr>
          <w:p w14:paraId="6C80722E" w14:textId="77777777" w:rsidR="00672471" w:rsidRPr="0012790E" w:rsidRDefault="00672471" w:rsidP="00672471">
            <w:pPr>
              <w:pStyle w:val="Summarytabletextrightaligned"/>
              <w:rPr>
                <w:szCs w:val="16"/>
              </w:rPr>
            </w:pPr>
            <w:r w:rsidRPr="0012790E">
              <w:rPr>
                <w:szCs w:val="16"/>
              </w:rPr>
              <w:noBreakHyphen/>
            </w:r>
          </w:p>
        </w:tc>
      </w:tr>
      <w:tr w:rsidR="00672471" w:rsidRPr="0012790E" w14:paraId="3C90B1AD" w14:textId="77777777" w:rsidTr="54937204">
        <w:tc>
          <w:tcPr>
            <w:tcW w:w="3470" w:type="dxa"/>
            <w:shd w:val="clear" w:color="auto" w:fill="auto"/>
            <w:vAlign w:val="bottom"/>
          </w:tcPr>
          <w:p w14:paraId="76AD0B1E" w14:textId="77777777" w:rsidR="00672471" w:rsidRPr="0012790E" w:rsidRDefault="00672471" w:rsidP="00672471">
            <w:pPr>
              <w:pStyle w:val="SummaryMeasureTitlewithTheme"/>
            </w:pPr>
            <w:r w:rsidRPr="0012790E">
              <w:t>National Firearms Register</w:t>
            </w:r>
          </w:p>
        </w:tc>
        <w:tc>
          <w:tcPr>
            <w:tcW w:w="851" w:type="dxa"/>
            <w:vAlign w:val="bottom"/>
          </w:tcPr>
          <w:p w14:paraId="679067FF" w14:textId="77777777" w:rsidR="00672471" w:rsidRPr="0012790E" w:rsidRDefault="00672471" w:rsidP="00672471">
            <w:pPr>
              <w:pStyle w:val="Summarytabletextrightaligned"/>
              <w:rPr>
                <w:szCs w:val="16"/>
              </w:rPr>
            </w:pPr>
            <w:r w:rsidRPr="0012790E">
              <w:rPr>
                <w:szCs w:val="16"/>
              </w:rPr>
              <w:noBreakHyphen/>
            </w:r>
          </w:p>
        </w:tc>
        <w:tc>
          <w:tcPr>
            <w:tcW w:w="851" w:type="dxa"/>
            <w:shd w:val="clear" w:color="auto" w:fill="E6F2FF"/>
            <w:vAlign w:val="bottom"/>
          </w:tcPr>
          <w:p w14:paraId="29F28345" w14:textId="77777777" w:rsidR="00672471" w:rsidRPr="0012790E" w:rsidRDefault="00672471" w:rsidP="00672471">
            <w:pPr>
              <w:pStyle w:val="Summarytabletextrightaligned"/>
              <w:rPr>
                <w:szCs w:val="16"/>
              </w:rPr>
            </w:pPr>
            <w:r w:rsidRPr="0012790E">
              <w:rPr>
                <w:szCs w:val="16"/>
              </w:rPr>
              <w:t>2.9</w:t>
            </w:r>
          </w:p>
        </w:tc>
        <w:tc>
          <w:tcPr>
            <w:tcW w:w="851" w:type="dxa"/>
            <w:vAlign w:val="bottom"/>
          </w:tcPr>
          <w:p w14:paraId="57A2BB8B" w14:textId="77777777" w:rsidR="00672471" w:rsidRPr="0012790E" w:rsidRDefault="00672471" w:rsidP="00672471">
            <w:pPr>
              <w:pStyle w:val="Summarytabletextrightaligned"/>
              <w:rPr>
                <w:szCs w:val="16"/>
              </w:rPr>
            </w:pPr>
            <w:r w:rsidRPr="0012790E">
              <w:rPr>
                <w:szCs w:val="16"/>
              </w:rPr>
              <w:t>3.1</w:t>
            </w:r>
          </w:p>
        </w:tc>
        <w:tc>
          <w:tcPr>
            <w:tcW w:w="851" w:type="dxa"/>
            <w:vAlign w:val="bottom"/>
          </w:tcPr>
          <w:p w14:paraId="1901964B" w14:textId="77777777" w:rsidR="00672471" w:rsidRPr="0012790E" w:rsidRDefault="00672471" w:rsidP="00672471">
            <w:pPr>
              <w:pStyle w:val="Summarytabletextrightaligned"/>
              <w:rPr>
                <w:szCs w:val="16"/>
              </w:rPr>
            </w:pPr>
            <w:r w:rsidRPr="0012790E">
              <w:rPr>
                <w:szCs w:val="16"/>
              </w:rPr>
              <w:t>0.8</w:t>
            </w:r>
          </w:p>
        </w:tc>
        <w:tc>
          <w:tcPr>
            <w:tcW w:w="851" w:type="dxa"/>
            <w:vAlign w:val="bottom"/>
          </w:tcPr>
          <w:p w14:paraId="6CEF8A11" w14:textId="77777777" w:rsidR="00672471" w:rsidRPr="0012790E" w:rsidRDefault="00672471" w:rsidP="00672471">
            <w:pPr>
              <w:pStyle w:val="Summarytabletextrightaligned"/>
              <w:rPr>
                <w:szCs w:val="16"/>
              </w:rPr>
            </w:pPr>
            <w:r w:rsidRPr="0012790E">
              <w:rPr>
                <w:szCs w:val="16"/>
              </w:rPr>
              <w:t>1.1</w:t>
            </w:r>
          </w:p>
        </w:tc>
      </w:tr>
      <w:tr w:rsidR="00672471" w:rsidRPr="0012790E" w14:paraId="12E4E323" w14:textId="77777777" w:rsidTr="00BC3C38">
        <w:tc>
          <w:tcPr>
            <w:tcW w:w="3470" w:type="dxa"/>
            <w:tcBorders>
              <w:bottom w:val="single" w:sz="4" w:space="0" w:color="auto"/>
            </w:tcBorders>
            <w:shd w:val="clear" w:color="auto" w:fill="auto"/>
            <w:vAlign w:val="bottom"/>
          </w:tcPr>
          <w:p w14:paraId="15FD0B4C" w14:textId="77777777" w:rsidR="00672471" w:rsidRPr="0012790E" w:rsidRDefault="00672471" w:rsidP="00672471">
            <w:pPr>
              <w:pStyle w:val="SummaryMeasureTitlewithTheme"/>
            </w:pPr>
            <w:r w:rsidRPr="0012790E">
              <w:t>National Redress Scheme – further support</w:t>
            </w:r>
          </w:p>
        </w:tc>
        <w:tc>
          <w:tcPr>
            <w:tcW w:w="851" w:type="dxa"/>
            <w:tcBorders>
              <w:bottom w:val="single" w:sz="4" w:space="0" w:color="auto"/>
            </w:tcBorders>
            <w:vAlign w:val="bottom"/>
          </w:tcPr>
          <w:p w14:paraId="27A72718" w14:textId="77777777" w:rsidR="00672471" w:rsidRPr="0012790E" w:rsidRDefault="00672471" w:rsidP="00672471">
            <w:pPr>
              <w:pStyle w:val="Summarytabletextrightaligned"/>
              <w:rPr>
                <w:szCs w:val="16"/>
              </w:rPr>
            </w:pPr>
            <w:r w:rsidRPr="0012790E">
              <w:rPr>
                <w:szCs w:val="16"/>
              </w:rPr>
              <w:noBreakHyphen/>
            </w:r>
          </w:p>
        </w:tc>
        <w:tc>
          <w:tcPr>
            <w:tcW w:w="851" w:type="dxa"/>
            <w:tcBorders>
              <w:bottom w:val="single" w:sz="4" w:space="0" w:color="auto"/>
            </w:tcBorders>
            <w:shd w:val="clear" w:color="auto" w:fill="E6F2FF"/>
            <w:vAlign w:val="bottom"/>
          </w:tcPr>
          <w:p w14:paraId="52939E4E" w14:textId="77777777" w:rsidR="00672471" w:rsidRPr="0012790E" w:rsidRDefault="00672471" w:rsidP="00672471">
            <w:pPr>
              <w:pStyle w:val="Summarytabletextrightaligned"/>
              <w:rPr>
                <w:szCs w:val="16"/>
              </w:rPr>
            </w:pPr>
            <w:r w:rsidRPr="0012790E">
              <w:rPr>
                <w:szCs w:val="16"/>
              </w:rPr>
              <w:t>7.2</w:t>
            </w:r>
          </w:p>
        </w:tc>
        <w:tc>
          <w:tcPr>
            <w:tcW w:w="851" w:type="dxa"/>
            <w:tcBorders>
              <w:bottom w:val="single" w:sz="4" w:space="0" w:color="auto"/>
            </w:tcBorders>
            <w:vAlign w:val="bottom"/>
          </w:tcPr>
          <w:p w14:paraId="042D0755" w14:textId="77777777" w:rsidR="00672471" w:rsidRPr="0012790E" w:rsidRDefault="00672471" w:rsidP="00672471">
            <w:pPr>
              <w:pStyle w:val="Summarytabletextrightaligned"/>
              <w:rPr>
                <w:szCs w:val="16"/>
              </w:rPr>
            </w:pPr>
            <w:r w:rsidRPr="0012790E">
              <w:rPr>
                <w:szCs w:val="16"/>
              </w:rPr>
              <w:noBreakHyphen/>
            </w:r>
          </w:p>
        </w:tc>
        <w:tc>
          <w:tcPr>
            <w:tcW w:w="851" w:type="dxa"/>
            <w:tcBorders>
              <w:bottom w:val="single" w:sz="4" w:space="0" w:color="auto"/>
            </w:tcBorders>
            <w:vAlign w:val="bottom"/>
          </w:tcPr>
          <w:p w14:paraId="4E7EF80F" w14:textId="77777777" w:rsidR="00672471" w:rsidRPr="0012790E" w:rsidRDefault="00672471" w:rsidP="00672471">
            <w:pPr>
              <w:pStyle w:val="Summarytabletextrightaligned"/>
              <w:rPr>
                <w:szCs w:val="16"/>
              </w:rPr>
            </w:pPr>
            <w:r w:rsidRPr="0012790E">
              <w:rPr>
                <w:szCs w:val="16"/>
              </w:rPr>
              <w:noBreakHyphen/>
            </w:r>
          </w:p>
        </w:tc>
        <w:tc>
          <w:tcPr>
            <w:tcW w:w="851" w:type="dxa"/>
            <w:tcBorders>
              <w:bottom w:val="single" w:sz="4" w:space="0" w:color="auto"/>
            </w:tcBorders>
            <w:vAlign w:val="bottom"/>
          </w:tcPr>
          <w:p w14:paraId="77FF296B" w14:textId="77777777" w:rsidR="00672471" w:rsidRPr="0012790E" w:rsidRDefault="00672471" w:rsidP="00672471">
            <w:pPr>
              <w:pStyle w:val="Summarytabletextrightaligned"/>
              <w:rPr>
                <w:szCs w:val="16"/>
              </w:rPr>
            </w:pPr>
            <w:r w:rsidRPr="0012790E">
              <w:rPr>
                <w:szCs w:val="16"/>
              </w:rPr>
              <w:noBreakHyphen/>
            </w:r>
          </w:p>
        </w:tc>
      </w:tr>
    </w:tbl>
    <w:p w14:paraId="5EDA8EB4" w14:textId="77777777" w:rsidR="0012790E" w:rsidRPr="0012790E" w:rsidRDefault="0012790E" w:rsidP="0012790E">
      <w:pPr>
        <w:pStyle w:val="TableHeadingcontinued"/>
        <w:sectPr w:rsidR="0012790E" w:rsidRPr="0012790E" w:rsidSect="00EA5BFE">
          <w:headerReference w:type="even" r:id="rId21"/>
          <w:headerReference w:type="default" r:id="rId22"/>
          <w:footerReference w:type="even" r:id="rId23"/>
          <w:footerReference w:type="default" r:id="rId24"/>
          <w:footerReference w:type="first" r:id="rId25"/>
          <w:pgSz w:w="11905" w:h="16837"/>
          <w:pgMar w:top="2835" w:right="2098" w:bottom="2466" w:left="2098" w:header="1814" w:footer="1814" w:gutter="0"/>
          <w:cols w:space="720"/>
          <w:noEndnote/>
          <w:titlePg/>
          <w:docGrid w:linePitch="272"/>
        </w:sectPr>
      </w:pPr>
    </w:p>
    <w:p w14:paraId="3DA780A4" w14:textId="77777777" w:rsidR="0012790E" w:rsidRPr="0012790E" w:rsidRDefault="0012790E" w:rsidP="0012790E">
      <w:pPr>
        <w:pStyle w:val="TableHeadingcontinued"/>
        <w:rPr>
          <w:szCs w:val="16"/>
        </w:rPr>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1459D54A" w14:textId="77777777" w:rsidTr="54937204">
        <w:tc>
          <w:tcPr>
            <w:tcW w:w="3470" w:type="dxa"/>
            <w:tcBorders>
              <w:top w:val="single" w:sz="4" w:space="0" w:color="293F5B"/>
            </w:tcBorders>
            <w:shd w:val="clear" w:color="auto" w:fill="auto"/>
            <w:vAlign w:val="bottom"/>
          </w:tcPr>
          <w:p w14:paraId="5DFEEF24"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18291092"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7A6D785E"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54AFAB5A"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724D899D"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23A537C9"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509679E7" w14:textId="77777777" w:rsidTr="54937204">
        <w:tc>
          <w:tcPr>
            <w:tcW w:w="3470" w:type="dxa"/>
            <w:shd w:val="clear" w:color="auto" w:fill="auto"/>
            <w:vAlign w:val="bottom"/>
          </w:tcPr>
          <w:p w14:paraId="5558455C" w14:textId="77777777" w:rsidR="0012790E" w:rsidRPr="0012790E" w:rsidRDefault="0012790E">
            <w:pPr>
              <w:pStyle w:val="Summarytabletextrightaligned"/>
            </w:pPr>
          </w:p>
        </w:tc>
        <w:tc>
          <w:tcPr>
            <w:tcW w:w="851" w:type="dxa"/>
            <w:tcBorders>
              <w:bottom w:val="single" w:sz="4" w:space="0" w:color="293F5B"/>
            </w:tcBorders>
            <w:vAlign w:val="bottom"/>
          </w:tcPr>
          <w:p w14:paraId="3669AD38"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0F270C2C"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680AAAC1"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7C45A5D8"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16F859B7" w14:textId="77777777" w:rsidR="0012790E" w:rsidRPr="0012790E" w:rsidRDefault="0012790E">
            <w:pPr>
              <w:pStyle w:val="Summarytabletextrightaligned"/>
            </w:pPr>
            <w:r w:rsidRPr="0012790E">
              <w:t>$m</w:t>
            </w:r>
          </w:p>
        </w:tc>
      </w:tr>
      <w:tr w:rsidR="0012790E" w:rsidRPr="0012790E" w14:paraId="75E9F56D" w14:textId="77777777" w:rsidTr="54937204">
        <w:tc>
          <w:tcPr>
            <w:tcW w:w="3470" w:type="dxa"/>
            <w:shd w:val="clear" w:color="auto" w:fill="auto"/>
            <w:vAlign w:val="bottom"/>
          </w:tcPr>
          <w:p w14:paraId="37CF6424" w14:textId="77777777" w:rsidR="0012790E" w:rsidRPr="0012790E" w:rsidRDefault="0012790E" w:rsidP="000D3386">
            <w:pPr>
              <w:pStyle w:val="SummaryMeasureTitlewithTheme"/>
              <w:ind w:hanging="340"/>
              <w:rPr>
                <w:rFonts w:cs="Arial"/>
                <w:b/>
              </w:rPr>
            </w:pPr>
            <w:r w:rsidRPr="0012790E">
              <w:rPr>
                <w:rFonts w:cs="Arial"/>
                <w:b/>
              </w:rPr>
              <w:t>ATTORNEY-GENERAL'S (continued)</w:t>
            </w:r>
          </w:p>
        </w:tc>
        <w:tc>
          <w:tcPr>
            <w:tcW w:w="851" w:type="dxa"/>
            <w:vAlign w:val="bottom"/>
          </w:tcPr>
          <w:p w14:paraId="2A418F06" w14:textId="77777777" w:rsidR="0012790E" w:rsidRPr="0012790E" w:rsidRDefault="0012790E">
            <w:pPr>
              <w:pStyle w:val="Summarytabletextrightaligned"/>
              <w:rPr>
                <w:szCs w:val="16"/>
              </w:rPr>
            </w:pPr>
          </w:p>
        </w:tc>
        <w:tc>
          <w:tcPr>
            <w:tcW w:w="851" w:type="dxa"/>
            <w:shd w:val="clear" w:color="auto" w:fill="E6F2FF"/>
            <w:vAlign w:val="bottom"/>
          </w:tcPr>
          <w:p w14:paraId="301899C5" w14:textId="77777777" w:rsidR="0012790E" w:rsidRPr="0012790E" w:rsidRDefault="0012790E">
            <w:pPr>
              <w:pStyle w:val="Summarytabletextrightaligned"/>
              <w:rPr>
                <w:szCs w:val="16"/>
              </w:rPr>
            </w:pPr>
          </w:p>
        </w:tc>
        <w:tc>
          <w:tcPr>
            <w:tcW w:w="851" w:type="dxa"/>
            <w:vAlign w:val="bottom"/>
          </w:tcPr>
          <w:p w14:paraId="3ACFE412" w14:textId="77777777" w:rsidR="0012790E" w:rsidRPr="0012790E" w:rsidRDefault="0012790E">
            <w:pPr>
              <w:pStyle w:val="Summarytabletextrightaligned"/>
              <w:rPr>
                <w:szCs w:val="16"/>
              </w:rPr>
            </w:pPr>
          </w:p>
        </w:tc>
        <w:tc>
          <w:tcPr>
            <w:tcW w:w="851" w:type="dxa"/>
            <w:vAlign w:val="bottom"/>
          </w:tcPr>
          <w:p w14:paraId="546D67A5" w14:textId="77777777" w:rsidR="0012790E" w:rsidRPr="0012790E" w:rsidRDefault="0012790E">
            <w:pPr>
              <w:pStyle w:val="Summarytabletextrightaligned"/>
              <w:rPr>
                <w:szCs w:val="16"/>
              </w:rPr>
            </w:pPr>
          </w:p>
        </w:tc>
        <w:tc>
          <w:tcPr>
            <w:tcW w:w="851" w:type="dxa"/>
            <w:vAlign w:val="bottom"/>
          </w:tcPr>
          <w:p w14:paraId="042E0E5F" w14:textId="77777777" w:rsidR="0012790E" w:rsidRPr="0012790E" w:rsidRDefault="0012790E">
            <w:pPr>
              <w:pStyle w:val="Summarytabletextrightaligned"/>
              <w:rPr>
                <w:szCs w:val="16"/>
              </w:rPr>
            </w:pPr>
          </w:p>
        </w:tc>
      </w:tr>
      <w:tr w:rsidR="0018052B" w:rsidRPr="0012790E" w14:paraId="2298E530" w14:textId="77777777" w:rsidTr="54937204">
        <w:tc>
          <w:tcPr>
            <w:tcW w:w="3470" w:type="dxa"/>
            <w:shd w:val="clear" w:color="auto" w:fill="auto"/>
            <w:vAlign w:val="bottom"/>
          </w:tcPr>
          <w:p w14:paraId="41084617" w14:textId="19350B9C" w:rsidR="0018052B" w:rsidRPr="0012790E" w:rsidRDefault="0018052B" w:rsidP="0018052B">
            <w:pPr>
              <w:pStyle w:val="SummaryMeasureTitlewithTheme"/>
            </w:pPr>
            <w:r w:rsidRPr="0012790E">
              <w:t>Services Australia – additional resourcing</w:t>
            </w:r>
          </w:p>
        </w:tc>
        <w:tc>
          <w:tcPr>
            <w:tcW w:w="851" w:type="dxa"/>
            <w:vAlign w:val="bottom"/>
          </w:tcPr>
          <w:p w14:paraId="7575A8A9" w14:textId="230B0E6E" w:rsidR="0018052B" w:rsidRPr="0012790E" w:rsidRDefault="0018052B" w:rsidP="0018052B">
            <w:pPr>
              <w:pStyle w:val="Summarytabletextrightaligned"/>
              <w:rPr>
                <w:szCs w:val="16"/>
              </w:rPr>
            </w:pPr>
            <w:r w:rsidRPr="0012790E">
              <w:rPr>
                <w:szCs w:val="16"/>
              </w:rPr>
              <w:noBreakHyphen/>
            </w:r>
          </w:p>
        </w:tc>
        <w:tc>
          <w:tcPr>
            <w:tcW w:w="851" w:type="dxa"/>
            <w:shd w:val="clear" w:color="auto" w:fill="E6F2FF"/>
            <w:vAlign w:val="bottom"/>
          </w:tcPr>
          <w:p w14:paraId="3DD44019" w14:textId="7A35529F" w:rsidR="0018052B" w:rsidRPr="0012790E" w:rsidRDefault="0018052B" w:rsidP="0018052B">
            <w:pPr>
              <w:pStyle w:val="Summarytabletextrightaligned"/>
              <w:rPr>
                <w:szCs w:val="16"/>
              </w:rPr>
            </w:pPr>
            <w:r w:rsidRPr="0012790E">
              <w:rPr>
                <w:szCs w:val="16"/>
              </w:rPr>
              <w:t>0.3</w:t>
            </w:r>
          </w:p>
        </w:tc>
        <w:tc>
          <w:tcPr>
            <w:tcW w:w="851" w:type="dxa"/>
            <w:vAlign w:val="bottom"/>
          </w:tcPr>
          <w:p w14:paraId="12ABDDB8" w14:textId="6AAF9499" w:rsidR="0018052B" w:rsidRPr="0012790E" w:rsidRDefault="0018052B" w:rsidP="0018052B">
            <w:pPr>
              <w:pStyle w:val="Summarytabletextrightaligned"/>
              <w:rPr>
                <w:szCs w:val="16"/>
              </w:rPr>
            </w:pPr>
            <w:r w:rsidRPr="0012790E">
              <w:rPr>
                <w:szCs w:val="16"/>
              </w:rPr>
              <w:noBreakHyphen/>
            </w:r>
          </w:p>
        </w:tc>
        <w:tc>
          <w:tcPr>
            <w:tcW w:w="851" w:type="dxa"/>
            <w:vAlign w:val="bottom"/>
          </w:tcPr>
          <w:p w14:paraId="66659F21" w14:textId="6CE48EB7" w:rsidR="0018052B" w:rsidRPr="0012790E" w:rsidRDefault="0018052B" w:rsidP="0018052B">
            <w:pPr>
              <w:pStyle w:val="Summarytabletextrightaligned"/>
              <w:rPr>
                <w:szCs w:val="16"/>
              </w:rPr>
            </w:pPr>
            <w:r w:rsidRPr="0012790E">
              <w:rPr>
                <w:szCs w:val="16"/>
              </w:rPr>
              <w:noBreakHyphen/>
            </w:r>
          </w:p>
        </w:tc>
        <w:tc>
          <w:tcPr>
            <w:tcW w:w="851" w:type="dxa"/>
            <w:vAlign w:val="bottom"/>
          </w:tcPr>
          <w:p w14:paraId="6396932C" w14:textId="1743FA38" w:rsidR="0018052B" w:rsidRPr="0012790E" w:rsidRDefault="0018052B" w:rsidP="0018052B">
            <w:pPr>
              <w:pStyle w:val="Summarytabletextrightaligned"/>
              <w:rPr>
                <w:szCs w:val="16"/>
              </w:rPr>
            </w:pPr>
            <w:r w:rsidRPr="0012790E">
              <w:rPr>
                <w:szCs w:val="16"/>
              </w:rPr>
              <w:noBreakHyphen/>
            </w:r>
          </w:p>
        </w:tc>
      </w:tr>
      <w:tr w:rsidR="0012790E" w:rsidRPr="0012790E" w14:paraId="2BA022F4" w14:textId="77777777" w:rsidTr="54937204">
        <w:tc>
          <w:tcPr>
            <w:tcW w:w="3470" w:type="dxa"/>
            <w:shd w:val="clear" w:color="auto" w:fill="auto"/>
            <w:vAlign w:val="bottom"/>
          </w:tcPr>
          <w:p w14:paraId="2B79492A" w14:textId="77777777" w:rsidR="0012790E" w:rsidRPr="0012790E" w:rsidRDefault="0012790E">
            <w:pPr>
              <w:pStyle w:val="SummaryMeasureTitlewithTheme"/>
            </w:pPr>
            <w:r w:rsidRPr="0012790E">
              <w:t>Supporting Safe and Responsible AI</w:t>
            </w:r>
          </w:p>
        </w:tc>
        <w:tc>
          <w:tcPr>
            <w:tcW w:w="851" w:type="dxa"/>
            <w:vAlign w:val="bottom"/>
          </w:tcPr>
          <w:p w14:paraId="66F89FC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B15A499" w14:textId="77777777" w:rsidR="0012790E" w:rsidRPr="0012790E" w:rsidRDefault="0012790E">
            <w:pPr>
              <w:pStyle w:val="Summarytabletextrightaligned"/>
              <w:rPr>
                <w:szCs w:val="16"/>
              </w:rPr>
            </w:pPr>
            <w:r w:rsidRPr="0012790E">
              <w:rPr>
                <w:szCs w:val="16"/>
              </w:rPr>
              <w:t>1.2</w:t>
            </w:r>
          </w:p>
        </w:tc>
        <w:tc>
          <w:tcPr>
            <w:tcW w:w="851" w:type="dxa"/>
            <w:vAlign w:val="bottom"/>
          </w:tcPr>
          <w:p w14:paraId="38587A98"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563DA2F"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2B6030E" w14:textId="77777777" w:rsidR="0012790E" w:rsidRPr="0012790E" w:rsidRDefault="0012790E">
            <w:pPr>
              <w:pStyle w:val="Summarytabletextrightaligned"/>
              <w:rPr>
                <w:szCs w:val="16"/>
              </w:rPr>
            </w:pPr>
            <w:r w:rsidRPr="0012790E">
              <w:rPr>
                <w:szCs w:val="16"/>
              </w:rPr>
              <w:noBreakHyphen/>
            </w:r>
          </w:p>
        </w:tc>
      </w:tr>
      <w:tr w:rsidR="0012790E" w:rsidRPr="0012790E" w14:paraId="2B14BD2A" w14:textId="77777777" w:rsidTr="54937204">
        <w:tc>
          <w:tcPr>
            <w:tcW w:w="3470" w:type="dxa"/>
            <w:shd w:val="clear" w:color="auto" w:fill="auto"/>
            <w:vAlign w:val="bottom"/>
          </w:tcPr>
          <w:p w14:paraId="3969AF93" w14:textId="77777777" w:rsidR="0012790E" w:rsidRPr="0012790E" w:rsidRDefault="0012790E">
            <w:pPr>
              <w:pStyle w:val="SummaryMeasureTitlewithTheme"/>
            </w:pPr>
            <w:r w:rsidRPr="0012790E">
              <w:t>Treasury Portfolio – additional resourcing(b)</w:t>
            </w:r>
          </w:p>
        </w:tc>
        <w:tc>
          <w:tcPr>
            <w:tcW w:w="851" w:type="dxa"/>
            <w:vAlign w:val="bottom"/>
          </w:tcPr>
          <w:p w14:paraId="2681787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FF638F4" w14:textId="77777777" w:rsidR="0012790E" w:rsidRPr="0012790E" w:rsidRDefault="0012790E">
            <w:pPr>
              <w:pStyle w:val="Summarytabletextrightaligned"/>
              <w:rPr>
                <w:szCs w:val="16"/>
              </w:rPr>
            </w:pPr>
            <w:r w:rsidRPr="0012790E">
              <w:rPr>
                <w:szCs w:val="16"/>
              </w:rPr>
              <w:t>0.2</w:t>
            </w:r>
          </w:p>
        </w:tc>
        <w:tc>
          <w:tcPr>
            <w:tcW w:w="851" w:type="dxa"/>
            <w:vAlign w:val="bottom"/>
          </w:tcPr>
          <w:p w14:paraId="33F3C16F"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9507C2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FB843FB" w14:textId="77777777" w:rsidR="0012790E" w:rsidRPr="0012790E" w:rsidRDefault="0012790E">
            <w:pPr>
              <w:pStyle w:val="Summarytabletextrightaligned"/>
              <w:rPr>
                <w:szCs w:val="16"/>
              </w:rPr>
            </w:pPr>
            <w:r w:rsidRPr="0012790E">
              <w:rPr>
                <w:szCs w:val="16"/>
              </w:rPr>
              <w:noBreakHyphen/>
            </w:r>
          </w:p>
        </w:tc>
      </w:tr>
      <w:tr w:rsidR="0012790E" w:rsidRPr="0012790E" w14:paraId="51BE427A" w14:textId="77777777" w:rsidTr="54937204">
        <w:tc>
          <w:tcPr>
            <w:tcW w:w="3470" w:type="dxa"/>
            <w:shd w:val="clear" w:color="auto" w:fill="auto"/>
            <w:vAlign w:val="bottom"/>
          </w:tcPr>
          <w:p w14:paraId="55A9CAF3" w14:textId="77777777" w:rsidR="0012790E" w:rsidRPr="0012790E" w:rsidRDefault="0012790E">
            <w:pPr>
              <w:pStyle w:val="SummaryAgencyTitle-BP2"/>
              <w:rPr>
                <w:iCs/>
              </w:rPr>
            </w:pPr>
            <w:r w:rsidRPr="0012790E">
              <w:rPr>
                <w:iCs/>
              </w:rPr>
              <w:t>Australian Criminal Intelligence Commission</w:t>
            </w:r>
          </w:p>
        </w:tc>
        <w:tc>
          <w:tcPr>
            <w:tcW w:w="851" w:type="dxa"/>
            <w:vAlign w:val="bottom"/>
          </w:tcPr>
          <w:p w14:paraId="6DDBAC2F" w14:textId="77777777" w:rsidR="0012790E" w:rsidRPr="0012790E" w:rsidRDefault="0012790E">
            <w:pPr>
              <w:pStyle w:val="SummaryAgencyTitle-BP2"/>
              <w:rPr>
                <w:iCs/>
              </w:rPr>
            </w:pPr>
          </w:p>
        </w:tc>
        <w:tc>
          <w:tcPr>
            <w:tcW w:w="851" w:type="dxa"/>
            <w:shd w:val="clear" w:color="auto" w:fill="E6F2FF"/>
            <w:vAlign w:val="bottom"/>
          </w:tcPr>
          <w:p w14:paraId="1F697419" w14:textId="77777777" w:rsidR="0012790E" w:rsidRPr="0012790E" w:rsidRDefault="0012790E">
            <w:pPr>
              <w:pStyle w:val="SummaryAgencyTitle-BP2"/>
              <w:rPr>
                <w:iCs/>
              </w:rPr>
            </w:pPr>
          </w:p>
        </w:tc>
        <w:tc>
          <w:tcPr>
            <w:tcW w:w="851" w:type="dxa"/>
            <w:vAlign w:val="bottom"/>
          </w:tcPr>
          <w:p w14:paraId="2B97A1A6" w14:textId="77777777" w:rsidR="0012790E" w:rsidRPr="0012790E" w:rsidRDefault="0012790E">
            <w:pPr>
              <w:pStyle w:val="SummaryAgencyTitle-BP2"/>
              <w:rPr>
                <w:iCs/>
              </w:rPr>
            </w:pPr>
          </w:p>
        </w:tc>
        <w:tc>
          <w:tcPr>
            <w:tcW w:w="851" w:type="dxa"/>
            <w:vAlign w:val="bottom"/>
          </w:tcPr>
          <w:p w14:paraId="73212A7A" w14:textId="77777777" w:rsidR="0012790E" w:rsidRPr="0012790E" w:rsidRDefault="0012790E">
            <w:pPr>
              <w:pStyle w:val="SummaryAgencyTitle-BP2"/>
              <w:rPr>
                <w:iCs/>
              </w:rPr>
            </w:pPr>
          </w:p>
        </w:tc>
        <w:tc>
          <w:tcPr>
            <w:tcW w:w="851" w:type="dxa"/>
            <w:vAlign w:val="bottom"/>
          </w:tcPr>
          <w:p w14:paraId="5A678DF8" w14:textId="77777777" w:rsidR="0012790E" w:rsidRPr="0012790E" w:rsidRDefault="0012790E">
            <w:pPr>
              <w:pStyle w:val="SummaryAgencyTitle-BP2"/>
              <w:rPr>
                <w:iCs/>
              </w:rPr>
            </w:pPr>
          </w:p>
        </w:tc>
      </w:tr>
      <w:tr w:rsidR="0012790E" w:rsidRPr="0012790E" w14:paraId="293FF49E" w14:textId="77777777" w:rsidTr="54937204">
        <w:tc>
          <w:tcPr>
            <w:tcW w:w="3470" w:type="dxa"/>
            <w:shd w:val="clear" w:color="auto" w:fill="auto"/>
            <w:vAlign w:val="bottom"/>
          </w:tcPr>
          <w:p w14:paraId="0B0924EE" w14:textId="77777777" w:rsidR="0012790E" w:rsidRPr="0012790E" w:rsidRDefault="0012790E">
            <w:pPr>
              <w:pStyle w:val="SummaryMeasureTitlewithTheme"/>
            </w:pPr>
            <w:r w:rsidRPr="0012790E">
              <w:t>Attorney</w:t>
            </w:r>
            <w:r w:rsidRPr="0012790E">
              <w:noBreakHyphen/>
              <w:t>General's Portfolio – additional resourcing</w:t>
            </w:r>
          </w:p>
        </w:tc>
        <w:tc>
          <w:tcPr>
            <w:tcW w:w="851" w:type="dxa"/>
            <w:vAlign w:val="bottom"/>
          </w:tcPr>
          <w:p w14:paraId="78DA736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F8B5345" w14:textId="77777777" w:rsidR="0012790E" w:rsidRPr="0012790E" w:rsidRDefault="0012790E">
            <w:pPr>
              <w:pStyle w:val="Summarytabletextrightaligned"/>
              <w:rPr>
                <w:szCs w:val="16"/>
              </w:rPr>
            </w:pPr>
            <w:r w:rsidRPr="0012790E">
              <w:rPr>
                <w:szCs w:val="16"/>
              </w:rPr>
              <w:t>70.3</w:t>
            </w:r>
          </w:p>
        </w:tc>
        <w:tc>
          <w:tcPr>
            <w:tcW w:w="851" w:type="dxa"/>
            <w:vAlign w:val="bottom"/>
          </w:tcPr>
          <w:p w14:paraId="4F067846" w14:textId="77777777" w:rsidR="0012790E" w:rsidRPr="0012790E" w:rsidRDefault="0012790E">
            <w:pPr>
              <w:pStyle w:val="Summarytabletextrightaligned"/>
              <w:rPr>
                <w:szCs w:val="16"/>
              </w:rPr>
            </w:pPr>
            <w:r w:rsidRPr="0012790E">
              <w:rPr>
                <w:szCs w:val="16"/>
              </w:rPr>
              <w:t>28.4</w:t>
            </w:r>
          </w:p>
        </w:tc>
        <w:tc>
          <w:tcPr>
            <w:tcW w:w="851" w:type="dxa"/>
            <w:vAlign w:val="bottom"/>
          </w:tcPr>
          <w:p w14:paraId="4640F92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5A36AAB" w14:textId="77777777" w:rsidR="0012790E" w:rsidRPr="0012790E" w:rsidRDefault="0012790E">
            <w:pPr>
              <w:pStyle w:val="Summarytabletextrightaligned"/>
              <w:rPr>
                <w:szCs w:val="16"/>
              </w:rPr>
            </w:pPr>
            <w:r w:rsidRPr="0012790E">
              <w:rPr>
                <w:szCs w:val="16"/>
              </w:rPr>
              <w:noBreakHyphen/>
            </w:r>
          </w:p>
        </w:tc>
      </w:tr>
      <w:tr w:rsidR="0012790E" w:rsidRPr="0012790E" w14:paraId="1FF09020" w14:textId="77777777" w:rsidTr="54937204">
        <w:tc>
          <w:tcPr>
            <w:tcW w:w="3470" w:type="dxa"/>
            <w:shd w:val="clear" w:color="auto" w:fill="auto"/>
            <w:vAlign w:val="bottom"/>
          </w:tcPr>
          <w:p w14:paraId="15982AB7" w14:textId="77777777" w:rsidR="0012790E" w:rsidRPr="0012790E" w:rsidRDefault="0012790E">
            <w:pPr>
              <w:pStyle w:val="SummaryMeasureTitlewithTheme"/>
            </w:pPr>
            <w:r w:rsidRPr="0012790E">
              <w:t>National Firearms Register</w:t>
            </w:r>
          </w:p>
        </w:tc>
        <w:tc>
          <w:tcPr>
            <w:tcW w:w="851" w:type="dxa"/>
            <w:vAlign w:val="bottom"/>
          </w:tcPr>
          <w:p w14:paraId="09AB75B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1D0A389" w14:textId="77777777" w:rsidR="0012790E" w:rsidRPr="0012790E" w:rsidRDefault="0012790E">
            <w:pPr>
              <w:pStyle w:val="Summarytabletextrightaligned"/>
              <w:rPr>
                <w:szCs w:val="16"/>
              </w:rPr>
            </w:pPr>
            <w:r w:rsidRPr="0012790E">
              <w:rPr>
                <w:szCs w:val="16"/>
              </w:rPr>
              <w:t>7.2</w:t>
            </w:r>
          </w:p>
        </w:tc>
        <w:tc>
          <w:tcPr>
            <w:tcW w:w="851" w:type="dxa"/>
            <w:vAlign w:val="bottom"/>
          </w:tcPr>
          <w:p w14:paraId="0C1E8A60" w14:textId="77777777" w:rsidR="0012790E" w:rsidRPr="0012790E" w:rsidRDefault="0012790E">
            <w:pPr>
              <w:pStyle w:val="Summarytabletextrightaligned"/>
              <w:rPr>
                <w:szCs w:val="16"/>
              </w:rPr>
            </w:pPr>
            <w:r w:rsidRPr="0012790E">
              <w:rPr>
                <w:szCs w:val="16"/>
              </w:rPr>
              <w:t>8.0</w:t>
            </w:r>
          </w:p>
        </w:tc>
        <w:tc>
          <w:tcPr>
            <w:tcW w:w="851" w:type="dxa"/>
            <w:vAlign w:val="bottom"/>
          </w:tcPr>
          <w:p w14:paraId="0AAF42EB" w14:textId="77777777" w:rsidR="0012790E" w:rsidRPr="0012790E" w:rsidRDefault="0012790E">
            <w:pPr>
              <w:pStyle w:val="Summarytabletextrightaligned"/>
              <w:rPr>
                <w:szCs w:val="16"/>
              </w:rPr>
            </w:pPr>
            <w:r w:rsidRPr="0012790E">
              <w:rPr>
                <w:szCs w:val="16"/>
              </w:rPr>
              <w:t>5.7</w:t>
            </w:r>
          </w:p>
        </w:tc>
        <w:tc>
          <w:tcPr>
            <w:tcW w:w="851" w:type="dxa"/>
            <w:vAlign w:val="bottom"/>
          </w:tcPr>
          <w:p w14:paraId="00A6F423" w14:textId="77777777" w:rsidR="0012790E" w:rsidRPr="0012790E" w:rsidRDefault="0012790E">
            <w:pPr>
              <w:pStyle w:val="Summarytabletextrightaligned"/>
              <w:rPr>
                <w:szCs w:val="16"/>
              </w:rPr>
            </w:pPr>
            <w:r w:rsidRPr="0012790E">
              <w:rPr>
                <w:szCs w:val="16"/>
              </w:rPr>
              <w:t>8.4</w:t>
            </w:r>
          </w:p>
        </w:tc>
      </w:tr>
      <w:tr w:rsidR="0012790E" w:rsidRPr="0012790E" w14:paraId="31C12521" w14:textId="77777777" w:rsidTr="54937204">
        <w:tc>
          <w:tcPr>
            <w:tcW w:w="3470" w:type="dxa"/>
            <w:shd w:val="clear" w:color="auto" w:fill="auto"/>
            <w:vAlign w:val="bottom"/>
          </w:tcPr>
          <w:p w14:paraId="6AD5D1F2" w14:textId="77777777" w:rsidR="0012790E" w:rsidRPr="0012790E" w:rsidRDefault="0012790E">
            <w:pPr>
              <w:pStyle w:val="SummaryAgencyTitle-BP2"/>
              <w:rPr>
                <w:iCs/>
              </w:rPr>
            </w:pPr>
            <w:r w:rsidRPr="0012790E">
              <w:rPr>
                <w:iCs/>
              </w:rPr>
              <w:t>Australian Federal Police</w:t>
            </w:r>
          </w:p>
        </w:tc>
        <w:tc>
          <w:tcPr>
            <w:tcW w:w="851" w:type="dxa"/>
            <w:vAlign w:val="bottom"/>
          </w:tcPr>
          <w:p w14:paraId="27E430B5" w14:textId="77777777" w:rsidR="0012790E" w:rsidRPr="0012790E" w:rsidRDefault="0012790E">
            <w:pPr>
              <w:pStyle w:val="SummaryAgencyTitle-BP2"/>
              <w:rPr>
                <w:iCs/>
              </w:rPr>
            </w:pPr>
          </w:p>
        </w:tc>
        <w:tc>
          <w:tcPr>
            <w:tcW w:w="851" w:type="dxa"/>
            <w:shd w:val="clear" w:color="auto" w:fill="E6F2FF"/>
            <w:vAlign w:val="bottom"/>
          </w:tcPr>
          <w:p w14:paraId="782D4E51" w14:textId="77777777" w:rsidR="0012790E" w:rsidRPr="0012790E" w:rsidRDefault="0012790E">
            <w:pPr>
              <w:pStyle w:val="SummaryAgencyTitle-BP2"/>
              <w:rPr>
                <w:iCs/>
              </w:rPr>
            </w:pPr>
          </w:p>
        </w:tc>
        <w:tc>
          <w:tcPr>
            <w:tcW w:w="851" w:type="dxa"/>
            <w:vAlign w:val="bottom"/>
          </w:tcPr>
          <w:p w14:paraId="7D226CF6" w14:textId="77777777" w:rsidR="0012790E" w:rsidRPr="0012790E" w:rsidRDefault="0012790E">
            <w:pPr>
              <w:pStyle w:val="SummaryAgencyTitle-BP2"/>
              <w:rPr>
                <w:iCs/>
              </w:rPr>
            </w:pPr>
          </w:p>
        </w:tc>
        <w:tc>
          <w:tcPr>
            <w:tcW w:w="851" w:type="dxa"/>
            <w:vAlign w:val="bottom"/>
          </w:tcPr>
          <w:p w14:paraId="2CBB1D2B" w14:textId="77777777" w:rsidR="0012790E" w:rsidRPr="0012790E" w:rsidRDefault="0012790E">
            <w:pPr>
              <w:pStyle w:val="SummaryAgencyTitle-BP2"/>
              <w:rPr>
                <w:iCs/>
              </w:rPr>
            </w:pPr>
          </w:p>
        </w:tc>
        <w:tc>
          <w:tcPr>
            <w:tcW w:w="851" w:type="dxa"/>
            <w:vAlign w:val="bottom"/>
          </w:tcPr>
          <w:p w14:paraId="215AC195" w14:textId="77777777" w:rsidR="0012790E" w:rsidRPr="0012790E" w:rsidRDefault="0012790E">
            <w:pPr>
              <w:pStyle w:val="SummaryAgencyTitle-BP2"/>
              <w:rPr>
                <w:iCs/>
              </w:rPr>
            </w:pPr>
          </w:p>
        </w:tc>
      </w:tr>
      <w:tr w:rsidR="0012790E" w:rsidRPr="0012790E" w14:paraId="3701BD95" w14:textId="77777777" w:rsidTr="54937204">
        <w:tc>
          <w:tcPr>
            <w:tcW w:w="3470" w:type="dxa"/>
            <w:shd w:val="clear" w:color="auto" w:fill="auto"/>
            <w:vAlign w:val="bottom"/>
          </w:tcPr>
          <w:p w14:paraId="59BA3F13" w14:textId="77777777" w:rsidR="0012790E" w:rsidRPr="0012790E" w:rsidRDefault="0012790E">
            <w:pPr>
              <w:pStyle w:val="SummaryMeasureTitlewithTheme"/>
            </w:pPr>
            <w:r w:rsidRPr="0012790E">
              <w:t>Enabling Western Sydney International Airport</w:t>
            </w:r>
          </w:p>
        </w:tc>
        <w:tc>
          <w:tcPr>
            <w:tcW w:w="851" w:type="dxa"/>
            <w:vAlign w:val="bottom"/>
          </w:tcPr>
          <w:p w14:paraId="59129EC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A633C0C" w14:textId="77777777" w:rsidR="0012790E" w:rsidRPr="0012790E" w:rsidRDefault="0012790E">
            <w:pPr>
              <w:pStyle w:val="Summarytabletextrightaligned"/>
              <w:rPr>
                <w:szCs w:val="16"/>
              </w:rPr>
            </w:pPr>
            <w:r w:rsidRPr="0012790E">
              <w:rPr>
                <w:szCs w:val="16"/>
              </w:rPr>
              <w:t>10.4</w:t>
            </w:r>
          </w:p>
        </w:tc>
        <w:tc>
          <w:tcPr>
            <w:tcW w:w="851" w:type="dxa"/>
            <w:vAlign w:val="bottom"/>
          </w:tcPr>
          <w:p w14:paraId="0C0371D4" w14:textId="77777777" w:rsidR="0012790E" w:rsidRPr="0012790E" w:rsidRDefault="0012790E">
            <w:pPr>
              <w:pStyle w:val="Summarytabletextrightaligned"/>
              <w:rPr>
                <w:szCs w:val="16"/>
              </w:rPr>
            </w:pPr>
            <w:r w:rsidRPr="0012790E">
              <w:rPr>
                <w:szCs w:val="16"/>
              </w:rPr>
              <w:t>24.7</w:t>
            </w:r>
          </w:p>
        </w:tc>
        <w:tc>
          <w:tcPr>
            <w:tcW w:w="851" w:type="dxa"/>
            <w:vAlign w:val="bottom"/>
          </w:tcPr>
          <w:p w14:paraId="7B3280D8" w14:textId="77777777" w:rsidR="0012790E" w:rsidRPr="0012790E" w:rsidRDefault="0012790E">
            <w:pPr>
              <w:pStyle w:val="Summarytabletextrightaligned"/>
              <w:rPr>
                <w:szCs w:val="16"/>
              </w:rPr>
            </w:pPr>
            <w:r w:rsidRPr="0012790E">
              <w:rPr>
                <w:szCs w:val="16"/>
              </w:rPr>
              <w:t>30.7</w:t>
            </w:r>
          </w:p>
        </w:tc>
        <w:tc>
          <w:tcPr>
            <w:tcW w:w="851" w:type="dxa"/>
            <w:vAlign w:val="bottom"/>
          </w:tcPr>
          <w:p w14:paraId="5B85CC76" w14:textId="77777777" w:rsidR="0012790E" w:rsidRPr="0012790E" w:rsidRDefault="0012790E">
            <w:pPr>
              <w:pStyle w:val="Summarytabletextrightaligned"/>
              <w:rPr>
                <w:szCs w:val="16"/>
              </w:rPr>
            </w:pPr>
            <w:r w:rsidRPr="0012790E">
              <w:rPr>
                <w:szCs w:val="16"/>
              </w:rPr>
              <w:t>29.9</w:t>
            </w:r>
          </w:p>
        </w:tc>
      </w:tr>
      <w:tr w:rsidR="0012790E" w:rsidRPr="0012790E" w14:paraId="0EBACDBA" w14:textId="77777777" w:rsidTr="54937204">
        <w:tc>
          <w:tcPr>
            <w:tcW w:w="3470" w:type="dxa"/>
            <w:shd w:val="clear" w:color="auto" w:fill="auto"/>
            <w:vAlign w:val="bottom"/>
          </w:tcPr>
          <w:p w14:paraId="58D2DA7D" w14:textId="77777777" w:rsidR="0012790E" w:rsidRPr="0012790E" w:rsidRDefault="0012790E">
            <w:pPr>
              <w:pStyle w:val="SummaryMeasureTitlewithTheme"/>
            </w:pPr>
            <w:r w:rsidRPr="0012790E">
              <w:t>Enhancing Pacific Infrastructure and Engagement(b)</w:t>
            </w:r>
          </w:p>
        </w:tc>
        <w:tc>
          <w:tcPr>
            <w:tcW w:w="851" w:type="dxa"/>
            <w:vAlign w:val="bottom"/>
          </w:tcPr>
          <w:p w14:paraId="2C14D3B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609DE74" w14:textId="77777777" w:rsidR="0012790E" w:rsidRPr="0012790E" w:rsidRDefault="0012790E">
            <w:pPr>
              <w:pStyle w:val="Summarytabletextrightaligned"/>
              <w:rPr>
                <w:szCs w:val="16"/>
              </w:rPr>
            </w:pPr>
            <w:r w:rsidRPr="0012790E">
              <w:rPr>
                <w:szCs w:val="16"/>
              </w:rPr>
              <w:t>5.5</w:t>
            </w:r>
          </w:p>
        </w:tc>
        <w:tc>
          <w:tcPr>
            <w:tcW w:w="851" w:type="dxa"/>
            <w:vAlign w:val="bottom"/>
          </w:tcPr>
          <w:p w14:paraId="33A7E7F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B7B218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DC16133" w14:textId="77777777" w:rsidR="0012790E" w:rsidRPr="0012790E" w:rsidRDefault="0012790E">
            <w:pPr>
              <w:pStyle w:val="Summarytabletextrightaligned"/>
              <w:rPr>
                <w:szCs w:val="16"/>
              </w:rPr>
            </w:pPr>
            <w:r w:rsidRPr="0012790E">
              <w:rPr>
                <w:szCs w:val="16"/>
              </w:rPr>
              <w:noBreakHyphen/>
            </w:r>
          </w:p>
        </w:tc>
      </w:tr>
      <w:tr w:rsidR="0012790E" w:rsidRPr="0012790E" w14:paraId="471998A1" w14:textId="77777777" w:rsidTr="54937204">
        <w:tc>
          <w:tcPr>
            <w:tcW w:w="3470" w:type="dxa"/>
            <w:shd w:val="clear" w:color="auto" w:fill="auto"/>
            <w:vAlign w:val="bottom"/>
          </w:tcPr>
          <w:p w14:paraId="2F731723" w14:textId="77777777" w:rsidR="0012790E" w:rsidRPr="0012790E" w:rsidRDefault="0012790E">
            <w:pPr>
              <w:pStyle w:val="SummaryMeasureTitlewithTheme"/>
            </w:pPr>
            <w:r w:rsidRPr="0012790E">
              <w:t>National Firearms Register</w:t>
            </w:r>
          </w:p>
        </w:tc>
        <w:tc>
          <w:tcPr>
            <w:tcW w:w="851" w:type="dxa"/>
            <w:vAlign w:val="bottom"/>
          </w:tcPr>
          <w:p w14:paraId="6D4B66E3"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0B7161E" w14:textId="77777777" w:rsidR="0012790E" w:rsidRPr="0012790E" w:rsidRDefault="0012790E">
            <w:pPr>
              <w:pStyle w:val="Summarytabletextrightaligned"/>
              <w:rPr>
                <w:szCs w:val="16"/>
              </w:rPr>
            </w:pPr>
            <w:r w:rsidRPr="0012790E">
              <w:rPr>
                <w:szCs w:val="16"/>
              </w:rPr>
              <w:t>1.0</w:t>
            </w:r>
          </w:p>
        </w:tc>
        <w:tc>
          <w:tcPr>
            <w:tcW w:w="851" w:type="dxa"/>
            <w:vAlign w:val="bottom"/>
          </w:tcPr>
          <w:p w14:paraId="0AD835E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3995AF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D440FA9" w14:textId="77777777" w:rsidR="0012790E" w:rsidRPr="0012790E" w:rsidRDefault="0012790E">
            <w:pPr>
              <w:pStyle w:val="Summarytabletextrightaligned"/>
              <w:rPr>
                <w:szCs w:val="16"/>
              </w:rPr>
            </w:pPr>
            <w:r w:rsidRPr="0012790E">
              <w:rPr>
                <w:szCs w:val="16"/>
              </w:rPr>
              <w:noBreakHyphen/>
            </w:r>
          </w:p>
        </w:tc>
      </w:tr>
      <w:tr w:rsidR="0012790E" w:rsidRPr="0012790E" w14:paraId="113B66A2" w14:textId="77777777" w:rsidTr="54937204">
        <w:tc>
          <w:tcPr>
            <w:tcW w:w="3470" w:type="dxa"/>
            <w:shd w:val="clear" w:color="auto" w:fill="auto"/>
            <w:vAlign w:val="bottom"/>
          </w:tcPr>
          <w:p w14:paraId="3C012C8F" w14:textId="77777777" w:rsidR="0012790E" w:rsidRPr="0012790E" w:rsidRDefault="0012790E">
            <w:pPr>
              <w:pStyle w:val="SummaryMeasureTitlewithTheme"/>
            </w:pPr>
            <w:r w:rsidRPr="0012790E">
              <w:t>Policing Engagement and Training</w:t>
            </w:r>
          </w:p>
        </w:tc>
        <w:tc>
          <w:tcPr>
            <w:tcW w:w="851" w:type="dxa"/>
            <w:vAlign w:val="bottom"/>
          </w:tcPr>
          <w:p w14:paraId="14173C26" w14:textId="5FF0B3A5" w:rsidR="0012790E" w:rsidRPr="0012790E" w:rsidRDefault="007B5476">
            <w:pPr>
              <w:pStyle w:val="Summarytabletextrightaligned"/>
            </w:pPr>
            <w:r w:rsidRPr="6F38BAFE">
              <w:rPr>
                <w:lang w:val="en-US"/>
              </w:rPr>
              <w:t>nfp</w:t>
            </w:r>
          </w:p>
        </w:tc>
        <w:tc>
          <w:tcPr>
            <w:tcW w:w="851" w:type="dxa"/>
            <w:shd w:val="clear" w:color="auto" w:fill="E6F2FF"/>
            <w:vAlign w:val="bottom"/>
          </w:tcPr>
          <w:p w14:paraId="5A6B3B3F"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5ECCB7A0"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6EAD69DC"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0DC31CFA" w14:textId="77777777" w:rsidR="0012790E" w:rsidRPr="0012790E" w:rsidRDefault="0012790E" w:rsidP="54937204">
            <w:pPr>
              <w:pStyle w:val="Summarytabletextrightaligned"/>
              <w:rPr>
                <w:lang w:val="en-US"/>
              </w:rPr>
            </w:pPr>
            <w:r w:rsidRPr="54937204">
              <w:rPr>
                <w:lang w:val="en-US"/>
              </w:rPr>
              <w:t>nfp</w:t>
            </w:r>
          </w:p>
        </w:tc>
      </w:tr>
      <w:tr w:rsidR="0012790E" w:rsidRPr="0012790E" w14:paraId="5761975B" w14:textId="77777777" w:rsidTr="54937204">
        <w:tc>
          <w:tcPr>
            <w:tcW w:w="3470" w:type="dxa"/>
            <w:shd w:val="clear" w:color="auto" w:fill="auto"/>
            <w:vAlign w:val="bottom"/>
          </w:tcPr>
          <w:p w14:paraId="2EDD1717" w14:textId="77777777" w:rsidR="0012790E" w:rsidRPr="0012790E" w:rsidRDefault="0012790E">
            <w:pPr>
              <w:pStyle w:val="SummaryAgencyTitle-BP2"/>
              <w:rPr>
                <w:iCs/>
              </w:rPr>
            </w:pPr>
            <w:r w:rsidRPr="0012790E">
              <w:rPr>
                <w:iCs/>
              </w:rPr>
              <w:t>Australian Law Reform Commission</w:t>
            </w:r>
          </w:p>
        </w:tc>
        <w:tc>
          <w:tcPr>
            <w:tcW w:w="851" w:type="dxa"/>
            <w:vAlign w:val="bottom"/>
          </w:tcPr>
          <w:p w14:paraId="72CB96B5" w14:textId="77777777" w:rsidR="0012790E" w:rsidRPr="0012790E" w:rsidRDefault="0012790E">
            <w:pPr>
              <w:pStyle w:val="SummaryAgencyTitle-BP2"/>
              <w:rPr>
                <w:iCs/>
              </w:rPr>
            </w:pPr>
          </w:p>
        </w:tc>
        <w:tc>
          <w:tcPr>
            <w:tcW w:w="851" w:type="dxa"/>
            <w:shd w:val="clear" w:color="auto" w:fill="E6F2FF"/>
            <w:vAlign w:val="bottom"/>
          </w:tcPr>
          <w:p w14:paraId="0761974B" w14:textId="77777777" w:rsidR="0012790E" w:rsidRPr="0012790E" w:rsidRDefault="0012790E">
            <w:pPr>
              <w:pStyle w:val="SummaryAgencyTitle-BP2"/>
              <w:rPr>
                <w:iCs/>
              </w:rPr>
            </w:pPr>
          </w:p>
        </w:tc>
        <w:tc>
          <w:tcPr>
            <w:tcW w:w="851" w:type="dxa"/>
            <w:vAlign w:val="bottom"/>
          </w:tcPr>
          <w:p w14:paraId="45F5BD56" w14:textId="77777777" w:rsidR="0012790E" w:rsidRPr="0012790E" w:rsidRDefault="0012790E">
            <w:pPr>
              <w:pStyle w:val="SummaryAgencyTitle-BP2"/>
              <w:rPr>
                <w:iCs/>
              </w:rPr>
            </w:pPr>
          </w:p>
        </w:tc>
        <w:tc>
          <w:tcPr>
            <w:tcW w:w="851" w:type="dxa"/>
            <w:vAlign w:val="bottom"/>
          </w:tcPr>
          <w:p w14:paraId="7F6D62B5" w14:textId="77777777" w:rsidR="0012790E" w:rsidRPr="0012790E" w:rsidRDefault="0012790E">
            <w:pPr>
              <w:pStyle w:val="SummaryAgencyTitle-BP2"/>
              <w:rPr>
                <w:iCs/>
              </w:rPr>
            </w:pPr>
          </w:p>
        </w:tc>
        <w:tc>
          <w:tcPr>
            <w:tcW w:w="851" w:type="dxa"/>
            <w:vAlign w:val="bottom"/>
          </w:tcPr>
          <w:p w14:paraId="2270AB1F" w14:textId="77777777" w:rsidR="0012790E" w:rsidRPr="0012790E" w:rsidRDefault="0012790E">
            <w:pPr>
              <w:pStyle w:val="SummaryAgencyTitle-BP2"/>
              <w:rPr>
                <w:iCs/>
              </w:rPr>
            </w:pPr>
          </w:p>
        </w:tc>
      </w:tr>
      <w:tr w:rsidR="0012790E" w:rsidRPr="0012790E" w14:paraId="78396075" w14:textId="77777777" w:rsidTr="54937204">
        <w:tc>
          <w:tcPr>
            <w:tcW w:w="3470" w:type="dxa"/>
            <w:shd w:val="clear" w:color="auto" w:fill="auto"/>
            <w:vAlign w:val="bottom"/>
          </w:tcPr>
          <w:p w14:paraId="55F868C1" w14:textId="77777777" w:rsidR="0012790E" w:rsidRPr="0012790E" w:rsidRDefault="0012790E">
            <w:pPr>
              <w:pStyle w:val="SummaryMeasureTitlewithTheme"/>
            </w:pPr>
            <w:r w:rsidRPr="0012790E">
              <w:t>Enhancing First Nations Justice Policy Outcomes</w:t>
            </w:r>
          </w:p>
        </w:tc>
        <w:tc>
          <w:tcPr>
            <w:tcW w:w="851" w:type="dxa"/>
            <w:vAlign w:val="bottom"/>
          </w:tcPr>
          <w:p w14:paraId="35D7A72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D336FDC" w14:textId="77777777" w:rsidR="0012790E" w:rsidRPr="0012790E" w:rsidRDefault="0012790E">
            <w:pPr>
              <w:pStyle w:val="Summarytabletextrightaligned"/>
              <w:rPr>
                <w:szCs w:val="16"/>
              </w:rPr>
            </w:pPr>
            <w:r w:rsidRPr="0012790E">
              <w:rPr>
                <w:szCs w:val="16"/>
              </w:rPr>
              <w:t>0.2</w:t>
            </w:r>
          </w:p>
        </w:tc>
        <w:tc>
          <w:tcPr>
            <w:tcW w:w="851" w:type="dxa"/>
            <w:vAlign w:val="bottom"/>
          </w:tcPr>
          <w:p w14:paraId="295720B7" w14:textId="77777777" w:rsidR="0012790E" w:rsidRPr="0012790E" w:rsidRDefault="0012790E">
            <w:pPr>
              <w:pStyle w:val="Summarytabletextrightaligned"/>
              <w:rPr>
                <w:szCs w:val="16"/>
              </w:rPr>
            </w:pPr>
            <w:r w:rsidRPr="0012790E">
              <w:rPr>
                <w:szCs w:val="16"/>
              </w:rPr>
              <w:t>0.3</w:t>
            </w:r>
          </w:p>
        </w:tc>
        <w:tc>
          <w:tcPr>
            <w:tcW w:w="851" w:type="dxa"/>
            <w:vAlign w:val="bottom"/>
          </w:tcPr>
          <w:p w14:paraId="0E8EE58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B070AE3" w14:textId="77777777" w:rsidR="0012790E" w:rsidRPr="0012790E" w:rsidRDefault="0012790E">
            <w:pPr>
              <w:pStyle w:val="Summarytabletextrightaligned"/>
              <w:rPr>
                <w:szCs w:val="16"/>
              </w:rPr>
            </w:pPr>
            <w:r w:rsidRPr="0012790E">
              <w:rPr>
                <w:szCs w:val="16"/>
              </w:rPr>
              <w:noBreakHyphen/>
            </w:r>
          </w:p>
        </w:tc>
      </w:tr>
      <w:tr w:rsidR="0012790E" w:rsidRPr="0012790E" w14:paraId="459FF464" w14:textId="77777777" w:rsidTr="54937204">
        <w:tc>
          <w:tcPr>
            <w:tcW w:w="3470" w:type="dxa"/>
            <w:shd w:val="clear" w:color="auto" w:fill="auto"/>
            <w:vAlign w:val="bottom"/>
          </w:tcPr>
          <w:p w14:paraId="4C3658F9" w14:textId="77777777" w:rsidR="0012790E" w:rsidRPr="0012790E" w:rsidRDefault="0012790E">
            <w:pPr>
              <w:pStyle w:val="SummaryAgencyTitle-BP2"/>
              <w:rPr>
                <w:iCs/>
              </w:rPr>
            </w:pPr>
            <w:r w:rsidRPr="0012790E">
              <w:rPr>
                <w:iCs/>
              </w:rPr>
              <w:t>Australian Transaction Reports and Analysis Centre</w:t>
            </w:r>
          </w:p>
        </w:tc>
        <w:tc>
          <w:tcPr>
            <w:tcW w:w="851" w:type="dxa"/>
            <w:vAlign w:val="bottom"/>
          </w:tcPr>
          <w:p w14:paraId="5C0014A8" w14:textId="77777777" w:rsidR="0012790E" w:rsidRPr="0012790E" w:rsidRDefault="0012790E">
            <w:pPr>
              <w:pStyle w:val="SummaryAgencyTitle-BP2"/>
              <w:rPr>
                <w:iCs/>
              </w:rPr>
            </w:pPr>
          </w:p>
        </w:tc>
        <w:tc>
          <w:tcPr>
            <w:tcW w:w="851" w:type="dxa"/>
            <w:shd w:val="clear" w:color="auto" w:fill="E6F2FF"/>
            <w:vAlign w:val="bottom"/>
          </w:tcPr>
          <w:p w14:paraId="0A2566D2" w14:textId="77777777" w:rsidR="0012790E" w:rsidRPr="0012790E" w:rsidRDefault="0012790E">
            <w:pPr>
              <w:pStyle w:val="SummaryAgencyTitle-BP2"/>
              <w:rPr>
                <w:iCs/>
              </w:rPr>
            </w:pPr>
          </w:p>
        </w:tc>
        <w:tc>
          <w:tcPr>
            <w:tcW w:w="851" w:type="dxa"/>
            <w:vAlign w:val="bottom"/>
          </w:tcPr>
          <w:p w14:paraId="57E64E72" w14:textId="77777777" w:rsidR="0012790E" w:rsidRPr="0012790E" w:rsidRDefault="0012790E">
            <w:pPr>
              <w:pStyle w:val="SummaryAgencyTitle-BP2"/>
              <w:rPr>
                <w:iCs/>
              </w:rPr>
            </w:pPr>
          </w:p>
        </w:tc>
        <w:tc>
          <w:tcPr>
            <w:tcW w:w="851" w:type="dxa"/>
            <w:vAlign w:val="bottom"/>
          </w:tcPr>
          <w:p w14:paraId="395C422F" w14:textId="77777777" w:rsidR="0012790E" w:rsidRPr="0012790E" w:rsidRDefault="0012790E">
            <w:pPr>
              <w:pStyle w:val="SummaryAgencyTitle-BP2"/>
              <w:rPr>
                <w:iCs/>
              </w:rPr>
            </w:pPr>
          </w:p>
        </w:tc>
        <w:tc>
          <w:tcPr>
            <w:tcW w:w="851" w:type="dxa"/>
            <w:vAlign w:val="bottom"/>
          </w:tcPr>
          <w:p w14:paraId="2363C597" w14:textId="77777777" w:rsidR="0012790E" w:rsidRPr="0012790E" w:rsidRDefault="0012790E">
            <w:pPr>
              <w:pStyle w:val="SummaryAgencyTitle-BP2"/>
              <w:rPr>
                <w:iCs/>
              </w:rPr>
            </w:pPr>
          </w:p>
        </w:tc>
      </w:tr>
      <w:tr w:rsidR="0012790E" w:rsidRPr="0012790E" w14:paraId="1EA1FDED" w14:textId="77777777" w:rsidTr="54937204">
        <w:tc>
          <w:tcPr>
            <w:tcW w:w="3470" w:type="dxa"/>
            <w:shd w:val="clear" w:color="auto" w:fill="auto"/>
            <w:vAlign w:val="bottom"/>
          </w:tcPr>
          <w:p w14:paraId="246F858F" w14:textId="46604108" w:rsidR="0012790E" w:rsidRPr="0012790E" w:rsidRDefault="0012790E">
            <w:pPr>
              <w:pStyle w:val="SummaryMeasureTitlewithTheme"/>
            </w:pPr>
            <w:r w:rsidRPr="0012790E">
              <w:t>Anti</w:t>
            </w:r>
            <w:r w:rsidRPr="0012790E">
              <w:noBreakHyphen/>
              <w:t>Money Laundering and Counter</w:t>
            </w:r>
            <w:r w:rsidRPr="0012790E">
              <w:noBreakHyphen/>
              <w:t>Terrorism Financing Reform</w:t>
            </w:r>
          </w:p>
        </w:tc>
        <w:tc>
          <w:tcPr>
            <w:tcW w:w="851" w:type="dxa"/>
            <w:vAlign w:val="bottom"/>
          </w:tcPr>
          <w:p w14:paraId="656381A2"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5711704" w14:textId="77777777" w:rsidR="0012790E" w:rsidRPr="0012790E" w:rsidRDefault="0012790E">
            <w:pPr>
              <w:pStyle w:val="Summarytabletextrightaligned"/>
              <w:rPr>
                <w:szCs w:val="16"/>
              </w:rPr>
            </w:pPr>
            <w:r w:rsidRPr="0012790E">
              <w:rPr>
                <w:szCs w:val="16"/>
              </w:rPr>
              <w:t>47.6</w:t>
            </w:r>
          </w:p>
        </w:tc>
        <w:tc>
          <w:tcPr>
            <w:tcW w:w="851" w:type="dxa"/>
            <w:vAlign w:val="bottom"/>
          </w:tcPr>
          <w:p w14:paraId="4E8CD543" w14:textId="42F3CB1F" w:rsidR="0012790E" w:rsidRPr="0012790E" w:rsidRDefault="00C65D72">
            <w:pPr>
              <w:pStyle w:val="Summarytabletextrightaligned"/>
              <w:rPr>
                <w:szCs w:val="16"/>
              </w:rPr>
            </w:pPr>
            <w:r>
              <w:rPr>
                <w:szCs w:val="16"/>
              </w:rPr>
              <w:t>113.</w:t>
            </w:r>
            <w:r w:rsidR="004052D0">
              <w:rPr>
                <w:szCs w:val="16"/>
              </w:rPr>
              <w:t>2</w:t>
            </w:r>
          </w:p>
        </w:tc>
        <w:tc>
          <w:tcPr>
            <w:tcW w:w="851" w:type="dxa"/>
            <w:vAlign w:val="bottom"/>
          </w:tcPr>
          <w:p w14:paraId="0BDE38E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7395C97" w14:textId="77777777" w:rsidR="0012790E" w:rsidRPr="0012790E" w:rsidRDefault="0012790E">
            <w:pPr>
              <w:pStyle w:val="Summarytabletextrightaligned"/>
              <w:rPr>
                <w:szCs w:val="16"/>
              </w:rPr>
            </w:pPr>
            <w:r w:rsidRPr="0012790E">
              <w:rPr>
                <w:szCs w:val="16"/>
              </w:rPr>
              <w:noBreakHyphen/>
            </w:r>
          </w:p>
        </w:tc>
      </w:tr>
      <w:tr w:rsidR="0012790E" w:rsidRPr="0012790E" w14:paraId="13646E2C" w14:textId="77777777" w:rsidTr="54937204">
        <w:tc>
          <w:tcPr>
            <w:tcW w:w="3470" w:type="dxa"/>
            <w:shd w:val="clear" w:color="auto" w:fill="auto"/>
            <w:vAlign w:val="bottom"/>
          </w:tcPr>
          <w:p w14:paraId="4797243F" w14:textId="77777777" w:rsidR="0012790E" w:rsidRPr="0012790E" w:rsidRDefault="0012790E">
            <w:pPr>
              <w:pStyle w:val="SummaryMeasureTitlewithTheme"/>
            </w:pPr>
            <w:r w:rsidRPr="0012790E">
              <w:t>Child Care Subsidy Reform – further measures for strong and sustainable foundations</w:t>
            </w:r>
          </w:p>
        </w:tc>
        <w:tc>
          <w:tcPr>
            <w:tcW w:w="851" w:type="dxa"/>
            <w:vAlign w:val="bottom"/>
          </w:tcPr>
          <w:p w14:paraId="0C5652B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6B0EBEF" w14:textId="77777777" w:rsidR="0012790E" w:rsidRPr="0012790E" w:rsidRDefault="0012790E">
            <w:pPr>
              <w:pStyle w:val="Summarytabletextrightaligned"/>
              <w:rPr>
                <w:szCs w:val="16"/>
              </w:rPr>
            </w:pPr>
            <w:r w:rsidRPr="0012790E">
              <w:rPr>
                <w:szCs w:val="16"/>
              </w:rPr>
              <w:t>0.3</w:t>
            </w:r>
          </w:p>
        </w:tc>
        <w:tc>
          <w:tcPr>
            <w:tcW w:w="851" w:type="dxa"/>
            <w:vAlign w:val="bottom"/>
          </w:tcPr>
          <w:p w14:paraId="2C581069" w14:textId="77777777" w:rsidR="0012790E" w:rsidRPr="0012790E" w:rsidRDefault="0012790E">
            <w:pPr>
              <w:pStyle w:val="Summarytabletextrightaligned"/>
              <w:rPr>
                <w:szCs w:val="16"/>
              </w:rPr>
            </w:pPr>
            <w:r w:rsidRPr="0012790E">
              <w:rPr>
                <w:szCs w:val="16"/>
              </w:rPr>
              <w:t>0.3</w:t>
            </w:r>
          </w:p>
        </w:tc>
        <w:tc>
          <w:tcPr>
            <w:tcW w:w="851" w:type="dxa"/>
            <w:vAlign w:val="bottom"/>
          </w:tcPr>
          <w:p w14:paraId="497A44CA" w14:textId="77777777" w:rsidR="0012790E" w:rsidRPr="0012790E" w:rsidRDefault="0012790E">
            <w:pPr>
              <w:pStyle w:val="Summarytabletextrightaligned"/>
              <w:rPr>
                <w:szCs w:val="16"/>
              </w:rPr>
            </w:pPr>
            <w:r w:rsidRPr="0012790E">
              <w:rPr>
                <w:szCs w:val="16"/>
              </w:rPr>
              <w:t>0.3</w:t>
            </w:r>
          </w:p>
        </w:tc>
        <w:tc>
          <w:tcPr>
            <w:tcW w:w="851" w:type="dxa"/>
            <w:vAlign w:val="bottom"/>
          </w:tcPr>
          <w:p w14:paraId="72ADDF82" w14:textId="77777777" w:rsidR="0012790E" w:rsidRPr="0012790E" w:rsidRDefault="0012790E">
            <w:pPr>
              <w:pStyle w:val="Summarytabletextrightaligned"/>
              <w:rPr>
                <w:szCs w:val="16"/>
              </w:rPr>
            </w:pPr>
            <w:r w:rsidRPr="0012790E">
              <w:rPr>
                <w:szCs w:val="16"/>
              </w:rPr>
              <w:t>0.3</w:t>
            </w:r>
          </w:p>
        </w:tc>
      </w:tr>
      <w:tr w:rsidR="0012790E" w:rsidRPr="0012790E" w14:paraId="1F126A6D" w14:textId="77777777" w:rsidTr="54937204">
        <w:tc>
          <w:tcPr>
            <w:tcW w:w="3470" w:type="dxa"/>
            <w:shd w:val="clear" w:color="auto" w:fill="auto"/>
            <w:vAlign w:val="bottom"/>
          </w:tcPr>
          <w:p w14:paraId="0EE34FDA" w14:textId="77777777" w:rsidR="0012790E" w:rsidRPr="0012790E" w:rsidRDefault="0012790E">
            <w:pPr>
              <w:pStyle w:val="SummaryMeasureTitlewithTheme"/>
            </w:pPr>
            <w:r w:rsidRPr="0012790E">
              <w:t>Maintaining Support for an Effective Foreign Service</w:t>
            </w:r>
          </w:p>
        </w:tc>
        <w:tc>
          <w:tcPr>
            <w:tcW w:w="851" w:type="dxa"/>
            <w:vAlign w:val="bottom"/>
          </w:tcPr>
          <w:p w14:paraId="417B04B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7707B88" w14:textId="77777777" w:rsidR="0012790E" w:rsidRPr="0012790E" w:rsidRDefault="0012790E">
            <w:pPr>
              <w:pStyle w:val="Summarytabletextrightaligned"/>
              <w:rPr>
                <w:szCs w:val="16"/>
              </w:rPr>
            </w:pPr>
            <w:r w:rsidRPr="0012790E">
              <w:rPr>
                <w:szCs w:val="16"/>
              </w:rPr>
              <w:t>0.2</w:t>
            </w:r>
          </w:p>
        </w:tc>
        <w:tc>
          <w:tcPr>
            <w:tcW w:w="851" w:type="dxa"/>
            <w:vAlign w:val="bottom"/>
          </w:tcPr>
          <w:p w14:paraId="213FD9D7" w14:textId="77777777" w:rsidR="0012790E" w:rsidRPr="0012790E" w:rsidRDefault="0012790E">
            <w:pPr>
              <w:pStyle w:val="Summarytabletextrightaligned"/>
              <w:rPr>
                <w:szCs w:val="16"/>
              </w:rPr>
            </w:pPr>
            <w:r w:rsidRPr="0012790E">
              <w:rPr>
                <w:szCs w:val="16"/>
              </w:rPr>
              <w:t>0.2</w:t>
            </w:r>
          </w:p>
        </w:tc>
        <w:tc>
          <w:tcPr>
            <w:tcW w:w="851" w:type="dxa"/>
            <w:vAlign w:val="bottom"/>
          </w:tcPr>
          <w:p w14:paraId="2994C0E2" w14:textId="77777777" w:rsidR="0012790E" w:rsidRPr="0012790E" w:rsidRDefault="0012790E">
            <w:pPr>
              <w:pStyle w:val="Summarytabletextrightaligned"/>
              <w:rPr>
                <w:szCs w:val="16"/>
              </w:rPr>
            </w:pPr>
            <w:r w:rsidRPr="0012790E">
              <w:rPr>
                <w:szCs w:val="16"/>
              </w:rPr>
              <w:t>0.2</w:t>
            </w:r>
          </w:p>
        </w:tc>
        <w:tc>
          <w:tcPr>
            <w:tcW w:w="851" w:type="dxa"/>
            <w:vAlign w:val="bottom"/>
          </w:tcPr>
          <w:p w14:paraId="4AB86548" w14:textId="77777777" w:rsidR="0012790E" w:rsidRPr="0012790E" w:rsidRDefault="0012790E">
            <w:pPr>
              <w:pStyle w:val="Summarytabletextrightaligned"/>
              <w:rPr>
                <w:szCs w:val="16"/>
              </w:rPr>
            </w:pPr>
            <w:r w:rsidRPr="0012790E">
              <w:rPr>
                <w:szCs w:val="16"/>
              </w:rPr>
              <w:t>0.2</w:t>
            </w:r>
          </w:p>
        </w:tc>
      </w:tr>
      <w:tr w:rsidR="0012790E" w:rsidRPr="0012790E" w14:paraId="2EF57139" w14:textId="77777777" w:rsidTr="54937204">
        <w:tc>
          <w:tcPr>
            <w:tcW w:w="3470" w:type="dxa"/>
            <w:shd w:val="clear" w:color="auto" w:fill="auto"/>
            <w:vAlign w:val="bottom"/>
          </w:tcPr>
          <w:p w14:paraId="2089A753" w14:textId="77777777" w:rsidR="0012790E" w:rsidRPr="0012790E" w:rsidRDefault="0012790E">
            <w:pPr>
              <w:pStyle w:val="SummaryAgencyTitle-BP2"/>
              <w:rPr>
                <w:iCs/>
              </w:rPr>
            </w:pPr>
            <w:r w:rsidRPr="0012790E">
              <w:rPr>
                <w:iCs/>
              </w:rPr>
              <w:t>Federal Court of Australia</w:t>
            </w:r>
          </w:p>
        </w:tc>
        <w:tc>
          <w:tcPr>
            <w:tcW w:w="851" w:type="dxa"/>
            <w:vAlign w:val="bottom"/>
          </w:tcPr>
          <w:p w14:paraId="5BE4D8D1" w14:textId="77777777" w:rsidR="0012790E" w:rsidRPr="0012790E" w:rsidRDefault="0012790E">
            <w:pPr>
              <w:pStyle w:val="SummaryAgencyTitle-BP2"/>
              <w:rPr>
                <w:iCs/>
              </w:rPr>
            </w:pPr>
          </w:p>
        </w:tc>
        <w:tc>
          <w:tcPr>
            <w:tcW w:w="851" w:type="dxa"/>
            <w:shd w:val="clear" w:color="auto" w:fill="E6F2FF"/>
            <w:vAlign w:val="bottom"/>
          </w:tcPr>
          <w:p w14:paraId="755EB692" w14:textId="77777777" w:rsidR="0012790E" w:rsidRPr="0012790E" w:rsidRDefault="0012790E">
            <w:pPr>
              <w:pStyle w:val="SummaryAgencyTitle-BP2"/>
              <w:rPr>
                <w:iCs/>
              </w:rPr>
            </w:pPr>
          </w:p>
        </w:tc>
        <w:tc>
          <w:tcPr>
            <w:tcW w:w="851" w:type="dxa"/>
            <w:vAlign w:val="bottom"/>
          </w:tcPr>
          <w:p w14:paraId="4D8EE76A" w14:textId="77777777" w:rsidR="0012790E" w:rsidRPr="0012790E" w:rsidRDefault="0012790E">
            <w:pPr>
              <w:pStyle w:val="SummaryAgencyTitle-BP2"/>
              <w:rPr>
                <w:iCs/>
              </w:rPr>
            </w:pPr>
          </w:p>
        </w:tc>
        <w:tc>
          <w:tcPr>
            <w:tcW w:w="851" w:type="dxa"/>
            <w:vAlign w:val="bottom"/>
          </w:tcPr>
          <w:p w14:paraId="7E50A864" w14:textId="77777777" w:rsidR="0012790E" w:rsidRPr="0012790E" w:rsidRDefault="0012790E">
            <w:pPr>
              <w:pStyle w:val="SummaryAgencyTitle-BP2"/>
              <w:rPr>
                <w:iCs/>
              </w:rPr>
            </w:pPr>
          </w:p>
        </w:tc>
        <w:tc>
          <w:tcPr>
            <w:tcW w:w="851" w:type="dxa"/>
            <w:vAlign w:val="bottom"/>
          </w:tcPr>
          <w:p w14:paraId="77591131" w14:textId="77777777" w:rsidR="0012790E" w:rsidRPr="0012790E" w:rsidRDefault="0012790E">
            <w:pPr>
              <w:pStyle w:val="SummaryAgencyTitle-BP2"/>
              <w:rPr>
                <w:iCs/>
              </w:rPr>
            </w:pPr>
          </w:p>
        </w:tc>
      </w:tr>
      <w:tr w:rsidR="0012790E" w:rsidRPr="0012790E" w14:paraId="37D62226" w14:textId="77777777" w:rsidTr="54937204">
        <w:tc>
          <w:tcPr>
            <w:tcW w:w="3470" w:type="dxa"/>
            <w:shd w:val="clear" w:color="auto" w:fill="auto"/>
            <w:vAlign w:val="bottom"/>
          </w:tcPr>
          <w:p w14:paraId="19056B41" w14:textId="77777777" w:rsidR="0012790E" w:rsidRPr="0012790E" w:rsidRDefault="0012790E">
            <w:pPr>
              <w:pStyle w:val="SummaryMeasureTitlewithTheme"/>
            </w:pPr>
            <w:r w:rsidRPr="0012790E">
              <w:t>Enhancing First Nations Justice Policy Outcomes</w:t>
            </w:r>
          </w:p>
        </w:tc>
        <w:tc>
          <w:tcPr>
            <w:tcW w:w="851" w:type="dxa"/>
            <w:vAlign w:val="bottom"/>
          </w:tcPr>
          <w:p w14:paraId="7FF0646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44850FB" w14:textId="77777777" w:rsidR="0012790E" w:rsidRPr="0012790E" w:rsidRDefault="0012790E">
            <w:pPr>
              <w:pStyle w:val="Summarytabletextrightaligned"/>
              <w:rPr>
                <w:szCs w:val="16"/>
              </w:rPr>
            </w:pPr>
            <w:r w:rsidRPr="0012790E">
              <w:rPr>
                <w:szCs w:val="16"/>
              </w:rPr>
              <w:t>5.7</w:t>
            </w:r>
          </w:p>
        </w:tc>
        <w:tc>
          <w:tcPr>
            <w:tcW w:w="851" w:type="dxa"/>
            <w:vAlign w:val="bottom"/>
          </w:tcPr>
          <w:p w14:paraId="25578261" w14:textId="77777777" w:rsidR="0012790E" w:rsidRPr="0012790E" w:rsidRDefault="0012790E">
            <w:pPr>
              <w:pStyle w:val="Summarytabletextrightaligned"/>
              <w:rPr>
                <w:szCs w:val="16"/>
              </w:rPr>
            </w:pPr>
            <w:r w:rsidRPr="0012790E">
              <w:rPr>
                <w:szCs w:val="16"/>
              </w:rPr>
              <w:t>5.6</w:t>
            </w:r>
          </w:p>
        </w:tc>
        <w:tc>
          <w:tcPr>
            <w:tcW w:w="851" w:type="dxa"/>
            <w:vAlign w:val="bottom"/>
          </w:tcPr>
          <w:p w14:paraId="29318ADF" w14:textId="77777777" w:rsidR="0012790E" w:rsidRPr="0012790E" w:rsidRDefault="0012790E">
            <w:pPr>
              <w:pStyle w:val="Summarytabletextrightaligned"/>
              <w:rPr>
                <w:szCs w:val="16"/>
              </w:rPr>
            </w:pPr>
            <w:r w:rsidRPr="0012790E">
              <w:rPr>
                <w:szCs w:val="16"/>
              </w:rPr>
              <w:t>4.8</w:t>
            </w:r>
          </w:p>
        </w:tc>
        <w:tc>
          <w:tcPr>
            <w:tcW w:w="851" w:type="dxa"/>
            <w:vAlign w:val="bottom"/>
          </w:tcPr>
          <w:p w14:paraId="6CA9595C" w14:textId="77777777" w:rsidR="0012790E" w:rsidRPr="0012790E" w:rsidRDefault="0012790E">
            <w:pPr>
              <w:pStyle w:val="Summarytabletextrightaligned"/>
              <w:rPr>
                <w:szCs w:val="16"/>
              </w:rPr>
            </w:pPr>
            <w:r w:rsidRPr="0012790E">
              <w:rPr>
                <w:szCs w:val="16"/>
              </w:rPr>
              <w:t>4.1</w:t>
            </w:r>
          </w:p>
        </w:tc>
      </w:tr>
      <w:tr w:rsidR="0012790E" w:rsidRPr="0012790E" w14:paraId="334AA06E" w14:textId="77777777" w:rsidTr="54937204">
        <w:tc>
          <w:tcPr>
            <w:tcW w:w="3470" w:type="dxa"/>
            <w:shd w:val="clear" w:color="auto" w:fill="auto"/>
            <w:vAlign w:val="bottom"/>
          </w:tcPr>
          <w:p w14:paraId="2CE8CBDF" w14:textId="77777777" w:rsidR="0012790E" w:rsidRPr="0012790E" w:rsidRDefault="0012790E">
            <w:pPr>
              <w:pStyle w:val="SummaryMeasureTitlewithTheme"/>
            </w:pPr>
            <w:r w:rsidRPr="0012790E">
              <w:t>Establishment of the Administrative Review Tribunal and Addressing Extremely High Migration Backlogs in the Courts(b)</w:t>
            </w:r>
          </w:p>
        </w:tc>
        <w:tc>
          <w:tcPr>
            <w:tcW w:w="851" w:type="dxa"/>
            <w:vAlign w:val="bottom"/>
          </w:tcPr>
          <w:p w14:paraId="79E1E91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AB86209" w14:textId="77777777" w:rsidR="0012790E" w:rsidRPr="0012790E" w:rsidRDefault="0012790E">
            <w:pPr>
              <w:pStyle w:val="Summarytabletextrightaligned"/>
              <w:rPr>
                <w:szCs w:val="16"/>
              </w:rPr>
            </w:pPr>
            <w:r w:rsidRPr="0012790E">
              <w:rPr>
                <w:szCs w:val="16"/>
              </w:rPr>
              <w:t>36.8</w:t>
            </w:r>
          </w:p>
        </w:tc>
        <w:tc>
          <w:tcPr>
            <w:tcW w:w="851" w:type="dxa"/>
            <w:vAlign w:val="bottom"/>
          </w:tcPr>
          <w:p w14:paraId="3E95DA26" w14:textId="77777777" w:rsidR="0012790E" w:rsidRPr="0012790E" w:rsidRDefault="0012790E">
            <w:pPr>
              <w:pStyle w:val="Summarytabletextrightaligned"/>
              <w:rPr>
                <w:szCs w:val="16"/>
              </w:rPr>
            </w:pPr>
            <w:r w:rsidRPr="0012790E">
              <w:rPr>
                <w:szCs w:val="16"/>
              </w:rPr>
              <w:t>24.7</w:t>
            </w:r>
          </w:p>
        </w:tc>
        <w:tc>
          <w:tcPr>
            <w:tcW w:w="851" w:type="dxa"/>
            <w:vAlign w:val="bottom"/>
          </w:tcPr>
          <w:p w14:paraId="15DEA658" w14:textId="77777777" w:rsidR="0012790E" w:rsidRPr="0012790E" w:rsidRDefault="0012790E">
            <w:pPr>
              <w:pStyle w:val="Summarytabletextrightaligned"/>
              <w:rPr>
                <w:szCs w:val="16"/>
              </w:rPr>
            </w:pPr>
            <w:r w:rsidRPr="0012790E">
              <w:rPr>
                <w:szCs w:val="16"/>
              </w:rPr>
              <w:t>24.5</w:t>
            </w:r>
          </w:p>
        </w:tc>
        <w:tc>
          <w:tcPr>
            <w:tcW w:w="851" w:type="dxa"/>
            <w:vAlign w:val="bottom"/>
          </w:tcPr>
          <w:p w14:paraId="19A03CD6" w14:textId="77777777" w:rsidR="0012790E" w:rsidRPr="0012790E" w:rsidRDefault="0012790E">
            <w:pPr>
              <w:pStyle w:val="Summarytabletextrightaligned"/>
              <w:rPr>
                <w:szCs w:val="16"/>
              </w:rPr>
            </w:pPr>
            <w:r w:rsidRPr="0012790E">
              <w:rPr>
                <w:szCs w:val="16"/>
              </w:rPr>
              <w:t>25.2</w:t>
            </w:r>
          </w:p>
        </w:tc>
      </w:tr>
      <w:tr w:rsidR="0012790E" w:rsidRPr="0012790E" w14:paraId="563D70E4" w14:textId="77777777" w:rsidTr="54937204">
        <w:tc>
          <w:tcPr>
            <w:tcW w:w="3470" w:type="dxa"/>
            <w:shd w:val="clear" w:color="auto" w:fill="auto"/>
            <w:vAlign w:val="bottom"/>
          </w:tcPr>
          <w:p w14:paraId="29A8B0B3" w14:textId="77777777" w:rsidR="0012790E" w:rsidRPr="0012790E" w:rsidRDefault="0012790E">
            <w:pPr>
              <w:pStyle w:val="SummaryAgencyTitle-BP2"/>
              <w:rPr>
                <w:iCs/>
              </w:rPr>
            </w:pPr>
            <w:r w:rsidRPr="0012790E">
              <w:rPr>
                <w:iCs/>
              </w:rPr>
              <w:t>Office of the Australian Information Commissioner</w:t>
            </w:r>
          </w:p>
        </w:tc>
        <w:tc>
          <w:tcPr>
            <w:tcW w:w="851" w:type="dxa"/>
            <w:vAlign w:val="bottom"/>
          </w:tcPr>
          <w:p w14:paraId="478F97C5" w14:textId="77777777" w:rsidR="0012790E" w:rsidRPr="0012790E" w:rsidRDefault="0012790E">
            <w:pPr>
              <w:pStyle w:val="SummaryAgencyTitle-BP2"/>
              <w:rPr>
                <w:iCs/>
              </w:rPr>
            </w:pPr>
          </w:p>
        </w:tc>
        <w:tc>
          <w:tcPr>
            <w:tcW w:w="851" w:type="dxa"/>
            <w:shd w:val="clear" w:color="auto" w:fill="E6F2FF"/>
            <w:vAlign w:val="bottom"/>
          </w:tcPr>
          <w:p w14:paraId="6ABE4B1D" w14:textId="77777777" w:rsidR="0012790E" w:rsidRPr="0012790E" w:rsidRDefault="0012790E">
            <w:pPr>
              <w:pStyle w:val="SummaryAgencyTitle-BP2"/>
              <w:rPr>
                <w:iCs/>
              </w:rPr>
            </w:pPr>
          </w:p>
        </w:tc>
        <w:tc>
          <w:tcPr>
            <w:tcW w:w="851" w:type="dxa"/>
            <w:vAlign w:val="bottom"/>
          </w:tcPr>
          <w:p w14:paraId="21547C9E" w14:textId="77777777" w:rsidR="0012790E" w:rsidRPr="0012790E" w:rsidRDefault="0012790E">
            <w:pPr>
              <w:pStyle w:val="SummaryAgencyTitle-BP2"/>
              <w:rPr>
                <w:iCs/>
              </w:rPr>
            </w:pPr>
          </w:p>
        </w:tc>
        <w:tc>
          <w:tcPr>
            <w:tcW w:w="851" w:type="dxa"/>
            <w:vAlign w:val="bottom"/>
          </w:tcPr>
          <w:p w14:paraId="413D6E26" w14:textId="77777777" w:rsidR="0012790E" w:rsidRPr="0012790E" w:rsidRDefault="0012790E">
            <w:pPr>
              <w:pStyle w:val="SummaryAgencyTitle-BP2"/>
              <w:rPr>
                <w:iCs/>
              </w:rPr>
            </w:pPr>
          </w:p>
        </w:tc>
        <w:tc>
          <w:tcPr>
            <w:tcW w:w="851" w:type="dxa"/>
            <w:vAlign w:val="bottom"/>
          </w:tcPr>
          <w:p w14:paraId="6CB77CD9" w14:textId="77777777" w:rsidR="0012790E" w:rsidRPr="0012790E" w:rsidRDefault="0012790E">
            <w:pPr>
              <w:pStyle w:val="SummaryAgencyTitle-BP2"/>
              <w:rPr>
                <w:iCs/>
              </w:rPr>
            </w:pPr>
          </w:p>
        </w:tc>
      </w:tr>
      <w:tr w:rsidR="0012790E" w:rsidRPr="0012790E" w14:paraId="0F239273" w14:textId="77777777" w:rsidTr="54937204">
        <w:tc>
          <w:tcPr>
            <w:tcW w:w="3470" w:type="dxa"/>
            <w:shd w:val="clear" w:color="auto" w:fill="auto"/>
            <w:vAlign w:val="bottom"/>
          </w:tcPr>
          <w:p w14:paraId="0E20AF93" w14:textId="77777777" w:rsidR="0012790E" w:rsidRPr="0012790E" w:rsidRDefault="0012790E">
            <w:pPr>
              <w:pStyle w:val="SummaryMeasureTitlewithTheme"/>
            </w:pPr>
            <w:r w:rsidRPr="0012790E">
              <w:t>Digital ID</w:t>
            </w:r>
          </w:p>
        </w:tc>
        <w:tc>
          <w:tcPr>
            <w:tcW w:w="851" w:type="dxa"/>
            <w:vAlign w:val="bottom"/>
          </w:tcPr>
          <w:p w14:paraId="16FC5E97"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AC58591" w14:textId="77777777" w:rsidR="0012790E" w:rsidRPr="0012790E" w:rsidRDefault="0012790E">
            <w:pPr>
              <w:pStyle w:val="Summarytabletextrightaligned"/>
              <w:rPr>
                <w:szCs w:val="16"/>
              </w:rPr>
            </w:pPr>
            <w:r w:rsidRPr="0012790E">
              <w:rPr>
                <w:szCs w:val="16"/>
              </w:rPr>
              <w:t>5.6</w:t>
            </w:r>
          </w:p>
        </w:tc>
        <w:tc>
          <w:tcPr>
            <w:tcW w:w="851" w:type="dxa"/>
            <w:vAlign w:val="bottom"/>
          </w:tcPr>
          <w:p w14:paraId="36A20D2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1DF663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26105AC" w14:textId="77777777" w:rsidR="0012790E" w:rsidRPr="0012790E" w:rsidRDefault="0012790E">
            <w:pPr>
              <w:pStyle w:val="Summarytabletextrightaligned"/>
              <w:rPr>
                <w:szCs w:val="16"/>
              </w:rPr>
            </w:pPr>
            <w:r w:rsidRPr="0012790E">
              <w:rPr>
                <w:szCs w:val="16"/>
              </w:rPr>
              <w:noBreakHyphen/>
            </w:r>
          </w:p>
        </w:tc>
      </w:tr>
      <w:tr w:rsidR="0012790E" w:rsidRPr="0012790E" w14:paraId="329065EC" w14:textId="77777777" w:rsidTr="54937204">
        <w:tc>
          <w:tcPr>
            <w:tcW w:w="3470" w:type="dxa"/>
            <w:shd w:val="clear" w:color="auto" w:fill="auto"/>
            <w:vAlign w:val="bottom"/>
          </w:tcPr>
          <w:p w14:paraId="62B5ECAA" w14:textId="77777777" w:rsidR="0012790E" w:rsidRPr="0012790E" w:rsidRDefault="0012790E">
            <w:pPr>
              <w:pStyle w:val="SummaryAgencyTitle-BP2"/>
              <w:rPr>
                <w:iCs/>
              </w:rPr>
            </w:pPr>
            <w:r w:rsidRPr="0012790E">
              <w:rPr>
                <w:iCs/>
              </w:rPr>
              <w:t>Office of the Commonwealth Ombudsman</w:t>
            </w:r>
          </w:p>
        </w:tc>
        <w:tc>
          <w:tcPr>
            <w:tcW w:w="851" w:type="dxa"/>
            <w:vAlign w:val="bottom"/>
          </w:tcPr>
          <w:p w14:paraId="78451A02" w14:textId="77777777" w:rsidR="0012790E" w:rsidRPr="0012790E" w:rsidRDefault="0012790E">
            <w:pPr>
              <w:pStyle w:val="SummaryAgencyTitle-BP2"/>
              <w:rPr>
                <w:iCs/>
              </w:rPr>
            </w:pPr>
          </w:p>
        </w:tc>
        <w:tc>
          <w:tcPr>
            <w:tcW w:w="851" w:type="dxa"/>
            <w:shd w:val="clear" w:color="auto" w:fill="E6F2FF"/>
            <w:vAlign w:val="bottom"/>
          </w:tcPr>
          <w:p w14:paraId="0E03C048" w14:textId="77777777" w:rsidR="0012790E" w:rsidRPr="0012790E" w:rsidRDefault="0012790E">
            <w:pPr>
              <w:pStyle w:val="SummaryAgencyTitle-BP2"/>
              <w:rPr>
                <w:iCs/>
              </w:rPr>
            </w:pPr>
          </w:p>
        </w:tc>
        <w:tc>
          <w:tcPr>
            <w:tcW w:w="851" w:type="dxa"/>
            <w:vAlign w:val="bottom"/>
          </w:tcPr>
          <w:p w14:paraId="40F43FE1" w14:textId="77777777" w:rsidR="0012790E" w:rsidRPr="0012790E" w:rsidRDefault="0012790E">
            <w:pPr>
              <w:pStyle w:val="SummaryAgencyTitle-BP2"/>
              <w:rPr>
                <w:iCs/>
              </w:rPr>
            </w:pPr>
          </w:p>
        </w:tc>
        <w:tc>
          <w:tcPr>
            <w:tcW w:w="851" w:type="dxa"/>
            <w:vAlign w:val="bottom"/>
          </w:tcPr>
          <w:p w14:paraId="75437DA4" w14:textId="77777777" w:rsidR="0012790E" w:rsidRPr="0012790E" w:rsidRDefault="0012790E">
            <w:pPr>
              <w:pStyle w:val="SummaryAgencyTitle-BP2"/>
              <w:rPr>
                <w:iCs/>
              </w:rPr>
            </w:pPr>
          </w:p>
        </w:tc>
        <w:tc>
          <w:tcPr>
            <w:tcW w:w="851" w:type="dxa"/>
            <w:vAlign w:val="bottom"/>
          </w:tcPr>
          <w:p w14:paraId="3937F3CA" w14:textId="77777777" w:rsidR="0012790E" w:rsidRPr="0012790E" w:rsidRDefault="0012790E">
            <w:pPr>
              <w:pStyle w:val="SummaryAgencyTitle-BP2"/>
              <w:rPr>
                <w:iCs/>
              </w:rPr>
            </w:pPr>
          </w:p>
        </w:tc>
      </w:tr>
      <w:tr w:rsidR="0012790E" w:rsidRPr="0012790E" w14:paraId="2407EBB0" w14:textId="77777777" w:rsidTr="54937204">
        <w:tc>
          <w:tcPr>
            <w:tcW w:w="3470" w:type="dxa"/>
            <w:shd w:val="clear" w:color="auto" w:fill="auto"/>
            <w:vAlign w:val="bottom"/>
          </w:tcPr>
          <w:p w14:paraId="68A2EAE5" w14:textId="77777777" w:rsidR="0012790E" w:rsidRPr="0012790E" w:rsidRDefault="0012790E">
            <w:pPr>
              <w:pStyle w:val="SummaryMeasureTitlewithTheme"/>
            </w:pPr>
            <w:r w:rsidRPr="0012790E">
              <w:t>Australian Universities Accord – tertiary education system reforms(b)</w:t>
            </w:r>
          </w:p>
        </w:tc>
        <w:tc>
          <w:tcPr>
            <w:tcW w:w="851" w:type="dxa"/>
            <w:vAlign w:val="bottom"/>
          </w:tcPr>
          <w:p w14:paraId="4D1A3D1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2A581E8" w14:textId="77777777" w:rsidR="0012790E" w:rsidRPr="0012790E" w:rsidRDefault="0012790E">
            <w:pPr>
              <w:pStyle w:val="Summarytabletextrightaligned"/>
              <w:rPr>
                <w:szCs w:val="16"/>
              </w:rPr>
            </w:pPr>
            <w:r w:rsidRPr="0012790E">
              <w:rPr>
                <w:szCs w:val="16"/>
              </w:rPr>
              <w:t>8.8</w:t>
            </w:r>
          </w:p>
        </w:tc>
        <w:tc>
          <w:tcPr>
            <w:tcW w:w="851" w:type="dxa"/>
            <w:vAlign w:val="bottom"/>
          </w:tcPr>
          <w:p w14:paraId="227554C2" w14:textId="77777777" w:rsidR="0012790E" w:rsidRPr="0012790E" w:rsidRDefault="0012790E">
            <w:pPr>
              <w:pStyle w:val="Summarytabletextrightaligned"/>
              <w:rPr>
                <w:szCs w:val="16"/>
              </w:rPr>
            </w:pPr>
            <w:r w:rsidRPr="0012790E">
              <w:rPr>
                <w:szCs w:val="16"/>
              </w:rPr>
              <w:t>10.6</w:t>
            </w:r>
          </w:p>
        </w:tc>
        <w:tc>
          <w:tcPr>
            <w:tcW w:w="851" w:type="dxa"/>
            <w:vAlign w:val="bottom"/>
          </w:tcPr>
          <w:p w14:paraId="0A416828" w14:textId="1A84363B" w:rsidR="0012790E" w:rsidRPr="0012790E" w:rsidRDefault="009711AD">
            <w:pPr>
              <w:pStyle w:val="Summarytabletextrightaligned"/>
            </w:pPr>
            <w:r w:rsidRPr="6F38BAFE">
              <w:rPr>
                <w:lang w:val="en-US"/>
              </w:rPr>
              <w:t>nfp</w:t>
            </w:r>
          </w:p>
        </w:tc>
        <w:tc>
          <w:tcPr>
            <w:tcW w:w="851" w:type="dxa"/>
            <w:vAlign w:val="bottom"/>
          </w:tcPr>
          <w:p w14:paraId="0A456A33" w14:textId="5D212E61" w:rsidR="0012790E" w:rsidRPr="0012790E" w:rsidRDefault="009711AD">
            <w:pPr>
              <w:pStyle w:val="Summarytabletextrightaligned"/>
            </w:pPr>
            <w:r w:rsidRPr="6F38BAFE">
              <w:rPr>
                <w:lang w:val="en-US"/>
              </w:rPr>
              <w:t>nfp</w:t>
            </w:r>
          </w:p>
        </w:tc>
      </w:tr>
      <w:tr w:rsidR="0012790E" w:rsidRPr="0012790E" w14:paraId="0515323C" w14:textId="77777777" w:rsidTr="54937204">
        <w:tc>
          <w:tcPr>
            <w:tcW w:w="3470" w:type="dxa"/>
            <w:shd w:val="clear" w:color="auto" w:fill="auto"/>
            <w:vAlign w:val="bottom"/>
          </w:tcPr>
          <w:p w14:paraId="5EE98B83" w14:textId="77777777" w:rsidR="0012790E" w:rsidRPr="0012790E" w:rsidRDefault="0012790E">
            <w:pPr>
              <w:pStyle w:val="SummaryAgencyTitle-BP2"/>
              <w:rPr>
                <w:iCs/>
              </w:rPr>
            </w:pPr>
            <w:r w:rsidRPr="0012790E">
              <w:rPr>
                <w:iCs/>
              </w:rPr>
              <w:t>Office of the Director of Public Prosecutions</w:t>
            </w:r>
          </w:p>
        </w:tc>
        <w:tc>
          <w:tcPr>
            <w:tcW w:w="851" w:type="dxa"/>
            <w:vAlign w:val="bottom"/>
          </w:tcPr>
          <w:p w14:paraId="409A12DB" w14:textId="77777777" w:rsidR="0012790E" w:rsidRPr="0012790E" w:rsidRDefault="0012790E">
            <w:pPr>
              <w:pStyle w:val="SummaryAgencyTitle-BP2"/>
              <w:rPr>
                <w:iCs/>
              </w:rPr>
            </w:pPr>
          </w:p>
        </w:tc>
        <w:tc>
          <w:tcPr>
            <w:tcW w:w="851" w:type="dxa"/>
            <w:shd w:val="clear" w:color="auto" w:fill="E6F2FF"/>
            <w:vAlign w:val="bottom"/>
          </w:tcPr>
          <w:p w14:paraId="71D23578" w14:textId="77777777" w:rsidR="0012790E" w:rsidRPr="0012790E" w:rsidRDefault="0012790E">
            <w:pPr>
              <w:pStyle w:val="SummaryAgencyTitle-BP2"/>
              <w:rPr>
                <w:iCs/>
              </w:rPr>
            </w:pPr>
          </w:p>
        </w:tc>
        <w:tc>
          <w:tcPr>
            <w:tcW w:w="851" w:type="dxa"/>
            <w:vAlign w:val="bottom"/>
          </w:tcPr>
          <w:p w14:paraId="285A3B99" w14:textId="77777777" w:rsidR="0012790E" w:rsidRPr="0012790E" w:rsidRDefault="0012790E">
            <w:pPr>
              <w:pStyle w:val="SummaryAgencyTitle-BP2"/>
              <w:rPr>
                <w:iCs/>
              </w:rPr>
            </w:pPr>
          </w:p>
        </w:tc>
        <w:tc>
          <w:tcPr>
            <w:tcW w:w="851" w:type="dxa"/>
            <w:vAlign w:val="bottom"/>
          </w:tcPr>
          <w:p w14:paraId="28AD31ED" w14:textId="77777777" w:rsidR="0012790E" w:rsidRPr="0012790E" w:rsidRDefault="0012790E">
            <w:pPr>
              <w:pStyle w:val="SummaryAgencyTitle-BP2"/>
              <w:rPr>
                <w:iCs/>
              </w:rPr>
            </w:pPr>
          </w:p>
        </w:tc>
        <w:tc>
          <w:tcPr>
            <w:tcW w:w="851" w:type="dxa"/>
            <w:vAlign w:val="bottom"/>
          </w:tcPr>
          <w:p w14:paraId="176126AB" w14:textId="77777777" w:rsidR="0012790E" w:rsidRPr="0012790E" w:rsidRDefault="0012790E">
            <w:pPr>
              <w:pStyle w:val="SummaryAgencyTitle-BP2"/>
              <w:rPr>
                <w:iCs/>
              </w:rPr>
            </w:pPr>
          </w:p>
        </w:tc>
      </w:tr>
      <w:tr w:rsidR="0012790E" w:rsidRPr="0012790E" w14:paraId="2F221AE3" w14:textId="77777777" w:rsidTr="54937204">
        <w:tc>
          <w:tcPr>
            <w:tcW w:w="3470" w:type="dxa"/>
            <w:shd w:val="clear" w:color="auto" w:fill="auto"/>
            <w:vAlign w:val="bottom"/>
          </w:tcPr>
          <w:p w14:paraId="1934DF8C" w14:textId="77777777" w:rsidR="0012790E" w:rsidRPr="0012790E" w:rsidRDefault="0012790E">
            <w:pPr>
              <w:pStyle w:val="SummaryMeasureTitlewithTheme"/>
            </w:pPr>
            <w:r w:rsidRPr="0012790E">
              <w:t>Attorney</w:t>
            </w:r>
            <w:r w:rsidRPr="0012790E">
              <w:noBreakHyphen/>
              <w:t>General's Portfolio – additional resourcing</w:t>
            </w:r>
          </w:p>
        </w:tc>
        <w:tc>
          <w:tcPr>
            <w:tcW w:w="851" w:type="dxa"/>
            <w:vAlign w:val="bottom"/>
          </w:tcPr>
          <w:p w14:paraId="1C70B6B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B1EF89B" w14:textId="77777777" w:rsidR="0012790E" w:rsidRPr="0012790E" w:rsidRDefault="0012790E">
            <w:pPr>
              <w:pStyle w:val="Summarytabletextrightaligned"/>
              <w:rPr>
                <w:szCs w:val="16"/>
              </w:rPr>
            </w:pPr>
            <w:r w:rsidRPr="0012790E">
              <w:rPr>
                <w:szCs w:val="16"/>
              </w:rPr>
              <w:t>16.3</w:t>
            </w:r>
          </w:p>
        </w:tc>
        <w:tc>
          <w:tcPr>
            <w:tcW w:w="851" w:type="dxa"/>
            <w:vAlign w:val="bottom"/>
          </w:tcPr>
          <w:p w14:paraId="5E340F86" w14:textId="77777777" w:rsidR="0012790E" w:rsidRPr="0012790E" w:rsidRDefault="0012790E">
            <w:pPr>
              <w:pStyle w:val="Summarytabletextrightaligned"/>
              <w:rPr>
                <w:szCs w:val="16"/>
              </w:rPr>
            </w:pPr>
            <w:r w:rsidRPr="0012790E">
              <w:rPr>
                <w:szCs w:val="16"/>
              </w:rPr>
              <w:t>18.7</w:t>
            </w:r>
          </w:p>
        </w:tc>
        <w:tc>
          <w:tcPr>
            <w:tcW w:w="851" w:type="dxa"/>
            <w:vAlign w:val="bottom"/>
          </w:tcPr>
          <w:p w14:paraId="0E4470E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2AB4279" w14:textId="77777777" w:rsidR="0012790E" w:rsidRPr="0012790E" w:rsidRDefault="0012790E">
            <w:pPr>
              <w:pStyle w:val="Summarytabletextrightaligned"/>
              <w:rPr>
                <w:szCs w:val="16"/>
              </w:rPr>
            </w:pPr>
            <w:r w:rsidRPr="0012790E">
              <w:rPr>
                <w:szCs w:val="16"/>
              </w:rPr>
              <w:noBreakHyphen/>
            </w:r>
          </w:p>
        </w:tc>
      </w:tr>
      <w:tr w:rsidR="0012790E" w:rsidRPr="0012790E" w14:paraId="5E0C2862" w14:textId="77777777" w:rsidTr="54937204">
        <w:tc>
          <w:tcPr>
            <w:tcW w:w="3470" w:type="dxa"/>
            <w:shd w:val="clear" w:color="auto" w:fill="auto"/>
            <w:vAlign w:val="bottom"/>
          </w:tcPr>
          <w:p w14:paraId="4A6E44EA" w14:textId="77777777" w:rsidR="0012790E" w:rsidRPr="0012790E" w:rsidRDefault="0012790E">
            <w:pPr>
              <w:pStyle w:val="SummaryMeasureTitlewithTheme"/>
            </w:pPr>
            <w:r w:rsidRPr="0012790E">
              <w:t>Civil Maritime Critical Security Capabilities</w:t>
            </w:r>
          </w:p>
        </w:tc>
        <w:tc>
          <w:tcPr>
            <w:tcW w:w="851" w:type="dxa"/>
            <w:vAlign w:val="bottom"/>
          </w:tcPr>
          <w:p w14:paraId="0356A5AB" w14:textId="77777777" w:rsidR="0012790E" w:rsidRPr="0012790E" w:rsidRDefault="0012790E">
            <w:pPr>
              <w:pStyle w:val="Summarytabletextrightaligned"/>
              <w:rPr>
                <w:szCs w:val="16"/>
              </w:rPr>
            </w:pPr>
            <w:r w:rsidRPr="0012790E">
              <w:rPr>
                <w:szCs w:val="16"/>
              </w:rPr>
              <w:t>0.4</w:t>
            </w:r>
          </w:p>
        </w:tc>
        <w:tc>
          <w:tcPr>
            <w:tcW w:w="851" w:type="dxa"/>
            <w:shd w:val="clear" w:color="auto" w:fill="E6F2FF"/>
            <w:vAlign w:val="bottom"/>
          </w:tcPr>
          <w:p w14:paraId="2E1E50BD" w14:textId="77777777" w:rsidR="0012790E" w:rsidRPr="0012790E" w:rsidRDefault="0012790E">
            <w:pPr>
              <w:pStyle w:val="Summarytabletextrightaligned"/>
              <w:rPr>
                <w:szCs w:val="16"/>
              </w:rPr>
            </w:pPr>
            <w:r w:rsidRPr="0012790E">
              <w:rPr>
                <w:szCs w:val="16"/>
              </w:rPr>
              <w:t>1.6</w:t>
            </w:r>
          </w:p>
        </w:tc>
        <w:tc>
          <w:tcPr>
            <w:tcW w:w="851" w:type="dxa"/>
            <w:vAlign w:val="bottom"/>
          </w:tcPr>
          <w:p w14:paraId="5C0C1E4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7F3604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EC1DB70" w14:textId="77777777" w:rsidR="0012790E" w:rsidRPr="0012790E" w:rsidRDefault="0012790E">
            <w:pPr>
              <w:pStyle w:val="Summarytabletextrightaligned"/>
              <w:rPr>
                <w:szCs w:val="16"/>
              </w:rPr>
            </w:pPr>
            <w:r w:rsidRPr="0012790E">
              <w:rPr>
                <w:szCs w:val="16"/>
              </w:rPr>
              <w:noBreakHyphen/>
            </w:r>
          </w:p>
        </w:tc>
      </w:tr>
      <w:tr w:rsidR="0012790E" w:rsidRPr="0012790E" w14:paraId="71407DDC" w14:textId="77777777" w:rsidTr="54937204">
        <w:tc>
          <w:tcPr>
            <w:tcW w:w="3470" w:type="dxa"/>
            <w:shd w:val="clear" w:color="auto" w:fill="auto"/>
            <w:vAlign w:val="bottom"/>
          </w:tcPr>
          <w:p w14:paraId="1376297F" w14:textId="77777777" w:rsidR="0012790E" w:rsidRPr="0012790E" w:rsidRDefault="0012790E">
            <w:pPr>
              <w:pStyle w:val="SummaryMeasureTitlewithTheme"/>
            </w:pPr>
            <w:r w:rsidRPr="0012790E">
              <w:t>Maintaining Support for an Effective Foreign Service</w:t>
            </w:r>
          </w:p>
        </w:tc>
        <w:tc>
          <w:tcPr>
            <w:tcW w:w="851" w:type="dxa"/>
            <w:vAlign w:val="bottom"/>
          </w:tcPr>
          <w:p w14:paraId="3722A43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7027280" w14:textId="77777777" w:rsidR="0012790E" w:rsidRPr="0012790E" w:rsidRDefault="0012790E">
            <w:pPr>
              <w:pStyle w:val="Summarytabletextrightaligned"/>
              <w:rPr>
                <w:szCs w:val="16"/>
              </w:rPr>
            </w:pPr>
            <w:r w:rsidRPr="0012790E">
              <w:rPr>
                <w:szCs w:val="16"/>
              </w:rPr>
              <w:t>0.2</w:t>
            </w:r>
          </w:p>
        </w:tc>
        <w:tc>
          <w:tcPr>
            <w:tcW w:w="851" w:type="dxa"/>
            <w:vAlign w:val="bottom"/>
          </w:tcPr>
          <w:p w14:paraId="43EF6BE5" w14:textId="77777777" w:rsidR="0012790E" w:rsidRPr="0012790E" w:rsidRDefault="0012790E">
            <w:pPr>
              <w:pStyle w:val="Summarytabletextrightaligned"/>
              <w:rPr>
                <w:szCs w:val="16"/>
              </w:rPr>
            </w:pPr>
            <w:r w:rsidRPr="0012790E">
              <w:rPr>
                <w:szCs w:val="16"/>
              </w:rPr>
              <w:t>0.3</w:t>
            </w:r>
          </w:p>
        </w:tc>
        <w:tc>
          <w:tcPr>
            <w:tcW w:w="851" w:type="dxa"/>
            <w:vAlign w:val="bottom"/>
          </w:tcPr>
          <w:p w14:paraId="530B1066" w14:textId="77777777" w:rsidR="0012790E" w:rsidRPr="0012790E" w:rsidRDefault="0012790E">
            <w:pPr>
              <w:pStyle w:val="Summarytabletextrightaligned"/>
              <w:rPr>
                <w:szCs w:val="16"/>
              </w:rPr>
            </w:pPr>
            <w:r w:rsidRPr="0012790E">
              <w:rPr>
                <w:szCs w:val="16"/>
              </w:rPr>
              <w:t>0.4</w:t>
            </w:r>
          </w:p>
        </w:tc>
        <w:tc>
          <w:tcPr>
            <w:tcW w:w="851" w:type="dxa"/>
            <w:vAlign w:val="bottom"/>
          </w:tcPr>
          <w:p w14:paraId="6A80FB95" w14:textId="77777777" w:rsidR="0012790E" w:rsidRPr="0012790E" w:rsidRDefault="0012790E">
            <w:pPr>
              <w:pStyle w:val="Summarytabletextrightaligned"/>
              <w:rPr>
                <w:szCs w:val="16"/>
              </w:rPr>
            </w:pPr>
            <w:r w:rsidRPr="0012790E">
              <w:rPr>
                <w:szCs w:val="16"/>
              </w:rPr>
              <w:t>0.4</w:t>
            </w:r>
          </w:p>
        </w:tc>
      </w:tr>
      <w:tr w:rsidR="0012790E" w:rsidRPr="0012790E" w14:paraId="353021E6" w14:textId="77777777" w:rsidTr="00BC3C38">
        <w:tc>
          <w:tcPr>
            <w:tcW w:w="3470" w:type="dxa"/>
            <w:shd w:val="clear" w:color="auto" w:fill="auto"/>
            <w:vAlign w:val="bottom"/>
          </w:tcPr>
          <w:p w14:paraId="52294EFE" w14:textId="77777777" w:rsidR="0012790E" w:rsidRPr="0012790E" w:rsidRDefault="0012790E">
            <w:pPr>
              <w:pStyle w:val="SummaryMeasureTitlewithTheme"/>
            </w:pPr>
            <w:r w:rsidRPr="0012790E">
              <w:t>Sport Integrity Australia – funding support(b)</w:t>
            </w:r>
          </w:p>
        </w:tc>
        <w:tc>
          <w:tcPr>
            <w:tcW w:w="851" w:type="dxa"/>
            <w:vAlign w:val="bottom"/>
          </w:tcPr>
          <w:p w14:paraId="15C839A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D593554" w14:textId="5CFD1AE0" w:rsidR="0012790E" w:rsidRPr="0012790E" w:rsidRDefault="008C3EE5">
            <w:pPr>
              <w:pStyle w:val="Summarytabletextrightaligned"/>
              <w:rPr>
                <w:szCs w:val="16"/>
              </w:rPr>
            </w:pPr>
            <w:r>
              <w:rPr>
                <w:szCs w:val="16"/>
              </w:rPr>
              <w:t>-</w:t>
            </w:r>
          </w:p>
        </w:tc>
        <w:tc>
          <w:tcPr>
            <w:tcW w:w="851" w:type="dxa"/>
            <w:vAlign w:val="bottom"/>
          </w:tcPr>
          <w:p w14:paraId="225FBA0C" w14:textId="74FCE2D5" w:rsidR="0012790E" w:rsidRPr="0012790E" w:rsidRDefault="008C3EE5">
            <w:pPr>
              <w:pStyle w:val="Summarytabletextrightaligned"/>
              <w:rPr>
                <w:szCs w:val="16"/>
              </w:rPr>
            </w:pPr>
            <w:r>
              <w:rPr>
                <w:szCs w:val="16"/>
              </w:rPr>
              <w:t>-</w:t>
            </w:r>
          </w:p>
        </w:tc>
        <w:tc>
          <w:tcPr>
            <w:tcW w:w="851" w:type="dxa"/>
            <w:vAlign w:val="bottom"/>
          </w:tcPr>
          <w:p w14:paraId="4D7132BA" w14:textId="2496EEF4" w:rsidR="0012790E" w:rsidRPr="0012790E" w:rsidRDefault="008C3EE5">
            <w:pPr>
              <w:pStyle w:val="Summarytabletextrightaligned"/>
              <w:rPr>
                <w:szCs w:val="16"/>
              </w:rPr>
            </w:pPr>
            <w:r>
              <w:rPr>
                <w:szCs w:val="16"/>
              </w:rPr>
              <w:t>-</w:t>
            </w:r>
          </w:p>
        </w:tc>
        <w:tc>
          <w:tcPr>
            <w:tcW w:w="851" w:type="dxa"/>
            <w:vAlign w:val="bottom"/>
          </w:tcPr>
          <w:p w14:paraId="0AB3F7A5" w14:textId="4D59DDEE" w:rsidR="0012790E" w:rsidRPr="0012790E" w:rsidRDefault="008C3EE5">
            <w:pPr>
              <w:pStyle w:val="Summarytabletextrightaligned"/>
              <w:rPr>
                <w:szCs w:val="16"/>
              </w:rPr>
            </w:pPr>
            <w:r>
              <w:rPr>
                <w:szCs w:val="16"/>
              </w:rPr>
              <w:t>-</w:t>
            </w:r>
          </w:p>
        </w:tc>
      </w:tr>
      <w:tr w:rsidR="00BC3C38" w:rsidRPr="0012790E" w14:paraId="1340F7D5" w14:textId="77777777" w:rsidTr="54937204">
        <w:tc>
          <w:tcPr>
            <w:tcW w:w="3470" w:type="dxa"/>
            <w:tcBorders>
              <w:bottom w:val="single" w:sz="4" w:space="0" w:color="293F5B"/>
            </w:tcBorders>
            <w:shd w:val="clear" w:color="auto" w:fill="auto"/>
            <w:vAlign w:val="bottom"/>
          </w:tcPr>
          <w:p w14:paraId="7B5B2852" w14:textId="70072166" w:rsidR="00BC3C38" w:rsidRPr="0012790E" w:rsidRDefault="00BC3C38" w:rsidP="00BC3C38">
            <w:pPr>
              <w:pStyle w:val="Summarytabletextleftalignedbold"/>
            </w:pPr>
            <w:r w:rsidRPr="0012790E">
              <w:t>Portfolio total</w:t>
            </w:r>
          </w:p>
        </w:tc>
        <w:tc>
          <w:tcPr>
            <w:tcW w:w="851" w:type="dxa"/>
            <w:tcBorders>
              <w:bottom w:val="single" w:sz="4" w:space="0" w:color="293F5B"/>
            </w:tcBorders>
            <w:vAlign w:val="bottom"/>
          </w:tcPr>
          <w:p w14:paraId="7326DC67" w14:textId="5C993685" w:rsidR="00BC3C38" w:rsidRPr="0012790E" w:rsidRDefault="00BC3C38" w:rsidP="00BC3C38">
            <w:pPr>
              <w:pStyle w:val="Summarytabletextrightalignedbold"/>
            </w:pPr>
            <w:r w:rsidRPr="0012790E">
              <w:noBreakHyphen/>
              <w:t>6.5</w:t>
            </w:r>
          </w:p>
        </w:tc>
        <w:tc>
          <w:tcPr>
            <w:tcW w:w="851" w:type="dxa"/>
            <w:tcBorders>
              <w:bottom w:val="single" w:sz="4" w:space="0" w:color="293F5B"/>
            </w:tcBorders>
            <w:shd w:val="clear" w:color="auto" w:fill="E6F2FF"/>
            <w:vAlign w:val="bottom"/>
          </w:tcPr>
          <w:p w14:paraId="34E25D1F" w14:textId="7CCD7EE1" w:rsidR="00BC3C38" w:rsidRDefault="00BC3C38" w:rsidP="00BC3C38">
            <w:pPr>
              <w:pStyle w:val="Summarytabletextrightalignedbold"/>
            </w:pPr>
            <w:r>
              <w:t>279.6</w:t>
            </w:r>
          </w:p>
        </w:tc>
        <w:tc>
          <w:tcPr>
            <w:tcW w:w="851" w:type="dxa"/>
            <w:tcBorders>
              <w:bottom w:val="single" w:sz="4" w:space="0" w:color="293F5B"/>
            </w:tcBorders>
            <w:vAlign w:val="bottom"/>
          </w:tcPr>
          <w:p w14:paraId="6B1B31EB" w14:textId="0B7B4989" w:rsidR="00BC3C38" w:rsidRDefault="004052D0" w:rsidP="00BC3C38">
            <w:pPr>
              <w:pStyle w:val="Summarytabletextrightalignedbold"/>
            </w:pPr>
            <w:r>
              <w:t>2</w:t>
            </w:r>
            <w:r w:rsidR="00B23410">
              <w:t>81</w:t>
            </w:r>
            <w:r w:rsidR="00BC3C38">
              <w:t>.</w:t>
            </w:r>
            <w:r w:rsidR="00B23410">
              <w:t>0</w:t>
            </w:r>
          </w:p>
        </w:tc>
        <w:tc>
          <w:tcPr>
            <w:tcW w:w="851" w:type="dxa"/>
            <w:tcBorders>
              <w:bottom w:val="single" w:sz="4" w:space="0" w:color="293F5B"/>
            </w:tcBorders>
            <w:vAlign w:val="bottom"/>
          </w:tcPr>
          <w:p w14:paraId="0D570567" w14:textId="1E21CA34" w:rsidR="00BC3C38" w:rsidRDefault="00BC3C38" w:rsidP="00BC3C38">
            <w:pPr>
              <w:pStyle w:val="Summarytabletextrightalignedbold"/>
            </w:pPr>
            <w:r>
              <w:t>102.7</w:t>
            </w:r>
          </w:p>
        </w:tc>
        <w:tc>
          <w:tcPr>
            <w:tcW w:w="851" w:type="dxa"/>
            <w:tcBorders>
              <w:bottom w:val="single" w:sz="4" w:space="0" w:color="293F5B"/>
            </w:tcBorders>
            <w:vAlign w:val="bottom"/>
          </w:tcPr>
          <w:p w14:paraId="5E76EBCD" w14:textId="1156DD5F" w:rsidR="00BC3C38" w:rsidRDefault="00BC3C38" w:rsidP="00BC3C38">
            <w:pPr>
              <w:pStyle w:val="Summarytabletextrightalignedbold"/>
            </w:pPr>
            <w:r>
              <w:t>99.3</w:t>
            </w:r>
          </w:p>
        </w:tc>
      </w:tr>
    </w:tbl>
    <w:p w14:paraId="12914DCC" w14:textId="77777777" w:rsidR="0012790E" w:rsidRPr="0012790E" w:rsidRDefault="0012790E" w:rsidP="0012790E">
      <w:pPr>
        <w:pStyle w:val="TableHeadingcontinued"/>
        <w:sectPr w:rsidR="0012790E" w:rsidRPr="0012790E" w:rsidSect="00EA5BFE">
          <w:headerReference w:type="even" r:id="rId26"/>
          <w:headerReference w:type="default" r:id="rId27"/>
          <w:footerReference w:type="even" r:id="rId28"/>
          <w:footerReference w:type="default" r:id="rId29"/>
          <w:footerReference w:type="first" r:id="rId30"/>
          <w:pgSz w:w="11905" w:h="16837"/>
          <w:pgMar w:top="2835" w:right="2098" w:bottom="2466" w:left="2098" w:header="1814" w:footer="1814" w:gutter="0"/>
          <w:cols w:space="720"/>
          <w:noEndnote/>
          <w:docGrid w:linePitch="272"/>
        </w:sectPr>
      </w:pPr>
    </w:p>
    <w:p w14:paraId="6D5A0660" w14:textId="77777777" w:rsidR="0012790E" w:rsidRPr="0012790E" w:rsidRDefault="0012790E" w:rsidP="0012790E">
      <w:pPr>
        <w:pStyle w:val="TableHeadingcontinued"/>
        <w:rPr>
          <w:bCs/>
          <w:szCs w:val="16"/>
        </w:rPr>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0644DCF9" w14:textId="77777777" w:rsidTr="54937204">
        <w:tc>
          <w:tcPr>
            <w:tcW w:w="3470" w:type="dxa"/>
            <w:tcBorders>
              <w:top w:val="single" w:sz="4" w:space="0" w:color="293F5B"/>
            </w:tcBorders>
            <w:shd w:val="clear" w:color="auto" w:fill="auto"/>
            <w:vAlign w:val="bottom"/>
          </w:tcPr>
          <w:p w14:paraId="31B3805F"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4E507AC7"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0082FBF7"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3C08D3C6"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39B130BE"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5DA7B7D9"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6573D521" w14:textId="77777777" w:rsidTr="54937204">
        <w:tc>
          <w:tcPr>
            <w:tcW w:w="3470" w:type="dxa"/>
            <w:shd w:val="clear" w:color="auto" w:fill="auto"/>
            <w:vAlign w:val="bottom"/>
          </w:tcPr>
          <w:p w14:paraId="1ADDE778" w14:textId="77777777" w:rsidR="0012790E" w:rsidRPr="0012790E" w:rsidRDefault="0012790E">
            <w:pPr>
              <w:pStyle w:val="Summarytabletextrightaligned"/>
            </w:pPr>
          </w:p>
        </w:tc>
        <w:tc>
          <w:tcPr>
            <w:tcW w:w="851" w:type="dxa"/>
            <w:tcBorders>
              <w:bottom w:val="single" w:sz="4" w:space="0" w:color="293F5B"/>
            </w:tcBorders>
            <w:vAlign w:val="bottom"/>
          </w:tcPr>
          <w:p w14:paraId="4E05A41C"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4975A4E2"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41433C5B"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4B6F491F"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075510D8" w14:textId="77777777" w:rsidR="0012790E" w:rsidRPr="0012790E" w:rsidRDefault="0012790E">
            <w:pPr>
              <w:pStyle w:val="Summarytabletextrightaligned"/>
            </w:pPr>
            <w:r w:rsidRPr="0012790E">
              <w:t>$m</w:t>
            </w:r>
          </w:p>
        </w:tc>
      </w:tr>
      <w:tr w:rsidR="0012790E" w:rsidRPr="0012790E" w14:paraId="7D726B65" w14:textId="77777777" w:rsidTr="54937204">
        <w:tc>
          <w:tcPr>
            <w:tcW w:w="3470" w:type="dxa"/>
            <w:shd w:val="clear" w:color="auto" w:fill="auto"/>
            <w:vAlign w:val="bottom"/>
          </w:tcPr>
          <w:p w14:paraId="40E28542" w14:textId="77777777" w:rsidR="0012790E" w:rsidRPr="0012790E" w:rsidRDefault="0012790E">
            <w:pPr>
              <w:pStyle w:val="SummaryPortfolioTitle-BP2"/>
            </w:pPr>
            <w:r w:rsidRPr="0012790E">
              <w:t>CLIMATE CHANGE, ENERGY, THE ENVIRONMENT AND WATER</w:t>
            </w:r>
          </w:p>
        </w:tc>
        <w:tc>
          <w:tcPr>
            <w:tcW w:w="851" w:type="dxa"/>
            <w:tcBorders>
              <w:top w:val="single" w:sz="4" w:space="0" w:color="293F5B"/>
            </w:tcBorders>
            <w:vAlign w:val="bottom"/>
          </w:tcPr>
          <w:p w14:paraId="4D1F0EE4" w14:textId="77777777" w:rsidR="0012790E" w:rsidRPr="0012790E" w:rsidRDefault="0012790E">
            <w:pPr>
              <w:pStyle w:val="MeasureTableTextRightAlignedBefore6ptAfter1pt"/>
              <w:rPr>
                <w:b/>
                <w:bCs/>
              </w:rPr>
            </w:pPr>
          </w:p>
        </w:tc>
        <w:tc>
          <w:tcPr>
            <w:tcW w:w="851" w:type="dxa"/>
            <w:tcBorders>
              <w:top w:val="single" w:sz="4" w:space="0" w:color="293F5B"/>
            </w:tcBorders>
            <w:shd w:val="clear" w:color="auto" w:fill="E6F2FF"/>
            <w:vAlign w:val="bottom"/>
          </w:tcPr>
          <w:p w14:paraId="3B8B1978"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625CE5DC"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20EB1DE3"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76E655B1" w14:textId="77777777" w:rsidR="0012790E" w:rsidRPr="0012790E" w:rsidRDefault="0012790E">
            <w:pPr>
              <w:pStyle w:val="MeasureTableTextRightAlignedBefore6ptAfter1pt"/>
              <w:rPr>
                <w:b/>
                <w:bCs/>
              </w:rPr>
            </w:pPr>
          </w:p>
        </w:tc>
      </w:tr>
      <w:tr w:rsidR="0012790E" w:rsidRPr="0012790E" w14:paraId="65063D74" w14:textId="77777777" w:rsidTr="54937204">
        <w:tc>
          <w:tcPr>
            <w:tcW w:w="3470" w:type="dxa"/>
            <w:shd w:val="clear" w:color="auto" w:fill="auto"/>
            <w:vAlign w:val="bottom"/>
          </w:tcPr>
          <w:p w14:paraId="298F0AE3" w14:textId="77777777" w:rsidR="0012790E" w:rsidRPr="0012790E" w:rsidRDefault="0012790E">
            <w:pPr>
              <w:pStyle w:val="SummaryAgencyTitle-BP2"/>
              <w:rPr>
                <w:iCs/>
              </w:rPr>
            </w:pPr>
            <w:r w:rsidRPr="0012790E">
              <w:rPr>
                <w:iCs/>
              </w:rPr>
              <w:t>Australian Renewable Energy Agency</w:t>
            </w:r>
          </w:p>
        </w:tc>
        <w:tc>
          <w:tcPr>
            <w:tcW w:w="851" w:type="dxa"/>
            <w:vAlign w:val="bottom"/>
          </w:tcPr>
          <w:p w14:paraId="6FA1706B" w14:textId="77777777" w:rsidR="0012790E" w:rsidRPr="0012790E" w:rsidRDefault="0012790E">
            <w:pPr>
              <w:pStyle w:val="SummaryAgencyTitle-BP2"/>
              <w:rPr>
                <w:iCs/>
              </w:rPr>
            </w:pPr>
          </w:p>
        </w:tc>
        <w:tc>
          <w:tcPr>
            <w:tcW w:w="851" w:type="dxa"/>
            <w:shd w:val="clear" w:color="auto" w:fill="E6F2FF"/>
            <w:vAlign w:val="bottom"/>
          </w:tcPr>
          <w:p w14:paraId="1F629D6D" w14:textId="77777777" w:rsidR="0012790E" w:rsidRPr="0012790E" w:rsidRDefault="0012790E">
            <w:pPr>
              <w:pStyle w:val="SummaryAgencyTitle-BP2"/>
              <w:rPr>
                <w:iCs/>
              </w:rPr>
            </w:pPr>
          </w:p>
        </w:tc>
        <w:tc>
          <w:tcPr>
            <w:tcW w:w="851" w:type="dxa"/>
            <w:vAlign w:val="bottom"/>
          </w:tcPr>
          <w:p w14:paraId="253E2F72" w14:textId="77777777" w:rsidR="0012790E" w:rsidRPr="0012790E" w:rsidRDefault="0012790E">
            <w:pPr>
              <w:pStyle w:val="SummaryAgencyTitle-BP2"/>
              <w:rPr>
                <w:iCs/>
              </w:rPr>
            </w:pPr>
          </w:p>
        </w:tc>
        <w:tc>
          <w:tcPr>
            <w:tcW w:w="851" w:type="dxa"/>
            <w:vAlign w:val="bottom"/>
          </w:tcPr>
          <w:p w14:paraId="5DAF01E1" w14:textId="77777777" w:rsidR="0012790E" w:rsidRPr="0012790E" w:rsidRDefault="0012790E">
            <w:pPr>
              <w:pStyle w:val="SummaryAgencyTitle-BP2"/>
              <w:rPr>
                <w:iCs/>
              </w:rPr>
            </w:pPr>
          </w:p>
        </w:tc>
        <w:tc>
          <w:tcPr>
            <w:tcW w:w="851" w:type="dxa"/>
            <w:vAlign w:val="bottom"/>
          </w:tcPr>
          <w:p w14:paraId="1DE7E9EF" w14:textId="77777777" w:rsidR="0012790E" w:rsidRPr="0012790E" w:rsidRDefault="0012790E">
            <w:pPr>
              <w:pStyle w:val="SummaryAgencyTitle-BP2"/>
              <w:rPr>
                <w:iCs/>
              </w:rPr>
            </w:pPr>
          </w:p>
        </w:tc>
      </w:tr>
      <w:tr w:rsidR="00E25D48" w:rsidRPr="0012790E" w14:paraId="65290809" w14:textId="77777777" w:rsidTr="54937204">
        <w:tc>
          <w:tcPr>
            <w:tcW w:w="3470" w:type="dxa"/>
            <w:shd w:val="clear" w:color="auto" w:fill="auto"/>
            <w:vAlign w:val="bottom"/>
          </w:tcPr>
          <w:p w14:paraId="3B707DDB" w14:textId="77777777" w:rsidR="00E25D48" w:rsidRPr="0012790E" w:rsidRDefault="00E25D48" w:rsidP="00E25D48">
            <w:pPr>
              <w:pStyle w:val="SummaryMeasureTitlewithTheme"/>
            </w:pPr>
            <w:r w:rsidRPr="0012790E">
              <w:t>Future Made in Australia – Making Australia a Renewable Energy Superpower(b)</w:t>
            </w:r>
          </w:p>
        </w:tc>
        <w:tc>
          <w:tcPr>
            <w:tcW w:w="851" w:type="dxa"/>
            <w:vAlign w:val="bottom"/>
          </w:tcPr>
          <w:p w14:paraId="659917EB" w14:textId="2B70380F" w:rsidR="00E25D48" w:rsidRPr="0012790E" w:rsidRDefault="000E7AC6" w:rsidP="00E25D48">
            <w:pPr>
              <w:pStyle w:val="Summarytabletextrightaligned"/>
              <w:rPr>
                <w:szCs w:val="16"/>
              </w:rPr>
            </w:pPr>
            <w:r>
              <w:rPr>
                <w:szCs w:val="16"/>
              </w:rPr>
              <w:t>-</w:t>
            </w:r>
          </w:p>
        </w:tc>
        <w:tc>
          <w:tcPr>
            <w:tcW w:w="851" w:type="dxa"/>
            <w:shd w:val="clear" w:color="auto" w:fill="E6F2FF"/>
            <w:vAlign w:val="bottom"/>
          </w:tcPr>
          <w:p w14:paraId="3D3778A6" w14:textId="0B235F02" w:rsidR="00E25D48" w:rsidRPr="0012790E" w:rsidRDefault="000E7AC6" w:rsidP="00E25D48">
            <w:pPr>
              <w:pStyle w:val="Summarytabletextrightaligned"/>
              <w:rPr>
                <w:szCs w:val="16"/>
              </w:rPr>
            </w:pPr>
            <w:r>
              <w:rPr>
                <w:szCs w:val="16"/>
              </w:rPr>
              <w:t>138.1</w:t>
            </w:r>
          </w:p>
        </w:tc>
        <w:tc>
          <w:tcPr>
            <w:tcW w:w="851" w:type="dxa"/>
            <w:vAlign w:val="bottom"/>
          </w:tcPr>
          <w:p w14:paraId="141C4FD3" w14:textId="6700951C" w:rsidR="00E25D48" w:rsidRPr="0012790E" w:rsidRDefault="000E7AC6" w:rsidP="00E25D48">
            <w:pPr>
              <w:pStyle w:val="Summarytabletextrightaligned"/>
              <w:rPr>
                <w:szCs w:val="16"/>
              </w:rPr>
            </w:pPr>
            <w:r>
              <w:rPr>
                <w:szCs w:val="16"/>
              </w:rPr>
              <w:t>310.9</w:t>
            </w:r>
          </w:p>
        </w:tc>
        <w:tc>
          <w:tcPr>
            <w:tcW w:w="851" w:type="dxa"/>
            <w:vAlign w:val="bottom"/>
          </w:tcPr>
          <w:p w14:paraId="1D2F0B20" w14:textId="1C6534A8" w:rsidR="00E25D48" w:rsidRPr="0012790E" w:rsidRDefault="000E7AC6" w:rsidP="00E25D48">
            <w:pPr>
              <w:pStyle w:val="Summarytabletextrightaligned"/>
              <w:rPr>
                <w:szCs w:val="16"/>
              </w:rPr>
            </w:pPr>
            <w:r>
              <w:rPr>
                <w:szCs w:val="16"/>
              </w:rPr>
              <w:t>326.0</w:t>
            </w:r>
          </w:p>
        </w:tc>
        <w:tc>
          <w:tcPr>
            <w:tcW w:w="851" w:type="dxa"/>
            <w:vAlign w:val="bottom"/>
          </w:tcPr>
          <w:p w14:paraId="30CA8A51" w14:textId="71A1D091" w:rsidR="00E25D48" w:rsidRPr="0012790E" w:rsidRDefault="000E7AC6" w:rsidP="00E25D48">
            <w:pPr>
              <w:pStyle w:val="Summarytabletextrightaligned"/>
              <w:rPr>
                <w:szCs w:val="16"/>
              </w:rPr>
            </w:pPr>
            <w:r>
              <w:rPr>
                <w:szCs w:val="16"/>
              </w:rPr>
              <w:t>497.6</w:t>
            </w:r>
          </w:p>
        </w:tc>
      </w:tr>
      <w:tr w:rsidR="0012790E" w:rsidRPr="0012790E" w14:paraId="7E9B2B30" w14:textId="77777777" w:rsidTr="54937204">
        <w:tc>
          <w:tcPr>
            <w:tcW w:w="3470" w:type="dxa"/>
            <w:shd w:val="clear" w:color="auto" w:fill="auto"/>
            <w:vAlign w:val="bottom"/>
          </w:tcPr>
          <w:p w14:paraId="72262D77" w14:textId="77777777" w:rsidR="0012790E" w:rsidRPr="0012790E" w:rsidRDefault="0012790E">
            <w:pPr>
              <w:pStyle w:val="SummaryMeasureTitlewithTheme"/>
            </w:pPr>
            <w:r w:rsidRPr="0012790E">
              <w:t>New Vehicle Efficiency Standard Implementation(b)</w:t>
            </w:r>
          </w:p>
        </w:tc>
        <w:tc>
          <w:tcPr>
            <w:tcW w:w="851" w:type="dxa"/>
            <w:vAlign w:val="bottom"/>
          </w:tcPr>
          <w:p w14:paraId="3DAB132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70AD925" w14:textId="77777777" w:rsidR="0012790E" w:rsidRPr="0012790E" w:rsidRDefault="0012790E">
            <w:pPr>
              <w:pStyle w:val="Summarytabletextrightaligned"/>
              <w:rPr>
                <w:szCs w:val="16"/>
              </w:rPr>
            </w:pPr>
            <w:r w:rsidRPr="0012790E">
              <w:rPr>
                <w:szCs w:val="16"/>
              </w:rPr>
              <w:noBreakHyphen/>
              <w:t>12.0</w:t>
            </w:r>
          </w:p>
        </w:tc>
        <w:tc>
          <w:tcPr>
            <w:tcW w:w="851" w:type="dxa"/>
            <w:vAlign w:val="bottom"/>
          </w:tcPr>
          <w:p w14:paraId="263944B3" w14:textId="77777777" w:rsidR="0012790E" w:rsidRPr="0012790E" w:rsidRDefault="0012790E">
            <w:pPr>
              <w:pStyle w:val="Summarytabletextrightaligned"/>
              <w:rPr>
                <w:szCs w:val="16"/>
              </w:rPr>
            </w:pPr>
            <w:r w:rsidRPr="0012790E">
              <w:rPr>
                <w:szCs w:val="16"/>
              </w:rPr>
              <w:noBreakHyphen/>
              <w:t>21.0</w:t>
            </w:r>
          </w:p>
        </w:tc>
        <w:tc>
          <w:tcPr>
            <w:tcW w:w="851" w:type="dxa"/>
            <w:vAlign w:val="bottom"/>
          </w:tcPr>
          <w:p w14:paraId="7E0D3BD9" w14:textId="77777777" w:rsidR="0012790E" w:rsidRPr="0012790E" w:rsidRDefault="0012790E">
            <w:pPr>
              <w:pStyle w:val="Summarytabletextrightaligned"/>
              <w:rPr>
                <w:szCs w:val="16"/>
              </w:rPr>
            </w:pPr>
            <w:r w:rsidRPr="0012790E">
              <w:rPr>
                <w:szCs w:val="16"/>
              </w:rPr>
              <w:noBreakHyphen/>
              <w:t>21.0</w:t>
            </w:r>
          </w:p>
        </w:tc>
        <w:tc>
          <w:tcPr>
            <w:tcW w:w="851" w:type="dxa"/>
            <w:vAlign w:val="bottom"/>
          </w:tcPr>
          <w:p w14:paraId="5CBDF635" w14:textId="77777777" w:rsidR="0012790E" w:rsidRPr="0012790E" w:rsidRDefault="0012790E">
            <w:pPr>
              <w:pStyle w:val="Summarytabletextrightaligned"/>
              <w:rPr>
                <w:szCs w:val="16"/>
              </w:rPr>
            </w:pPr>
            <w:r w:rsidRPr="0012790E">
              <w:rPr>
                <w:szCs w:val="16"/>
              </w:rPr>
              <w:noBreakHyphen/>
              <w:t>6.0</w:t>
            </w:r>
          </w:p>
        </w:tc>
      </w:tr>
      <w:tr w:rsidR="0012790E" w:rsidRPr="0012790E" w14:paraId="4F7AC441" w14:textId="77777777" w:rsidTr="54937204">
        <w:tc>
          <w:tcPr>
            <w:tcW w:w="3470" w:type="dxa"/>
            <w:shd w:val="clear" w:color="auto" w:fill="auto"/>
            <w:vAlign w:val="bottom"/>
          </w:tcPr>
          <w:p w14:paraId="21D4CBC6" w14:textId="77777777" w:rsidR="0012790E" w:rsidRPr="0012790E" w:rsidRDefault="0012790E">
            <w:pPr>
              <w:pStyle w:val="SummaryAgencyTitle-BP2"/>
              <w:rPr>
                <w:iCs/>
              </w:rPr>
            </w:pPr>
            <w:r w:rsidRPr="0012790E">
              <w:rPr>
                <w:iCs/>
              </w:rPr>
              <w:t>Clean Energy Regulator</w:t>
            </w:r>
          </w:p>
        </w:tc>
        <w:tc>
          <w:tcPr>
            <w:tcW w:w="851" w:type="dxa"/>
            <w:vAlign w:val="bottom"/>
          </w:tcPr>
          <w:p w14:paraId="7B9A1DCD" w14:textId="77777777" w:rsidR="0012790E" w:rsidRPr="0012790E" w:rsidRDefault="0012790E">
            <w:pPr>
              <w:pStyle w:val="SummaryAgencyTitle-BP2"/>
              <w:rPr>
                <w:iCs/>
              </w:rPr>
            </w:pPr>
          </w:p>
        </w:tc>
        <w:tc>
          <w:tcPr>
            <w:tcW w:w="851" w:type="dxa"/>
            <w:shd w:val="clear" w:color="auto" w:fill="E6F2FF"/>
            <w:vAlign w:val="bottom"/>
          </w:tcPr>
          <w:p w14:paraId="62764E7C" w14:textId="77777777" w:rsidR="0012790E" w:rsidRPr="0012790E" w:rsidRDefault="0012790E">
            <w:pPr>
              <w:pStyle w:val="SummaryAgencyTitle-BP2"/>
              <w:rPr>
                <w:iCs/>
              </w:rPr>
            </w:pPr>
          </w:p>
        </w:tc>
        <w:tc>
          <w:tcPr>
            <w:tcW w:w="851" w:type="dxa"/>
            <w:vAlign w:val="bottom"/>
          </w:tcPr>
          <w:p w14:paraId="6FADE58D" w14:textId="77777777" w:rsidR="0012790E" w:rsidRPr="0012790E" w:rsidRDefault="0012790E">
            <w:pPr>
              <w:pStyle w:val="SummaryAgencyTitle-BP2"/>
              <w:rPr>
                <w:iCs/>
              </w:rPr>
            </w:pPr>
          </w:p>
        </w:tc>
        <w:tc>
          <w:tcPr>
            <w:tcW w:w="851" w:type="dxa"/>
            <w:vAlign w:val="bottom"/>
          </w:tcPr>
          <w:p w14:paraId="7D4C51BF" w14:textId="77777777" w:rsidR="0012790E" w:rsidRPr="0012790E" w:rsidRDefault="0012790E">
            <w:pPr>
              <w:pStyle w:val="SummaryAgencyTitle-BP2"/>
              <w:rPr>
                <w:iCs/>
              </w:rPr>
            </w:pPr>
          </w:p>
        </w:tc>
        <w:tc>
          <w:tcPr>
            <w:tcW w:w="851" w:type="dxa"/>
            <w:vAlign w:val="bottom"/>
          </w:tcPr>
          <w:p w14:paraId="73E91295" w14:textId="77777777" w:rsidR="0012790E" w:rsidRPr="0012790E" w:rsidRDefault="0012790E">
            <w:pPr>
              <w:pStyle w:val="SummaryAgencyTitle-BP2"/>
              <w:rPr>
                <w:iCs/>
              </w:rPr>
            </w:pPr>
          </w:p>
        </w:tc>
      </w:tr>
      <w:tr w:rsidR="0012790E" w:rsidRPr="0012790E" w14:paraId="02E65472" w14:textId="77777777" w:rsidTr="54937204">
        <w:tc>
          <w:tcPr>
            <w:tcW w:w="3470" w:type="dxa"/>
            <w:shd w:val="clear" w:color="auto" w:fill="auto"/>
            <w:vAlign w:val="bottom"/>
          </w:tcPr>
          <w:p w14:paraId="33C7E1A2" w14:textId="77777777" w:rsidR="0012790E" w:rsidRPr="0012790E" w:rsidRDefault="0012790E">
            <w:pPr>
              <w:pStyle w:val="SummaryMeasureTitlewithTheme"/>
            </w:pPr>
            <w:r w:rsidRPr="0012790E">
              <w:t>Future Made in Australia – Making Australia a Renewable Energy Superpower(b)</w:t>
            </w:r>
          </w:p>
        </w:tc>
        <w:tc>
          <w:tcPr>
            <w:tcW w:w="851" w:type="dxa"/>
            <w:vAlign w:val="bottom"/>
          </w:tcPr>
          <w:p w14:paraId="1627CC8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FDE5E97" w14:textId="77777777" w:rsidR="0012790E" w:rsidRPr="0012790E" w:rsidRDefault="0012790E">
            <w:pPr>
              <w:pStyle w:val="Summarytabletextrightaligned"/>
              <w:rPr>
                <w:szCs w:val="16"/>
              </w:rPr>
            </w:pPr>
            <w:r w:rsidRPr="0012790E">
              <w:rPr>
                <w:szCs w:val="16"/>
              </w:rPr>
              <w:t>1.9</w:t>
            </w:r>
          </w:p>
        </w:tc>
        <w:tc>
          <w:tcPr>
            <w:tcW w:w="851" w:type="dxa"/>
            <w:vAlign w:val="bottom"/>
          </w:tcPr>
          <w:p w14:paraId="60DF90E2" w14:textId="77777777" w:rsidR="0012790E" w:rsidRPr="0012790E" w:rsidRDefault="0012790E">
            <w:pPr>
              <w:pStyle w:val="Summarytabletextrightaligned"/>
              <w:rPr>
                <w:szCs w:val="16"/>
              </w:rPr>
            </w:pPr>
            <w:r w:rsidRPr="0012790E">
              <w:rPr>
                <w:szCs w:val="16"/>
              </w:rPr>
              <w:t>4.3</w:t>
            </w:r>
          </w:p>
        </w:tc>
        <w:tc>
          <w:tcPr>
            <w:tcW w:w="851" w:type="dxa"/>
            <w:vAlign w:val="bottom"/>
          </w:tcPr>
          <w:p w14:paraId="7BC6199F" w14:textId="77777777" w:rsidR="0012790E" w:rsidRPr="0012790E" w:rsidRDefault="0012790E">
            <w:pPr>
              <w:pStyle w:val="Summarytabletextrightaligned"/>
              <w:rPr>
                <w:szCs w:val="16"/>
              </w:rPr>
            </w:pPr>
            <w:r w:rsidRPr="0012790E">
              <w:rPr>
                <w:szCs w:val="16"/>
              </w:rPr>
              <w:t>6.1</w:t>
            </w:r>
          </w:p>
        </w:tc>
        <w:tc>
          <w:tcPr>
            <w:tcW w:w="851" w:type="dxa"/>
            <w:vAlign w:val="bottom"/>
          </w:tcPr>
          <w:p w14:paraId="79D1DBB3" w14:textId="77777777" w:rsidR="0012790E" w:rsidRPr="0012790E" w:rsidRDefault="0012790E">
            <w:pPr>
              <w:pStyle w:val="Summarytabletextrightaligned"/>
              <w:rPr>
                <w:szCs w:val="16"/>
              </w:rPr>
            </w:pPr>
            <w:r w:rsidRPr="0012790E">
              <w:rPr>
                <w:szCs w:val="16"/>
              </w:rPr>
              <w:t>3.4</w:t>
            </w:r>
          </w:p>
        </w:tc>
      </w:tr>
      <w:tr w:rsidR="0012790E" w:rsidRPr="0012790E" w14:paraId="3A592DD5" w14:textId="77777777" w:rsidTr="54937204">
        <w:tc>
          <w:tcPr>
            <w:tcW w:w="3470" w:type="dxa"/>
            <w:shd w:val="clear" w:color="auto" w:fill="auto"/>
            <w:vAlign w:val="bottom"/>
          </w:tcPr>
          <w:p w14:paraId="59425AFA" w14:textId="77777777" w:rsidR="0012790E" w:rsidRPr="0012790E" w:rsidRDefault="0012790E">
            <w:pPr>
              <w:pStyle w:val="SummaryMeasureTitlewithTheme"/>
            </w:pPr>
            <w:r w:rsidRPr="0012790E">
              <w:t>Future Made in Australia – Strengthening Approvals Processes(b)</w:t>
            </w:r>
          </w:p>
        </w:tc>
        <w:tc>
          <w:tcPr>
            <w:tcW w:w="851" w:type="dxa"/>
            <w:vAlign w:val="bottom"/>
          </w:tcPr>
          <w:p w14:paraId="61A9003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B791A57" w14:textId="77777777" w:rsidR="0012790E" w:rsidRPr="0012790E" w:rsidRDefault="0012790E">
            <w:pPr>
              <w:pStyle w:val="Summarytabletextrightaligned"/>
              <w:rPr>
                <w:szCs w:val="16"/>
              </w:rPr>
            </w:pPr>
            <w:r w:rsidRPr="0012790E">
              <w:rPr>
                <w:szCs w:val="16"/>
              </w:rPr>
              <w:t>1.2</w:t>
            </w:r>
          </w:p>
        </w:tc>
        <w:tc>
          <w:tcPr>
            <w:tcW w:w="851" w:type="dxa"/>
            <w:vAlign w:val="bottom"/>
          </w:tcPr>
          <w:p w14:paraId="5FF43A78" w14:textId="77777777" w:rsidR="0012790E" w:rsidRPr="0012790E" w:rsidRDefault="0012790E">
            <w:pPr>
              <w:pStyle w:val="Summarytabletextrightaligned"/>
              <w:rPr>
                <w:szCs w:val="16"/>
              </w:rPr>
            </w:pPr>
            <w:r w:rsidRPr="0012790E">
              <w:rPr>
                <w:szCs w:val="16"/>
              </w:rPr>
              <w:t>0.5</w:t>
            </w:r>
          </w:p>
        </w:tc>
        <w:tc>
          <w:tcPr>
            <w:tcW w:w="851" w:type="dxa"/>
            <w:vAlign w:val="bottom"/>
          </w:tcPr>
          <w:p w14:paraId="3773F6A5" w14:textId="77777777" w:rsidR="0012790E" w:rsidRPr="0012790E" w:rsidRDefault="0012790E">
            <w:pPr>
              <w:pStyle w:val="Summarytabletextrightaligned"/>
              <w:rPr>
                <w:szCs w:val="16"/>
              </w:rPr>
            </w:pPr>
            <w:r w:rsidRPr="0012790E">
              <w:rPr>
                <w:szCs w:val="16"/>
              </w:rPr>
              <w:t>0.4</w:t>
            </w:r>
          </w:p>
        </w:tc>
        <w:tc>
          <w:tcPr>
            <w:tcW w:w="851" w:type="dxa"/>
            <w:vAlign w:val="bottom"/>
          </w:tcPr>
          <w:p w14:paraId="76C9E4BD" w14:textId="77777777" w:rsidR="0012790E" w:rsidRPr="0012790E" w:rsidRDefault="0012790E">
            <w:pPr>
              <w:pStyle w:val="Summarytabletextrightaligned"/>
              <w:rPr>
                <w:szCs w:val="16"/>
              </w:rPr>
            </w:pPr>
            <w:r w:rsidRPr="0012790E">
              <w:rPr>
                <w:szCs w:val="16"/>
              </w:rPr>
              <w:t>0.4</w:t>
            </w:r>
          </w:p>
        </w:tc>
      </w:tr>
      <w:tr w:rsidR="0012790E" w:rsidRPr="0012790E" w14:paraId="3E706262" w14:textId="77777777" w:rsidTr="54937204">
        <w:tc>
          <w:tcPr>
            <w:tcW w:w="3470" w:type="dxa"/>
            <w:shd w:val="clear" w:color="auto" w:fill="auto"/>
            <w:vAlign w:val="bottom"/>
          </w:tcPr>
          <w:p w14:paraId="0A4011EF" w14:textId="77777777" w:rsidR="0012790E" w:rsidRPr="0012790E" w:rsidRDefault="0012790E">
            <w:pPr>
              <w:pStyle w:val="SummaryMeasureTitlewithTheme"/>
            </w:pPr>
            <w:r w:rsidRPr="0012790E">
              <w:t>Improving the Australian Carbon Credit Unit Scheme(b)</w:t>
            </w:r>
          </w:p>
        </w:tc>
        <w:tc>
          <w:tcPr>
            <w:tcW w:w="851" w:type="dxa"/>
            <w:vAlign w:val="bottom"/>
          </w:tcPr>
          <w:p w14:paraId="56FCB139" w14:textId="77777777" w:rsidR="0012790E" w:rsidRPr="0012790E" w:rsidRDefault="0012790E">
            <w:pPr>
              <w:pStyle w:val="Summarytabletextrightaligned"/>
              <w:rPr>
                <w:szCs w:val="16"/>
              </w:rPr>
            </w:pPr>
            <w:r w:rsidRPr="0012790E">
              <w:rPr>
                <w:szCs w:val="16"/>
              </w:rPr>
              <w:noBreakHyphen/>
              <w:t>8.5</w:t>
            </w:r>
          </w:p>
        </w:tc>
        <w:tc>
          <w:tcPr>
            <w:tcW w:w="851" w:type="dxa"/>
            <w:shd w:val="clear" w:color="auto" w:fill="E6F2FF"/>
            <w:vAlign w:val="bottom"/>
          </w:tcPr>
          <w:p w14:paraId="3727C8C6" w14:textId="77777777" w:rsidR="0012790E" w:rsidRPr="0012790E" w:rsidRDefault="0012790E">
            <w:pPr>
              <w:pStyle w:val="Summarytabletextrightaligned"/>
              <w:rPr>
                <w:szCs w:val="16"/>
              </w:rPr>
            </w:pPr>
            <w:r w:rsidRPr="0012790E">
              <w:rPr>
                <w:szCs w:val="16"/>
              </w:rPr>
              <w:noBreakHyphen/>
              <w:t>8.1</w:t>
            </w:r>
          </w:p>
        </w:tc>
        <w:tc>
          <w:tcPr>
            <w:tcW w:w="851" w:type="dxa"/>
            <w:vAlign w:val="bottom"/>
          </w:tcPr>
          <w:p w14:paraId="0C4E3172" w14:textId="77777777" w:rsidR="0012790E" w:rsidRPr="0012790E" w:rsidRDefault="0012790E">
            <w:pPr>
              <w:pStyle w:val="Summarytabletextrightaligned"/>
              <w:rPr>
                <w:szCs w:val="16"/>
              </w:rPr>
            </w:pPr>
            <w:r w:rsidRPr="0012790E">
              <w:rPr>
                <w:szCs w:val="16"/>
              </w:rPr>
              <w:noBreakHyphen/>
              <w:t>8.1</w:t>
            </w:r>
          </w:p>
        </w:tc>
        <w:tc>
          <w:tcPr>
            <w:tcW w:w="851" w:type="dxa"/>
            <w:vAlign w:val="bottom"/>
          </w:tcPr>
          <w:p w14:paraId="2ECB89E7" w14:textId="77777777" w:rsidR="0012790E" w:rsidRPr="0012790E" w:rsidRDefault="0012790E">
            <w:pPr>
              <w:pStyle w:val="Summarytabletextrightaligned"/>
              <w:rPr>
                <w:szCs w:val="16"/>
              </w:rPr>
            </w:pPr>
            <w:r w:rsidRPr="0012790E">
              <w:rPr>
                <w:szCs w:val="16"/>
              </w:rPr>
              <w:noBreakHyphen/>
              <w:t>8.1</w:t>
            </w:r>
          </w:p>
        </w:tc>
        <w:tc>
          <w:tcPr>
            <w:tcW w:w="851" w:type="dxa"/>
            <w:vAlign w:val="bottom"/>
          </w:tcPr>
          <w:p w14:paraId="51763231" w14:textId="77777777" w:rsidR="0012790E" w:rsidRPr="0012790E" w:rsidRDefault="0012790E">
            <w:pPr>
              <w:pStyle w:val="Summarytabletextrightaligned"/>
              <w:rPr>
                <w:szCs w:val="16"/>
              </w:rPr>
            </w:pPr>
            <w:r w:rsidRPr="0012790E">
              <w:rPr>
                <w:szCs w:val="16"/>
              </w:rPr>
              <w:noBreakHyphen/>
              <w:t>7.3</w:t>
            </w:r>
          </w:p>
        </w:tc>
      </w:tr>
      <w:tr w:rsidR="0012790E" w:rsidRPr="0012790E" w14:paraId="2592F04F" w14:textId="77777777" w:rsidTr="54937204">
        <w:tc>
          <w:tcPr>
            <w:tcW w:w="3470" w:type="dxa"/>
            <w:shd w:val="clear" w:color="auto" w:fill="auto"/>
            <w:vAlign w:val="bottom"/>
          </w:tcPr>
          <w:p w14:paraId="787B289C" w14:textId="77777777" w:rsidR="0012790E" w:rsidRPr="0012790E" w:rsidRDefault="0012790E">
            <w:pPr>
              <w:pStyle w:val="SummaryMeasureTitlewithTheme"/>
            </w:pPr>
            <w:r w:rsidRPr="0012790E">
              <w:t>Nature Positive Plan – additional funding</w:t>
            </w:r>
          </w:p>
        </w:tc>
        <w:tc>
          <w:tcPr>
            <w:tcW w:w="851" w:type="dxa"/>
            <w:vAlign w:val="bottom"/>
          </w:tcPr>
          <w:p w14:paraId="27D1CEC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6F75821" w14:textId="77777777" w:rsidR="0012790E" w:rsidRPr="0012790E" w:rsidRDefault="0012790E">
            <w:pPr>
              <w:pStyle w:val="Summarytabletextrightaligned"/>
              <w:rPr>
                <w:szCs w:val="16"/>
              </w:rPr>
            </w:pPr>
            <w:r w:rsidRPr="0012790E">
              <w:rPr>
                <w:szCs w:val="16"/>
              </w:rPr>
              <w:t>6.5</w:t>
            </w:r>
          </w:p>
        </w:tc>
        <w:tc>
          <w:tcPr>
            <w:tcW w:w="851" w:type="dxa"/>
            <w:vAlign w:val="bottom"/>
          </w:tcPr>
          <w:p w14:paraId="49FCB2AB" w14:textId="77777777" w:rsidR="0012790E" w:rsidRPr="0012790E" w:rsidRDefault="0012790E">
            <w:pPr>
              <w:pStyle w:val="Summarytabletextrightaligned"/>
              <w:rPr>
                <w:szCs w:val="16"/>
              </w:rPr>
            </w:pPr>
            <w:r w:rsidRPr="0012790E">
              <w:rPr>
                <w:szCs w:val="16"/>
              </w:rPr>
              <w:t>7.5</w:t>
            </w:r>
          </w:p>
        </w:tc>
        <w:tc>
          <w:tcPr>
            <w:tcW w:w="851" w:type="dxa"/>
            <w:vAlign w:val="bottom"/>
          </w:tcPr>
          <w:p w14:paraId="7E5F2B4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40D195E" w14:textId="77777777" w:rsidR="0012790E" w:rsidRPr="0012790E" w:rsidRDefault="0012790E">
            <w:pPr>
              <w:pStyle w:val="Summarytabletextrightaligned"/>
              <w:rPr>
                <w:szCs w:val="16"/>
              </w:rPr>
            </w:pPr>
            <w:r w:rsidRPr="0012790E">
              <w:rPr>
                <w:szCs w:val="16"/>
              </w:rPr>
              <w:noBreakHyphen/>
            </w:r>
          </w:p>
        </w:tc>
      </w:tr>
      <w:tr w:rsidR="0012790E" w:rsidRPr="0012790E" w14:paraId="64233A62" w14:textId="77777777" w:rsidTr="54937204">
        <w:tc>
          <w:tcPr>
            <w:tcW w:w="3470" w:type="dxa"/>
            <w:shd w:val="clear" w:color="auto" w:fill="auto"/>
            <w:vAlign w:val="bottom"/>
          </w:tcPr>
          <w:p w14:paraId="1119D347" w14:textId="77777777" w:rsidR="0012790E" w:rsidRPr="0012790E" w:rsidRDefault="0012790E">
            <w:pPr>
              <w:pStyle w:val="SummaryMeasureTitlewithTheme"/>
            </w:pPr>
            <w:r w:rsidRPr="0012790E">
              <w:t>New Vehicle Efficiency Standard Implementation(b)</w:t>
            </w:r>
          </w:p>
        </w:tc>
        <w:tc>
          <w:tcPr>
            <w:tcW w:w="851" w:type="dxa"/>
            <w:vAlign w:val="bottom"/>
          </w:tcPr>
          <w:p w14:paraId="26CB16B2"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8328494" w14:textId="77777777" w:rsidR="0012790E" w:rsidRPr="0012790E" w:rsidRDefault="0012790E">
            <w:pPr>
              <w:pStyle w:val="Summarytabletextrightaligned"/>
              <w:rPr>
                <w:szCs w:val="16"/>
              </w:rPr>
            </w:pPr>
            <w:r w:rsidRPr="0012790E">
              <w:rPr>
                <w:szCs w:val="16"/>
              </w:rPr>
              <w:t>0.7</w:t>
            </w:r>
          </w:p>
        </w:tc>
        <w:tc>
          <w:tcPr>
            <w:tcW w:w="851" w:type="dxa"/>
            <w:vAlign w:val="bottom"/>
          </w:tcPr>
          <w:p w14:paraId="2514FA68" w14:textId="77777777" w:rsidR="0012790E" w:rsidRPr="0012790E" w:rsidRDefault="0012790E">
            <w:pPr>
              <w:pStyle w:val="Summarytabletextrightaligned"/>
              <w:rPr>
                <w:szCs w:val="16"/>
              </w:rPr>
            </w:pPr>
            <w:r w:rsidRPr="0012790E">
              <w:rPr>
                <w:szCs w:val="16"/>
              </w:rPr>
              <w:t>1.1</w:t>
            </w:r>
          </w:p>
        </w:tc>
        <w:tc>
          <w:tcPr>
            <w:tcW w:w="851" w:type="dxa"/>
            <w:vAlign w:val="bottom"/>
          </w:tcPr>
          <w:p w14:paraId="30D73D0D" w14:textId="77777777" w:rsidR="0012790E" w:rsidRPr="0012790E" w:rsidRDefault="0012790E">
            <w:pPr>
              <w:pStyle w:val="Summarytabletextrightaligned"/>
              <w:rPr>
                <w:szCs w:val="16"/>
              </w:rPr>
            </w:pPr>
            <w:r w:rsidRPr="0012790E">
              <w:rPr>
                <w:szCs w:val="16"/>
              </w:rPr>
              <w:t>1.0</w:t>
            </w:r>
          </w:p>
        </w:tc>
        <w:tc>
          <w:tcPr>
            <w:tcW w:w="851" w:type="dxa"/>
            <w:vAlign w:val="bottom"/>
          </w:tcPr>
          <w:p w14:paraId="4C4DEA52" w14:textId="77777777" w:rsidR="0012790E" w:rsidRPr="0012790E" w:rsidRDefault="0012790E">
            <w:pPr>
              <w:pStyle w:val="Summarytabletextrightaligned"/>
              <w:rPr>
                <w:szCs w:val="16"/>
              </w:rPr>
            </w:pPr>
            <w:r w:rsidRPr="0012790E">
              <w:rPr>
                <w:szCs w:val="16"/>
              </w:rPr>
              <w:t>1.1</w:t>
            </w:r>
          </w:p>
        </w:tc>
      </w:tr>
      <w:tr w:rsidR="0012790E" w:rsidRPr="0012790E" w14:paraId="3E315E84" w14:textId="77777777" w:rsidTr="54937204">
        <w:tc>
          <w:tcPr>
            <w:tcW w:w="3470" w:type="dxa"/>
            <w:shd w:val="clear" w:color="auto" w:fill="auto"/>
            <w:vAlign w:val="bottom"/>
          </w:tcPr>
          <w:p w14:paraId="36839F56" w14:textId="77777777" w:rsidR="0012790E" w:rsidRPr="0012790E" w:rsidRDefault="0012790E">
            <w:pPr>
              <w:pStyle w:val="SummaryAgencyTitle-BP2"/>
              <w:rPr>
                <w:iCs/>
              </w:rPr>
            </w:pPr>
            <w:r w:rsidRPr="0012790E">
              <w:rPr>
                <w:iCs/>
              </w:rPr>
              <w:t>Department of Climate Change, Energy, the Environment and Water</w:t>
            </w:r>
          </w:p>
        </w:tc>
        <w:tc>
          <w:tcPr>
            <w:tcW w:w="851" w:type="dxa"/>
            <w:vAlign w:val="bottom"/>
          </w:tcPr>
          <w:p w14:paraId="728488FF" w14:textId="77777777" w:rsidR="0012790E" w:rsidRPr="0012790E" w:rsidRDefault="0012790E">
            <w:pPr>
              <w:pStyle w:val="SummaryAgencyTitle-BP2"/>
              <w:rPr>
                <w:iCs/>
              </w:rPr>
            </w:pPr>
          </w:p>
        </w:tc>
        <w:tc>
          <w:tcPr>
            <w:tcW w:w="851" w:type="dxa"/>
            <w:shd w:val="clear" w:color="auto" w:fill="E6F2FF"/>
            <w:vAlign w:val="bottom"/>
          </w:tcPr>
          <w:p w14:paraId="618887E9" w14:textId="77777777" w:rsidR="0012790E" w:rsidRPr="0012790E" w:rsidRDefault="0012790E">
            <w:pPr>
              <w:pStyle w:val="SummaryAgencyTitle-BP2"/>
              <w:rPr>
                <w:iCs/>
              </w:rPr>
            </w:pPr>
          </w:p>
        </w:tc>
        <w:tc>
          <w:tcPr>
            <w:tcW w:w="851" w:type="dxa"/>
            <w:vAlign w:val="bottom"/>
          </w:tcPr>
          <w:p w14:paraId="4DD2D76D" w14:textId="77777777" w:rsidR="0012790E" w:rsidRPr="0012790E" w:rsidRDefault="0012790E">
            <w:pPr>
              <w:pStyle w:val="SummaryAgencyTitle-BP2"/>
              <w:rPr>
                <w:iCs/>
              </w:rPr>
            </w:pPr>
          </w:p>
        </w:tc>
        <w:tc>
          <w:tcPr>
            <w:tcW w:w="851" w:type="dxa"/>
            <w:vAlign w:val="bottom"/>
          </w:tcPr>
          <w:p w14:paraId="2C9F4C03" w14:textId="77777777" w:rsidR="0012790E" w:rsidRPr="0012790E" w:rsidRDefault="0012790E">
            <w:pPr>
              <w:pStyle w:val="SummaryAgencyTitle-BP2"/>
              <w:rPr>
                <w:iCs/>
              </w:rPr>
            </w:pPr>
          </w:p>
        </w:tc>
        <w:tc>
          <w:tcPr>
            <w:tcW w:w="851" w:type="dxa"/>
            <w:vAlign w:val="bottom"/>
          </w:tcPr>
          <w:p w14:paraId="7633D9A4" w14:textId="77777777" w:rsidR="0012790E" w:rsidRPr="0012790E" w:rsidRDefault="0012790E">
            <w:pPr>
              <w:pStyle w:val="SummaryAgencyTitle-BP2"/>
              <w:rPr>
                <w:iCs/>
              </w:rPr>
            </w:pPr>
          </w:p>
        </w:tc>
      </w:tr>
      <w:tr w:rsidR="0012790E" w:rsidRPr="0012790E" w14:paraId="6A1C5386" w14:textId="77777777" w:rsidTr="54937204">
        <w:tc>
          <w:tcPr>
            <w:tcW w:w="3470" w:type="dxa"/>
            <w:shd w:val="clear" w:color="auto" w:fill="auto"/>
            <w:vAlign w:val="bottom"/>
          </w:tcPr>
          <w:p w14:paraId="0703C433" w14:textId="77777777" w:rsidR="0012790E" w:rsidRPr="0012790E" w:rsidRDefault="0012790E">
            <w:pPr>
              <w:pStyle w:val="SummaryMeasureTitlewithTheme"/>
            </w:pPr>
            <w:r w:rsidRPr="0012790E">
              <w:t>Agriculture and Land Sectors – low emissions future</w:t>
            </w:r>
          </w:p>
        </w:tc>
        <w:tc>
          <w:tcPr>
            <w:tcW w:w="851" w:type="dxa"/>
            <w:vAlign w:val="bottom"/>
          </w:tcPr>
          <w:p w14:paraId="368A8EA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C8E6F81" w14:textId="77777777" w:rsidR="0012790E" w:rsidRPr="0012790E" w:rsidRDefault="0012790E">
            <w:pPr>
              <w:pStyle w:val="Summarytabletextrightaligned"/>
              <w:rPr>
                <w:szCs w:val="16"/>
              </w:rPr>
            </w:pPr>
            <w:r w:rsidRPr="0012790E">
              <w:rPr>
                <w:szCs w:val="16"/>
              </w:rPr>
              <w:t>8.6</w:t>
            </w:r>
          </w:p>
        </w:tc>
        <w:tc>
          <w:tcPr>
            <w:tcW w:w="851" w:type="dxa"/>
            <w:vAlign w:val="bottom"/>
          </w:tcPr>
          <w:p w14:paraId="7F58B0D4" w14:textId="77777777" w:rsidR="0012790E" w:rsidRPr="0012790E" w:rsidRDefault="0012790E">
            <w:pPr>
              <w:pStyle w:val="Summarytabletextrightaligned"/>
              <w:rPr>
                <w:szCs w:val="16"/>
              </w:rPr>
            </w:pPr>
            <w:r w:rsidRPr="0012790E">
              <w:rPr>
                <w:szCs w:val="16"/>
              </w:rPr>
              <w:t>4.3</w:t>
            </w:r>
          </w:p>
        </w:tc>
        <w:tc>
          <w:tcPr>
            <w:tcW w:w="851" w:type="dxa"/>
            <w:vAlign w:val="bottom"/>
          </w:tcPr>
          <w:p w14:paraId="0884B6B8" w14:textId="77777777" w:rsidR="0012790E" w:rsidRPr="0012790E" w:rsidRDefault="0012790E">
            <w:pPr>
              <w:pStyle w:val="Summarytabletextrightaligned"/>
              <w:rPr>
                <w:szCs w:val="16"/>
              </w:rPr>
            </w:pPr>
            <w:r w:rsidRPr="0012790E">
              <w:rPr>
                <w:szCs w:val="16"/>
              </w:rPr>
              <w:t>3.8</w:t>
            </w:r>
          </w:p>
        </w:tc>
        <w:tc>
          <w:tcPr>
            <w:tcW w:w="851" w:type="dxa"/>
            <w:vAlign w:val="bottom"/>
          </w:tcPr>
          <w:p w14:paraId="66627481" w14:textId="77777777" w:rsidR="0012790E" w:rsidRPr="0012790E" w:rsidRDefault="0012790E">
            <w:pPr>
              <w:pStyle w:val="Summarytabletextrightaligned"/>
              <w:rPr>
                <w:szCs w:val="16"/>
              </w:rPr>
            </w:pPr>
            <w:r w:rsidRPr="0012790E">
              <w:rPr>
                <w:szCs w:val="16"/>
              </w:rPr>
              <w:t>2.3</w:t>
            </w:r>
          </w:p>
        </w:tc>
      </w:tr>
      <w:tr w:rsidR="0012790E" w:rsidRPr="0012790E" w14:paraId="3374FEB7" w14:textId="77777777" w:rsidTr="54937204">
        <w:tc>
          <w:tcPr>
            <w:tcW w:w="3470" w:type="dxa"/>
            <w:shd w:val="clear" w:color="auto" w:fill="auto"/>
            <w:vAlign w:val="bottom"/>
          </w:tcPr>
          <w:p w14:paraId="5BBD33A3" w14:textId="77777777" w:rsidR="0012790E" w:rsidRPr="0012790E" w:rsidRDefault="0012790E">
            <w:pPr>
              <w:pStyle w:val="SummaryMeasureTitlewithTheme"/>
            </w:pPr>
            <w:r w:rsidRPr="0012790E">
              <w:t>Attorney</w:t>
            </w:r>
            <w:r w:rsidRPr="0012790E">
              <w:noBreakHyphen/>
              <w:t>General's Portfolio – additional resourcing</w:t>
            </w:r>
          </w:p>
        </w:tc>
        <w:tc>
          <w:tcPr>
            <w:tcW w:w="851" w:type="dxa"/>
            <w:vAlign w:val="bottom"/>
          </w:tcPr>
          <w:p w14:paraId="0472ED0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7FAEB59"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002380B7"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6D0D959D"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3D319D86" w14:textId="77777777" w:rsidR="0012790E" w:rsidRPr="0012790E" w:rsidRDefault="0012790E" w:rsidP="54937204">
            <w:pPr>
              <w:pStyle w:val="Summarytabletextrightaligned"/>
              <w:rPr>
                <w:lang w:val="en-US"/>
              </w:rPr>
            </w:pPr>
            <w:r w:rsidRPr="54937204">
              <w:rPr>
                <w:lang w:val="en-US"/>
              </w:rPr>
              <w:t>nfp</w:t>
            </w:r>
          </w:p>
        </w:tc>
      </w:tr>
      <w:tr w:rsidR="0012790E" w:rsidRPr="0012790E" w14:paraId="604B5EEF" w14:textId="77777777" w:rsidTr="54937204">
        <w:tc>
          <w:tcPr>
            <w:tcW w:w="3470" w:type="dxa"/>
            <w:shd w:val="clear" w:color="auto" w:fill="auto"/>
            <w:vAlign w:val="bottom"/>
          </w:tcPr>
          <w:p w14:paraId="2A5C6E93" w14:textId="77777777" w:rsidR="0012790E" w:rsidRPr="0012790E" w:rsidRDefault="0012790E">
            <w:pPr>
              <w:pStyle w:val="SummaryMeasureTitlewithTheme"/>
            </w:pPr>
            <w:r w:rsidRPr="0012790E">
              <w:t>Australia</w:t>
            </w:r>
            <w:r w:rsidRPr="0012790E">
              <w:noBreakHyphen/>
              <w:t>France Enhanced Relations</w:t>
            </w:r>
          </w:p>
        </w:tc>
        <w:tc>
          <w:tcPr>
            <w:tcW w:w="851" w:type="dxa"/>
            <w:vAlign w:val="bottom"/>
          </w:tcPr>
          <w:p w14:paraId="370ACAC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4130CAA" w14:textId="67CB4C13" w:rsidR="0012790E" w:rsidRPr="0012790E" w:rsidRDefault="00D13161">
            <w:pPr>
              <w:pStyle w:val="Summarytabletextrightaligned"/>
              <w:rPr>
                <w:szCs w:val="16"/>
              </w:rPr>
            </w:pPr>
            <w:r>
              <w:rPr>
                <w:szCs w:val="16"/>
              </w:rPr>
              <w:t>-</w:t>
            </w:r>
          </w:p>
        </w:tc>
        <w:tc>
          <w:tcPr>
            <w:tcW w:w="851" w:type="dxa"/>
            <w:vAlign w:val="bottom"/>
          </w:tcPr>
          <w:p w14:paraId="59D9A8B4" w14:textId="7D32696A" w:rsidR="0012790E" w:rsidRPr="0012790E" w:rsidRDefault="00D13161">
            <w:pPr>
              <w:pStyle w:val="Summarytabletextrightaligned"/>
              <w:rPr>
                <w:szCs w:val="16"/>
              </w:rPr>
            </w:pPr>
            <w:r>
              <w:rPr>
                <w:szCs w:val="16"/>
              </w:rPr>
              <w:t>-</w:t>
            </w:r>
          </w:p>
        </w:tc>
        <w:tc>
          <w:tcPr>
            <w:tcW w:w="851" w:type="dxa"/>
            <w:vAlign w:val="bottom"/>
          </w:tcPr>
          <w:p w14:paraId="0E29DE28" w14:textId="1202F2A9" w:rsidR="0012790E" w:rsidRPr="0012790E" w:rsidRDefault="00D13161">
            <w:pPr>
              <w:pStyle w:val="Summarytabletextrightaligned"/>
              <w:rPr>
                <w:szCs w:val="16"/>
              </w:rPr>
            </w:pPr>
            <w:r>
              <w:rPr>
                <w:szCs w:val="16"/>
              </w:rPr>
              <w:t>-</w:t>
            </w:r>
          </w:p>
        </w:tc>
        <w:tc>
          <w:tcPr>
            <w:tcW w:w="851" w:type="dxa"/>
            <w:vAlign w:val="bottom"/>
          </w:tcPr>
          <w:p w14:paraId="773C530F" w14:textId="1623E748" w:rsidR="0012790E" w:rsidRPr="0012790E" w:rsidRDefault="00D13161">
            <w:pPr>
              <w:pStyle w:val="Summarytabletextrightaligned"/>
              <w:rPr>
                <w:szCs w:val="16"/>
              </w:rPr>
            </w:pPr>
            <w:r>
              <w:rPr>
                <w:szCs w:val="16"/>
              </w:rPr>
              <w:t>-</w:t>
            </w:r>
          </w:p>
        </w:tc>
      </w:tr>
      <w:tr w:rsidR="0012790E" w:rsidRPr="0012790E" w14:paraId="63FE8F2C" w14:textId="77777777" w:rsidTr="54937204">
        <w:tc>
          <w:tcPr>
            <w:tcW w:w="3470" w:type="dxa"/>
            <w:shd w:val="clear" w:color="auto" w:fill="auto"/>
            <w:vAlign w:val="bottom"/>
          </w:tcPr>
          <w:p w14:paraId="4685D3A9" w14:textId="77777777" w:rsidR="0012790E" w:rsidRPr="0012790E" w:rsidRDefault="0012790E">
            <w:pPr>
              <w:pStyle w:val="SummaryMeasureTitlewithTheme"/>
            </w:pPr>
            <w:r w:rsidRPr="0012790E">
              <w:t>Australia's International Climate Change Engagement</w:t>
            </w:r>
          </w:p>
        </w:tc>
        <w:tc>
          <w:tcPr>
            <w:tcW w:w="851" w:type="dxa"/>
            <w:vAlign w:val="bottom"/>
          </w:tcPr>
          <w:p w14:paraId="1715D642" w14:textId="77777777" w:rsidR="0012790E" w:rsidRPr="0012790E" w:rsidRDefault="0012790E">
            <w:pPr>
              <w:pStyle w:val="Summarytabletextrightaligned"/>
              <w:rPr>
                <w:szCs w:val="16"/>
              </w:rPr>
            </w:pPr>
            <w:r w:rsidRPr="0012790E">
              <w:rPr>
                <w:szCs w:val="16"/>
              </w:rPr>
              <w:noBreakHyphen/>
              <w:t>0.7</w:t>
            </w:r>
          </w:p>
        </w:tc>
        <w:tc>
          <w:tcPr>
            <w:tcW w:w="851" w:type="dxa"/>
            <w:shd w:val="clear" w:color="auto" w:fill="E6F2FF"/>
            <w:vAlign w:val="bottom"/>
          </w:tcPr>
          <w:p w14:paraId="3BC96FFA" w14:textId="77777777" w:rsidR="0012790E" w:rsidRPr="0012790E" w:rsidRDefault="0012790E">
            <w:pPr>
              <w:pStyle w:val="Summarytabletextrightaligned"/>
              <w:rPr>
                <w:szCs w:val="16"/>
              </w:rPr>
            </w:pPr>
            <w:r w:rsidRPr="0012790E">
              <w:rPr>
                <w:szCs w:val="16"/>
              </w:rPr>
              <w:t>37.6</w:t>
            </w:r>
          </w:p>
        </w:tc>
        <w:tc>
          <w:tcPr>
            <w:tcW w:w="851" w:type="dxa"/>
            <w:vAlign w:val="bottom"/>
          </w:tcPr>
          <w:p w14:paraId="39D9A708" w14:textId="77777777" w:rsidR="0012790E" w:rsidRPr="0012790E" w:rsidRDefault="0012790E">
            <w:pPr>
              <w:pStyle w:val="Summarytabletextrightaligned"/>
              <w:rPr>
                <w:szCs w:val="16"/>
              </w:rPr>
            </w:pPr>
            <w:r w:rsidRPr="0012790E">
              <w:rPr>
                <w:szCs w:val="16"/>
              </w:rPr>
              <w:noBreakHyphen/>
              <w:t>25.2</w:t>
            </w:r>
          </w:p>
        </w:tc>
        <w:tc>
          <w:tcPr>
            <w:tcW w:w="851" w:type="dxa"/>
            <w:vAlign w:val="bottom"/>
          </w:tcPr>
          <w:p w14:paraId="6DE9B63F" w14:textId="77777777" w:rsidR="0012790E" w:rsidRPr="0012790E" w:rsidRDefault="0012790E">
            <w:pPr>
              <w:pStyle w:val="Summarytabletextrightaligned"/>
              <w:rPr>
                <w:szCs w:val="16"/>
              </w:rPr>
            </w:pPr>
            <w:r w:rsidRPr="0012790E">
              <w:rPr>
                <w:szCs w:val="16"/>
              </w:rPr>
              <w:t>3.0</w:t>
            </w:r>
          </w:p>
        </w:tc>
        <w:tc>
          <w:tcPr>
            <w:tcW w:w="851" w:type="dxa"/>
            <w:vAlign w:val="bottom"/>
          </w:tcPr>
          <w:p w14:paraId="3A016EA5" w14:textId="77777777" w:rsidR="0012790E" w:rsidRPr="0012790E" w:rsidRDefault="0012790E">
            <w:pPr>
              <w:pStyle w:val="Summarytabletextrightaligned"/>
              <w:rPr>
                <w:szCs w:val="16"/>
              </w:rPr>
            </w:pPr>
            <w:r w:rsidRPr="0012790E">
              <w:rPr>
                <w:szCs w:val="16"/>
              </w:rPr>
              <w:noBreakHyphen/>
              <w:t>2.5</w:t>
            </w:r>
          </w:p>
        </w:tc>
      </w:tr>
      <w:tr w:rsidR="0012790E" w:rsidRPr="0012790E" w14:paraId="26314D93" w14:textId="77777777" w:rsidTr="54937204">
        <w:tc>
          <w:tcPr>
            <w:tcW w:w="3470" w:type="dxa"/>
            <w:shd w:val="clear" w:color="auto" w:fill="auto"/>
            <w:vAlign w:val="bottom"/>
          </w:tcPr>
          <w:p w14:paraId="37C78604" w14:textId="77777777" w:rsidR="0012790E" w:rsidRPr="0012790E" w:rsidRDefault="0012790E">
            <w:pPr>
              <w:pStyle w:val="SummaryMeasureTitlewithTheme"/>
            </w:pPr>
            <w:r w:rsidRPr="0012790E">
              <w:t>Australian Antarctic Program – additional funding</w:t>
            </w:r>
          </w:p>
        </w:tc>
        <w:tc>
          <w:tcPr>
            <w:tcW w:w="851" w:type="dxa"/>
            <w:vAlign w:val="bottom"/>
          </w:tcPr>
          <w:p w14:paraId="7C6D2B0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318BB1C" w14:textId="77777777" w:rsidR="0012790E" w:rsidRPr="0012790E" w:rsidRDefault="0012790E">
            <w:pPr>
              <w:pStyle w:val="Summarytabletextrightaligned"/>
              <w:rPr>
                <w:szCs w:val="16"/>
              </w:rPr>
            </w:pPr>
            <w:r w:rsidRPr="0012790E">
              <w:rPr>
                <w:szCs w:val="16"/>
              </w:rPr>
              <w:t>17.8</w:t>
            </w:r>
          </w:p>
        </w:tc>
        <w:tc>
          <w:tcPr>
            <w:tcW w:w="851" w:type="dxa"/>
            <w:vAlign w:val="bottom"/>
          </w:tcPr>
          <w:p w14:paraId="66CED58B" w14:textId="77777777" w:rsidR="0012790E" w:rsidRPr="0012790E" w:rsidRDefault="0012790E">
            <w:pPr>
              <w:pStyle w:val="Summarytabletextrightaligned"/>
              <w:rPr>
                <w:szCs w:val="16"/>
              </w:rPr>
            </w:pPr>
            <w:r w:rsidRPr="0012790E">
              <w:rPr>
                <w:szCs w:val="16"/>
              </w:rPr>
              <w:t>57.4</w:t>
            </w:r>
          </w:p>
        </w:tc>
        <w:tc>
          <w:tcPr>
            <w:tcW w:w="851" w:type="dxa"/>
            <w:vAlign w:val="bottom"/>
          </w:tcPr>
          <w:p w14:paraId="27E3346E" w14:textId="77777777" w:rsidR="0012790E" w:rsidRPr="0012790E" w:rsidRDefault="0012790E">
            <w:pPr>
              <w:pStyle w:val="Summarytabletextrightaligned"/>
              <w:rPr>
                <w:szCs w:val="16"/>
              </w:rPr>
            </w:pPr>
            <w:r w:rsidRPr="0012790E">
              <w:rPr>
                <w:szCs w:val="16"/>
              </w:rPr>
              <w:t>70.1</w:t>
            </w:r>
          </w:p>
        </w:tc>
        <w:tc>
          <w:tcPr>
            <w:tcW w:w="851" w:type="dxa"/>
            <w:vAlign w:val="bottom"/>
          </w:tcPr>
          <w:p w14:paraId="525F1EE6" w14:textId="77777777" w:rsidR="0012790E" w:rsidRPr="0012790E" w:rsidRDefault="0012790E">
            <w:pPr>
              <w:pStyle w:val="Summarytabletextrightaligned"/>
              <w:rPr>
                <w:szCs w:val="16"/>
              </w:rPr>
            </w:pPr>
            <w:r w:rsidRPr="0012790E">
              <w:rPr>
                <w:szCs w:val="16"/>
              </w:rPr>
              <w:t>61.1</w:t>
            </w:r>
          </w:p>
        </w:tc>
      </w:tr>
      <w:tr w:rsidR="0012790E" w:rsidRPr="0012790E" w14:paraId="55B1D4EE" w14:textId="77777777" w:rsidTr="54937204">
        <w:tc>
          <w:tcPr>
            <w:tcW w:w="3470" w:type="dxa"/>
            <w:shd w:val="clear" w:color="auto" w:fill="auto"/>
            <w:vAlign w:val="bottom"/>
          </w:tcPr>
          <w:p w14:paraId="4C79C915" w14:textId="77777777" w:rsidR="0012790E" w:rsidRPr="0012790E" w:rsidRDefault="0012790E">
            <w:pPr>
              <w:pStyle w:val="SummaryMeasureTitlewithTheme"/>
            </w:pPr>
            <w:r w:rsidRPr="0012790E">
              <w:t>Climate Change, Energy, the Environment and Water – cost recovery arrangements(b)</w:t>
            </w:r>
          </w:p>
        </w:tc>
        <w:tc>
          <w:tcPr>
            <w:tcW w:w="851" w:type="dxa"/>
            <w:vAlign w:val="bottom"/>
          </w:tcPr>
          <w:p w14:paraId="77240BC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CE5F498" w14:textId="77777777" w:rsidR="0012790E" w:rsidRPr="0012790E" w:rsidRDefault="0012790E">
            <w:pPr>
              <w:pStyle w:val="Summarytabletextrightaligned"/>
              <w:rPr>
                <w:szCs w:val="16"/>
              </w:rPr>
            </w:pPr>
            <w:r w:rsidRPr="0012790E">
              <w:rPr>
                <w:szCs w:val="16"/>
              </w:rPr>
              <w:t>8.2</w:t>
            </w:r>
          </w:p>
        </w:tc>
        <w:tc>
          <w:tcPr>
            <w:tcW w:w="851" w:type="dxa"/>
            <w:vAlign w:val="bottom"/>
          </w:tcPr>
          <w:p w14:paraId="5CE5306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F7DC5D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71AAED3" w14:textId="77777777" w:rsidR="0012790E" w:rsidRPr="0012790E" w:rsidRDefault="0012790E">
            <w:pPr>
              <w:pStyle w:val="Summarytabletextrightaligned"/>
              <w:rPr>
                <w:szCs w:val="16"/>
              </w:rPr>
            </w:pPr>
            <w:r w:rsidRPr="0012790E">
              <w:rPr>
                <w:szCs w:val="16"/>
              </w:rPr>
              <w:noBreakHyphen/>
            </w:r>
          </w:p>
        </w:tc>
      </w:tr>
      <w:tr w:rsidR="0012790E" w:rsidRPr="0012790E" w14:paraId="11123580" w14:textId="77777777" w:rsidTr="54937204">
        <w:tc>
          <w:tcPr>
            <w:tcW w:w="3470" w:type="dxa"/>
            <w:shd w:val="clear" w:color="auto" w:fill="auto"/>
            <w:vAlign w:val="bottom"/>
          </w:tcPr>
          <w:p w14:paraId="2242871A" w14:textId="77777777" w:rsidR="0012790E" w:rsidRPr="0012790E" w:rsidRDefault="0012790E">
            <w:pPr>
              <w:pStyle w:val="SummaryMeasureTitlewithTheme"/>
            </w:pPr>
            <w:r w:rsidRPr="0012790E">
              <w:t>Commonwealth Leadership for a Safe Circular Economy – continuing delivery</w:t>
            </w:r>
          </w:p>
        </w:tc>
        <w:tc>
          <w:tcPr>
            <w:tcW w:w="851" w:type="dxa"/>
            <w:vAlign w:val="bottom"/>
          </w:tcPr>
          <w:p w14:paraId="6D45C5B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8BECC15" w14:textId="77777777" w:rsidR="0012790E" w:rsidRPr="0012790E" w:rsidRDefault="0012790E">
            <w:pPr>
              <w:pStyle w:val="Summarytabletextrightaligned"/>
              <w:rPr>
                <w:szCs w:val="16"/>
              </w:rPr>
            </w:pPr>
            <w:r w:rsidRPr="0012790E">
              <w:rPr>
                <w:szCs w:val="16"/>
              </w:rPr>
              <w:t>23.0</w:t>
            </w:r>
          </w:p>
        </w:tc>
        <w:tc>
          <w:tcPr>
            <w:tcW w:w="851" w:type="dxa"/>
            <w:vAlign w:val="bottom"/>
          </w:tcPr>
          <w:p w14:paraId="3AA809EF"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B91FA8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A44EBAE" w14:textId="77777777" w:rsidR="0012790E" w:rsidRPr="0012790E" w:rsidRDefault="0012790E">
            <w:pPr>
              <w:pStyle w:val="Summarytabletextrightaligned"/>
              <w:rPr>
                <w:szCs w:val="16"/>
              </w:rPr>
            </w:pPr>
            <w:r w:rsidRPr="0012790E">
              <w:rPr>
                <w:szCs w:val="16"/>
              </w:rPr>
              <w:noBreakHyphen/>
            </w:r>
          </w:p>
        </w:tc>
      </w:tr>
      <w:tr w:rsidR="0012790E" w:rsidRPr="0012790E" w14:paraId="347E49F2" w14:textId="77777777" w:rsidTr="54937204">
        <w:tc>
          <w:tcPr>
            <w:tcW w:w="3470" w:type="dxa"/>
            <w:shd w:val="clear" w:color="auto" w:fill="auto"/>
            <w:vAlign w:val="bottom"/>
          </w:tcPr>
          <w:p w14:paraId="029B2753" w14:textId="77777777" w:rsidR="0012790E" w:rsidRPr="0012790E" w:rsidRDefault="0012790E">
            <w:pPr>
              <w:pStyle w:val="SummaryMeasureTitlewithTheme"/>
            </w:pPr>
            <w:r w:rsidRPr="0012790E">
              <w:t>Future Made in Australia – Making Australia a Renewable Energy Superpower(b)</w:t>
            </w:r>
          </w:p>
        </w:tc>
        <w:tc>
          <w:tcPr>
            <w:tcW w:w="851" w:type="dxa"/>
            <w:vAlign w:val="bottom"/>
          </w:tcPr>
          <w:p w14:paraId="15405AF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0EF92D2" w14:textId="77777777" w:rsidR="0012790E" w:rsidRPr="0012790E" w:rsidRDefault="0012790E">
            <w:pPr>
              <w:pStyle w:val="Summarytabletextrightaligned"/>
              <w:rPr>
                <w:szCs w:val="16"/>
              </w:rPr>
            </w:pPr>
            <w:r w:rsidRPr="0012790E">
              <w:rPr>
                <w:szCs w:val="16"/>
              </w:rPr>
              <w:t>11.6</w:t>
            </w:r>
          </w:p>
        </w:tc>
        <w:tc>
          <w:tcPr>
            <w:tcW w:w="851" w:type="dxa"/>
            <w:vAlign w:val="bottom"/>
          </w:tcPr>
          <w:p w14:paraId="61E07D3F" w14:textId="77777777" w:rsidR="0012790E" w:rsidRPr="0012790E" w:rsidRDefault="0012790E">
            <w:pPr>
              <w:pStyle w:val="Summarytabletextrightaligned"/>
              <w:rPr>
                <w:szCs w:val="16"/>
              </w:rPr>
            </w:pPr>
            <w:r w:rsidRPr="0012790E">
              <w:rPr>
                <w:szCs w:val="16"/>
              </w:rPr>
              <w:t>13.9</w:t>
            </w:r>
          </w:p>
        </w:tc>
        <w:tc>
          <w:tcPr>
            <w:tcW w:w="851" w:type="dxa"/>
            <w:vAlign w:val="bottom"/>
          </w:tcPr>
          <w:p w14:paraId="7C31B67F" w14:textId="77777777" w:rsidR="0012790E" w:rsidRPr="0012790E" w:rsidRDefault="0012790E">
            <w:pPr>
              <w:pStyle w:val="Summarytabletextrightaligned"/>
              <w:rPr>
                <w:szCs w:val="16"/>
              </w:rPr>
            </w:pPr>
            <w:r w:rsidRPr="0012790E">
              <w:rPr>
                <w:szCs w:val="16"/>
              </w:rPr>
              <w:t>12.2</w:t>
            </w:r>
          </w:p>
        </w:tc>
        <w:tc>
          <w:tcPr>
            <w:tcW w:w="851" w:type="dxa"/>
            <w:vAlign w:val="bottom"/>
          </w:tcPr>
          <w:p w14:paraId="1A331376" w14:textId="77777777" w:rsidR="0012790E" w:rsidRPr="0012790E" w:rsidRDefault="0012790E">
            <w:pPr>
              <w:pStyle w:val="Summarytabletextrightaligned"/>
              <w:rPr>
                <w:szCs w:val="16"/>
              </w:rPr>
            </w:pPr>
            <w:r w:rsidRPr="0012790E">
              <w:rPr>
                <w:szCs w:val="16"/>
              </w:rPr>
              <w:t>6.4</w:t>
            </w:r>
          </w:p>
        </w:tc>
      </w:tr>
      <w:tr w:rsidR="0012790E" w:rsidRPr="0012790E" w14:paraId="440C9861" w14:textId="77777777" w:rsidTr="54937204">
        <w:tc>
          <w:tcPr>
            <w:tcW w:w="3470" w:type="dxa"/>
            <w:shd w:val="clear" w:color="auto" w:fill="auto"/>
            <w:vAlign w:val="bottom"/>
          </w:tcPr>
          <w:p w14:paraId="6BE7859B" w14:textId="77777777" w:rsidR="0012790E" w:rsidRPr="0012790E" w:rsidRDefault="0012790E">
            <w:pPr>
              <w:pStyle w:val="SummaryMeasureTitlewithTheme"/>
            </w:pPr>
            <w:r w:rsidRPr="0012790E">
              <w:t>Future Made in Australia – Strengthening Approvals Processes(b)</w:t>
            </w:r>
          </w:p>
        </w:tc>
        <w:tc>
          <w:tcPr>
            <w:tcW w:w="851" w:type="dxa"/>
            <w:vAlign w:val="bottom"/>
          </w:tcPr>
          <w:p w14:paraId="2BFD6A1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3DBEC04" w14:textId="77777777" w:rsidR="0012790E" w:rsidRPr="0012790E" w:rsidRDefault="0012790E">
            <w:pPr>
              <w:pStyle w:val="Summarytabletextrightaligned"/>
              <w:rPr>
                <w:szCs w:val="16"/>
              </w:rPr>
            </w:pPr>
            <w:r w:rsidRPr="0012790E">
              <w:rPr>
                <w:szCs w:val="16"/>
              </w:rPr>
              <w:t>21.3</w:t>
            </w:r>
          </w:p>
        </w:tc>
        <w:tc>
          <w:tcPr>
            <w:tcW w:w="851" w:type="dxa"/>
            <w:vAlign w:val="bottom"/>
          </w:tcPr>
          <w:p w14:paraId="16FA325E" w14:textId="77777777" w:rsidR="0012790E" w:rsidRPr="0012790E" w:rsidRDefault="0012790E">
            <w:pPr>
              <w:pStyle w:val="Summarytabletextrightaligned"/>
              <w:rPr>
                <w:szCs w:val="16"/>
              </w:rPr>
            </w:pPr>
            <w:r w:rsidRPr="0012790E">
              <w:rPr>
                <w:szCs w:val="16"/>
              </w:rPr>
              <w:t>13.5</w:t>
            </w:r>
          </w:p>
        </w:tc>
        <w:tc>
          <w:tcPr>
            <w:tcW w:w="851" w:type="dxa"/>
            <w:vAlign w:val="bottom"/>
          </w:tcPr>
          <w:p w14:paraId="176AFC9E" w14:textId="77777777" w:rsidR="0012790E" w:rsidRPr="0012790E" w:rsidRDefault="0012790E">
            <w:pPr>
              <w:pStyle w:val="Summarytabletextrightaligned"/>
              <w:rPr>
                <w:szCs w:val="16"/>
              </w:rPr>
            </w:pPr>
            <w:r w:rsidRPr="0012790E">
              <w:rPr>
                <w:szCs w:val="16"/>
              </w:rPr>
              <w:t>11.7</w:t>
            </w:r>
          </w:p>
        </w:tc>
        <w:tc>
          <w:tcPr>
            <w:tcW w:w="851" w:type="dxa"/>
            <w:vAlign w:val="bottom"/>
          </w:tcPr>
          <w:p w14:paraId="7E6A0346" w14:textId="77777777" w:rsidR="0012790E" w:rsidRPr="0012790E" w:rsidRDefault="0012790E">
            <w:pPr>
              <w:pStyle w:val="Summarytabletextrightaligned"/>
              <w:rPr>
                <w:szCs w:val="16"/>
              </w:rPr>
            </w:pPr>
            <w:r w:rsidRPr="0012790E">
              <w:rPr>
                <w:szCs w:val="16"/>
              </w:rPr>
              <w:t>7.0</w:t>
            </w:r>
          </w:p>
        </w:tc>
      </w:tr>
      <w:tr w:rsidR="0012790E" w:rsidRPr="0012790E" w14:paraId="37FAE301" w14:textId="77777777" w:rsidTr="54937204">
        <w:tc>
          <w:tcPr>
            <w:tcW w:w="3470" w:type="dxa"/>
            <w:shd w:val="clear" w:color="auto" w:fill="auto"/>
            <w:vAlign w:val="bottom"/>
          </w:tcPr>
          <w:p w14:paraId="323E9622" w14:textId="77777777" w:rsidR="0012790E" w:rsidRPr="0012790E" w:rsidRDefault="0012790E">
            <w:pPr>
              <w:pStyle w:val="SummaryMeasureTitlewithTheme"/>
            </w:pPr>
            <w:r w:rsidRPr="0012790E">
              <w:t>Future Made in Australia – Workforce and Trade Partnerships for Renewable Energy Superpower Industries</w:t>
            </w:r>
          </w:p>
        </w:tc>
        <w:tc>
          <w:tcPr>
            <w:tcW w:w="851" w:type="dxa"/>
            <w:vAlign w:val="bottom"/>
          </w:tcPr>
          <w:p w14:paraId="2612687A"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B3EC6C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25D359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CDE6FA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C6EF6B2" w14:textId="77777777" w:rsidR="0012790E" w:rsidRPr="0012790E" w:rsidRDefault="0012790E">
            <w:pPr>
              <w:pStyle w:val="Summarytabletextrightaligned"/>
              <w:rPr>
                <w:szCs w:val="16"/>
              </w:rPr>
            </w:pPr>
            <w:r w:rsidRPr="0012790E">
              <w:rPr>
                <w:szCs w:val="16"/>
              </w:rPr>
              <w:noBreakHyphen/>
            </w:r>
          </w:p>
        </w:tc>
      </w:tr>
      <w:tr w:rsidR="0012790E" w:rsidRPr="0012790E" w14:paraId="6A4F3886" w14:textId="77777777" w:rsidTr="54937204">
        <w:tc>
          <w:tcPr>
            <w:tcW w:w="3470" w:type="dxa"/>
            <w:shd w:val="clear" w:color="auto" w:fill="auto"/>
            <w:vAlign w:val="bottom"/>
          </w:tcPr>
          <w:p w14:paraId="2EE37D1F" w14:textId="77777777" w:rsidR="0012790E" w:rsidRPr="0012790E" w:rsidRDefault="0012790E">
            <w:pPr>
              <w:pStyle w:val="SummaryMeasureTitlewithTheme"/>
            </w:pPr>
            <w:r w:rsidRPr="0012790E">
              <w:t>Harnessing the Energy Transition to Benefit Consumers</w:t>
            </w:r>
          </w:p>
        </w:tc>
        <w:tc>
          <w:tcPr>
            <w:tcW w:w="851" w:type="dxa"/>
            <w:vAlign w:val="bottom"/>
          </w:tcPr>
          <w:p w14:paraId="6843ED58" w14:textId="77777777" w:rsidR="0012790E" w:rsidRPr="0012790E" w:rsidRDefault="0012790E">
            <w:pPr>
              <w:pStyle w:val="Summarytabletextrightaligned"/>
              <w:rPr>
                <w:szCs w:val="16"/>
              </w:rPr>
            </w:pPr>
            <w:r w:rsidRPr="0012790E">
              <w:rPr>
                <w:szCs w:val="16"/>
              </w:rPr>
              <w:noBreakHyphen/>
              <w:t>1.3</w:t>
            </w:r>
          </w:p>
        </w:tc>
        <w:tc>
          <w:tcPr>
            <w:tcW w:w="851" w:type="dxa"/>
            <w:shd w:val="clear" w:color="auto" w:fill="E6F2FF"/>
            <w:vAlign w:val="bottom"/>
          </w:tcPr>
          <w:p w14:paraId="10F53611" w14:textId="77777777" w:rsidR="0012790E" w:rsidRPr="0012790E" w:rsidRDefault="0012790E">
            <w:pPr>
              <w:pStyle w:val="Summarytabletextrightaligned"/>
              <w:rPr>
                <w:szCs w:val="16"/>
              </w:rPr>
            </w:pPr>
            <w:r w:rsidRPr="0012790E">
              <w:rPr>
                <w:szCs w:val="16"/>
              </w:rPr>
              <w:t>13.2</w:t>
            </w:r>
          </w:p>
        </w:tc>
        <w:tc>
          <w:tcPr>
            <w:tcW w:w="851" w:type="dxa"/>
            <w:vAlign w:val="bottom"/>
          </w:tcPr>
          <w:p w14:paraId="2A27EFA3" w14:textId="77777777" w:rsidR="0012790E" w:rsidRPr="0012790E" w:rsidRDefault="0012790E">
            <w:pPr>
              <w:pStyle w:val="Summarytabletextrightaligned"/>
              <w:rPr>
                <w:szCs w:val="16"/>
              </w:rPr>
            </w:pPr>
            <w:r w:rsidRPr="0012790E">
              <w:rPr>
                <w:szCs w:val="16"/>
              </w:rPr>
              <w:t>12.0</w:t>
            </w:r>
          </w:p>
        </w:tc>
        <w:tc>
          <w:tcPr>
            <w:tcW w:w="851" w:type="dxa"/>
            <w:vAlign w:val="bottom"/>
          </w:tcPr>
          <w:p w14:paraId="5921024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26225C1" w14:textId="77777777" w:rsidR="0012790E" w:rsidRPr="0012790E" w:rsidRDefault="0012790E">
            <w:pPr>
              <w:pStyle w:val="Summarytabletextrightaligned"/>
              <w:rPr>
                <w:szCs w:val="16"/>
              </w:rPr>
            </w:pPr>
            <w:r w:rsidRPr="0012790E">
              <w:rPr>
                <w:szCs w:val="16"/>
              </w:rPr>
              <w:noBreakHyphen/>
            </w:r>
          </w:p>
        </w:tc>
      </w:tr>
      <w:tr w:rsidR="0012790E" w:rsidRPr="0012790E" w14:paraId="47EFD98B" w14:textId="77777777" w:rsidTr="54937204">
        <w:tc>
          <w:tcPr>
            <w:tcW w:w="3470" w:type="dxa"/>
            <w:shd w:val="clear" w:color="auto" w:fill="auto"/>
            <w:vAlign w:val="bottom"/>
          </w:tcPr>
          <w:p w14:paraId="7C385D98" w14:textId="77777777" w:rsidR="0012790E" w:rsidRPr="0012790E" w:rsidRDefault="0012790E">
            <w:pPr>
              <w:pStyle w:val="SummaryMeasureTitlewithTheme"/>
            </w:pPr>
            <w:r w:rsidRPr="0012790E">
              <w:t>Improving the Australian Carbon Credit Unit Scheme(b)</w:t>
            </w:r>
          </w:p>
        </w:tc>
        <w:tc>
          <w:tcPr>
            <w:tcW w:w="851" w:type="dxa"/>
            <w:vAlign w:val="bottom"/>
          </w:tcPr>
          <w:p w14:paraId="196B862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D0682C6" w14:textId="77777777" w:rsidR="0012790E" w:rsidRPr="0012790E" w:rsidRDefault="0012790E">
            <w:pPr>
              <w:pStyle w:val="Summarytabletextrightaligned"/>
              <w:rPr>
                <w:szCs w:val="16"/>
              </w:rPr>
            </w:pPr>
            <w:r w:rsidRPr="0012790E">
              <w:rPr>
                <w:szCs w:val="16"/>
              </w:rPr>
              <w:t>6.9</w:t>
            </w:r>
          </w:p>
        </w:tc>
        <w:tc>
          <w:tcPr>
            <w:tcW w:w="851" w:type="dxa"/>
            <w:vAlign w:val="bottom"/>
          </w:tcPr>
          <w:p w14:paraId="0DD3C265" w14:textId="77777777" w:rsidR="0012790E" w:rsidRPr="0012790E" w:rsidRDefault="0012790E">
            <w:pPr>
              <w:pStyle w:val="Summarytabletextrightaligned"/>
              <w:rPr>
                <w:szCs w:val="16"/>
              </w:rPr>
            </w:pPr>
            <w:r w:rsidRPr="0012790E">
              <w:rPr>
                <w:szCs w:val="16"/>
              </w:rPr>
              <w:t>8.1</w:t>
            </w:r>
          </w:p>
        </w:tc>
        <w:tc>
          <w:tcPr>
            <w:tcW w:w="851" w:type="dxa"/>
            <w:vAlign w:val="bottom"/>
          </w:tcPr>
          <w:p w14:paraId="0FD555B7" w14:textId="77777777" w:rsidR="0012790E" w:rsidRPr="0012790E" w:rsidRDefault="0012790E">
            <w:pPr>
              <w:pStyle w:val="Summarytabletextrightaligned"/>
              <w:rPr>
                <w:szCs w:val="16"/>
              </w:rPr>
            </w:pPr>
            <w:r w:rsidRPr="0012790E">
              <w:rPr>
                <w:szCs w:val="16"/>
              </w:rPr>
              <w:t>8.1</w:t>
            </w:r>
          </w:p>
        </w:tc>
        <w:tc>
          <w:tcPr>
            <w:tcW w:w="851" w:type="dxa"/>
            <w:vAlign w:val="bottom"/>
          </w:tcPr>
          <w:p w14:paraId="064609BA" w14:textId="77777777" w:rsidR="0012790E" w:rsidRPr="0012790E" w:rsidRDefault="0012790E">
            <w:pPr>
              <w:pStyle w:val="Summarytabletextrightaligned"/>
              <w:rPr>
                <w:szCs w:val="16"/>
              </w:rPr>
            </w:pPr>
            <w:r w:rsidRPr="0012790E">
              <w:rPr>
                <w:szCs w:val="16"/>
              </w:rPr>
              <w:t>7.3</w:t>
            </w:r>
          </w:p>
        </w:tc>
      </w:tr>
      <w:tr w:rsidR="0012790E" w:rsidRPr="0012790E" w14:paraId="16F4392D" w14:textId="77777777" w:rsidTr="54937204">
        <w:tc>
          <w:tcPr>
            <w:tcW w:w="3470" w:type="dxa"/>
            <w:shd w:val="clear" w:color="auto" w:fill="auto"/>
            <w:vAlign w:val="bottom"/>
          </w:tcPr>
          <w:p w14:paraId="57799372" w14:textId="77777777" w:rsidR="0012790E" w:rsidRPr="0012790E" w:rsidRDefault="0012790E">
            <w:pPr>
              <w:pStyle w:val="SummaryMeasureTitlewithTheme"/>
            </w:pPr>
            <w:r w:rsidRPr="0012790E">
              <w:t>Inspector</w:t>
            </w:r>
            <w:r w:rsidRPr="0012790E">
              <w:noBreakHyphen/>
              <w:t>General of Water Compliance Legislative Functions</w:t>
            </w:r>
          </w:p>
        </w:tc>
        <w:tc>
          <w:tcPr>
            <w:tcW w:w="851" w:type="dxa"/>
            <w:vAlign w:val="bottom"/>
          </w:tcPr>
          <w:p w14:paraId="6E1A501B"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28017E5" w14:textId="77777777" w:rsidR="0012790E" w:rsidRPr="0012790E" w:rsidRDefault="0012790E">
            <w:pPr>
              <w:pStyle w:val="Summarytabletextrightaligned"/>
              <w:rPr>
                <w:szCs w:val="16"/>
              </w:rPr>
            </w:pPr>
            <w:r w:rsidRPr="0012790E">
              <w:rPr>
                <w:szCs w:val="16"/>
              </w:rPr>
              <w:t>7.3</w:t>
            </w:r>
          </w:p>
        </w:tc>
        <w:tc>
          <w:tcPr>
            <w:tcW w:w="851" w:type="dxa"/>
            <w:vAlign w:val="bottom"/>
          </w:tcPr>
          <w:p w14:paraId="072157E1" w14:textId="77777777" w:rsidR="0012790E" w:rsidRPr="0012790E" w:rsidRDefault="0012790E">
            <w:pPr>
              <w:pStyle w:val="Summarytabletextrightaligned"/>
              <w:rPr>
                <w:szCs w:val="16"/>
              </w:rPr>
            </w:pPr>
            <w:r w:rsidRPr="0012790E">
              <w:rPr>
                <w:szCs w:val="16"/>
              </w:rPr>
              <w:t>6.7</w:t>
            </w:r>
          </w:p>
        </w:tc>
        <w:tc>
          <w:tcPr>
            <w:tcW w:w="851" w:type="dxa"/>
            <w:vAlign w:val="bottom"/>
          </w:tcPr>
          <w:p w14:paraId="2535023F" w14:textId="77777777" w:rsidR="0012790E" w:rsidRPr="0012790E" w:rsidRDefault="0012790E">
            <w:pPr>
              <w:pStyle w:val="Summarytabletextrightaligned"/>
              <w:rPr>
                <w:szCs w:val="16"/>
              </w:rPr>
            </w:pPr>
            <w:r w:rsidRPr="0012790E">
              <w:rPr>
                <w:szCs w:val="16"/>
              </w:rPr>
              <w:t>7.2</w:t>
            </w:r>
          </w:p>
        </w:tc>
        <w:tc>
          <w:tcPr>
            <w:tcW w:w="851" w:type="dxa"/>
            <w:vAlign w:val="bottom"/>
          </w:tcPr>
          <w:p w14:paraId="7DA3FB7F" w14:textId="77777777" w:rsidR="0012790E" w:rsidRPr="0012790E" w:rsidRDefault="0012790E">
            <w:pPr>
              <w:pStyle w:val="Summarytabletextrightaligned"/>
              <w:rPr>
                <w:szCs w:val="16"/>
              </w:rPr>
            </w:pPr>
            <w:r w:rsidRPr="0012790E">
              <w:rPr>
                <w:szCs w:val="16"/>
              </w:rPr>
              <w:t>7.4</w:t>
            </w:r>
          </w:p>
        </w:tc>
      </w:tr>
      <w:tr w:rsidR="0012790E" w:rsidRPr="0012790E" w14:paraId="6016FD3C" w14:textId="77777777" w:rsidTr="54937204">
        <w:tc>
          <w:tcPr>
            <w:tcW w:w="3470" w:type="dxa"/>
            <w:tcBorders>
              <w:bottom w:val="single" w:sz="4" w:space="0" w:color="293F5B"/>
            </w:tcBorders>
            <w:shd w:val="clear" w:color="auto" w:fill="auto"/>
            <w:vAlign w:val="bottom"/>
          </w:tcPr>
          <w:p w14:paraId="32424326" w14:textId="77777777" w:rsidR="0012790E" w:rsidRPr="0012790E" w:rsidRDefault="0012790E">
            <w:pPr>
              <w:pStyle w:val="SummaryMeasureTitlewithTheme"/>
            </w:pPr>
            <w:r w:rsidRPr="0012790E">
              <w:t>Jabiru Remediation – continuing delivery</w:t>
            </w:r>
          </w:p>
        </w:tc>
        <w:tc>
          <w:tcPr>
            <w:tcW w:w="851" w:type="dxa"/>
            <w:tcBorders>
              <w:bottom w:val="single" w:sz="4" w:space="0" w:color="293F5B"/>
            </w:tcBorders>
            <w:vAlign w:val="bottom"/>
          </w:tcPr>
          <w:p w14:paraId="3316CD71"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0CD42A37" w14:textId="77777777" w:rsidR="0012790E" w:rsidRPr="0012790E" w:rsidRDefault="0012790E">
            <w:pPr>
              <w:pStyle w:val="Summarytabletextrightaligned"/>
              <w:rPr>
                <w:szCs w:val="16"/>
              </w:rPr>
            </w:pPr>
            <w:r w:rsidRPr="0012790E">
              <w:rPr>
                <w:szCs w:val="16"/>
              </w:rPr>
              <w:t>5.8</w:t>
            </w:r>
          </w:p>
        </w:tc>
        <w:tc>
          <w:tcPr>
            <w:tcW w:w="851" w:type="dxa"/>
            <w:tcBorders>
              <w:bottom w:val="single" w:sz="4" w:space="0" w:color="293F5B"/>
            </w:tcBorders>
            <w:vAlign w:val="bottom"/>
          </w:tcPr>
          <w:p w14:paraId="4264425E" w14:textId="77777777" w:rsidR="0012790E" w:rsidRPr="0012790E" w:rsidRDefault="0012790E">
            <w:pPr>
              <w:pStyle w:val="Summarytabletextrightaligned"/>
              <w:rPr>
                <w:szCs w:val="16"/>
              </w:rPr>
            </w:pPr>
            <w:r w:rsidRPr="0012790E">
              <w:rPr>
                <w:szCs w:val="16"/>
              </w:rPr>
              <w:t>4.1</w:t>
            </w:r>
          </w:p>
        </w:tc>
        <w:tc>
          <w:tcPr>
            <w:tcW w:w="851" w:type="dxa"/>
            <w:tcBorders>
              <w:bottom w:val="single" w:sz="4" w:space="0" w:color="293F5B"/>
            </w:tcBorders>
            <w:vAlign w:val="bottom"/>
          </w:tcPr>
          <w:p w14:paraId="1B52E771" w14:textId="77777777" w:rsidR="0012790E" w:rsidRPr="0012790E" w:rsidRDefault="0012790E">
            <w:pPr>
              <w:pStyle w:val="Summarytabletextrightaligned"/>
              <w:rPr>
                <w:szCs w:val="16"/>
              </w:rPr>
            </w:pPr>
            <w:r w:rsidRPr="0012790E">
              <w:rPr>
                <w:szCs w:val="16"/>
              </w:rPr>
              <w:t>0.8</w:t>
            </w:r>
          </w:p>
        </w:tc>
        <w:tc>
          <w:tcPr>
            <w:tcW w:w="851" w:type="dxa"/>
            <w:tcBorders>
              <w:bottom w:val="single" w:sz="4" w:space="0" w:color="293F5B"/>
            </w:tcBorders>
            <w:vAlign w:val="bottom"/>
          </w:tcPr>
          <w:p w14:paraId="5685A4FA" w14:textId="77777777" w:rsidR="0012790E" w:rsidRPr="0012790E" w:rsidRDefault="0012790E">
            <w:pPr>
              <w:pStyle w:val="Summarytabletextrightaligned"/>
              <w:rPr>
                <w:szCs w:val="16"/>
              </w:rPr>
            </w:pPr>
            <w:r w:rsidRPr="0012790E">
              <w:rPr>
                <w:szCs w:val="16"/>
              </w:rPr>
              <w:t>0.2</w:t>
            </w:r>
          </w:p>
        </w:tc>
      </w:tr>
    </w:tbl>
    <w:p w14:paraId="6CFDCEA5" w14:textId="77777777" w:rsidR="0012790E" w:rsidRPr="0012790E" w:rsidRDefault="0012790E" w:rsidP="0012790E">
      <w:pPr>
        <w:pStyle w:val="TableHeadingcontinued"/>
        <w:sectPr w:rsidR="0012790E" w:rsidRPr="0012790E" w:rsidSect="00EA5BFE">
          <w:headerReference w:type="even" r:id="rId31"/>
          <w:headerReference w:type="default" r:id="rId32"/>
          <w:footerReference w:type="even" r:id="rId33"/>
          <w:footerReference w:type="default" r:id="rId34"/>
          <w:footerReference w:type="first" r:id="rId35"/>
          <w:pgSz w:w="11905" w:h="16837"/>
          <w:pgMar w:top="2835" w:right="2098" w:bottom="2466" w:left="2098" w:header="1814" w:footer="1814" w:gutter="0"/>
          <w:cols w:space="720"/>
          <w:noEndnote/>
          <w:docGrid w:linePitch="272"/>
        </w:sectPr>
      </w:pPr>
    </w:p>
    <w:p w14:paraId="2097D1A7" w14:textId="77777777" w:rsidR="0012790E" w:rsidRPr="0012790E" w:rsidRDefault="0012790E" w:rsidP="0012790E">
      <w:pPr>
        <w:pStyle w:val="TableHeadingcontinued"/>
        <w:rPr>
          <w:szCs w:val="16"/>
        </w:rPr>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0D530710" w14:textId="77777777" w:rsidTr="54937204">
        <w:tc>
          <w:tcPr>
            <w:tcW w:w="3470" w:type="dxa"/>
            <w:tcBorders>
              <w:top w:val="single" w:sz="4" w:space="0" w:color="293F5B"/>
            </w:tcBorders>
            <w:shd w:val="clear" w:color="auto" w:fill="auto"/>
            <w:vAlign w:val="bottom"/>
          </w:tcPr>
          <w:p w14:paraId="7B52ADBC"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2DDFFCBC"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04EF8075"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731FB8E8"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23058329"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25857E82"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0F424A7C" w14:textId="77777777" w:rsidTr="54937204">
        <w:tc>
          <w:tcPr>
            <w:tcW w:w="3470" w:type="dxa"/>
            <w:shd w:val="clear" w:color="auto" w:fill="auto"/>
            <w:vAlign w:val="bottom"/>
          </w:tcPr>
          <w:p w14:paraId="4542AF61" w14:textId="77777777" w:rsidR="0012790E" w:rsidRPr="0012790E" w:rsidRDefault="0012790E">
            <w:pPr>
              <w:pStyle w:val="Summarytabletextrightaligned"/>
            </w:pPr>
          </w:p>
        </w:tc>
        <w:tc>
          <w:tcPr>
            <w:tcW w:w="851" w:type="dxa"/>
            <w:tcBorders>
              <w:bottom w:val="single" w:sz="4" w:space="0" w:color="293F5B"/>
            </w:tcBorders>
            <w:vAlign w:val="bottom"/>
          </w:tcPr>
          <w:p w14:paraId="2A4EE96B"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305D64CB"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09F09F0F"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6F12B7B8"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3C1F13AB" w14:textId="77777777" w:rsidR="0012790E" w:rsidRPr="0012790E" w:rsidRDefault="0012790E">
            <w:pPr>
              <w:pStyle w:val="Summarytabletextrightaligned"/>
            </w:pPr>
            <w:r w:rsidRPr="0012790E">
              <w:t>$m</w:t>
            </w:r>
          </w:p>
        </w:tc>
      </w:tr>
      <w:tr w:rsidR="0012790E" w:rsidRPr="0012790E" w14:paraId="07903E07" w14:textId="77777777" w:rsidTr="54937204">
        <w:tc>
          <w:tcPr>
            <w:tcW w:w="3470" w:type="dxa"/>
            <w:shd w:val="clear" w:color="auto" w:fill="auto"/>
            <w:vAlign w:val="bottom"/>
          </w:tcPr>
          <w:p w14:paraId="7D3035D5" w14:textId="77777777" w:rsidR="0012790E" w:rsidRPr="0012790E" w:rsidRDefault="0012790E" w:rsidP="000D3386">
            <w:pPr>
              <w:pStyle w:val="SummaryMeasureTitlewithTheme"/>
              <w:tabs>
                <w:tab w:val="clear" w:pos="285"/>
                <w:tab w:val="left" w:pos="142"/>
              </w:tabs>
              <w:ind w:left="0" w:firstLine="0"/>
              <w:rPr>
                <w:rFonts w:cs="Arial"/>
                <w:b/>
              </w:rPr>
            </w:pPr>
            <w:r w:rsidRPr="0012790E">
              <w:rPr>
                <w:rFonts w:cs="Arial"/>
                <w:b/>
              </w:rPr>
              <w:t>CLIMATE CHANGE, ENERGY, THE ENVIRONMENT AND WATER (continued)</w:t>
            </w:r>
          </w:p>
        </w:tc>
        <w:tc>
          <w:tcPr>
            <w:tcW w:w="851" w:type="dxa"/>
            <w:vAlign w:val="bottom"/>
          </w:tcPr>
          <w:p w14:paraId="3D8E34D3" w14:textId="77777777" w:rsidR="0012790E" w:rsidRPr="0012790E" w:rsidRDefault="0012790E">
            <w:pPr>
              <w:pStyle w:val="Summarytabletextrightaligned"/>
              <w:rPr>
                <w:szCs w:val="16"/>
              </w:rPr>
            </w:pPr>
          </w:p>
        </w:tc>
        <w:tc>
          <w:tcPr>
            <w:tcW w:w="851" w:type="dxa"/>
            <w:shd w:val="clear" w:color="auto" w:fill="E6F2FF"/>
            <w:vAlign w:val="bottom"/>
          </w:tcPr>
          <w:p w14:paraId="138D53A7" w14:textId="77777777" w:rsidR="0012790E" w:rsidRPr="0012790E" w:rsidRDefault="0012790E">
            <w:pPr>
              <w:pStyle w:val="Summarytabletextrightaligned"/>
              <w:rPr>
                <w:szCs w:val="16"/>
              </w:rPr>
            </w:pPr>
          </w:p>
        </w:tc>
        <w:tc>
          <w:tcPr>
            <w:tcW w:w="851" w:type="dxa"/>
            <w:vAlign w:val="bottom"/>
          </w:tcPr>
          <w:p w14:paraId="2FCEEEB5" w14:textId="77777777" w:rsidR="0012790E" w:rsidRPr="0012790E" w:rsidRDefault="0012790E">
            <w:pPr>
              <w:pStyle w:val="Summarytabletextrightaligned"/>
              <w:rPr>
                <w:szCs w:val="16"/>
              </w:rPr>
            </w:pPr>
          </w:p>
        </w:tc>
        <w:tc>
          <w:tcPr>
            <w:tcW w:w="851" w:type="dxa"/>
            <w:vAlign w:val="bottom"/>
          </w:tcPr>
          <w:p w14:paraId="30A862B5" w14:textId="77777777" w:rsidR="0012790E" w:rsidRPr="0012790E" w:rsidRDefault="0012790E">
            <w:pPr>
              <w:pStyle w:val="Summarytabletextrightaligned"/>
              <w:rPr>
                <w:szCs w:val="16"/>
              </w:rPr>
            </w:pPr>
          </w:p>
        </w:tc>
        <w:tc>
          <w:tcPr>
            <w:tcW w:w="851" w:type="dxa"/>
            <w:vAlign w:val="bottom"/>
          </w:tcPr>
          <w:p w14:paraId="46DF8222" w14:textId="77777777" w:rsidR="0012790E" w:rsidRPr="0012790E" w:rsidRDefault="0012790E">
            <w:pPr>
              <w:pStyle w:val="Summarytabletextrightaligned"/>
              <w:rPr>
                <w:szCs w:val="16"/>
              </w:rPr>
            </w:pPr>
          </w:p>
        </w:tc>
      </w:tr>
      <w:tr w:rsidR="0012790E" w:rsidRPr="0012790E" w14:paraId="3079B020" w14:textId="77777777" w:rsidTr="54937204">
        <w:tc>
          <w:tcPr>
            <w:tcW w:w="3470" w:type="dxa"/>
            <w:shd w:val="clear" w:color="auto" w:fill="auto"/>
            <w:vAlign w:val="bottom"/>
          </w:tcPr>
          <w:p w14:paraId="43A846B1" w14:textId="77777777" w:rsidR="0012790E" w:rsidRPr="0012790E" w:rsidRDefault="0012790E">
            <w:pPr>
              <w:pStyle w:val="SummaryMeasureTitlewithTheme"/>
            </w:pPr>
            <w:r w:rsidRPr="0012790E">
              <w:t>Murray</w:t>
            </w:r>
            <w:r w:rsidRPr="0012790E">
              <w:noBreakHyphen/>
              <w:t>Darling Basin Plan – continuing delivery</w:t>
            </w:r>
          </w:p>
        </w:tc>
        <w:tc>
          <w:tcPr>
            <w:tcW w:w="851" w:type="dxa"/>
            <w:vAlign w:val="bottom"/>
          </w:tcPr>
          <w:p w14:paraId="29ACDE53" w14:textId="77777777" w:rsidR="0012790E" w:rsidRPr="0012790E" w:rsidRDefault="0012790E" w:rsidP="54937204">
            <w:pPr>
              <w:pStyle w:val="Summarytabletextrightaligned"/>
              <w:rPr>
                <w:lang w:val="en-US"/>
              </w:rPr>
            </w:pPr>
            <w:r w:rsidRPr="54937204">
              <w:rPr>
                <w:lang w:val="en-US"/>
              </w:rPr>
              <w:t>nfp</w:t>
            </w:r>
          </w:p>
        </w:tc>
        <w:tc>
          <w:tcPr>
            <w:tcW w:w="851" w:type="dxa"/>
            <w:shd w:val="clear" w:color="auto" w:fill="E6F2FF"/>
            <w:vAlign w:val="bottom"/>
          </w:tcPr>
          <w:p w14:paraId="67D9F0D0"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2EF85386"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07A90E1B"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7B8ECDCA" w14:textId="77777777" w:rsidR="0012790E" w:rsidRPr="0012790E" w:rsidRDefault="0012790E" w:rsidP="54937204">
            <w:pPr>
              <w:pStyle w:val="Summarytabletextrightaligned"/>
              <w:rPr>
                <w:lang w:val="en-US"/>
              </w:rPr>
            </w:pPr>
            <w:r w:rsidRPr="54937204">
              <w:rPr>
                <w:lang w:val="en-US"/>
              </w:rPr>
              <w:t>nfp</w:t>
            </w:r>
          </w:p>
        </w:tc>
      </w:tr>
      <w:tr w:rsidR="0012790E" w:rsidRPr="0012790E" w14:paraId="16153BDD" w14:textId="77777777" w:rsidTr="54937204">
        <w:tc>
          <w:tcPr>
            <w:tcW w:w="3470" w:type="dxa"/>
            <w:shd w:val="clear" w:color="auto" w:fill="auto"/>
            <w:vAlign w:val="bottom"/>
          </w:tcPr>
          <w:p w14:paraId="47668B46" w14:textId="77777777" w:rsidR="0012790E" w:rsidRPr="0012790E" w:rsidRDefault="0012790E">
            <w:pPr>
              <w:pStyle w:val="SummaryMeasureTitlewithTheme"/>
            </w:pPr>
            <w:r w:rsidRPr="0012790E">
              <w:t>Nature Positive Plan – additional funding</w:t>
            </w:r>
          </w:p>
        </w:tc>
        <w:tc>
          <w:tcPr>
            <w:tcW w:w="851" w:type="dxa"/>
            <w:vAlign w:val="bottom"/>
          </w:tcPr>
          <w:p w14:paraId="43F9D97E" w14:textId="77777777" w:rsidR="0012790E" w:rsidRPr="0012790E" w:rsidRDefault="0012790E">
            <w:pPr>
              <w:pStyle w:val="Summarytabletextrightaligned"/>
              <w:rPr>
                <w:szCs w:val="16"/>
              </w:rPr>
            </w:pPr>
            <w:r w:rsidRPr="0012790E">
              <w:rPr>
                <w:szCs w:val="16"/>
              </w:rPr>
              <w:noBreakHyphen/>
              <w:t>3.7</w:t>
            </w:r>
          </w:p>
        </w:tc>
        <w:tc>
          <w:tcPr>
            <w:tcW w:w="851" w:type="dxa"/>
            <w:shd w:val="clear" w:color="auto" w:fill="E6F2FF"/>
            <w:vAlign w:val="bottom"/>
          </w:tcPr>
          <w:p w14:paraId="6319812D" w14:textId="77777777" w:rsidR="0012790E" w:rsidRPr="0012790E" w:rsidRDefault="0012790E">
            <w:pPr>
              <w:pStyle w:val="Summarytabletextrightaligned"/>
              <w:rPr>
                <w:szCs w:val="16"/>
              </w:rPr>
            </w:pPr>
            <w:r w:rsidRPr="0012790E">
              <w:rPr>
                <w:szCs w:val="16"/>
              </w:rPr>
              <w:t>13.3</w:t>
            </w:r>
          </w:p>
        </w:tc>
        <w:tc>
          <w:tcPr>
            <w:tcW w:w="851" w:type="dxa"/>
            <w:vAlign w:val="bottom"/>
          </w:tcPr>
          <w:p w14:paraId="647D8359" w14:textId="77777777" w:rsidR="0012790E" w:rsidRPr="0012790E" w:rsidRDefault="0012790E">
            <w:pPr>
              <w:pStyle w:val="Summarytabletextrightaligned"/>
              <w:rPr>
                <w:szCs w:val="16"/>
              </w:rPr>
            </w:pPr>
            <w:r w:rsidRPr="0012790E">
              <w:rPr>
                <w:szCs w:val="16"/>
              </w:rPr>
              <w:t>11.8</w:t>
            </w:r>
          </w:p>
        </w:tc>
        <w:tc>
          <w:tcPr>
            <w:tcW w:w="851" w:type="dxa"/>
            <w:vAlign w:val="bottom"/>
          </w:tcPr>
          <w:p w14:paraId="3E24CBA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4A62CE6" w14:textId="77777777" w:rsidR="0012790E" w:rsidRPr="0012790E" w:rsidRDefault="0012790E">
            <w:pPr>
              <w:pStyle w:val="Summarytabletextrightaligned"/>
              <w:rPr>
                <w:szCs w:val="16"/>
              </w:rPr>
            </w:pPr>
            <w:r w:rsidRPr="0012790E">
              <w:rPr>
                <w:szCs w:val="16"/>
              </w:rPr>
              <w:noBreakHyphen/>
            </w:r>
          </w:p>
        </w:tc>
      </w:tr>
      <w:tr w:rsidR="0012790E" w:rsidRPr="0012790E" w14:paraId="6E042291" w14:textId="77777777" w:rsidTr="54937204">
        <w:tc>
          <w:tcPr>
            <w:tcW w:w="3470" w:type="dxa"/>
            <w:shd w:val="clear" w:color="auto" w:fill="auto"/>
            <w:vAlign w:val="bottom"/>
          </w:tcPr>
          <w:p w14:paraId="47A64BA0" w14:textId="77777777" w:rsidR="0012790E" w:rsidRPr="0012790E" w:rsidRDefault="0012790E">
            <w:pPr>
              <w:pStyle w:val="SummaryMeasureTitlewithTheme"/>
            </w:pPr>
            <w:r w:rsidRPr="0012790E">
              <w:t>New Vehicle Efficiency Standard Implementation(b)</w:t>
            </w:r>
          </w:p>
        </w:tc>
        <w:tc>
          <w:tcPr>
            <w:tcW w:w="851" w:type="dxa"/>
            <w:vAlign w:val="bottom"/>
          </w:tcPr>
          <w:p w14:paraId="51B017C2"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B8C5720" w14:textId="77777777" w:rsidR="0012790E" w:rsidRPr="0012790E" w:rsidRDefault="0012790E">
            <w:pPr>
              <w:pStyle w:val="Summarytabletextrightaligned"/>
              <w:rPr>
                <w:szCs w:val="16"/>
              </w:rPr>
            </w:pPr>
            <w:r w:rsidRPr="0012790E">
              <w:rPr>
                <w:szCs w:val="16"/>
              </w:rPr>
              <w:t>12.0</w:t>
            </w:r>
          </w:p>
        </w:tc>
        <w:tc>
          <w:tcPr>
            <w:tcW w:w="851" w:type="dxa"/>
            <w:vAlign w:val="bottom"/>
          </w:tcPr>
          <w:p w14:paraId="01F744D0" w14:textId="77777777" w:rsidR="0012790E" w:rsidRPr="0012790E" w:rsidRDefault="0012790E">
            <w:pPr>
              <w:pStyle w:val="Summarytabletextrightaligned"/>
              <w:rPr>
                <w:szCs w:val="16"/>
              </w:rPr>
            </w:pPr>
            <w:r w:rsidRPr="0012790E">
              <w:rPr>
                <w:szCs w:val="16"/>
              </w:rPr>
              <w:t>21.0</w:t>
            </w:r>
          </w:p>
        </w:tc>
        <w:tc>
          <w:tcPr>
            <w:tcW w:w="851" w:type="dxa"/>
            <w:vAlign w:val="bottom"/>
          </w:tcPr>
          <w:p w14:paraId="06179F7B" w14:textId="77777777" w:rsidR="0012790E" w:rsidRPr="0012790E" w:rsidRDefault="0012790E">
            <w:pPr>
              <w:pStyle w:val="Summarytabletextrightaligned"/>
              <w:rPr>
                <w:szCs w:val="16"/>
              </w:rPr>
            </w:pPr>
            <w:r w:rsidRPr="0012790E">
              <w:rPr>
                <w:szCs w:val="16"/>
              </w:rPr>
              <w:t>21.0</w:t>
            </w:r>
          </w:p>
        </w:tc>
        <w:tc>
          <w:tcPr>
            <w:tcW w:w="851" w:type="dxa"/>
            <w:vAlign w:val="bottom"/>
          </w:tcPr>
          <w:p w14:paraId="534DE2D7" w14:textId="77777777" w:rsidR="0012790E" w:rsidRPr="0012790E" w:rsidRDefault="0012790E">
            <w:pPr>
              <w:pStyle w:val="Summarytabletextrightaligned"/>
              <w:rPr>
                <w:szCs w:val="16"/>
              </w:rPr>
            </w:pPr>
            <w:r w:rsidRPr="0012790E">
              <w:rPr>
                <w:szCs w:val="16"/>
              </w:rPr>
              <w:t>6.0</w:t>
            </w:r>
          </w:p>
        </w:tc>
      </w:tr>
      <w:tr w:rsidR="0012790E" w:rsidRPr="0012790E" w14:paraId="1F0C8C2E" w14:textId="77777777" w:rsidTr="54937204">
        <w:tc>
          <w:tcPr>
            <w:tcW w:w="3470" w:type="dxa"/>
            <w:shd w:val="clear" w:color="auto" w:fill="auto"/>
            <w:vAlign w:val="bottom"/>
          </w:tcPr>
          <w:p w14:paraId="2FAF08BE" w14:textId="77777777" w:rsidR="0012790E" w:rsidRPr="0012790E" w:rsidRDefault="0012790E">
            <w:pPr>
              <w:pStyle w:val="SummaryMeasureTitlewithTheme"/>
            </w:pPr>
            <w:r w:rsidRPr="0012790E">
              <w:t>Reducing the Impact of Litter and Supporting On</w:t>
            </w:r>
            <w:r w:rsidRPr="0012790E">
              <w:noBreakHyphen/>
              <w:t>ground Biodiversity Actions</w:t>
            </w:r>
          </w:p>
        </w:tc>
        <w:tc>
          <w:tcPr>
            <w:tcW w:w="851" w:type="dxa"/>
            <w:vAlign w:val="bottom"/>
          </w:tcPr>
          <w:p w14:paraId="68EF226F" w14:textId="77777777" w:rsidR="0012790E" w:rsidRPr="0012790E" w:rsidRDefault="0012790E">
            <w:pPr>
              <w:pStyle w:val="Summarytabletextrightaligned"/>
              <w:rPr>
                <w:szCs w:val="16"/>
              </w:rPr>
            </w:pPr>
            <w:r w:rsidRPr="0012790E">
              <w:rPr>
                <w:szCs w:val="16"/>
              </w:rPr>
              <w:noBreakHyphen/>
              <w:t>0.6</w:t>
            </w:r>
          </w:p>
        </w:tc>
        <w:tc>
          <w:tcPr>
            <w:tcW w:w="851" w:type="dxa"/>
            <w:shd w:val="clear" w:color="auto" w:fill="E6F2FF"/>
            <w:vAlign w:val="bottom"/>
          </w:tcPr>
          <w:p w14:paraId="3908EC1E" w14:textId="77777777" w:rsidR="0012790E" w:rsidRPr="0012790E" w:rsidRDefault="0012790E">
            <w:pPr>
              <w:pStyle w:val="Summarytabletextrightaligned"/>
              <w:rPr>
                <w:szCs w:val="16"/>
              </w:rPr>
            </w:pPr>
            <w:r w:rsidRPr="0012790E">
              <w:rPr>
                <w:szCs w:val="16"/>
              </w:rPr>
              <w:t>0.2</w:t>
            </w:r>
          </w:p>
        </w:tc>
        <w:tc>
          <w:tcPr>
            <w:tcW w:w="851" w:type="dxa"/>
            <w:vAlign w:val="bottom"/>
          </w:tcPr>
          <w:p w14:paraId="2657150A" w14:textId="77777777" w:rsidR="0012790E" w:rsidRPr="0012790E" w:rsidRDefault="0012790E">
            <w:pPr>
              <w:pStyle w:val="Summarytabletextrightaligned"/>
              <w:rPr>
                <w:szCs w:val="16"/>
              </w:rPr>
            </w:pPr>
            <w:r w:rsidRPr="0012790E">
              <w:rPr>
                <w:szCs w:val="16"/>
              </w:rPr>
              <w:t>0.1</w:t>
            </w:r>
          </w:p>
        </w:tc>
        <w:tc>
          <w:tcPr>
            <w:tcW w:w="851" w:type="dxa"/>
            <w:vAlign w:val="bottom"/>
          </w:tcPr>
          <w:p w14:paraId="75CEE7D0" w14:textId="77777777" w:rsidR="0012790E" w:rsidRPr="0012790E" w:rsidRDefault="0012790E">
            <w:pPr>
              <w:pStyle w:val="Summarytabletextrightaligned"/>
              <w:rPr>
                <w:szCs w:val="16"/>
              </w:rPr>
            </w:pPr>
            <w:r w:rsidRPr="0012790E">
              <w:rPr>
                <w:szCs w:val="16"/>
              </w:rPr>
              <w:t>0.1</w:t>
            </w:r>
          </w:p>
        </w:tc>
        <w:tc>
          <w:tcPr>
            <w:tcW w:w="851" w:type="dxa"/>
            <w:vAlign w:val="bottom"/>
          </w:tcPr>
          <w:p w14:paraId="1DA005D5" w14:textId="77777777" w:rsidR="0012790E" w:rsidRPr="0012790E" w:rsidRDefault="0012790E">
            <w:pPr>
              <w:pStyle w:val="Summarytabletextrightaligned"/>
              <w:rPr>
                <w:szCs w:val="16"/>
              </w:rPr>
            </w:pPr>
            <w:r w:rsidRPr="0012790E">
              <w:rPr>
                <w:szCs w:val="16"/>
              </w:rPr>
              <w:t>0.1</w:t>
            </w:r>
          </w:p>
        </w:tc>
      </w:tr>
      <w:tr w:rsidR="0012790E" w:rsidRPr="0012790E" w14:paraId="06FE4E9B" w14:textId="77777777" w:rsidTr="54937204">
        <w:tc>
          <w:tcPr>
            <w:tcW w:w="3470" w:type="dxa"/>
            <w:shd w:val="clear" w:color="auto" w:fill="auto"/>
            <w:vAlign w:val="bottom"/>
          </w:tcPr>
          <w:p w14:paraId="3F6A8558" w14:textId="77777777" w:rsidR="0012790E" w:rsidRPr="0012790E" w:rsidRDefault="0012790E">
            <w:pPr>
              <w:pStyle w:val="SummaryMeasureTitlewithTheme"/>
            </w:pPr>
            <w:r w:rsidRPr="0012790E">
              <w:t>Regional cooperation initiative on carbon sequestration</w:t>
            </w:r>
          </w:p>
        </w:tc>
        <w:tc>
          <w:tcPr>
            <w:tcW w:w="851" w:type="dxa"/>
            <w:vAlign w:val="bottom"/>
          </w:tcPr>
          <w:p w14:paraId="748A697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CFDEF85" w14:textId="77777777" w:rsidR="0012790E" w:rsidRPr="0012790E" w:rsidRDefault="0012790E">
            <w:pPr>
              <w:pStyle w:val="Summarytabletextrightaligned"/>
              <w:rPr>
                <w:szCs w:val="16"/>
              </w:rPr>
            </w:pPr>
            <w:r w:rsidRPr="0012790E">
              <w:rPr>
                <w:szCs w:val="16"/>
              </w:rPr>
              <w:t>5.2</w:t>
            </w:r>
          </w:p>
        </w:tc>
        <w:tc>
          <w:tcPr>
            <w:tcW w:w="851" w:type="dxa"/>
            <w:vAlign w:val="bottom"/>
          </w:tcPr>
          <w:p w14:paraId="34DABF1F" w14:textId="77777777" w:rsidR="0012790E" w:rsidRPr="0012790E" w:rsidRDefault="0012790E">
            <w:pPr>
              <w:pStyle w:val="Summarytabletextrightaligned"/>
              <w:rPr>
                <w:szCs w:val="16"/>
              </w:rPr>
            </w:pPr>
            <w:r w:rsidRPr="0012790E">
              <w:rPr>
                <w:szCs w:val="16"/>
              </w:rPr>
              <w:t>5.3</w:t>
            </w:r>
          </w:p>
        </w:tc>
        <w:tc>
          <w:tcPr>
            <w:tcW w:w="851" w:type="dxa"/>
            <w:vAlign w:val="bottom"/>
          </w:tcPr>
          <w:p w14:paraId="46E2E134" w14:textId="77777777" w:rsidR="0012790E" w:rsidRPr="0012790E" w:rsidRDefault="0012790E">
            <w:pPr>
              <w:pStyle w:val="Summarytabletextrightaligned"/>
              <w:rPr>
                <w:szCs w:val="16"/>
              </w:rPr>
            </w:pPr>
            <w:r w:rsidRPr="0012790E">
              <w:rPr>
                <w:szCs w:val="16"/>
              </w:rPr>
              <w:t>4.8</w:t>
            </w:r>
          </w:p>
        </w:tc>
        <w:tc>
          <w:tcPr>
            <w:tcW w:w="851" w:type="dxa"/>
            <w:vAlign w:val="bottom"/>
          </w:tcPr>
          <w:p w14:paraId="08E652AC" w14:textId="77777777" w:rsidR="0012790E" w:rsidRPr="0012790E" w:rsidRDefault="0012790E">
            <w:pPr>
              <w:pStyle w:val="Summarytabletextrightaligned"/>
              <w:rPr>
                <w:szCs w:val="16"/>
              </w:rPr>
            </w:pPr>
            <w:r w:rsidRPr="0012790E">
              <w:rPr>
                <w:szCs w:val="16"/>
              </w:rPr>
              <w:t>4.4</w:t>
            </w:r>
          </w:p>
        </w:tc>
      </w:tr>
      <w:tr w:rsidR="0012790E" w:rsidRPr="0012790E" w14:paraId="55BCFF8E" w14:textId="77777777" w:rsidTr="54937204">
        <w:tc>
          <w:tcPr>
            <w:tcW w:w="3470" w:type="dxa"/>
            <w:shd w:val="clear" w:color="auto" w:fill="auto"/>
            <w:vAlign w:val="bottom"/>
          </w:tcPr>
          <w:p w14:paraId="651A33AC" w14:textId="77777777" w:rsidR="0012790E" w:rsidRPr="0012790E" w:rsidRDefault="0012790E">
            <w:pPr>
              <w:pStyle w:val="SummaryMeasureTitlewithTheme"/>
            </w:pPr>
            <w:r w:rsidRPr="0012790E">
              <w:t>Snowy Hydro Limited(b)</w:t>
            </w:r>
          </w:p>
        </w:tc>
        <w:tc>
          <w:tcPr>
            <w:tcW w:w="851" w:type="dxa"/>
            <w:vAlign w:val="bottom"/>
          </w:tcPr>
          <w:p w14:paraId="393D437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E533C32" w14:textId="77777777" w:rsidR="0012790E" w:rsidRPr="0012790E" w:rsidRDefault="0012790E">
            <w:pPr>
              <w:pStyle w:val="Summarytabletextrightaligned"/>
              <w:rPr>
                <w:szCs w:val="16"/>
              </w:rPr>
            </w:pPr>
            <w:r w:rsidRPr="0012790E">
              <w:rPr>
                <w:szCs w:val="16"/>
              </w:rPr>
              <w:t>0.4</w:t>
            </w:r>
          </w:p>
        </w:tc>
        <w:tc>
          <w:tcPr>
            <w:tcW w:w="851" w:type="dxa"/>
            <w:vAlign w:val="bottom"/>
          </w:tcPr>
          <w:p w14:paraId="5A393AEE" w14:textId="77777777" w:rsidR="0012790E" w:rsidRPr="0012790E" w:rsidRDefault="0012790E">
            <w:pPr>
              <w:pStyle w:val="Summarytabletextrightaligned"/>
              <w:rPr>
                <w:szCs w:val="16"/>
              </w:rPr>
            </w:pPr>
            <w:r w:rsidRPr="0012790E">
              <w:rPr>
                <w:szCs w:val="16"/>
              </w:rPr>
              <w:t>0.4</w:t>
            </w:r>
          </w:p>
        </w:tc>
        <w:tc>
          <w:tcPr>
            <w:tcW w:w="851" w:type="dxa"/>
            <w:vAlign w:val="bottom"/>
          </w:tcPr>
          <w:p w14:paraId="6096A489" w14:textId="77777777" w:rsidR="0012790E" w:rsidRPr="0012790E" w:rsidRDefault="0012790E">
            <w:pPr>
              <w:pStyle w:val="Summarytabletextrightaligned"/>
              <w:rPr>
                <w:szCs w:val="16"/>
              </w:rPr>
            </w:pPr>
            <w:r w:rsidRPr="0012790E">
              <w:rPr>
                <w:szCs w:val="16"/>
              </w:rPr>
              <w:t>0.4</w:t>
            </w:r>
          </w:p>
        </w:tc>
        <w:tc>
          <w:tcPr>
            <w:tcW w:w="851" w:type="dxa"/>
            <w:vAlign w:val="bottom"/>
          </w:tcPr>
          <w:p w14:paraId="0E330113" w14:textId="77777777" w:rsidR="0012790E" w:rsidRPr="0012790E" w:rsidRDefault="0012790E">
            <w:pPr>
              <w:pStyle w:val="Summarytabletextrightaligned"/>
              <w:rPr>
                <w:szCs w:val="16"/>
              </w:rPr>
            </w:pPr>
            <w:r w:rsidRPr="0012790E">
              <w:rPr>
                <w:szCs w:val="16"/>
              </w:rPr>
              <w:t>0.4</w:t>
            </w:r>
          </w:p>
        </w:tc>
      </w:tr>
      <w:tr w:rsidR="0012790E" w:rsidRPr="0012790E" w14:paraId="321432AD" w14:textId="77777777" w:rsidTr="54937204">
        <w:tc>
          <w:tcPr>
            <w:tcW w:w="3470" w:type="dxa"/>
            <w:shd w:val="clear" w:color="auto" w:fill="auto"/>
            <w:vAlign w:val="bottom"/>
          </w:tcPr>
          <w:p w14:paraId="4EA4D9A1" w14:textId="77777777" w:rsidR="0012790E" w:rsidRPr="0012790E" w:rsidRDefault="0012790E">
            <w:pPr>
              <w:pStyle w:val="SummaryMeasureTitlewithTheme"/>
            </w:pPr>
            <w:r w:rsidRPr="0012790E">
              <w:t>Sustaining Water Functions</w:t>
            </w:r>
          </w:p>
        </w:tc>
        <w:tc>
          <w:tcPr>
            <w:tcW w:w="851" w:type="dxa"/>
            <w:vAlign w:val="bottom"/>
          </w:tcPr>
          <w:p w14:paraId="253DD6A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0614E83" w14:textId="77777777" w:rsidR="0012790E" w:rsidRPr="0012790E" w:rsidRDefault="0012790E">
            <w:pPr>
              <w:pStyle w:val="Summarytabletextrightaligned"/>
              <w:rPr>
                <w:szCs w:val="16"/>
              </w:rPr>
            </w:pPr>
            <w:r w:rsidRPr="0012790E">
              <w:rPr>
                <w:szCs w:val="16"/>
              </w:rPr>
              <w:t>55.5</w:t>
            </w:r>
          </w:p>
        </w:tc>
        <w:tc>
          <w:tcPr>
            <w:tcW w:w="851" w:type="dxa"/>
            <w:vAlign w:val="bottom"/>
          </w:tcPr>
          <w:p w14:paraId="400DE31D" w14:textId="77777777" w:rsidR="0012790E" w:rsidRPr="0012790E" w:rsidRDefault="0012790E">
            <w:pPr>
              <w:pStyle w:val="Summarytabletextrightaligned"/>
              <w:rPr>
                <w:szCs w:val="16"/>
              </w:rPr>
            </w:pPr>
            <w:r w:rsidRPr="0012790E">
              <w:rPr>
                <w:szCs w:val="16"/>
              </w:rPr>
              <w:t>58.9</w:t>
            </w:r>
          </w:p>
        </w:tc>
        <w:tc>
          <w:tcPr>
            <w:tcW w:w="851" w:type="dxa"/>
            <w:vAlign w:val="bottom"/>
          </w:tcPr>
          <w:p w14:paraId="6FCE9C1C" w14:textId="77777777" w:rsidR="0012790E" w:rsidRPr="0012790E" w:rsidRDefault="0012790E">
            <w:pPr>
              <w:pStyle w:val="Summarytabletextrightaligned"/>
              <w:rPr>
                <w:szCs w:val="16"/>
              </w:rPr>
            </w:pPr>
            <w:r w:rsidRPr="0012790E">
              <w:rPr>
                <w:szCs w:val="16"/>
              </w:rPr>
              <w:t>59.0</w:t>
            </w:r>
          </w:p>
        </w:tc>
        <w:tc>
          <w:tcPr>
            <w:tcW w:w="851" w:type="dxa"/>
            <w:vAlign w:val="bottom"/>
          </w:tcPr>
          <w:p w14:paraId="6447D070" w14:textId="77777777" w:rsidR="0012790E" w:rsidRPr="0012790E" w:rsidRDefault="0012790E">
            <w:pPr>
              <w:pStyle w:val="Summarytabletextrightaligned"/>
              <w:rPr>
                <w:szCs w:val="16"/>
              </w:rPr>
            </w:pPr>
            <w:r w:rsidRPr="0012790E">
              <w:rPr>
                <w:szCs w:val="16"/>
              </w:rPr>
              <w:t>43.9</w:t>
            </w:r>
          </w:p>
        </w:tc>
      </w:tr>
      <w:tr w:rsidR="0012790E" w:rsidRPr="0012790E" w14:paraId="29CF5554" w14:textId="77777777" w:rsidTr="54937204">
        <w:tc>
          <w:tcPr>
            <w:tcW w:w="3470" w:type="dxa"/>
            <w:shd w:val="clear" w:color="auto" w:fill="auto"/>
            <w:vAlign w:val="bottom"/>
          </w:tcPr>
          <w:p w14:paraId="4BE8F675" w14:textId="77777777" w:rsidR="0012790E" w:rsidRPr="0012790E" w:rsidRDefault="0012790E">
            <w:pPr>
              <w:pStyle w:val="SummaryMeasureTitlewithTheme"/>
            </w:pPr>
            <w:r w:rsidRPr="0012790E">
              <w:t>Tourism Reef Protection Initiative – continuing delivery</w:t>
            </w:r>
          </w:p>
        </w:tc>
        <w:tc>
          <w:tcPr>
            <w:tcW w:w="851" w:type="dxa"/>
            <w:vAlign w:val="bottom"/>
          </w:tcPr>
          <w:p w14:paraId="4343B7A7"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7E950A5" w14:textId="77777777" w:rsidR="0012790E" w:rsidRPr="0012790E" w:rsidRDefault="0012790E">
            <w:pPr>
              <w:pStyle w:val="Summarytabletextrightaligned"/>
              <w:rPr>
                <w:szCs w:val="16"/>
              </w:rPr>
            </w:pPr>
            <w:r w:rsidRPr="0012790E">
              <w:rPr>
                <w:szCs w:val="16"/>
              </w:rPr>
              <w:noBreakHyphen/>
              <w:t>5.0</w:t>
            </w:r>
          </w:p>
        </w:tc>
        <w:tc>
          <w:tcPr>
            <w:tcW w:w="851" w:type="dxa"/>
            <w:vAlign w:val="bottom"/>
          </w:tcPr>
          <w:p w14:paraId="6CC78EA6"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EB865C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32627BD" w14:textId="77777777" w:rsidR="0012790E" w:rsidRPr="0012790E" w:rsidRDefault="0012790E">
            <w:pPr>
              <w:pStyle w:val="Summarytabletextrightaligned"/>
              <w:rPr>
                <w:szCs w:val="16"/>
              </w:rPr>
            </w:pPr>
            <w:r w:rsidRPr="0012790E">
              <w:rPr>
                <w:szCs w:val="16"/>
              </w:rPr>
              <w:noBreakHyphen/>
            </w:r>
          </w:p>
        </w:tc>
      </w:tr>
      <w:tr w:rsidR="0012790E" w:rsidRPr="0012790E" w14:paraId="032C4424" w14:textId="77777777" w:rsidTr="54937204">
        <w:tc>
          <w:tcPr>
            <w:tcW w:w="3470" w:type="dxa"/>
            <w:shd w:val="clear" w:color="auto" w:fill="auto"/>
            <w:vAlign w:val="bottom"/>
          </w:tcPr>
          <w:p w14:paraId="12093EED" w14:textId="77777777" w:rsidR="0012790E" w:rsidRPr="0012790E" w:rsidRDefault="0012790E">
            <w:pPr>
              <w:pStyle w:val="SummaryAgencyTitle-BP2"/>
              <w:rPr>
                <w:iCs/>
              </w:rPr>
            </w:pPr>
            <w:r w:rsidRPr="0012790E">
              <w:rPr>
                <w:iCs/>
              </w:rPr>
              <w:t>Director of National Parks</w:t>
            </w:r>
          </w:p>
        </w:tc>
        <w:tc>
          <w:tcPr>
            <w:tcW w:w="851" w:type="dxa"/>
            <w:vAlign w:val="bottom"/>
          </w:tcPr>
          <w:p w14:paraId="07BFC18C" w14:textId="77777777" w:rsidR="0012790E" w:rsidRPr="0012790E" w:rsidRDefault="0012790E">
            <w:pPr>
              <w:pStyle w:val="SummaryAgencyTitle-BP2"/>
              <w:rPr>
                <w:iCs/>
              </w:rPr>
            </w:pPr>
          </w:p>
        </w:tc>
        <w:tc>
          <w:tcPr>
            <w:tcW w:w="851" w:type="dxa"/>
            <w:shd w:val="clear" w:color="auto" w:fill="E6F2FF"/>
            <w:vAlign w:val="bottom"/>
          </w:tcPr>
          <w:p w14:paraId="6270DB38" w14:textId="77777777" w:rsidR="0012790E" w:rsidRPr="0012790E" w:rsidRDefault="0012790E">
            <w:pPr>
              <w:pStyle w:val="SummaryAgencyTitle-BP2"/>
              <w:rPr>
                <w:iCs/>
              </w:rPr>
            </w:pPr>
          </w:p>
        </w:tc>
        <w:tc>
          <w:tcPr>
            <w:tcW w:w="851" w:type="dxa"/>
            <w:vAlign w:val="bottom"/>
          </w:tcPr>
          <w:p w14:paraId="1E96D880" w14:textId="77777777" w:rsidR="0012790E" w:rsidRPr="0012790E" w:rsidRDefault="0012790E">
            <w:pPr>
              <w:pStyle w:val="SummaryAgencyTitle-BP2"/>
              <w:rPr>
                <w:iCs/>
              </w:rPr>
            </w:pPr>
          </w:p>
        </w:tc>
        <w:tc>
          <w:tcPr>
            <w:tcW w:w="851" w:type="dxa"/>
            <w:vAlign w:val="bottom"/>
          </w:tcPr>
          <w:p w14:paraId="1BFC6238" w14:textId="77777777" w:rsidR="0012790E" w:rsidRPr="0012790E" w:rsidRDefault="0012790E">
            <w:pPr>
              <w:pStyle w:val="SummaryAgencyTitle-BP2"/>
              <w:rPr>
                <w:iCs/>
              </w:rPr>
            </w:pPr>
          </w:p>
        </w:tc>
        <w:tc>
          <w:tcPr>
            <w:tcW w:w="851" w:type="dxa"/>
            <w:vAlign w:val="bottom"/>
          </w:tcPr>
          <w:p w14:paraId="3C50CF44" w14:textId="77777777" w:rsidR="0012790E" w:rsidRPr="0012790E" w:rsidRDefault="0012790E">
            <w:pPr>
              <w:pStyle w:val="SummaryAgencyTitle-BP2"/>
              <w:rPr>
                <w:iCs/>
              </w:rPr>
            </w:pPr>
          </w:p>
        </w:tc>
      </w:tr>
      <w:tr w:rsidR="0012790E" w:rsidRPr="0012790E" w14:paraId="0C54D654" w14:textId="77777777" w:rsidTr="54937204">
        <w:tc>
          <w:tcPr>
            <w:tcW w:w="3470" w:type="dxa"/>
            <w:shd w:val="clear" w:color="auto" w:fill="auto"/>
            <w:vAlign w:val="bottom"/>
          </w:tcPr>
          <w:p w14:paraId="543EC3C9" w14:textId="77777777" w:rsidR="0012790E" w:rsidRPr="0012790E" w:rsidRDefault="0012790E">
            <w:pPr>
              <w:pStyle w:val="SummaryMeasureTitlewithTheme"/>
            </w:pPr>
            <w:r w:rsidRPr="0012790E">
              <w:t>Jabiru Remediation – continuing delivery</w:t>
            </w:r>
          </w:p>
        </w:tc>
        <w:tc>
          <w:tcPr>
            <w:tcW w:w="851" w:type="dxa"/>
            <w:vAlign w:val="bottom"/>
          </w:tcPr>
          <w:p w14:paraId="06E9E46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5EBB029" w14:textId="77777777" w:rsidR="0012790E" w:rsidRPr="0012790E" w:rsidRDefault="0012790E">
            <w:pPr>
              <w:pStyle w:val="Summarytabletextrightaligned"/>
              <w:rPr>
                <w:szCs w:val="16"/>
              </w:rPr>
            </w:pPr>
            <w:r w:rsidRPr="0012790E">
              <w:rPr>
                <w:szCs w:val="16"/>
              </w:rPr>
              <w:t>0.1</w:t>
            </w:r>
          </w:p>
        </w:tc>
        <w:tc>
          <w:tcPr>
            <w:tcW w:w="851" w:type="dxa"/>
            <w:vAlign w:val="bottom"/>
          </w:tcPr>
          <w:p w14:paraId="4DD1FAF2" w14:textId="77777777" w:rsidR="0012790E" w:rsidRPr="0012790E" w:rsidRDefault="0012790E">
            <w:pPr>
              <w:pStyle w:val="Summarytabletextrightaligned"/>
              <w:rPr>
                <w:szCs w:val="16"/>
              </w:rPr>
            </w:pPr>
            <w:r w:rsidRPr="0012790E">
              <w:rPr>
                <w:szCs w:val="16"/>
              </w:rPr>
              <w:t>0.1</w:t>
            </w:r>
          </w:p>
        </w:tc>
        <w:tc>
          <w:tcPr>
            <w:tcW w:w="851" w:type="dxa"/>
            <w:vAlign w:val="bottom"/>
          </w:tcPr>
          <w:p w14:paraId="0B94FEE4" w14:textId="77777777" w:rsidR="0012790E" w:rsidRPr="0012790E" w:rsidRDefault="0012790E">
            <w:pPr>
              <w:pStyle w:val="Summarytabletextrightaligned"/>
              <w:rPr>
                <w:szCs w:val="16"/>
              </w:rPr>
            </w:pPr>
            <w:r w:rsidRPr="0012790E">
              <w:rPr>
                <w:szCs w:val="16"/>
              </w:rPr>
              <w:t>0.1</w:t>
            </w:r>
          </w:p>
        </w:tc>
        <w:tc>
          <w:tcPr>
            <w:tcW w:w="851" w:type="dxa"/>
            <w:vAlign w:val="bottom"/>
          </w:tcPr>
          <w:p w14:paraId="6E0336A9" w14:textId="77777777" w:rsidR="0012790E" w:rsidRPr="0012790E" w:rsidRDefault="0012790E">
            <w:pPr>
              <w:pStyle w:val="Summarytabletextrightaligned"/>
              <w:rPr>
                <w:szCs w:val="16"/>
              </w:rPr>
            </w:pPr>
            <w:r w:rsidRPr="0012790E">
              <w:rPr>
                <w:szCs w:val="16"/>
              </w:rPr>
              <w:t>0.1</w:t>
            </w:r>
          </w:p>
        </w:tc>
      </w:tr>
      <w:tr w:rsidR="0012790E" w:rsidRPr="0012790E" w14:paraId="21C1161B" w14:textId="77777777" w:rsidTr="54937204">
        <w:tc>
          <w:tcPr>
            <w:tcW w:w="3470" w:type="dxa"/>
            <w:shd w:val="clear" w:color="auto" w:fill="auto"/>
            <w:vAlign w:val="bottom"/>
          </w:tcPr>
          <w:p w14:paraId="2DAEFB68" w14:textId="77777777" w:rsidR="0012790E" w:rsidRPr="0012790E" w:rsidRDefault="0012790E">
            <w:pPr>
              <w:pStyle w:val="SummaryAgencyTitle-BP2"/>
              <w:rPr>
                <w:iCs/>
              </w:rPr>
            </w:pPr>
            <w:r w:rsidRPr="0012790E">
              <w:rPr>
                <w:iCs/>
              </w:rPr>
              <w:t>Great Barrier Reef Marine Park Authority</w:t>
            </w:r>
          </w:p>
        </w:tc>
        <w:tc>
          <w:tcPr>
            <w:tcW w:w="851" w:type="dxa"/>
            <w:vAlign w:val="bottom"/>
          </w:tcPr>
          <w:p w14:paraId="2CEF82AC" w14:textId="77777777" w:rsidR="0012790E" w:rsidRPr="0012790E" w:rsidRDefault="0012790E">
            <w:pPr>
              <w:pStyle w:val="SummaryAgencyTitle-BP2"/>
              <w:rPr>
                <w:iCs/>
              </w:rPr>
            </w:pPr>
          </w:p>
        </w:tc>
        <w:tc>
          <w:tcPr>
            <w:tcW w:w="851" w:type="dxa"/>
            <w:shd w:val="clear" w:color="auto" w:fill="E6F2FF"/>
            <w:vAlign w:val="bottom"/>
          </w:tcPr>
          <w:p w14:paraId="7B74DBAB" w14:textId="77777777" w:rsidR="0012790E" w:rsidRPr="0012790E" w:rsidRDefault="0012790E">
            <w:pPr>
              <w:pStyle w:val="SummaryAgencyTitle-BP2"/>
              <w:rPr>
                <w:iCs/>
              </w:rPr>
            </w:pPr>
          </w:p>
        </w:tc>
        <w:tc>
          <w:tcPr>
            <w:tcW w:w="851" w:type="dxa"/>
            <w:vAlign w:val="bottom"/>
          </w:tcPr>
          <w:p w14:paraId="4D1C317F" w14:textId="77777777" w:rsidR="0012790E" w:rsidRPr="0012790E" w:rsidRDefault="0012790E">
            <w:pPr>
              <w:pStyle w:val="SummaryAgencyTitle-BP2"/>
              <w:rPr>
                <w:iCs/>
              </w:rPr>
            </w:pPr>
          </w:p>
        </w:tc>
        <w:tc>
          <w:tcPr>
            <w:tcW w:w="851" w:type="dxa"/>
            <w:vAlign w:val="bottom"/>
          </w:tcPr>
          <w:p w14:paraId="4DA3B113" w14:textId="77777777" w:rsidR="0012790E" w:rsidRPr="0012790E" w:rsidRDefault="0012790E">
            <w:pPr>
              <w:pStyle w:val="SummaryAgencyTitle-BP2"/>
              <w:rPr>
                <w:iCs/>
              </w:rPr>
            </w:pPr>
          </w:p>
        </w:tc>
        <w:tc>
          <w:tcPr>
            <w:tcW w:w="851" w:type="dxa"/>
            <w:vAlign w:val="bottom"/>
          </w:tcPr>
          <w:p w14:paraId="1BCCFAE0" w14:textId="77777777" w:rsidR="0012790E" w:rsidRPr="0012790E" w:rsidRDefault="0012790E">
            <w:pPr>
              <w:pStyle w:val="SummaryAgencyTitle-BP2"/>
              <w:rPr>
                <w:iCs/>
              </w:rPr>
            </w:pPr>
          </w:p>
        </w:tc>
      </w:tr>
      <w:tr w:rsidR="0012790E" w:rsidRPr="0012790E" w14:paraId="1D379223" w14:textId="77777777" w:rsidTr="54937204">
        <w:tc>
          <w:tcPr>
            <w:tcW w:w="3470" w:type="dxa"/>
            <w:shd w:val="clear" w:color="auto" w:fill="auto"/>
            <w:vAlign w:val="bottom"/>
          </w:tcPr>
          <w:p w14:paraId="0779BC2A" w14:textId="77777777" w:rsidR="0012790E" w:rsidRPr="0012790E" w:rsidRDefault="0012790E">
            <w:pPr>
              <w:pStyle w:val="SummaryMeasureTitlewithTheme"/>
            </w:pPr>
            <w:r w:rsidRPr="0012790E">
              <w:t>Tourism Reef Protection Initiative – continuing delivery</w:t>
            </w:r>
          </w:p>
        </w:tc>
        <w:tc>
          <w:tcPr>
            <w:tcW w:w="851" w:type="dxa"/>
            <w:vAlign w:val="bottom"/>
          </w:tcPr>
          <w:p w14:paraId="64344D2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57FDBD5" w14:textId="77777777" w:rsidR="0012790E" w:rsidRPr="0012790E" w:rsidRDefault="0012790E">
            <w:pPr>
              <w:pStyle w:val="Summarytabletextrightaligned"/>
              <w:rPr>
                <w:szCs w:val="16"/>
              </w:rPr>
            </w:pPr>
            <w:r w:rsidRPr="0012790E">
              <w:rPr>
                <w:szCs w:val="16"/>
              </w:rPr>
              <w:t>5.0</w:t>
            </w:r>
          </w:p>
        </w:tc>
        <w:tc>
          <w:tcPr>
            <w:tcW w:w="851" w:type="dxa"/>
            <w:vAlign w:val="bottom"/>
          </w:tcPr>
          <w:p w14:paraId="552142F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81397C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2B1E1FE" w14:textId="77777777" w:rsidR="0012790E" w:rsidRPr="0012790E" w:rsidRDefault="0012790E">
            <w:pPr>
              <w:pStyle w:val="Summarytabletextrightaligned"/>
              <w:rPr>
                <w:szCs w:val="16"/>
              </w:rPr>
            </w:pPr>
            <w:r w:rsidRPr="0012790E">
              <w:rPr>
                <w:szCs w:val="16"/>
              </w:rPr>
              <w:noBreakHyphen/>
            </w:r>
          </w:p>
        </w:tc>
      </w:tr>
      <w:tr w:rsidR="0012790E" w:rsidRPr="0012790E" w14:paraId="105ADAF7" w14:textId="77777777" w:rsidTr="54937204">
        <w:tc>
          <w:tcPr>
            <w:tcW w:w="3470" w:type="dxa"/>
            <w:shd w:val="clear" w:color="auto" w:fill="auto"/>
            <w:vAlign w:val="bottom"/>
          </w:tcPr>
          <w:p w14:paraId="77EDF96A" w14:textId="77777777" w:rsidR="0012790E" w:rsidRPr="0012790E" w:rsidRDefault="0012790E">
            <w:pPr>
              <w:pStyle w:val="SummaryAgencyTitle-BP2"/>
              <w:rPr>
                <w:iCs/>
              </w:rPr>
            </w:pPr>
            <w:r w:rsidRPr="0012790E">
              <w:rPr>
                <w:iCs/>
              </w:rPr>
              <w:t>Murray</w:t>
            </w:r>
            <w:r w:rsidRPr="0012790E">
              <w:rPr>
                <w:iCs/>
              </w:rPr>
              <w:noBreakHyphen/>
              <w:t>Darling Basin Authority</w:t>
            </w:r>
          </w:p>
        </w:tc>
        <w:tc>
          <w:tcPr>
            <w:tcW w:w="851" w:type="dxa"/>
            <w:vAlign w:val="bottom"/>
          </w:tcPr>
          <w:p w14:paraId="7F865A41" w14:textId="77777777" w:rsidR="0012790E" w:rsidRPr="0012790E" w:rsidRDefault="0012790E">
            <w:pPr>
              <w:pStyle w:val="SummaryAgencyTitle-BP2"/>
              <w:rPr>
                <w:iCs/>
              </w:rPr>
            </w:pPr>
          </w:p>
        </w:tc>
        <w:tc>
          <w:tcPr>
            <w:tcW w:w="851" w:type="dxa"/>
            <w:shd w:val="clear" w:color="auto" w:fill="E6F2FF"/>
            <w:vAlign w:val="bottom"/>
          </w:tcPr>
          <w:p w14:paraId="60416E77" w14:textId="77777777" w:rsidR="0012790E" w:rsidRPr="0012790E" w:rsidRDefault="0012790E">
            <w:pPr>
              <w:pStyle w:val="SummaryAgencyTitle-BP2"/>
              <w:rPr>
                <w:iCs/>
              </w:rPr>
            </w:pPr>
          </w:p>
        </w:tc>
        <w:tc>
          <w:tcPr>
            <w:tcW w:w="851" w:type="dxa"/>
            <w:vAlign w:val="bottom"/>
          </w:tcPr>
          <w:p w14:paraId="4937B900" w14:textId="77777777" w:rsidR="0012790E" w:rsidRPr="0012790E" w:rsidRDefault="0012790E">
            <w:pPr>
              <w:pStyle w:val="SummaryAgencyTitle-BP2"/>
              <w:rPr>
                <w:iCs/>
              </w:rPr>
            </w:pPr>
          </w:p>
        </w:tc>
        <w:tc>
          <w:tcPr>
            <w:tcW w:w="851" w:type="dxa"/>
            <w:vAlign w:val="bottom"/>
          </w:tcPr>
          <w:p w14:paraId="79C112CF" w14:textId="77777777" w:rsidR="0012790E" w:rsidRPr="0012790E" w:rsidRDefault="0012790E">
            <w:pPr>
              <w:pStyle w:val="SummaryAgencyTitle-BP2"/>
              <w:rPr>
                <w:iCs/>
              </w:rPr>
            </w:pPr>
          </w:p>
        </w:tc>
        <w:tc>
          <w:tcPr>
            <w:tcW w:w="851" w:type="dxa"/>
            <w:vAlign w:val="bottom"/>
          </w:tcPr>
          <w:p w14:paraId="7EFB78EB" w14:textId="77777777" w:rsidR="0012790E" w:rsidRPr="0012790E" w:rsidRDefault="0012790E">
            <w:pPr>
              <w:pStyle w:val="SummaryAgencyTitle-BP2"/>
              <w:rPr>
                <w:iCs/>
              </w:rPr>
            </w:pPr>
          </w:p>
        </w:tc>
      </w:tr>
      <w:tr w:rsidR="0012790E" w:rsidRPr="0012790E" w14:paraId="09EA97E6" w14:textId="77777777" w:rsidTr="54937204">
        <w:tc>
          <w:tcPr>
            <w:tcW w:w="3470" w:type="dxa"/>
            <w:shd w:val="clear" w:color="auto" w:fill="auto"/>
            <w:vAlign w:val="bottom"/>
          </w:tcPr>
          <w:p w14:paraId="088EF87F" w14:textId="77777777" w:rsidR="0012790E" w:rsidRPr="0012790E" w:rsidRDefault="0012790E">
            <w:pPr>
              <w:pStyle w:val="SummaryMeasureTitlewithTheme"/>
            </w:pPr>
            <w:r w:rsidRPr="0012790E">
              <w:t>Sustaining Water Functions</w:t>
            </w:r>
          </w:p>
        </w:tc>
        <w:tc>
          <w:tcPr>
            <w:tcW w:w="851" w:type="dxa"/>
            <w:tcBorders>
              <w:bottom w:val="single" w:sz="4" w:space="0" w:color="293F5B"/>
            </w:tcBorders>
            <w:vAlign w:val="bottom"/>
          </w:tcPr>
          <w:p w14:paraId="6FDFCD8A"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77DD2A2E" w14:textId="77777777" w:rsidR="0012790E" w:rsidRPr="0012790E" w:rsidRDefault="0012790E">
            <w:pPr>
              <w:pStyle w:val="Summarytabletextrightaligned"/>
              <w:rPr>
                <w:szCs w:val="16"/>
              </w:rPr>
            </w:pPr>
            <w:r w:rsidRPr="0012790E">
              <w:rPr>
                <w:szCs w:val="16"/>
              </w:rPr>
              <w:t>3.7</w:t>
            </w:r>
          </w:p>
        </w:tc>
        <w:tc>
          <w:tcPr>
            <w:tcW w:w="851" w:type="dxa"/>
            <w:tcBorders>
              <w:bottom w:val="single" w:sz="4" w:space="0" w:color="293F5B"/>
            </w:tcBorders>
            <w:vAlign w:val="bottom"/>
          </w:tcPr>
          <w:p w14:paraId="7AA81B12" w14:textId="77777777" w:rsidR="0012790E" w:rsidRPr="0012790E" w:rsidRDefault="0012790E">
            <w:pPr>
              <w:pStyle w:val="Summarytabletextrightaligned"/>
              <w:rPr>
                <w:szCs w:val="16"/>
              </w:rPr>
            </w:pPr>
            <w:r w:rsidRPr="0012790E">
              <w:rPr>
                <w:szCs w:val="16"/>
              </w:rPr>
              <w:t>0.9</w:t>
            </w:r>
          </w:p>
        </w:tc>
        <w:tc>
          <w:tcPr>
            <w:tcW w:w="851" w:type="dxa"/>
            <w:tcBorders>
              <w:bottom w:val="single" w:sz="4" w:space="0" w:color="293F5B"/>
            </w:tcBorders>
            <w:vAlign w:val="bottom"/>
          </w:tcPr>
          <w:p w14:paraId="1E238531" w14:textId="77777777" w:rsidR="0012790E" w:rsidRPr="0012790E" w:rsidRDefault="0012790E">
            <w:pPr>
              <w:pStyle w:val="Summarytabletextrightaligned"/>
              <w:rPr>
                <w:szCs w:val="16"/>
              </w:rPr>
            </w:pPr>
            <w:r w:rsidRPr="0012790E">
              <w:rPr>
                <w:szCs w:val="16"/>
              </w:rPr>
              <w:t>0.7</w:t>
            </w:r>
          </w:p>
        </w:tc>
        <w:tc>
          <w:tcPr>
            <w:tcW w:w="851" w:type="dxa"/>
            <w:tcBorders>
              <w:bottom w:val="single" w:sz="4" w:space="0" w:color="293F5B"/>
            </w:tcBorders>
            <w:vAlign w:val="bottom"/>
          </w:tcPr>
          <w:p w14:paraId="53B961D2" w14:textId="77777777" w:rsidR="0012790E" w:rsidRPr="0012790E" w:rsidRDefault="0012790E">
            <w:pPr>
              <w:pStyle w:val="Summarytabletextrightaligned"/>
              <w:rPr>
                <w:szCs w:val="16"/>
              </w:rPr>
            </w:pPr>
            <w:r w:rsidRPr="0012790E">
              <w:rPr>
                <w:szCs w:val="16"/>
              </w:rPr>
              <w:t>0.7</w:t>
            </w:r>
          </w:p>
        </w:tc>
      </w:tr>
      <w:tr w:rsidR="00D00B6A" w:rsidRPr="0012790E" w14:paraId="3403221E" w14:textId="77777777" w:rsidTr="54937204">
        <w:tc>
          <w:tcPr>
            <w:tcW w:w="3470" w:type="dxa"/>
            <w:shd w:val="clear" w:color="auto" w:fill="auto"/>
            <w:vAlign w:val="bottom"/>
          </w:tcPr>
          <w:p w14:paraId="07D20788" w14:textId="77777777" w:rsidR="00D00B6A" w:rsidRPr="0012790E" w:rsidRDefault="00D00B6A" w:rsidP="00D00B6A">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1F77AFFE" w14:textId="75ABA3D3" w:rsidR="00D00B6A" w:rsidRPr="0012790E" w:rsidRDefault="00D00B6A" w:rsidP="00D00B6A">
            <w:pPr>
              <w:pStyle w:val="Summarytabletextrightalignedbold"/>
              <w:rPr>
                <w:bCs/>
                <w:szCs w:val="16"/>
              </w:rPr>
            </w:pPr>
            <w:r w:rsidRPr="0012790E">
              <w:rPr>
                <w:bCs/>
                <w:szCs w:val="16"/>
              </w:rPr>
              <w:noBreakHyphen/>
            </w:r>
            <w:r w:rsidR="004503C9">
              <w:rPr>
                <w:bCs/>
                <w:szCs w:val="16"/>
              </w:rPr>
              <w:t>14.8</w:t>
            </w:r>
          </w:p>
        </w:tc>
        <w:tc>
          <w:tcPr>
            <w:tcW w:w="851" w:type="dxa"/>
            <w:tcBorders>
              <w:top w:val="single" w:sz="4" w:space="0" w:color="293F5B"/>
              <w:bottom w:val="single" w:sz="4" w:space="0" w:color="293F5B"/>
            </w:tcBorders>
            <w:shd w:val="clear" w:color="auto" w:fill="E6F2FF"/>
            <w:vAlign w:val="bottom"/>
          </w:tcPr>
          <w:p w14:paraId="4DA776F8" w14:textId="2F0D5CF6" w:rsidR="00D00B6A" w:rsidRPr="0012790E" w:rsidRDefault="00E100C1" w:rsidP="00D00B6A">
            <w:pPr>
              <w:pStyle w:val="Summarytabletextrightalignedbold"/>
              <w:rPr>
                <w:bCs/>
                <w:szCs w:val="16"/>
              </w:rPr>
            </w:pPr>
            <w:r>
              <w:rPr>
                <w:bCs/>
                <w:szCs w:val="16"/>
              </w:rPr>
              <w:t>380.0</w:t>
            </w:r>
          </w:p>
        </w:tc>
        <w:tc>
          <w:tcPr>
            <w:tcW w:w="851" w:type="dxa"/>
            <w:tcBorders>
              <w:top w:val="single" w:sz="4" w:space="0" w:color="293F5B"/>
              <w:bottom w:val="single" w:sz="4" w:space="0" w:color="293F5B"/>
            </w:tcBorders>
            <w:vAlign w:val="bottom"/>
          </w:tcPr>
          <w:p w14:paraId="2C8BDDD0" w14:textId="2EB40E14" w:rsidR="00D00B6A" w:rsidRPr="0012790E" w:rsidRDefault="00E100C1" w:rsidP="00D00B6A">
            <w:pPr>
              <w:pStyle w:val="Summarytabletextrightalignedbold"/>
              <w:rPr>
                <w:bCs/>
                <w:szCs w:val="16"/>
              </w:rPr>
            </w:pPr>
            <w:r>
              <w:rPr>
                <w:bCs/>
                <w:szCs w:val="16"/>
              </w:rPr>
              <w:t>488.5</w:t>
            </w:r>
          </w:p>
        </w:tc>
        <w:tc>
          <w:tcPr>
            <w:tcW w:w="851" w:type="dxa"/>
            <w:tcBorders>
              <w:top w:val="single" w:sz="4" w:space="0" w:color="293F5B"/>
              <w:bottom w:val="single" w:sz="4" w:space="0" w:color="293F5B"/>
            </w:tcBorders>
            <w:vAlign w:val="bottom"/>
          </w:tcPr>
          <w:p w14:paraId="0CC9469D" w14:textId="4C8CDE65" w:rsidR="00D00B6A" w:rsidRPr="0012790E" w:rsidRDefault="00E100C1" w:rsidP="00D00B6A">
            <w:pPr>
              <w:pStyle w:val="Summarytabletextrightalignedbold"/>
              <w:rPr>
                <w:bCs/>
                <w:szCs w:val="16"/>
              </w:rPr>
            </w:pPr>
            <w:r>
              <w:rPr>
                <w:bCs/>
                <w:szCs w:val="16"/>
              </w:rPr>
              <w:t>507.4</w:t>
            </w:r>
          </w:p>
        </w:tc>
        <w:tc>
          <w:tcPr>
            <w:tcW w:w="851" w:type="dxa"/>
            <w:tcBorders>
              <w:top w:val="single" w:sz="4" w:space="0" w:color="293F5B"/>
              <w:bottom w:val="single" w:sz="4" w:space="0" w:color="293F5B"/>
            </w:tcBorders>
            <w:vAlign w:val="bottom"/>
          </w:tcPr>
          <w:p w14:paraId="20A6A48B" w14:textId="533CAD52" w:rsidR="00D00B6A" w:rsidRPr="0012790E" w:rsidRDefault="00E100C1" w:rsidP="00D00B6A">
            <w:pPr>
              <w:pStyle w:val="Summarytabletextrightalignedbold"/>
              <w:rPr>
                <w:bCs/>
                <w:szCs w:val="16"/>
              </w:rPr>
            </w:pPr>
            <w:r>
              <w:rPr>
                <w:bCs/>
                <w:szCs w:val="16"/>
              </w:rPr>
              <w:t>634.0</w:t>
            </w:r>
          </w:p>
        </w:tc>
      </w:tr>
    </w:tbl>
    <w:p w14:paraId="61BB23AC" w14:textId="77777777" w:rsidR="0012790E" w:rsidRPr="0012790E" w:rsidRDefault="0012790E" w:rsidP="0012790E">
      <w:pPr>
        <w:pStyle w:val="TableHeadingcontinued"/>
        <w:sectPr w:rsidR="0012790E" w:rsidRPr="0012790E" w:rsidSect="00EA5BFE">
          <w:headerReference w:type="even" r:id="rId36"/>
          <w:headerReference w:type="default" r:id="rId37"/>
          <w:footerReference w:type="even" r:id="rId38"/>
          <w:footerReference w:type="default" r:id="rId39"/>
          <w:footerReference w:type="first" r:id="rId40"/>
          <w:pgSz w:w="11905" w:h="16837"/>
          <w:pgMar w:top="2835" w:right="2098" w:bottom="2466" w:left="2098" w:header="1814" w:footer="1814" w:gutter="0"/>
          <w:cols w:space="720"/>
          <w:noEndnote/>
          <w:docGrid w:linePitch="272"/>
        </w:sectPr>
      </w:pPr>
    </w:p>
    <w:p w14:paraId="384519ED" w14:textId="77777777" w:rsidR="0012790E" w:rsidRPr="0012790E" w:rsidRDefault="0012790E" w:rsidP="0012790E">
      <w:pPr>
        <w:pStyle w:val="TableHeadingcontinued"/>
        <w:rPr>
          <w:szCs w:val="16"/>
        </w:rPr>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2D21115C" w14:textId="77777777" w:rsidTr="54937204">
        <w:tc>
          <w:tcPr>
            <w:tcW w:w="3470" w:type="dxa"/>
            <w:tcBorders>
              <w:top w:val="single" w:sz="4" w:space="0" w:color="293F5B"/>
            </w:tcBorders>
            <w:shd w:val="clear" w:color="auto" w:fill="auto"/>
            <w:vAlign w:val="bottom"/>
          </w:tcPr>
          <w:p w14:paraId="4E007A81"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036885CD"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5BE1C244"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7EE69EC3"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7065ACE7"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07A702BF"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2BCAF5EC" w14:textId="77777777" w:rsidTr="54937204">
        <w:tc>
          <w:tcPr>
            <w:tcW w:w="3470" w:type="dxa"/>
            <w:shd w:val="clear" w:color="auto" w:fill="auto"/>
            <w:vAlign w:val="bottom"/>
          </w:tcPr>
          <w:p w14:paraId="68A3C432" w14:textId="77777777" w:rsidR="0012790E" w:rsidRPr="0012790E" w:rsidRDefault="0012790E">
            <w:pPr>
              <w:pStyle w:val="Summarytabletextrightaligned"/>
            </w:pPr>
          </w:p>
        </w:tc>
        <w:tc>
          <w:tcPr>
            <w:tcW w:w="851" w:type="dxa"/>
            <w:tcBorders>
              <w:bottom w:val="single" w:sz="4" w:space="0" w:color="293F5B"/>
            </w:tcBorders>
            <w:vAlign w:val="bottom"/>
          </w:tcPr>
          <w:p w14:paraId="6DAAA0D5"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45E8F015"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144F3444"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3D94D7FD"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122EE319" w14:textId="77777777" w:rsidR="0012790E" w:rsidRPr="0012790E" w:rsidRDefault="0012790E">
            <w:pPr>
              <w:pStyle w:val="Summarytabletextrightaligned"/>
            </w:pPr>
            <w:r w:rsidRPr="0012790E">
              <w:t>$m</w:t>
            </w:r>
          </w:p>
        </w:tc>
      </w:tr>
      <w:tr w:rsidR="0012790E" w:rsidRPr="0012790E" w14:paraId="2EA27018" w14:textId="77777777" w:rsidTr="54937204">
        <w:tc>
          <w:tcPr>
            <w:tcW w:w="3470" w:type="dxa"/>
            <w:shd w:val="clear" w:color="auto" w:fill="auto"/>
            <w:vAlign w:val="bottom"/>
          </w:tcPr>
          <w:p w14:paraId="787BC15D" w14:textId="10402B89" w:rsidR="0012790E" w:rsidRPr="0012790E" w:rsidRDefault="00E000F9">
            <w:pPr>
              <w:pStyle w:val="SummaryPortfolioTitle-BP2"/>
            </w:pPr>
            <w:r>
              <w:t>Cross portfolio</w:t>
            </w:r>
          </w:p>
        </w:tc>
        <w:tc>
          <w:tcPr>
            <w:tcW w:w="851" w:type="dxa"/>
            <w:tcBorders>
              <w:top w:val="single" w:sz="4" w:space="0" w:color="293F5B"/>
            </w:tcBorders>
            <w:vAlign w:val="bottom"/>
          </w:tcPr>
          <w:p w14:paraId="3EB60BCA" w14:textId="77777777" w:rsidR="0012790E" w:rsidRPr="0012790E" w:rsidRDefault="0012790E">
            <w:pPr>
              <w:pStyle w:val="MeasureTableTextRightAlignedBefore6ptAfter1pt"/>
              <w:rPr>
                <w:b/>
                <w:bCs/>
              </w:rPr>
            </w:pPr>
          </w:p>
        </w:tc>
        <w:tc>
          <w:tcPr>
            <w:tcW w:w="851" w:type="dxa"/>
            <w:tcBorders>
              <w:top w:val="single" w:sz="4" w:space="0" w:color="293F5B"/>
            </w:tcBorders>
            <w:shd w:val="clear" w:color="auto" w:fill="E6F2FF"/>
            <w:vAlign w:val="bottom"/>
          </w:tcPr>
          <w:p w14:paraId="68EF19B9"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37BACA24"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13E98B31"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018D8E8D" w14:textId="77777777" w:rsidR="0012790E" w:rsidRPr="0012790E" w:rsidRDefault="0012790E">
            <w:pPr>
              <w:pStyle w:val="MeasureTableTextRightAlignedBefore6ptAfter1pt"/>
              <w:rPr>
                <w:b/>
                <w:bCs/>
              </w:rPr>
            </w:pPr>
          </w:p>
        </w:tc>
      </w:tr>
      <w:tr w:rsidR="00E000F9" w:rsidRPr="0012790E" w14:paraId="15272AB1" w14:textId="77777777" w:rsidTr="54937204">
        <w:tc>
          <w:tcPr>
            <w:tcW w:w="3470" w:type="dxa"/>
            <w:shd w:val="clear" w:color="auto" w:fill="auto"/>
            <w:vAlign w:val="bottom"/>
          </w:tcPr>
          <w:p w14:paraId="152AC6C7" w14:textId="5285529C" w:rsidR="00E000F9" w:rsidRPr="0012790E" w:rsidRDefault="00E000F9" w:rsidP="00E000F9">
            <w:pPr>
              <w:pStyle w:val="SummaryAgencyTitle-BP2"/>
              <w:rPr>
                <w:iCs/>
              </w:rPr>
            </w:pPr>
            <w:r w:rsidRPr="0012790E">
              <w:rPr>
                <w:iCs/>
              </w:rPr>
              <w:t>Various Agencies</w:t>
            </w:r>
          </w:p>
        </w:tc>
        <w:tc>
          <w:tcPr>
            <w:tcW w:w="851" w:type="dxa"/>
            <w:vAlign w:val="bottom"/>
          </w:tcPr>
          <w:p w14:paraId="251889F3" w14:textId="77777777" w:rsidR="00E000F9" w:rsidRPr="0012790E" w:rsidRDefault="00E000F9" w:rsidP="00E000F9">
            <w:pPr>
              <w:pStyle w:val="SummaryAgencyTitle-BP2"/>
              <w:rPr>
                <w:iCs/>
              </w:rPr>
            </w:pPr>
          </w:p>
        </w:tc>
        <w:tc>
          <w:tcPr>
            <w:tcW w:w="851" w:type="dxa"/>
            <w:shd w:val="clear" w:color="auto" w:fill="E6F2FF"/>
            <w:vAlign w:val="bottom"/>
          </w:tcPr>
          <w:p w14:paraId="3970F7F5" w14:textId="77777777" w:rsidR="00E000F9" w:rsidRPr="0012790E" w:rsidRDefault="00E000F9" w:rsidP="00E000F9">
            <w:pPr>
              <w:pStyle w:val="SummaryAgencyTitle-BP2"/>
              <w:rPr>
                <w:iCs/>
              </w:rPr>
            </w:pPr>
          </w:p>
        </w:tc>
        <w:tc>
          <w:tcPr>
            <w:tcW w:w="851" w:type="dxa"/>
            <w:vAlign w:val="bottom"/>
          </w:tcPr>
          <w:p w14:paraId="3DE55330" w14:textId="77777777" w:rsidR="00E000F9" w:rsidRPr="0012790E" w:rsidRDefault="00E000F9" w:rsidP="00E000F9">
            <w:pPr>
              <w:pStyle w:val="SummaryAgencyTitle-BP2"/>
              <w:rPr>
                <w:iCs/>
              </w:rPr>
            </w:pPr>
          </w:p>
        </w:tc>
        <w:tc>
          <w:tcPr>
            <w:tcW w:w="851" w:type="dxa"/>
            <w:vAlign w:val="bottom"/>
          </w:tcPr>
          <w:p w14:paraId="21B52278" w14:textId="77777777" w:rsidR="00E000F9" w:rsidRPr="0012790E" w:rsidRDefault="00E000F9" w:rsidP="00E000F9">
            <w:pPr>
              <w:pStyle w:val="SummaryAgencyTitle-BP2"/>
              <w:rPr>
                <w:iCs/>
              </w:rPr>
            </w:pPr>
          </w:p>
        </w:tc>
        <w:tc>
          <w:tcPr>
            <w:tcW w:w="851" w:type="dxa"/>
            <w:vAlign w:val="bottom"/>
          </w:tcPr>
          <w:p w14:paraId="3CF81AC1" w14:textId="77777777" w:rsidR="00E000F9" w:rsidRPr="0012790E" w:rsidRDefault="00E000F9" w:rsidP="00E000F9">
            <w:pPr>
              <w:pStyle w:val="SummaryAgencyTitle-BP2"/>
              <w:rPr>
                <w:iCs/>
              </w:rPr>
            </w:pPr>
          </w:p>
        </w:tc>
      </w:tr>
      <w:tr w:rsidR="00E000F9" w:rsidRPr="0012790E" w14:paraId="589860E7" w14:textId="77777777" w:rsidTr="54937204">
        <w:tc>
          <w:tcPr>
            <w:tcW w:w="3470" w:type="dxa"/>
            <w:shd w:val="clear" w:color="auto" w:fill="auto"/>
            <w:vAlign w:val="bottom"/>
          </w:tcPr>
          <w:p w14:paraId="1A9D9435" w14:textId="5FBEFF0A" w:rsidR="00E000F9" w:rsidRPr="0012790E" w:rsidRDefault="00E000F9" w:rsidP="00AC2FA9">
            <w:pPr>
              <w:pStyle w:val="SummaryMeasureTitlewithTheme"/>
              <w:rPr>
                <w:iCs/>
              </w:rPr>
            </w:pPr>
            <w:r w:rsidRPr="0012790E">
              <w:t>Savings from External Labour – extension</w:t>
            </w:r>
          </w:p>
        </w:tc>
        <w:tc>
          <w:tcPr>
            <w:tcW w:w="851" w:type="dxa"/>
            <w:vAlign w:val="bottom"/>
          </w:tcPr>
          <w:p w14:paraId="2A4B68CE" w14:textId="3D4B10B4" w:rsidR="00E000F9" w:rsidRPr="0012790E" w:rsidRDefault="00E000F9" w:rsidP="00AC2FA9">
            <w:pPr>
              <w:pStyle w:val="SummaryAgencyTitle-BP2"/>
              <w:jc w:val="right"/>
              <w:rPr>
                <w:iCs/>
              </w:rPr>
            </w:pPr>
            <w:r w:rsidRPr="0012790E">
              <w:noBreakHyphen/>
            </w:r>
          </w:p>
        </w:tc>
        <w:tc>
          <w:tcPr>
            <w:tcW w:w="851" w:type="dxa"/>
            <w:shd w:val="clear" w:color="auto" w:fill="E6F2FF"/>
            <w:vAlign w:val="bottom"/>
          </w:tcPr>
          <w:p w14:paraId="2A007F7A" w14:textId="03CC9CB7" w:rsidR="00E000F9" w:rsidRPr="00AC2FA9" w:rsidRDefault="00E000F9" w:rsidP="00AC2FA9">
            <w:pPr>
              <w:pStyle w:val="SummaryAgencyTitle-BP2"/>
              <w:jc w:val="right"/>
              <w:rPr>
                <w:i w:val="0"/>
                <w:iCs/>
              </w:rPr>
            </w:pPr>
            <w:r w:rsidRPr="00AC2FA9">
              <w:rPr>
                <w:i w:val="0"/>
                <w:iCs/>
              </w:rPr>
              <w:noBreakHyphen/>
              <w:t>93.8</w:t>
            </w:r>
          </w:p>
        </w:tc>
        <w:tc>
          <w:tcPr>
            <w:tcW w:w="851" w:type="dxa"/>
            <w:vAlign w:val="bottom"/>
          </w:tcPr>
          <w:p w14:paraId="70274096" w14:textId="5BA4CB5B" w:rsidR="00E000F9" w:rsidRPr="00AC2FA9" w:rsidRDefault="00E000F9" w:rsidP="00AC2FA9">
            <w:pPr>
              <w:pStyle w:val="SummaryAgencyTitle-BP2"/>
              <w:jc w:val="right"/>
              <w:rPr>
                <w:i w:val="0"/>
                <w:iCs/>
              </w:rPr>
            </w:pPr>
            <w:r w:rsidRPr="00AC2FA9">
              <w:rPr>
                <w:i w:val="0"/>
                <w:iCs/>
              </w:rPr>
              <w:noBreakHyphen/>
              <w:t>93.8</w:t>
            </w:r>
          </w:p>
        </w:tc>
        <w:tc>
          <w:tcPr>
            <w:tcW w:w="851" w:type="dxa"/>
            <w:vAlign w:val="bottom"/>
          </w:tcPr>
          <w:p w14:paraId="2CE5AF75" w14:textId="5C1A48B5" w:rsidR="00E000F9" w:rsidRPr="00AC2FA9" w:rsidRDefault="00E000F9" w:rsidP="00AC2FA9">
            <w:pPr>
              <w:pStyle w:val="SummaryAgencyTitle-BP2"/>
              <w:jc w:val="right"/>
              <w:rPr>
                <w:i w:val="0"/>
                <w:iCs/>
              </w:rPr>
            </w:pPr>
            <w:r w:rsidRPr="00AC2FA9">
              <w:rPr>
                <w:i w:val="0"/>
                <w:iCs/>
              </w:rPr>
              <w:noBreakHyphen/>
              <w:t>93.8</w:t>
            </w:r>
          </w:p>
        </w:tc>
        <w:tc>
          <w:tcPr>
            <w:tcW w:w="851" w:type="dxa"/>
            <w:vAlign w:val="bottom"/>
          </w:tcPr>
          <w:p w14:paraId="0288E3D0" w14:textId="7764421C" w:rsidR="00E000F9" w:rsidRPr="00AC2FA9" w:rsidRDefault="00E000F9" w:rsidP="00AC2FA9">
            <w:pPr>
              <w:pStyle w:val="SummaryAgencyTitle-BP2"/>
              <w:jc w:val="right"/>
              <w:rPr>
                <w:i w:val="0"/>
                <w:iCs/>
              </w:rPr>
            </w:pPr>
            <w:r w:rsidRPr="00AC2FA9">
              <w:rPr>
                <w:i w:val="0"/>
                <w:iCs/>
              </w:rPr>
              <w:noBreakHyphen/>
              <w:t>718.8</w:t>
            </w:r>
          </w:p>
        </w:tc>
      </w:tr>
      <w:tr w:rsidR="00E000F9" w:rsidRPr="0012790E" w14:paraId="09E2D729" w14:textId="77777777" w:rsidTr="006A4B04">
        <w:tc>
          <w:tcPr>
            <w:tcW w:w="3470" w:type="dxa"/>
            <w:shd w:val="clear" w:color="auto" w:fill="auto"/>
            <w:vAlign w:val="bottom"/>
          </w:tcPr>
          <w:p w14:paraId="4DF890EE" w14:textId="77777777" w:rsidR="00E000F9" w:rsidRPr="0012790E" w:rsidRDefault="00E000F9" w:rsidP="00E000F9">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53DCEA07" w14:textId="19825FF3" w:rsidR="00E000F9" w:rsidRPr="0017329B" w:rsidRDefault="00E000F9" w:rsidP="00AC2FA9">
            <w:pPr>
              <w:pStyle w:val="SummaryAgencyTitle-BP2"/>
              <w:jc w:val="right"/>
              <w:rPr>
                <w:bCs/>
              </w:rPr>
            </w:pPr>
            <w:r w:rsidRPr="00AC2FA9">
              <w:rPr>
                <w:b/>
                <w:bCs/>
              </w:rPr>
              <w:noBreakHyphen/>
            </w:r>
          </w:p>
        </w:tc>
        <w:tc>
          <w:tcPr>
            <w:tcW w:w="851" w:type="dxa"/>
            <w:tcBorders>
              <w:top w:val="single" w:sz="4" w:space="0" w:color="293F5B"/>
              <w:bottom w:val="single" w:sz="4" w:space="0" w:color="293F5B"/>
            </w:tcBorders>
            <w:shd w:val="clear" w:color="auto" w:fill="E6F2FF"/>
            <w:vAlign w:val="bottom"/>
          </w:tcPr>
          <w:p w14:paraId="5D0AFA23" w14:textId="39A7BBA7" w:rsidR="00E000F9" w:rsidRPr="0017329B" w:rsidRDefault="00E000F9" w:rsidP="00AC2FA9">
            <w:pPr>
              <w:pStyle w:val="SummaryAgencyTitle-BP2"/>
              <w:jc w:val="right"/>
              <w:rPr>
                <w:bCs/>
                <w:iCs/>
              </w:rPr>
            </w:pPr>
            <w:r w:rsidRPr="00AC2FA9">
              <w:rPr>
                <w:b/>
                <w:bCs/>
                <w:i w:val="0"/>
                <w:iCs/>
              </w:rPr>
              <w:noBreakHyphen/>
              <w:t>93.8</w:t>
            </w:r>
          </w:p>
        </w:tc>
        <w:tc>
          <w:tcPr>
            <w:tcW w:w="851" w:type="dxa"/>
            <w:tcBorders>
              <w:top w:val="single" w:sz="4" w:space="0" w:color="293F5B"/>
              <w:bottom w:val="single" w:sz="4" w:space="0" w:color="293F5B"/>
            </w:tcBorders>
            <w:vAlign w:val="bottom"/>
          </w:tcPr>
          <w:p w14:paraId="092B0AA0" w14:textId="72D6CF5B" w:rsidR="00E000F9" w:rsidRPr="0017329B" w:rsidRDefault="00E000F9" w:rsidP="00AC2FA9">
            <w:pPr>
              <w:pStyle w:val="SummaryAgencyTitle-BP2"/>
              <w:jc w:val="right"/>
              <w:rPr>
                <w:bCs/>
                <w:iCs/>
              </w:rPr>
            </w:pPr>
            <w:r w:rsidRPr="00AC2FA9">
              <w:rPr>
                <w:b/>
                <w:bCs/>
                <w:i w:val="0"/>
                <w:iCs/>
              </w:rPr>
              <w:noBreakHyphen/>
              <w:t>93.8</w:t>
            </w:r>
          </w:p>
        </w:tc>
        <w:tc>
          <w:tcPr>
            <w:tcW w:w="851" w:type="dxa"/>
            <w:tcBorders>
              <w:top w:val="single" w:sz="4" w:space="0" w:color="293F5B"/>
              <w:bottom w:val="single" w:sz="4" w:space="0" w:color="293F5B"/>
            </w:tcBorders>
            <w:vAlign w:val="bottom"/>
          </w:tcPr>
          <w:p w14:paraId="534363E8" w14:textId="35DDC028" w:rsidR="00E000F9" w:rsidRPr="0017329B" w:rsidRDefault="00E000F9" w:rsidP="00AC2FA9">
            <w:pPr>
              <w:pStyle w:val="SummaryAgencyTitle-BP2"/>
              <w:jc w:val="right"/>
              <w:rPr>
                <w:bCs/>
                <w:iCs/>
              </w:rPr>
            </w:pPr>
            <w:r w:rsidRPr="00AC2FA9">
              <w:rPr>
                <w:b/>
                <w:bCs/>
                <w:i w:val="0"/>
                <w:iCs/>
              </w:rPr>
              <w:noBreakHyphen/>
              <w:t>93.8</w:t>
            </w:r>
          </w:p>
        </w:tc>
        <w:tc>
          <w:tcPr>
            <w:tcW w:w="851" w:type="dxa"/>
            <w:tcBorders>
              <w:top w:val="single" w:sz="4" w:space="0" w:color="293F5B"/>
              <w:bottom w:val="single" w:sz="4" w:space="0" w:color="293F5B"/>
            </w:tcBorders>
            <w:vAlign w:val="bottom"/>
          </w:tcPr>
          <w:p w14:paraId="5B5C9592" w14:textId="1721A02A" w:rsidR="00E000F9" w:rsidRPr="0017329B" w:rsidRDefault="00E000F9" w:rsidP="00AC2FA9">
            <w:pPr>
              <w:pStyle w:val="SummaryAgencyTitle-BP2"/>
              <w:jc w:val="right"/>
              <w:rPr>
                <w:bCs/>
                <w:iCs/>
              </w:rPr>
            </w:pPr>
            <w:r w:rsidRPr="00AC2FA9">
              <w:rPr>
                <w:b/>
                <w:bCs/>
                <w:i w:val="0"/>
                <w:iCs/>
              </w:rPr>
              <w:noBreakHyphen/>
              <w:t>718.8</w:t>
            </w:r>
          </w:p>
        </w:tc>
      </w:tr>
      <w:tr w:rsidR="00E000F9" w:rsidRPr="0012790E" w14:paraId="16854019" w14:textId="77777777" w:rsidTr="54937204">
        <w:tc>
          <w:tcPr>
            <w:tcW w:w="3470" w:type="dxa"/>
            <w:shd w:val="clear" w:color="auto" w:fill="auto"/>
            <w:vAlign w:val="bottom"/>
          </w:tcPr>
          <w:p w14:paraId="68CA5C8D" w14:textId="392711C2" w:rsidR="00E000F9" w:rsidRPr="00AC2FA9" w:rsidRDefault="00E000F9" w:rsidP="00AC2FA9">
            <w:pPr>
              <w:pStyle w:val="SummaryAgencyTitle-BP2"/>
              <w:spacing w:before="120"/>
              <w:rPr>
                <w:b/>
                <w:bCs/>
                <w:i w:val="0"/>
                <w:iCs/>
              </w:rPr>
            </w:pPr>
            <w:r w:rsidRPr="00AC2FA9">
              <w:rPr>
                <w:b/>
                <w:bCs/>
                <w:i w:val="0"/>
                <w:iCs/>
              </w:rPr>
              <w:t>D</w:t>
            </w:r>
            <w:r w:rsidRPr="00AC2FA9">
              <w:rPr>
                <w:rFonts w:cs="Times New Roman"/>
                <w:b/>
                <w:i w:val="0"/>
                <w:caps/>
                <w:szCs w:val="20"/>
              </w:rPr>
              <w:t>EFENCE</w:t>
            </w:r>
          </w:p>
        </w:tc>
        <w:tc>
          <w:tcPr>
            <w:tcW w:w="851" w:type="dxa"/>
            <w:vAlign w:val="bottom"/>
          </w:tcPr>
          <w:p w14:paraId="364D8DE0" w14:textId="77777777" w:rsidR="00E000F9" w:rsidRPr="0012790E" w:rsidRDefault="00E000F9" w:rsidP="00E000F9">
            <w:pPr>
              <w:pStyle w:val="SummaryAgencyTitle-BP2"/>
              <w:rPr>
                <w:iCs/>
              </w:rPr>
            </w:pPr>
          </w:p>
        </w:tc>
        <w:tc>
          <w:tcPr>
            <w:tcW w:w="851" w:type="dxa"/>
            <w:shd w:val="clear" w:color="auto" w:fill="E6F2FF"/>
            <w:vAlign w:val="bottom"/>
          </w:tcPr>
          <w:p w14:paraId="58489F7E" w14:textId="77777777" w:rsidR="00E000F9" w:rsidRPr="0012790E" w:rsidRDefault="00E000F9" w:rsidP="00E000F9">
            <w:pPr>
              <w:pStyle w:val="SummaryAgencyTitle-BP2"/>
              <w:rPr>
                <w:iCs/>
              </w:rPr>
            </w:pPr>
          </w:p>
        </w:tc>
        <w:tc>
          <w:tcPr>
            <w:tcW w:w="851" w:type="dxa"/>
            <w:vAlign w:val="bottom"/>
          </w:tcPr>
          <w:p w14:paraId="751B8BCC" w14:textId="77777777" w:rsidR="00E000F9" w:rsidRPr="0012790E" w:rsidRDefault="00E000F9" w:rsidP="00E000F9">
            <w:pPr>
              <w:pStyle w:val="SummaryAgencyTitle-BP2"/>
              <w:rPr>
                <w:iCs/>
              </w:rPr>
            </w:pPr>
          </w:p>
        </w:tc>
        <w:tc>
          <w:tcPr>
            <w:tcW w:w="851" w:type="dxa"/>
            <w:vAlign w:val="bottom"/>
          </w:tcPr>
          <w:p w14:paraId="3CCF07F2" w14:textId="77777777" w:rsidR="00E000F9" w:rsidRPr="0012790E" w:rsidRDefault="00E000F9" w:rsidP="00E000F9">
            <w:pPr>
              <w:pStyle w:val="SummaryAgencyTitle-BP2"/>
              <w:rPr>
                <w:iCs/>
              </w:rPr>
            </w:pPr>
          </w:p>
        </w:tc>
        <w:tc>
          <w:tcPr>
            <w:tcW w:w="851" w:type="dxa"/>
            <w:vAlign w:val="bottom"/>
          </w:tcPr>
          <w:p w14:paraId="6D70AC0C" w14:textId="77777777" w:rsidR="00E000F9" w:rsidRPr="0012790E" w:rsidRDefault="00E000F9" w:rsidP="00E000F9">
            <w:pPr>
              <w:pStyle w:val="SummaryAgencyTitle-BP2"/>
              <w:rPr>
                <w:iCs/>
              </w:rPr>
            </w:pPr>
          </w:p>
        </w:tc>
      </w:tr>
      <w:tr w:rsidR="00E000F9" w:rsidRPr="0012790E" w14:paraId="1810222F" w14:textId="77777777" w:rsidTr="54937204">
        <w:tc>
          <w:tcPr>
            <w:tcW w:w="3470" w:type="dxa"/>
            <w:shd w:val="clear" w:color="auto" w:fill="auto"/>
            <w:vAlign w:val="bottom"/>
          </w:tcPr>
          <w:p w14:paraId="28B31D64" w14:textId="77777777" w:rsidR="00E000F9" w:rsidRPr="0012790E" w:rsidRDefault="00E000F9" w:rsidP="00E000F9">
            <w:pPr>
              <w:pStyle w:val="SummaryAgencyTitle-BP2"/>
              <w:rPr>
                <w:iCs/>
              </w:rPr>
            </w:pPr>
            <w:r w:rsidRPr="0012790E">
              <w:rPr>
                <w:iCs/>
              </w:rPr>
              <w:t>Australian Submarine Agency</w:t>
            </w:r>
          </w:p>
        </w:tc>
        <w:tc>
          <w:tcPr>
            <w:tcW w:w="851" w:type="dxa"/>
            <w:vAlign w:val="bottom"/>
          </w:tcPr>
          <w:p w14:paraId="7A7B4E0B" w14:textId="77777777" w:rsidR="00E000F9" w:rsidRPr="0012790E" w:rsidRDefault="00E000F9" w:rsidP="00E000F9">
            <w:pPr>
              <w:pStyle w:val="SummaryAgencyTitle-BP2"/>
              <w:rPr>
                <w:iCs/>
              </w:rPr>
            </w:pPr>
          </w:p>
        </w:tc>
        <w:tc>
          <w:tcPr>
            <w:tcW w:w="851" w:type="dxa"/>
            <w:shd w:val="clear" w:color="auto" w:fill="E6F2FF"/>
            <w:vAlign w:val="bottom"/>
          </w:tcPr>
          <w:p w14:paraId="676DF3D8" w14:textId="77777777" w:rsidR="00E000F9" w:rsidRPr="0012790E" w:rsidRDefault="00E000F9" w:rsidP="00E000F9">
            <w:pPr>
              <w:pStyle w:val="SummaryAgencyTitle-BP2"/>
              <w:rPr>
                <w:iCs/>
              </w:rPr>
            </w:pPr>
          </w:p>
        </w:tc>
        <w:tc>
          <w:tcPr>
            <w:tcW w:w="851" w:type="dxa"/>
            <w:vAlign w:val="bottom"/>
          </w:tcPr>
          <w:p w14:paraId="003080A9" w14:textId="77777777" w:rsidR="00E000F9" w:rsidRPr="0012790E" w:rsidRDefault="00E000F9" w:rsidP="00E000F9">
            <w:pPr>
              <w:pStyle w:val="SummaryAgencyTitle-BP2"/>
              <w:rPr>
                <w:iCs/>
              </w:rPr>
            </w:pPr>
          </w:p>
        </w:tc>
        <w:tc>
          <w:tcPr>
            <w:tcW w:w="851" w:type="dxa"/>
            <w:vAlign w:val="bottom"/>
          </w:tcPr>
          <w:p w14:paraId="5FC4890B" w14:textId="77777777" w:rsidR="00E000F9" w:rsidRPr="0012790E" w:rsidRDefault="00E000F9" w:rsidP="00E000F9">
            <w:pPr>
              <w:pStyle w:val="SummaryAgencyTitle-BP2"/>
              <w:rPr>
                <w:iCs/>
              </w:rPr>
            </w:pPr>
          </w:p>
        </w:tc>
        <w:tc>
          <w:tcPr>
            <w:tcW w:w="851" w:type="dxa"/>
            <w:vAlign w:val="bottom"/>
          </w:tcPr>
          <w:p w14:paraId="11CA46F0" w14:textId="77777777" w:rsidR="00E000F9" w:rsidRPr="0012790E" w:rsidRDefault="00E000F9" w:rsidP="00E000F9">
            <w:pPr>
              <w:pStyle w:val="SummaryAgencyTitle-BP2"/>
              <w:rPr>
                <w:iCs/>
              </w:rPr>
            </w:pPr>
          </w:p>
        </w:tc>
      </w:tr>
      <w:tr w:rsidR="00E000F9" w:rsidRPr="0012790E" w14:paraId="16A57297" w14:textId="77777777" w:rsidTr="54937204">
        <w:tc>
          <w:tcPr>
            <w:tcW w:w="3470" w:type="dxa"/>
            <w:shd w:val="clear" w:color="auto" w:fill="auto"/>
            <w:vAlign w:val="bottom"/>
          </w:tcPr>
          <w:p w14:paraId="3DFC1301" w14:textId="77777777" w:rsidR="00E000F9" w:rsidRPr="0012790E" w:rsidRDefault="00E000F9" w:rsidP="00E000F9">
            <w:pPr>
              <w:pStyle w:val="SummaryMeasureTitlewithTheme"/>
            </w:pPr>
            <w:r w:rsidRPr="0012790E">
              <w:t>Nuclear</w:t>
            </w:r>
            <w:r w:rsidRPr="0012790E">
              <w:noBreakHyphen/>
              <w:t>Powered Submarine Program – workforce and supply chain investments</w:t>
            </w:r>
          </w:p>
        </w:tc>
        <w:tc>
          <w:tcPr>
            <w:tcW w:w="851" w:type="dxa"/>
            <w:vAlign w:val="bottom"/>
          </w:tcPr>
          <w:p w14:paraId="0A71F478" w14:textId="77777777" w:rsidR="00E000F9" w:rsidRPr="0012790E" w:rsidRDefault="00E000F9" w:rsidP="00E000F9">
            <w:pPr>
              <w:pStyle w:val="Summarytabletextrightaligned"/>
              <w:rPr>
                <w:szCs w:val="16"/>
              </w:rPr>
            </w:pPr>
            <w:r w:rsidRPr="0012790E">
              <w:rPr>
                <w:szCs w:val="16"/>
              </w:rPr>
              <w:noBreakHyphen/>
            </w:r>
          </w:p>
        </w:tc>
        <w:tc>
          <w:tcPr>
            <w:tcW w:w="851" w:type="dxa"/>
            <w:shd w:val="clear" w:color="auto" w:fill="E6F2FF"/>
            <w:vAlign w:val="bottom"/>
          </w:tcPr>
          <w:p w14:paraId="50BC50AC"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636FAF59"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4EA6D381"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710CE476" w14:textId="77777777" w:rsidR="00E000F9" w:rsidRPr="0012790E" w:rsidRDefault="00E000F9" w:rsidP="00E000F9">
            <w:pPr>
              <w:pStyle w:val="Summarytabletextrightaligned"/>
              <w:rPr>
                <w:szCs w:val="16"/>
              </w:rPr>
            </w:pPr>
            <w:r w:rsidRPr="0012790E">
              <w:rPr>
                <w:szCs w:val="16"/>
              </w:rPr>
              <w:noBreakHyphen/>
            </w:r>
          </w:p>
        </w:tc>
      </w:tr>
      <w:tr w:rsidR="00E000F9" w:rsidRPr="0012790E" w14:paraId="2D92A0F5" w14:textId="77777777" w:rsidTr="54937204">
        <w:tc>
          <w:tcPr>
            <w:tcW w:w="3470" w:type="dxa"/>
            <w:shd w:val="clear" w:color="auto" w:fill="auto"/>
            <w:vAlign w:val="bottom"/>
          </w:tcPr>
          <w:p w14:paraId="6429B7BC" w14:textId="77777777" w:rsidR="00E000F9" w:rsidRPr="0012790E" w:rsidRDefault="00E000F9" w:rsidP="00E000F9">
            <w:pPr>
              <w:pStyle w:val="SummaryAgencyTitle-BP2"/>
              <w:rPr>
                <w:iCs/>
              </w:rPr>
            </w:pPr>
            <w:r w:rsidRPr="0012790E">
              <w:rPr>
                <w:iCs/>
              </w:rPr>
              <w:t>Australian War Memorial</w:t>
            </w:r>
          </w:p>
        </w:tc>
        <w:tc>
          <w:tcPr>
            <w:tcW w:w="851" w:type="dxa"/>
            <w:vAlign w:val="bottom"/>
          </w:tcPr>
          <w:p w14:paraId="2F7A9FEF" w14:textId="77777777" w:rsidR="00E000F9" w:rsidRPr="0012790E" w:rsidRDefault="00E000F9" w:rsidP="00E000F9">
            <w:pPr>
              <w:pStyle w:val="SummaryAgencyTitle-BP2"/>
              <w:rPr>
                <w:iCs/>
              </w:rPr>
            </w:pPr>
          </w:p>
        </w:tc>
        <w:tc>
          <w:tcPr>
            <w:tcW w:w="851" w:type="dxa"/>
            <w:shd w:val="clear" w:color="auto" w:fill="E6F2FF"/>
            <w:vAlign w:val="bottom"/>
          </w:tcPr>
          <w:p w14:paraId="0E56583D" w14:textId="77777777" w:rsidR="00E000F9" w:rsidRPr="0012790E" w:rsidRDefault="00E000F9" w:rsidP="00E000F9">
            <w:pPr>
              <w:pStyle w:val="SummaryAgencyTitle-BP2"/>
              <w:rPr>
                <w:iCs/>
              </w:rPr>
            </w:pPr>
          </w:p>
        </w:tc>
        <w:tc>
          <w:tcPr>
            <w:tcW w:w="851" w:type="dxa"/>
            <w:vAlign w:val="bottom"/>
          </w:tcPr>
          <w:p w14:paraId="2183C96B" w14:textId="77777777" w:rsidR="00E000F9" w:rsidRPr="0012790E" w:rsidRDefault="00E000F9" w:rsidP="00E000F9">
            <w:pPr>
              <w:pStyle w:val="SummaryAgencyTitle-BP2"/>
              <w:rPr>
                <w:iCs/>
              </w:rPr>
            </w:pPr>
          </w:p>
        </w:tc>
        <w:tc>
          <w:tcPr>
            <w:tcW w:w="851" w:type="dxa"/>
            <w:vAlign w:val="bottom"/>
          </w:tcPr>
          <w:p w14:paraId="57D2DC9F" w14:textId="77777777" w:rsidR="00E000F9" w:rsidRPr="0012790E" w:rsidRDefault="00E000F9" w:rsidP="00E000F9">
            <w:pPr>
              <w:pStyle w:val="SummaryAgencyTitle-BP2"/>
              <w:rPr>
                <w:iCs/>
              </w:rPr>
            </w:pPr>
          </w:p>
        </w:tc>
        <w:tc>
          <w:tcPr>
            <w:tcW w:w="851" w:type="dxa"/>
            <w:vAlign w:val="bottom"/>
          </w:tcPr>
          <w:p w14:paraId="4F6695EE" w14:textId="77777777" w:rsidR="00E000F9" w:rsidRPr="0012790E" w:rsidRDefault="00E000F9" w:rsidP="00E000F9">
            <w:pPr>
              <w:pStyle w:val="SummaryAgencyTitle-BP2"/>
              <w:rPr>
                <w:iCs/>
              </w:rPr>
            </w:pPr>
          </w:p>
        </w:tc>
      </w:tr>
      <w:tr w:rsidR="00E000F9" w:rsidRPr="0012790E" w14:paraId="588E298D" w14:textId="77777777" w:rsidTr="54937204">
        <w:tc>
          <w:tcPr>
            <w:tcW w:w="3470" w:type="dxa"/>
            <w:shd w:val="clear" w:color="auto" w:fill="auto"/>
            <w:vAlign w:val="bottom"/>
          </w:tcPr>
          <w:p w14:paraId="6D359425" w14:textId="77777777" w:rsidR="00E000F9" w:rsidRPr="0012790E" w:rsidRDefault="00E000F9" w:rsidP="00E000F9">
            <w:pPr>
              <w:pStyle w:val="SummaryMeasureTitlewithTheme"/>
            </w:pPr>
            <w:r w:rsidRPr="0012790E">
              <w:t>Australian War Memorial – financial sustainability</w:t>
            </w:r>
          </w:p>
        </w:tc>
        <w:tc>
          <w:tcPr>
            <w:tcW w:w="851" w:type="dxa"/>
            <w:vAlign w:val="bottom"/>
          </w:tcPr>
          <w:p w14:paraId="3B8131AC" w14:textId="77777777" w:rsidR="00E000F9" w:rsidRPr="0012790E" w:rsidRDefault="00E000F9" w:rsidP="00E000F9">
            <w:pPr>
              <w:pStyle w:val="Summarytabletextrightaligned"/>
              <w:rPr>
                <w:szCs w:val="16"/>
              </w:rPr>
            </w:pPr>
            <w:r w:rsidRPr="0012790E">
              <w:rPr>
                <w:szCs w:val="16"/>
              </w:rPr>
              <w:noBreakHyphen/>
            </w:r>
          </w:p>
        </w:tc>
        <w:tc>
          <w:tcPr>
            <w:tcW w:w="851" w:type="dxa"/>
            <w:shd w:val="clear" w:color="auto" w:fill="E6F2FF"/>
            <w:vAlign w:val="bottom"/>
          </w:tcPr>
          <w:p w14:paraId="665B726B" w14:textId="77777777" w:rsidR="00E000F9" w:rsidRPr="0012790E" w:rsidRDefault="00E000F9" w:rsidP="00E000F9">
            <w:pPr>
              <w:pStyle w:val="Summarytabletextrightaligned"/>
              <w:rPr>
                <w:szCs w:val="16"/>
              </w:rPr>
            </w:pPr>
            <w:r w:rsidRPr="0012790E">
              <w:rPr>
                <w:szCs w:val="16"/>
              </w:rPr>
              <w:t>8.0</w:t>
            </w:r>
          </w:p>
        </w:tc>
        <w:tc>
          <w:tcPr>
            <w:tcW w:w="851" w:type="dxa"/>
            <w:vAlign w:val="bottom"/>
          </w:tcPr>
          <w:p w14:paraId="5D415207"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2DF4CA9C"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230D8403" w14:textId="77777777" w:rsidR="00E000F9" w:rsidRPr="0012790E" w:rsidRDefault="00E000F9" w:rsidP="00E000F9">
            <w:pPr>
              <w:pStyle w:val="Summarytabletextrightaligned"/>
              <w:rPr>
                <w:szCs w:val="16"/>
              </w:rPr>
            </w:pPr>
            <w:r w:rsidRPr="0012790E">
              <w:rPr>
                <w:szCs w:val="16"/>
              </w:rPr>
              <w:noBreakHyphen/>
            </w:r>
          </w:p>
        </w:tc>
      </w:tr>
      <w:tr w:rsidR="00E000F9" w:rsidRPr="0012790E" w14:paraId="1D8FF2AA" w14:textId="77777777" w:rsidTr="54937204">
        <w:tc>
          <w:tcPr>
            <w:tcW w:w="3470" w:type="dxa"/>
            <w:shd w:val="clear" w:color="auto" w:fill="auto"/>
            <w:vAlign w:val="bottom"/>
          </w:tcPr>
          <w:p w14:paraId="60DCE47B" w14:textId="77777777" w:rsidR="00E000F9" w:rsidRPr="0012790E" w:rsidRDefault="00E000F9" w:rsidP="00E000F9">
            <w:pPr>
              <w:pStyle w:val="SummaryAgencyTitle-BP2"/>
              <w:rPr>
                <w:iCs/>
              </w:rPr>
            </w:pPr>
            <w:r w:rsidRPr="0012790E">
              <w:rPr>
                <w:iCs/>
              </w:rPr>
              <w:t>Department of Defence</w:t>
            </w:r>
          </w:p>
        </w:tc>
        <w:tc>
          <w:tcPr>
            <w:tcW w:w="851" w:type="dxa"/>
            <w:vAlign w:val="bottom"/>
          </w:tcPr>
          <w:p w14:paraId="15362FDB" w14:textId="77777777" w:rsidR="00E000F9" w:rsidRPr="0012790E" w:rsidRDefault="00E000F9" w:rsidP="00E000F9">
            <w:pPr>
              <w:pStyle w:val="SummaryAgencyTitle-BP2"/>
              <w:rPr>
                <w:iCs/>
              </w:rPr>
            </w:pPr>
          </w:p>
        </w:tc>
        <w:tc>
          <w:tcPr>
            <w:tcW w:w="851" w:type="dxa"/>
            <w:shd w:val="clear" w:color="auto" w:fill="E6F2FF"/>
            <w:vAlign w:val="bottom"/>
          </w:tcPr>
          <w:p w14:paraId="5AD6B0FC" w14:textId="77777777" w:rsidR="00E000F9" w:rsidRPr="0012790E" w:rsidRDefault="00E000F9" w:rsidP="00E000F9">
            <w:pPr>
              <w:pStyle w:val="SummaryAgencyTitle-BP2"/>
              <w:rPr>
                <w:iCs/>
              </w:rPr>
            </w:pPr>
          </w:p>
        </w:tc>
        <w:tc>
          <w:tcPr>
            <w:tcW w:w="851" w:type="dxa"/>
            <w:vAlign w:val="bottom"/>
          </w:tcPr>
          <w:p w14:paraId="795097DF" w14:textId="77777777" w:rsidR="00E000F9" w:rsidRPr="0012790E" w:rsidRDefault="00E000F9" w:rsidP="00E000F9">
            <w:pPr>
              <w:pStyle w:val="SummaryAgencyTitle-BP2"/>
              <w:rPr>
                <w:iCs/>
              </w:rPr>
            </w:pPr>
          </w:p>
        </w:tc>
        <w:tc>
          <w:tcPr>
            <w:tcW w:w="851" w:type="dxa"/>
            <w:vAlign w:val="bottom"/>
          </w:tcPr>
          <w:p w14:paraId="23DF4E88" w14:textId="77777777" w:rsidR="00E000F9" w:rsidRPr="0012790E" w:rsidRDefault="00E000F9" w:rsidP="00E000F9">
            <w:pPr>
              <w:pStyle w:val="SummaryAgencyTitle-BP2"/>
              <w:rPr>
                <w:iCs/>
              </w:rPr>
            </w:pPr>
          </w:p>
        </w:tc>
        <w:tc>
          <w:tcPr>
            <w:tcW w:w="851" w:type="dxa"/>
            <w:vAlign w:val="bottom"/>
          </w:tcPr>
          <w:p w14:paraId="48D48F72" w14:textId="77777777" w:rsidR="00E000F9" w:rsidRPr="0012790E" w:rsidRDefault="00E000F9" w:rsidP="00E000F9">
            <w:pPr>
              <w:pStyle w:val="SummaryAgencyTitle-BP2"/>
              <w:rPr>
                <w:iCs/>
              </w:rPr>
            </w:pPr>
          </w:p>
        </w:tc>
      </w:tr>
      <w:tr w:rsidR="00E000F9" w:rsidRPr="0012790E" w14:paraId="6D78B9E5" w14:textId="77777777" w:rsidTr="54937204">
        <w:tc>
          <w:tcPr>
            <w:tcW w:w="3470" w:type="dxa"/>
            <w:shd w:val="clear" w:color="auto" w:fill="auto"/>
            <w:vAlign w:val="bottom"/>
          </w:tcPr>
          <w:p w14:paraId="365D2CF7" w14:textId="77777777" w:rsidR="00E000F9" w:rsidRPr="0012790E" w:rsidRDefault="00E000F9" w:rsidP="00E000F9">
            <w:pPr>
              <w:pStyle w:val="SummaryMeasureTitlewithTheme"/>
            </w:pPr>
            <w:r w:rsidRPr="0012790E">
              <w:t>Continuing Veterans' Access to Health and Support Programs</w:t>
            </w:r>
          </w:p>
        </w:tc>
        <w:tc>
          <w:tcPr>
            <w:tcW w:w="851" w:type="dxa"/>
            <w:vAlign w:val="bottom"/>
          </w:tcPr>
          <w:p w14:paraId="2F92C4F7" w14:textId="77777777" w:rsidR="00E000F9" w:rsidRPr="0012790E" w:rsidRDefault="00E000F9" w:rsidP="00E000F9">
            <w:pPr>
              <w:pStyle w:val="Summarytabletextrightaligned"/>
              <w:rPr>
                <w:szCs w:val="16"/>
              </w:rPr>
            </w:pPr>
            <w:r w:rsidRPr="0012790E">
              <w:rPr>
                <w:szCs w:val="16"/>
              </w:rPr>
              <w:noBreakHyphen/>
            </w:r>
          </w:p>
        </w:tc>
        <w:tc>
          <w:tcPr>
            <w:tcW w:w="851" w:type="dxa"/>
            <w:shd w:val="clear" w:color="auto" w:fill="E6F2FF"/>
            <w:vAlign w:val="bottom"/>
          </w:tcPr>
          <w:p w14:paraId="2C9B0B47" w14:textId="77777777" w:rsidR="00E000F9" w:rsidRPr="0012790E" w:rsidRDefault="00E000F9" w:rsidP="00E000F9">
            <w:pPr>
              <w:pStyle w:val="Summarytabletextrightaligned"/>
              <w:rPr>
                <w:szCs w:val="16"/>
              </w:rPr>
            </w:pPr>
            <w:r w:rsidRPr="0012790E">
              <w:rPr>
                <w:szCs w:val="16"/>
              </w:rPr>
              <w:noBreakHyphen/>
              <w:t>3.2</w:t>
            </w:r>
          </w:p>
        </w:tc>
        <w:tc>
          <w:tcPr>
            <w:tcW w:w="851" w:type="dxa"/>
            <w:vAlign w:val="bottom"/>
          </w:tcPr>
          <w:p w14:paraId="530C6A93" w14:textId="77777777" w:rsidR="00E000F9" w:rsidRPr="0012790E" w:rsidRDefault="00E000F9" w:rsidP="00E000F9">
            <w:pPr>
              <w:pStyle w:val="Summarytabletextrightaligned"/>
              <w:rPr>
                <w:szCs w:val="16"/>
              </w:rPr>
            </w:pPr>
            <w:r w:rsidRPr="0012790E">
              <w:rPr>
                <w:szCs w:val="16"/>
              </w:rPr>
              <w:noBreakHyphen/>
              <w:t>3.6</w:t>
            </w:r>
          </w:p>
        </w:tc>
        <w:tc>
          <w:tcPr>
            <w:tcW w:w="851" w:type="dxa"/>
            <w:vAlign w:val="bottom"/>
          </w:tcPr>
          <w:p w14:paraId="1E6163B1" w14:textId="77777777" w:rsidR="00E000F9" w:rsidRPr="0012790E" w:rsidRDefault="00E000F9" w:rsidP="00E000F9">
            <w:pPr>
              <w:pStyle w:val="Summarytabletextrightaligned"/>
              <w:rPr>
                <w:szCs w:val="16"/>
              </w:rPr>
            </w:pPr>
            <w:r w:rsidRPr="0012790E">
              <w:rPr>
                <w:szCs w:val="16"/>
              </w:rPr>
              <w:noBreakHyphen/>
              <w:t>2.1</w:t>
            </w:r>
          </w:p>
        </w:tc>
        <w:tc>
          <w:tcPr>
            <w:tcW w:w="851" w:type="dxa"/>
            <w:vAlign w:val="bottom"/>
          </w:tcPr>
          <w:p w14:paraId="193A526C" w14:textId="77777777" w:rsidR="00E000F9" w:rsidRPr="0012790E" w:rsidRDefault="00E000F9" w:rsidP="00E000F9">
            <w:pPr>
              <w:pStyle w:val="Summarytabletextrightaligned"/>
              <w:rPr>
                <w:szCs w:val="16"/>
              </w:rPr>
            </w:pPr>
            <w:r w:rsidRPr="0012790E">
              <w:rPr>
                <w:szCs w:val="16"/>
              </w:rPr>
              <w:noBreakHyphen/>
            </w:r>
          </w:p>
        </w:tc>
      </w:tr>
      <w:tr w:rsidR="00E000F9" w:rsidRPr="0012790E" w14:paraId="3EB5EA9D" w14:textId="77777777" w:rsidTr="54937204">
        <w:tc>
          <w:tcPr>
            <w:tcW w:w="3470" w:type="dxa"/>
            <w:shd w:val="clear" w:color="auto" w:fill="auto"/>
            <w:vAlign w:val="bottom"/>
          </w:tcPr>
          <w:p w14:paraId="4B807D07" w14:textId="77777777" w:rsidR="00E000F9" w:rsidRPr="0012790E" w:rsidRDefault="00E000F9" w:rsidP="00E000F9">
            <w:pPr>
              <w:pStyle w:val="SummaryMeasureTitlewithTheme"/>
            </w:pPr>
            <w:r w:rsidRPr="0012790E">
              <w:t>Defence Assistance – regional and global support</w:t>
            </w:r>
          </w:p>
        </w:tc>
        <w:tc>
          <w:tcPr>
            <w:tcW w:w="851" w:type="dxa"/>
            <w:vAlign w:val="bottom"/>
          </w:tcPr>
          <w:p w14:paraId="1B4952AE" w14:textId="77777777" w:rsidR="00E000F9" w:rsidRPr="0012790E" w:rsidRDefault="00E000F9" w:rsidP="00E000F9">
            <w:pPr>
              <w:pStyle w:val="Summarytabletextrightaligned"/>
              <w:rPr>
                <w:szCs w:val="16"/>
              </w:rPr>
            </w:pPr>
            <w:r w:rsidRPr="0012790E">
              <w:rPr>
                <w:szCs w:val="16"/>
              </w:rPr>
              <w:t>12.2</w:t>
            </w:r>
          </w:p>
        </w:tc>
        <w:tc>
          <w:tcPr>
            <w:tcW w:w="851" w:type="dxa"/>
            <w:shd w:val="clear" w:color="auto" w:fill="E6F2FF"/>
            <w:vAlign w:val="bottom"/>
          </w:tcPr>
          <w:p w14:paraId="66F5AE95"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7A376E01"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3B842170"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57038FF1" w14:textId="77777777" w:rsidR="00E000F9" w:rsidRPr="0012790E" w:rsidRDefault="00E000F9" w:rsidP="00E000F9">
            <w:pPr>
              <w:pStyle w:val="Summarytabletextrightaligned"/>
              <w:rPr>
                <w:szCs w:val="16"/>
              </w:rPr>
            </w:pPr>
            <w:r w:rsidRPr="0012790E">
              <w:rPr>
                <w:szCs w:val="16"/>
              </w:rPr>
              <w:noBreakHyphen/>
            </w:r>
          </w:p>
        </w:tc>
      </w:tr>
      <w:tr w:rsidR="00E000F9" w:rsidRPr="0012790E" w14:paraId="529ED2E1" w14:textId="77777777" w:rsidTr="54937204">
        <w:tc>
          <w:tcPr>
            <w:tcW w:w="3470" w:type="dxa"/>
            <w:shd w:val="clear" w:color="auto" w:fill="auto"/>
            <w:vAlign w:val="bottom"/>
          </w:tcPr>
          <w:p w14:paraId="63F66F9C" w14:textId="77777777" w:rsidR="00E000F9" w:rsidRPr="0012790E" w:rsidRDefault="00E000F9" w:rsidP="00E000F9">
            <w:pPr>
              <w:pStyle w:val="SummaryMeasureTitlewithTheme"/>
            </w:pPr>
            <w:r w:rsidRPr="0012790E">
              <w:t>Defence Export – Boxer Heavy Weapons Carrier for Germany(b)</w:t>
            </w:r>
          </w:p>
        </w:tc>
        <w:tc>
          <w:tcPr>
            <w:tcW w:w="851" w:type="dxa"/>
            <w:vAlign w:val="bottom"/>
          </w:tcPr>
          <w:p w14:paraId="0024A711" w14:textId="77777777" w:rsidR="00E000F9" w:rsidRPr="0012790E" w:rsidRDefault="00E000F9" w:rsidP="00E000F9">
            <w:pPr>
              <w:pStyle w:val="Summarytabletextrightaligned"/>
              <w:rPr>
                <w:szCs w:val="16"/>
              </w:rPr>
            </w:pPr>
            <w:r w:rsidRPr="0012790E">
              <w:rPr>
                <w:szCs w:val="16"/>
              </w:rPr>
              <w:t>3.3</w:t>
            </w:r>
          </w:p>
        </w:tc>
        <w:tc>
          <w:tcPr>
            <w:tcW w:w="851" w:type="dxa"/>
            <w:shd w:val="clear" w:color="auto" w:fill="E6F2FF"/>
            <w:vAlign w:val="bottom"/>
          </w:tcPr>
          <w:p w14:paraId="1929E02A" w14:textId="77777777" w:rsidR="00E000F9" w:rsidRPr="0012790E" w:rsidRDefault="00E000F9" w:rsidP="00E000F9">
            <w:pPr>
              <w:pStyle w:val="Summarytabletextrightaligned"/>
              <w:rPr>
                <w:szCs w:val="16"/>
              </w:rPr>
            </w:pPr>
            <w:r w:rsidRPr="0012790E">
              <w:rPr>
                <w:szCs w:val="16"/>
              </w:rPr>
              <w:t>2.0</w:t>
            </w:r>
          </w:p>
        </w:tc>
        <w:tc>
          <w:tcPr>
            <w:tcW w:w="851" w:type="dxa"/>
            <w:vAlign w:val="bottom"/>
          </w:tcPr>
          <w:p w14:paraId="76896C72" w14:textId="77777777" w:rsidR="00E000F9" w:rsidRPr="0012790E" w:rsidRDefault="00E000F9" w:rsidP="00E000F9">
            <w:pPr>
              <w:pStyle w:val="Summarytabletextrightaligned"/>
              <w:rPr>
                <w:szCs w:val="16"/>
              </w:rPr>
            </w:pPr>
            <w:r w:rsidRPr="0012790E">
              <w:rPr>
                <w:szCs w:val="16"/>
              </w:rPr>
              <w:t>2.0</w:t>
            </w:r>
          </w:p>
        </w:tc>
        <w:tc>
          <w:tcPr>
            <w:tcW w:w="851" w:type="dxa"/>
            <w:vAlign w:val="bottom"/>
          </w:tcPr>
          <w:p w14:paraId="11123AAC" w14:textId="77777777" w:rsidR="00E000F9" w:rsidRPr="0012790E" w:rsidRDefault="00E000F9" w:rsidP="00E000F9">
            <w:pPr>
              <w:pStyle w:val="Summarytabletextrightaligned"/>
              <w:rPr>
                <w:szCs w:val="16"/>
              </w:rPr>
            </w:pPr>
            <w:r w:rsidRPr="0012790E">
              <w:rPr>
                <w:szCs w:val="16"/>
              </w:rPr>
              <w:t>2.0</w:t>
            </w:r>
          </w:p>
        </w:tc>
        <w:tc>
          <w:tcPr>
            <w:tcW w:w="851" w:type="dxa"/>
            <w:vAlign w:val="bottom"/>
          </w:tcPr>
          <w:p w14:paraId="03619BB3" w14:textId="77777777" w:rsidR="00E000F9" w:rsidRPr="0012790E" w:rsidRDefault="00E000F9" w:rsidP="00E000F9">
            <w:pPr>
              <w:pStyle w:val="Summarytabletextrightaligned"/>
              <w:rPr>
                <w:szCs w:val="16"/>
              </w:rPr>
            </w:pPr>
            <w:r w:rsidRPr="0012790E">
              <w:rPr>
                <w:szCs w:val="16"/>
              </w:rPr>
              <w:t>2.0</w:t>
            </w:r>
          </w:p>
        </w:tc>
      </w:tr>
      <w:tr w:rsidR="00E000F9" w:rsidRPr="0012790E" w14:paraId="4B35DBD4" w14:textId="77777777" w:rsidTr="54937204">
        <w:tc>
          <w:tcPr>
            <w:tcW w:w="3470" w:type="dxa"/>
            <w:shd w:val="clear" w:color="auto" w:fill="auto"/>
            <w:vAlign w:val="bottom"/>
          </w:tcPr>
          <w:p w14:paraId="320CEC10" w14:textId="77777777" w:rsidR="00E000F9" w:rsidRPr="0012790E" w:rsidRDefault="00E000F9" w:rsidP="00E000F9">
            <w:pPr>
              <w:pStyle w:val="SummaryMeasureTitlewithTheme"/>
            </w:pPr>
            <w:r w:rsidRPr="0012790E">
              <w:t>Defence Industry Development Strategy</w:t>
            </w:r>
          </w:p>
        </w:tc>
        <w:tc>
          <w:tcPr>
            <w:tcW w:w="851" w:type="dxa"/>
            <w:vAlign w:val="bottom"/>
          </w:tcPr>
          <w:p w14:paraId="34C8F1FD" w14:textId="77777777" w:rsidR="00E000F9" w:rsidRPr="0012790E" w:rsidRDefault="00E000F9" w:rsidP="00E000F9">
            <w:pPr>
              <w:pStyle w:val="Summarytabletextrightaligned"/>
              <w:rPr>
                <w:szCs w:val="16"/>
              </w:rPr>
            </w:pPr>
            <w:r w:rsidRPr="0012790E">
              <w:rPr>
                <w:szCs w:val="16"/>
              </w:rPr>
              <w:noBreakHyphen/>
            </w:r>
          </w:p>
        </w:tc>
        <w:tc>
          <w:tcPr>
            <w:tcW w:w="851" w:type="dxa"/>
            <w:shd w:val="clear" w:color="auto" w:fill="E6F2FF"/>
            <w:vAlign w:val="bottom"/>
          </w:tcPr>
          <w:p w14:paraId="1BF83806"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1C8A121A"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77E533B4"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2EFD6C70" w14:textId="77777777" w:rsidR="00E000F9" w:rsidRPr="0012790E" w:rsidRDefault="00E000F9" w:rsidP="00E000F9">
            <w:pPr>
              <w:pStyle w:val="Summarytabletextrightaligned"/>
              <w:rPr>
                <w:szCs w:val="16"/>
              </w:rPr>
            </w:pPr>
            <w:r w:rsidRPr="0012790E">
              <w:rPr>
                <w:szCs w:val="16"/>
              </w:rPr>
              <w:noBreakHyphen/>
            </w:r>
          </w:p>
        </w:tc>
      </w:tr>
      <w:tr w:rsidR="00E000F9" w:rsidRPr="0012790E" w14:paraId="7FF3A914" w14:textId="77777777" w:rsidTr="54937204">
        <w:tc>
          <w:tcPr>
            <w:tcW w:w="3470" w:type="dxa"/>
            <w:shd w:val="clear" w:color="auto" w:fill="auto"/>
            <w:vAlign w:val="bottom"/>
          </w:tcPr>
          <w:p w14:paraId="6C3F375E" w14:textId="77777777" w:rsidR="00E000F9" w:rsidRPr="0012790E" w:rsidRDefault="00E000F9" w:rsidP="00E000F9">
            <w:pPr>
              <w:pStyle w:val="SummaryMeasureTitlewithTheme"/>
            </w:pPr>
            <w:r w:rsidRPr="0012790E">
              <w:t>Defence Oversight – Parliamentary Joint Committee on Defence</w:t>
            </w:r>
          </w:p>
        </w:tc>
        <w:tc>
          <w:tcPr>
            <w:tcW w:w="851" w:type="dxa"/>
            <w:vAlign w:val="bottom"/>
          </w:tcPr>
          <w:p w14:paraId="503C0BCE" w14:textId="77777777" w:rsidR="00E000F9" w:rsidRPr="0012790E" w:rsidRDefault="00E000F9" w:rsidP="00E000F9">
            <w:pPr>
              <w:pStyle w:val="Summarytabletextrightaligned"/>
              <w:rPr>
                <w:szCs w:val="16"/>
              </w:rPr>
            </w:pPr>
            <w:r w:rsidRPr="0012790E">
              <w:rPr>
                <w:szCs w:val="16"/>
              </w:rPr>
              <w:noBreakHyphen/>
            </w:r>
          </w:p>
        </w:tc>
        <w:tc>
          <w:tcPr>
            <w:tcW w:w="851" w:type="dxa"/>
            <w:shd w:val="clear" w:color="auto" w:fill="E6F2FF"/>
            <w:vAlign w:val="bottom"/>
          </w:tcPr>
          <w:p w14:paraId="2A9DC504"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019BE281"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544D1D3E"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2D67BE13" w14:textId="77777777" w:rsidR="00E000F9" w:rsidRPr="0012790E" w:rsidRDefault="00E000F9" w:rsidP="00E000F9">
            <w:pPr>
              <w:pStyle w:val="Summarytabletextrightaligned"/>
              <w:rPr>
                <w:szCs w:val="16"/>
              </w:rPr>
            </w:pPr>
            <w:r w:rsidRPr="0012790E">
              <w:rPr>
                <w:szCs w:val="16"/>
              </w:rPr>
              <w:noBreakHyphen/>
            </w:r>
          </w:p>
        </w:tc>
      </w:tr>
      <w:tr w:rsidR="00E000F9" w:rsidRPr="0012790E" w14:paraId="5C90CCB6" w14:textId="77777777" w:rsidTr="54937204">
        <w:tc>
          <w:tcPr>
            <w:tcW w:w="3470" w:type="dxa"/>
            <w:shd w:val="clear" w:color="auto" w:fill="auto"/>
            <w:vAlign w:val="bottom"/>
          </w:tcPr>
          <w:p w14:paraId="41AA5DBA" w14:textId="77777777" w:rsidR="00E000F9" w:rsidRPr="0012790E" w:rsidRDefault="00E000F9" w:rsidP="00E000F9">
            <w:pPr>
              <w:pStyle w:val="SummaryMeasureTitlewithTheme"/>
            </w:pPr>
            <w:r w:rsidRPr="0012790E">
              <w:t>Equity Injection for Australian Naval Infrastructure</w:t>
            </w:r>
          </w:p>
        </w:tc>
        <w:tc>
          <w:tcPr>
            <w:tcW w:w="851" w:type="dxa"/>
            <w:vAlign w:val="bottom"/>
          </w:tcPr>
          <w:p w14:paraId="3FDA6CFB" w14:textId="77777777" w:rsidR="00E000F9" w:rsidRPr="0012790E" w:rsidRDefault="00E000F9" w:rsidP="00E000F9">
            <w:pPr>
              <w:pStyle w:val="Summarytabletextrightaligned"/>
              <w:rPr>
                <w:szCs w:val="16"/>
              </w:rPr>
            </w:pPr>
            <w:r w:rsidRPr="0012790E">
              <w:rPr>
                <w:szCs w:val="16"/>
              </w:rPr>
              <w:noBreakHyphen/>
            </w:r>
          </w:p>
        </w:tc>
        <w:tc>
          <w:tcPr>
            <w:tcW w:w="851" w:type="dxa"/>
            <w:shd w:val="clear" w:color="auto" w:fill="E6F2FF"/>
            <w:vAlign w:val="bottom"/>
          </w:tcPr>
          <w:p w14:paraId="3993ACCE" w14:textId="77777777" w:rsidR="00E000F9" w:rsidRPr="0012790E" w:rsidRDefault="00E000F9" w:rsidP="00E000F9">
            <w:pPr>
              <w:pStyle w:val="Summarytabletextrightaligned"/>
              <w:rPr>
                <w:lang w:val="en-US"/>
              </w:rPr>
            </w:pPr>
            <w:r w:rsidRPr="54937204">
              <w:rPr>
                <w:lang w:val="en-US"/>
              </w:rPr>
              <w:t>nfp</w:t>
            </w:r>
          </w:p>
        </w:tc>
        <w:tc>
          <w:tcPr>
            <w:tcW w:w="851" w:type="dxa"/>
            <w:vAlign w:val="bottom"/>
          </w:tcPr>
          <w:p w14:paraId="71592995" w14:textId="77777777" w:rsidR="00E000F9" w:rsidRPr="0012790E" w:rsidRDefault="00E000F9" w:rsidP="00E000F9">
            <w:pPr>
              <w:pStyle w:val="Summarytabletextrightaligned"/>
              <w:rPr>
                <w:lang w:val="en-US"/>
              </w:rPr>
            </w:pPr>
            <w:r w:rsidRPr="54937204">
              <w:rPr>
                <w:lang w:val="en-US"/>
              </w:rPr>
              <w:t>nfp</w:t>
            </w:r>
          </w:p>
        </w:tc>
        <w:tc>
          <w:tcPr>
            <w:tcW w:w="851" w:type="dxa"/>
            <w:vAlign w:val="bottom"/>
          </w:tcPr>
          <w:p w14:paraId="049D35AA" w14:textId="77777777" w:rsidR="00E000F9" w:rsidRPr="0012790E" w:rsidRDefault="00E000F9" w:rsidP="00E000F9">
            <w:pPr>
              <w:pStyle w:val="Summarytabletextrightaligned"/>
              <w:rPr>
                <w:lang w:val="en-US"/>
              </w:rPr>
            </w:pPr>
            <w:r w:rsidRPr="54937204">
              <w:rPr>
                <w:lang w:val="en-US"/>
              </w:rPr>
              <w:t>nfp</w:t>
            </w:r>
          </w:p>
        </w:tc>
        <w:tc>
          <w:tcPr>
            <w:tcW w:w="851" w:type="dxa"/>
            <w:vAlign w:val="bottom"/>
          </w:tcPr>
          <w:p w14:paraId="1E206A0A" w14:textId="77777777" w:rsidR="00E000F9" w:rsidRPr="0012790E" w:rsidRDefault="00E000F9" w:rsidP="00E000F9">
            <w:pPr>
              <w:pStyle w:val="Summarytabletextrightaligned"/>
              <w:rPr>
                <w:lang w:val="en-US"/>
              </w:rPr>
            </w:pPr>
            <w:r w:rsidRPr="54937204">
              <w:rPr>
                <w:lang w:val="en-US"/>
              </w:rPr>
              <w:t>nfp</w:t>
            </w:r>
          </w:p>
        </w:tc>
      </w:tr>
      <w:tr w:rsidR="00E000F9" w:rsidRPr="0012790E" w14:paraId="7FFC737A" w14:textId="77777777" w:rsidTr="54937204">
        <w:tc>
          <w:tcPr>
            <w:tcW w:w="3470" w:type="dxa"/>
            <w:shd w:val="clear" w:color="auto" w:fill="auto"/>
            <w:vAlign w:val="bottom"/>
          </w:tcPr>
          <w:p w14:paraId="3A0A3C1B" w14:textId="77777777" w:rsidR="00E000F9" w:rsidRPr="0012790E" w:rsidRDefault="00E000F9" w:rsidP="00E000F9">
            <w:pPr>
              <w:pStyle w:val="SummaryMeasureTitlewithTheme"/>
            </w:pPr>
            <w:r w:rsidRPr="0012790E">
              <w:t>Implementation of the Defence Trade Controls Amendment Act 2024</w:t>
            </w:r>
          </w:p>
        </w:tc>
        <w:tc>
          <w:tcPr>
            <w:tcW w:w="851" w:type="dxa"/>
            <w:vAlign w:val="bottom"/>
          </w:tcPr>
          <w:p w14:paraId="35B0B76B" w14:textId="77777777" w:rsidR="00E000F9" w:rsidRPr="0012790E" w:rsidRDefault="00E000F9" w:rsidP="00E000F9">
            <w:pPr>
              <w:pStyle w:val="Summarytabletextrightaligned"/>
              <w:rPr>
                <w:szCs w:val="16"/>
              </w:rPr>
            </w:pPr>
            <w:r w:rsidRPr="0012790E">
              <w:rPr>
                <w:szCs w:val="16"/>
              </w:rPr>
              <w:noBreakHyphen/>
            </w:r>
          </w:p>
        </w:tc>
        <w:tc>
          <w:tcPr>
            <w:tcW w:w="851" w:type="dxa"/>
            <w:shd w:val="clear" w:color="auto" w:fill="E6F2FF"/>
            <w:vAlign w:val="bottom"/>
          </w:tcPr>
          <w:p w14:paraId="57795504"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64BF6FCA"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1F308375"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232FE8A3" w14:textId="77777777" w:rsidR="00E000F9" w:rsidRPr="0012790E" w:rsidRDefault="00E000F9" w:rsidP="00E000F9">
            <w:pPr>
              <w:pStyle w:val="Summarytabletextrightaligned"/>
              <w:rPr>
                <w:szCs w:val="16"/>
              </w:rPr>
            </w:pPr>
            <w:r w:rsidRPr="0012790E">
              <w:rPr>
                <w:szCs w:val="16"/>
              </w:rPr>
              <w:noBreakHyphen/>
            </w:r>
          </w:p>
        </w:tc>
      </w:tr>
      <w:tr w:rsidR="00E000F9" w:rsidRPr="0012790E" w14:paraId="2757978F" w14:textId="77777777" w:rsidTr="54937204">
        <w:tc>
          <w:tcPr>
            <w:tcW w:w="3470" w:type="dxa"/>
            <w:shd w:val="clear" w:color="auto" w:fill="auto"/>
            <w:vAlign w:val="bottom"/>
          </w:tcPr>
          <w:p w14:paraId="12E70D5A" w14:textId="3CF20609" w:rsidR="00E000F9" w:rsidRPr="0012790E" w:rsidRDefault="00E000F9" w:rsidP="00E000F9">
            <w:pPr>
              <w:pStyle w:val="SummaryMeasureTitlewithTheme"/>
            </w:pPr>
            <w:r>
              <w:t xml:space="preserve">2024 </w:t>
            </w:r>
            <w:r w:rsidRPr="0012790E">
              <w:t>National Defence Strategy</w:t>
            </w:r>
            <w:r>
              <w:t xml:space="preserve"> and Integrated Investment Program</w:t>
            </w:r>
          </w:p>
        </w:tc>
        <w:tc>
          <w:tcPr>
            <w:tcW w:w="851" w:type="dxa"/>
            <w:vAlign w:val="bottom"/>
          </w:tcPr>
          <w:p w14:paraId="44F7FD40" w14:textId="77777777" w:rsidR="00E000F9" w:rsidRPr="0012790E" w:rsidRDefault="00E000F9" w:rsidP="00E000F9">
            <w:pPr>
              <w:pStyle w:val="Summarytabletextrightaligned"/>
              <w:rPr>
                <w:szCs w:val="16"/>
              </w:rPr>
            </w:pPr>
            <w:r w:rsidRPr="0012790E">
              <w:rPr>
                <w:szCs w:val="16"/>
              </w:rPr>
              <w:noBreakHyphen/>
            </w:r>
          </w:p>
        </w:tc>
        <w:tc>
          <w:tcPr>
            <w:tcW w:w="851" w:type="dxa"/>
            <w:shd w:val="clear" w:color="auto" w:fill="E6F2FF"/>
            <w:vAlign w:val="bottom"/>
          </w:tcPr>
          <w:p w14:paraId="78BB6BFE" w14:textId="77777777" w:rsidR="00E000F9" w:rsidRPr="0012790E" w:rsidRDefault="00E000F9" w:rsidP="00E000F9">
            <w:pPr>
              <w:pStyle w:val="Summarytabletextrightaligned"/>
              <w:rPr>
                <w:szCs w:val="16"/>
              </w:rPr>
            </w:pPr>
            <w:r w:rsidRPr="0012790E">
              <w:rPr>
                <w:szCs w:val="16"/>
              </w:rPr>
              <w:t>400.0</w:t>
            </w:r>
          </w:p>
        </w:tc>
        <w:tc>
          <w:tcPr>
            <w:tcW w:w="851" w:type="dxa"/>
            <w:vAlign w:val="bottom"/>
          </w:tcPr>
          <w:p w14:paraId="492AF71E" w14:textId="77777777" w:rsidR="00E000F9" w:rsidRPr="0012790E" w:rsidRDefault="00E000F9" w:rsidP="00E000F9">
            <w:pPr>
              <w:pStyle w:val="Summarytabletextrightaligned"/>
              <w:rPr>
                <w:szCs w:val="16"/>
              </w:rPr>
            </w:pPr>
            <w:r w:rsidRPr="0012790E">
              <w:rPr>
                <w:szCs w:val="16"/>
              </w:rPr>
              <w:t>770.0</w:t>
            </w:r>
          </w:p>
        </w:tc>
        <w:tc>
          <w:tcPr>
            <w:tcW w:w="851" w:type="dxa"/>
            <w:vAlign w:val="bottom"/>
          </w:tcPr>
          <w:p w14:paraId="10571FE1" w14:textId="77777777" w:rsidR="00E000F9" w:rsidRPr="0012790E" w:rsidRDefault="00E000F9" w:rsidP="00E000F9">
            <w:pPr>
              <w:pStyle w:val="Summarytabletextrightaligned"/>
              <w:rPr>
                <w:szCs w:val="16"/>
              </w:rPr>
            </w:pPr>
            <w:r w:rsidRPr="0012790E">
              <w:rPr>
                <w:szCs w:val="16"/>
              </w:rPr>
              <w:t>730.0</w:t>
            </w:r>
          </w:p>
        </w:tc>
        <w:tc>
          <w:tcPr>
            <w:tcW w:w="851" w:type="dxa"/>
            <w:vAlign w:val="bottom"/>
          </w:tcPr>
          <w:p w14:paraId="796EB661" w14:textId="77777777" w:rsidR="00E000F9" w:rsidRPr="0012790E" w:rsidRDefault="00E000F9" w:rsidP="00E000F9">
            <w:pPr>
              <w:pStyle w:val="Summarytabletextrightaligned"/>
              <w:rPr>
                <w:szCs w:val="16"/>
              </w:rPr>
            </w:pPr>
            <w:r w:rsidRPr="0012790E">
              <w:rPr>
                <w:szCs w:val="16"/>
              </w:rPr>
              <w:t>3,800.0</w:t>
            </w:r>
          </w:p>
        </w:tc>
      </w:tr>
      <w:tr w:rsidR="00E000F9" w:rsidRPr="0012790E" w14:paraId="44665522" w14:textId="77777777" w:rsidTr="54937204">
        <w:tc>
          <w:tcPr>
            <w:tcW w:w="3470" w:type="dxa"/>
            <w:shd w:val="clear" w:color="auto" w:fill="auto"/>
            <w:vAlign w:val="bottom"/>
          </w:tcPr>
          <w:p w14:paraId="665E0736" w14:textId="77777777" w:rsidR="00E000F9" w:rsidRPr="0012790E" w:rsidRDefault="00E000F9" w:rsidP="00E000F9">
            <w:pPr>
              <w:pStyle w:val="SummaryMeasureTitlewithTheme"/>
            </w:pPr>
            <w:r w:rsidRPr="0012790E">
              <w:t>Nuclear</w:t>
            </w:r>
            <w:r w:rsidRPr="0012790E">
              <w:noBreakHyphen/>
              <w:t>Powered Submarine Program – workforce and supply chain investments</w:t>
            </w:r>
          </w:p>
        </w:tc>
        <w:tc>
          <w:tcPr>
            <w:tcW w:w="851" w:type="dxa"/>
            <w:vAlign w:val="bottom"/>
          </w:tcPr>
          <w:p w14:paraId="4047A0A6" w14:textId="77777777" w:rsidR="00E000F9" w:rsidRPr="0012790E" w:rsidRDefault="00E000F9" w:rsidP="00E000F9">
            <w:pPr>
              <w:pStyle w:val="Summarytabletextrightaligned"/>
              <w:rPr>
                <w:szCs w:val="16"/>
              </w:rPr>
            </w:pPr>
            <w:r w:rsidRPr="0012790E">
              <w:rPr>
                <w:szCs w:val="16"/>
              </w:rPr>
              <w:noBreakHyphen/>
            </w:r>
          </w:p>
        </w:tc>
        <w:tc>
          <w:tcPr>
            <w:tcW w:w="851" w:type="dxa"/>
            <w:shd w:val="clear" w:color="auto" w:fill="E6F2FF"/>
            <w:vAlign w:val="bottom"/>
          </w:tcPr>
          <w:p w14:paraId="16EAC7B7"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47FC6EED"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3A3863D2"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205A5472" w14:textId="77777777" w:rsidR="00E000F9" w:rsidRPr="0012790E" w:rsidRDefault="00E000F9" w:rsidP="00E000F9">
            <w:pPr>
              <w:pStyle w:val="Summarytabletextrightaligned"/>
              <w:rPr>
                <w:szCs w:val="16"/>
              </w:rPr>
            </w:pPr>
            <w:r w:rsidRPr="0012790E">
              <w:rPr>
                <w:szCs w:val="16"/>
              </w:rPr>
              <w:noBreakHyphen/>
            </w:r>
          </w:p>
        </w:tc>
      </w:tr>
      <w:tr w:rsidR="00E000F9" w:rsidRPr="0012790E" w14:paraId="3ECB25A7" w14:textId="77777777" w:rsidTr="54937204">
        <w:tc>
          <w:tcPr>
            <w:tcW w:w="3470" w:type="dxa"/>
            <w:shd w:val="clear" w:color="auto" w:fill="auto"/>
            <w:vAlign w:val="bottom"/>
          </w:tcPr>
          <w:p w14:paraId="24DCCA47" w14:textId="77777777" w:rsidR="00E000F9" w:rsidRPr="0012790E" w:rsidRDefault="00E000F9" w:rsidP="00E000F9">
            <w:pPr>
              <w:pStyle w:val="SummaryMeasureTitlewithTheme"/>
            </w:pPr>
            <w:r w:rsidRPr="0012790E">
              <w:t>Policing Engagement and Training</w:t>
            </w:r>
          </w:p>
        </w:tc>
        <w:tc>
          <w:tcPr>
            <w:tcW w:w="851" w:type="dxa"/>
            <w:vAlign w:val="bottom"/>
          </w:tcPr>
          <w:p w14:paraId="4548BFDD" w14:textId="08D2ECAE" w:rsidR="00E000F9" w:rsidRPr="0012790E" w:rsidRDefault="00E000F9" w:rsidP="00E000F9">
            <w:pPr>
              <w:pStyle w:val="Summarytabletextrightaligned"/>
            </w:pPr>
            <w:r w:rsidRPr="6F38BAFE">
              <w:rPr>
                <w:lang w:val="en-US"/>
              </w:rPr>
              <w:t>nfp</w:t>
            </w:r>
          </w:p>
        </w:tc>
        <w:tc>
          <w:tcPr>
            <w:tcW w:w="851" w:type="dxa"/>
            <w:shd w:val="clear" w:color="auto" w:fill="E6F2FF"/>
            <w:vAlign w:val="bottom"/>
          </w:tcPr>
          <w:p w14:paraId="12F5525C" w14:textId="77777777" w:rsidR="00E000F9" w:rsidRPr="0012790E" w:rsidRDefault="00E000F9" w:rsidP="00E000F9">
            <w:pPr>
              <w:pStyle w:val="Summarytabletextrightaligned"/>
              <w:rPr>
                <w:lang w:val="en-US"/>
              </w:rPr>
            </w:pPr>
            <w:r w:rsidRPr="54937204">
              <w:rPr>
                <w:lang w:val="en-US"/>
              </w:rPr>
              <w:t>nfp</w:t>
            </w:r>
          </w:p>
        </w:tc>
        <w:tc>
          <w:tcPr>
            <w:tcW w:w="851" w:type="dxa"/>
            <w:vAlign w:val="bottom"/>
          </w:tcPr>
          <w:p w14:paraId="68655B6D" w14:textId="77777777" w:rsidR="00E000F9" w:rsidRPr="0012790E" w:rsidRDefault="00E000F9" w:rsidP="00E000F9">
            <w:pPr>
              <w:pStyle w:val="Summarytabletextrightaligned"/>
              <w:rPr>
                <w:lang w:val="en-US"/>
              </w:rPr>
            </w:pPr>
            <w:r w:rsidRPr="54937204">
              <w:rPr>
                <w:lang w:val="en-US"/>
              </w:rPr>
              <w:t>nfp</w:t>
            </w:r>
          </w:p>
        </w:tc>
        <w:tc>
          <w:tcPr>
            <w:tcW w:w="851" w:type="dxa"/>
            <w:vAlign w:val="bottom"/>
          </w:tcPr>
          <w:p w14:paraId="137153CB" w14:textId="77777777" w:rsidR="00E000F9" w:rsidRPr="0012790E" w:rsidRDefault="00E000F9" w:rsidP="00E000F9">
            <w:pPr>
              <w:pStyle w:val="Summarytabletextrightaligned"/>
              <w:rPr>
                <w:lang w:val="en-US"/>
              </w:rPr>
            </w:pPr>
            <w:r w:rsidRPr="54937204">
              <w:rPr>
                <w:lang w:val="en-US"/>
              </w:rPr>
              <w:t>nfp</w:t>
            </w:r>
          </w:p>
        </w:tc>
        <w:tc>
          <w:tcPr>
            <w:tcW w:w="851" w:type="dxa"/>
            <w:vAlign w:val="bottom"/>
          </w:tcPr>
          <w:p w14:paraId="7DA85B7F" w14:textId="77777777" w:rsidR="00E000F9" w:rsidRPr="0012790E" w:rsidRDefault="00E000F9" w:rsidP="00E000F9">
            <w:pPr>
              <w:pStyle w:val="Summarytabletextrightaligned"/>
              <w:rPr>
                <w:lang w:val="en-US"/>
              </w:rPr>
            </w:pPr>
            <w:r w:rsidRPr="54937204">
              <w:rPr>
                <w:lang w:val="en-US"/>
              </w:rPr>
              <w:t>nfp</w:t>
            </w:r>
          </w:p>
        </w:tc>
      </w:tr>
      <w:tr w:rsidR="00E000F9" w:rsidRPr="0012790E" w14:paraId="4174C55E" w14:textId="77777777" w:rsidTr="54937204">
        <w:tc>
          <w:tcPr>
            <w:tcW w:w="3470" w:type="dxa"/>
            <w:shd w:val="clear" w:color="auto" w:fill="auto"/>
            <w:vAlign w:val="bottom"/>
          </w:tcPr>
          <w:p w14:paraId="12703DBB" w14:textId="77777777" w:rsidR="00E000F9" w:rsidRPr="0012790E" w:rsidRDefault="00E000F9" w:rsidP="00E000F9">
            <w:pPr>
              <w:pStyle w:val="SummaryMeasureTitlewithTheme"/>
            </w:pPr>
            <w:r w:rsidRPr="0012790E">
              <w:t>Southeast Asia Engagement – additional funding(b)</w:t>
            </w:r>
          </w:p>
        </w:tc>
        <w:tc>
          <w:tcPr>
            <w:tcW w:w="851" w:type="dxa"/>
            <w:vAlign w:val="bottom"/>
          </w:tcPr>
          <w:p w14:paraId="76FCDC0A" w14:textId="77777777" w:rsidR="00E000F9" w:rsidRPr="0012790E" w:rsidRDefault="00E000F9" w:rsidP="00E000F9">
            <w:pPr>
              <w:pStyle w:val="Summarytabletextrightaligned"/>
              <w:rPr>
                <w:szCs w:val="16"/>
              </w:rPr>
            </w:pPr>
            <w:r w:rsidRPr="0012790E">
              <w:rPr>
                <w:szCs w:val="16"/>
              </w:rPr>
              <w:noBreakHyphen/>
            </w:r>
          </w:p>
        </w:tc>
        <w:tc>
          <w:tcPr>
            <w:tcW w:w="851" w:type="dxa"/>
            <w:shd w:val="clear" w:color="auto" w:fill="E6F2FF"/>
            <w:vAlign w:val="bottom"/>
          </w:tcPr>
          <w:p w14:paraId="5D9252CF"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517FADAF"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2A36EE4A"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18604CF3" w14:textId="77777777" w:rsidR="00E000F9" w:rsidRPr="0012790E" w:rsidRDefault="00E000F9" w:rsidP="00E000F9">
            <w:pPr>
              <w:pStyle w:val="Summarytabletextrightaligned"/>
              <w:rPr>
                <w:szCs w:val="16"/>
              </w:rPr>
            </w:pPr>
            <w:r w:rsidRPr="0012790E">
              <w:rPr>
                <w:szCs w:val="16"/>
              </w:rPr>
              <w:noBreakHyphen/>
            </w:r>
          </w:p>
        </w:tc>
      </w:tr>
      <w:tr w:rsidR="00E000F9" w:rsidRPr="0012790E" w14:paraId="56608019" w14:textId="77777777" w:rsidTr="54937204">
        <w:tc>
          <w:tcPr>
            <w:tcW w:w="3470" w:type="dxa"/>
            <w:shd w:val="clear" w:color="auto" w:fill="auto"/>
            <w:vAlign w:val="bottom"/>
          </w:tcPr>
          <w:p w14:paraId="37C47EBE" w14:textId="77777777" w:rsidR="00E000F9" w:rsidRPr="0012790E" w:rsidRDefault="00E000F9" w:rsidP="00E000F9">
            <w:pPr>
              <w:pStyle w:val="SummaryAgencyTitle-BP2"/>
              <w:rPr>
                <w:iCs/>
              </w:rPr>
            </w:pPr>
            <w:r w:rsidRPr="0012790E">
              <w:rPr>
                <w:iCs/>
              </w:rPr>
              <w:t>Department of Veterans' Affairs</w:t>
            </w:r>
          </w:p>
        </w:tc>
        <w:tc>
          <w:tcPr>
            <w:tcW w:w="851" w:type="dxa"/>
            <w:vAlign w:val="bottom"/>
          </w:tcPr>
          <w:p w14:paraId="083EFF77" w14:textId="77777777" w:rsidR="00E000F9" w:rsidRPr="0012790E" w:rsidRDefault="00E000F9" w:rsidP="00E000F9">
            <w:pPr>
              <w:pStyle w:val="SummaryAgencyTitle-BP2"/>
              <w:rPr>
                <w:iCs/>
              </w:rPr>
            </w:pPr>
          </w:p>
        </w:tc>
        <w:tc>
          <w:tcPr>
            <w:tcW w:w="851" w:type="dxa"/>
            <w:shd w:val="clear" w:color="auto" w:fill="E6F2FF"/>
            <w:vAlign w:val="bottom"/>
          </w:tcPr>
          <w:p w14:paraId="73DB33CC" w14:textId="77777777" w:rsidR="00E000F9" w:rsidRPr="0012790E" w:rsidRDefault="00E000F9" w:rsidP="00E000F9">
            <w:pPr>
              <w:pStyle w:val="SummaryAgencyTitle-BP2"/>
              <w:rPr>
                <w:iCs/>
              </w:rPr>
            </w:pPr>
          </w:p>
        </w:tc>
        <w:tc>
          <w:tcPr>
            <w:tcW w:w="851" w:type="dxa"/>
            <w:vAlign w:val="bottom"/>
          </w:tcPr>
          <w:p w14:paraId="3B5F0276" w14:textId="77777777" w:rsidR="00E000F9" w:rsidRPr="0012790E" w:rsidRDefault="00E000F9" w:rsidP="00E000F9">
            <w:pPr>
              <w:pStyle w:val="SummaryAgencyTitle-BP2"/>
              <w:rPr>
                <w:iCs/>
              </w:rPr>
            </w:pPr>
          </w:p>
        </w:tc>
        <w:tc>
          <w:tcPr>
            <w:tcW w:w="851" w:type="dxa"/>
            <w:vAlign w:val="bottom"/>
          </w:tcPr>
          <w:p w14:paraId="46EE2B54" w14:textId="77777777" w:rsidR="00E000F9" w:rsidRPr="0012790E" w:rsidRDefault="00E000F9" w:rsidP="00E000F9">
            <w:pPr>
              <w:pStyle w:val="SummaryAgencyTitle-BP2"/>
              <w:rPr>
                <w:iCs/>
              </w:rPr>
            </w:pPr>
          </w:p>
        </w:tc>
        <w:tc>
          <w:tcPr>
            <w:tcW w:w="851" w:type="dxa"/>
            <w:vAlign w:val="bottom"/>
          </w:tcPr>
          <w:p w14:paraId="3A0113C7" w14:textId="77777777" w:rsidR="00E000F9" w:rsidRPr="0012790E" w:rsidRDefault="00E000F9" w:rsidP="00E000F9">
            <w:pPr>
              <w:pStyle w:val="SummaryAgencyTitle-BP2"/>
              <w:rPr>
                <w:iCs/>
              </w:rPr>
            </w:pPr>
          </w:p>
        </w:tc>
      </w:tr>
      <w:tr w:rsidR="00E000F9" w:rsidRPr="0012790E" w14:paraId="4D4ECB22" w14:textId="77777777" w:rsidTr="54937204">
        <w:tc>
          <w:tcPr>
            <w:tcW w:w="3470" w:type="dxa"/>
            <w:shd w:val="clear" w:color="auto" w:fill="auto"/>
            <w:vAlign w:val="bottom"/>
          </w:tcPr>
          <w:p w14:paraId="4F1F31DF" w14:textId="77777777" w:rsidR="00E000F9" w:rsidRPr="0012790E" w:rsidRDefault="00E000F9" w:rsidP="00E000F9">
            <w:pPr>
              <w:pStyle w:val="SummaryMeasureTitlewithTheme"/>
            </w:pPr>
            <w:r w:rsidRPr="0012790E">
              <w:t>APS Capability Reinvestment Fund: 2024</w:t>
            </w:r>
            <w:r w:rsidRPr="0012790E">
              <w:noBreakHyphen/>
              <w:t>25 projects funded under round two</w:t>
            </w:r>
          </w:p>
        </w:tc>
        <w:tc>
          <w:tcPr>
            <w:tcW w:w="851" w:type="dxa"/>
            <w:vAlign w:val="bottom"/>
          </w:tcPr>
          <w:p w14:paraId="7AC91C56" w14:textId="77777777" w:rsidR="00E000F9" w:rsidRPr="0012790E" w:rsidRDefault="00E000F9" w:rsidP="00E000F9">
            <w:pPr>
              <w:pStyle w:val="Summarytabletextrightaligned"/>
              <w:rPr>
                <w:szCs w:val="16"/>
              </w:rPr>
            </w:pPr>
            <w:r w:rsidRPr="0012790E">
              <w:rPr>
                <w:szCs w:val="16"/>
              </w:rPr>
              <w:noBreakHyphen/>
            </w:r>
          </w:p>
        </w:tc>
        <w:tc>
          <w:tcPr>
            <w:tcW w:w="851" w:type="dxa"/>
            <w:shd w:val="clear" w:color="auto" w:fill="E6F2FF"/>
            <w:vAlign w:val="bottom"/>
          </w:tcPr>
          <w:p w14:paraId="105117C4" w14:textId="54B8C046" w:rsidR="00E000F9" w:rsidRPr="0012790E" w:rsidRDefault="00EB5C52" w:rsidP="00E000F9">
            <w:pPr>
              <w:pStyle w:val="Summarytabletextrightaligned"/>
              <w:rPr>
                <w:szCs w:val="16"/>
              </w:rPr>
            </w:pPr>
            <w:r>
              <w:rPr>
                <w:szCs w:val="16"/>
              </w:rPr>
              <w:t>-</w:t>
            </w:r>
          </w:p>
        </w:tc>
        <w:tc>
          <w:tcPr>
            <w:tcW w:w="851" w:type="dxa"/>
            <w:vAlign w:val="bottom"/>
          </w:tcPr>
          <w:p w14:paraId="12096BE2"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0E7C80FD" w14:textId="77777777" w:rsidR="00E000F9" w:rsidRPr="0012790E" w:rsidRDefault="00E000F9" w:rsidP="00E000F9">
            <w:pPr>
              <w:pStyle w:val="Summarytabletextrightaligned"/>
              <w:rPr>
                <w:szCs w:val="16"/>
              </w:rPr>
            </w:pPr>
            <w:r w:rsidRPr="0012790E">
              <w:rPr>
                <w:szCs w:val="16"/>
              </w:rPr>
              <w:noBreakHyphen/>
            </w:r>
          </w:p>
        </w:tc>
        <w:tc>
          <w:tcPr>
            <w:tcW w:w="851" w:type="dxa"/>
            <w:vAlign w:val="bottom"/>
          </w:tcPr>
          <w:p w14:paraId="596D331D" w14:textId="77777777" w:rsidR="00E000F9" w:rsidRPr="0012790E" w:rsidRDefault="00E000F9" w:rsidP="00E000F9">
            <w:pPr>
              <w:pStyle w:val="Summarytabletextrightaligned"/>
              <w:rPr>
                <w:szCs w:val="16"/>
              </w:rPr>
            </w:pPr>
            <w:r w:rsidRPr="0012790E">
              <w:rPr>
                <w:szCs w:val="16"/>
              </w:rPr>
              <w:noBreakHyphen/>
            </w:r>
          </w:p>
        </w:tc>
      </w:tr>
      <w:tr w:rsidR="00E000F9" w:rsidRPr="0012790E" w14:paraId="0D696943" w14:textId="77777777" w:rsidTr="54937204">
        <w:tc>
          <w:tcPr>
            <w:tcW w:w="3470" w:type="dxa"/>
            <w:shd w:val="clear" w:color="auto" w:fill="auto"/>
            <w:vAlign w:val="bottom"/>
          </w:tcPr>
          <w:p w14:paraId="62D3AAE5" w14:textId="77777777" w:rsidR="00E000F9" w:rsidRPr="0012790E" w:rsidRDefault="00E000F9" w:rsidP="00E000F9">
            <w:pPr>
              <w:pStyle w:val="SummaryMeasureTitlewithTheme"/>
            </w:pPr>
            <w:r w:rsidRPr="0012790E">
              <w:t>Commonwealth Rent Assistance – increase the maximum rates</w:t>
            </w:r>
          </w:p>
        </w:tc>
        <w:tc>
          <w:tcPr>
            <w:tcW w:w="851" w:type="dxa"/>
            <w:vAlign w:val="bottom"/>
          </w:tcPr>
          <w:p w14:paraId="6D500155" w14:textId="77777777" w:rsidR="00E000F9" w:rsidRPr="0012790E" w:rsidRDefault="00E000F9" w:rsidP="00E000F9">
            <w:pPr>
              <w:pStyle w:val="Summarytabletextrightaligned"/>
              <w:rPr>
                <w:szCs w:val="16"/>
              </w:rPr>
            </w:pPr>
            <w:r w:rsidRPr="0012790E">
              <w:rPr>
                <w:szCs w:val="16"/>
              </w:rPr>
              <w:noBreakHyphen/>
            </w:r>
          </w:p>
        </w:tc>
        <w:tc>
          <w:tcPr>
            <w:tcW w:w="851" w:type="dxa"/>
            <w:shd w:val="clear" w:color="auto" w:fill="E6F2FF"/>
            <w:vAlign w:val="bottom"/>
          </w:tcPr>
          <w:p w14:paraId="31501A88" w14:textId="77777777" w:rsidR="00E000F9" w:rsidRPr="0012790E" w:rsidRDefault="00E000F9" w:rsidP="00E000F9">
            <w:pPr>
              <w:pStyle w:val="Summarytabletextrightaligned"/>
              <w:rPr>
                <w:szCs w:val="16"/>
              </w:rPr>
            </w:pPr>
            <w:r w:rsidRPr="0012790E">
              <w:rPr>
                <w:szCs w:val="16"/>
              </w:rPr>
              <w:t>1.8</w:t>
            </w:r>
          </w:p>
        </w:tc>
        <w:tc>
          <w:tcPr>
            <w:tcW w:w="851" w:type="dxa"/>
            <w:vAlign w:val="bottom"/>
          </w:tcPr>
          <w:p w14:paraId="6916A899" w14:textId="77777777" w:rsidR="00E000F9" w:rsidRPr="0012790E" w:rsidRDefault="00E000F9" w:rsidP="00E000F9">
            <w:pPr>
              <w:pStyle w:val="Summarytabletextrightaligned"/>
              <w:rPr>
                <w:szCs w:val="16"/>
              </w:rPr>
            </w:pPr>
            <w:r w:rsidRPr="0012790E">
              <w:rPr>
                <w:szCs w:val="16"/>
              </w:rPr>
              <w:t>2.3</w:t>
            </w:r>
          </w:p>
        </w:tc>
        <w:tc>
          <w:tcPr>
            <w:tcW w:w="851" w:type="dxa"/>
            <w:vAlign w:val="bottom"/>
          </w:tcPr>
          <w:p w14:paraId="254EE394" w14:textId="77777777" w:rsidR="00E000F9" w:rsidRPr="0012790E" w:rsidRDefault="00E000F9" w:rsidP="00E000F9">
            <w:pPr>
              <w:pStyle w:val="Summarytabletextrightaligned"/>
              <w:rPr>
                <w:szCs w:val="16"/>
              </w:rPr>
            </w:pPr>
            <w:r w:rsidRPr="0012790E">
              <w:rPr>
                <w:szCs w:val="16"/>
              </w:rPr>
              <w:t>2.2</w:t>
            </w:r>
          </w:p>
        </w:tc>
        <w:tc>
          <w:tcPr>
            <w:tcW w:w="851" w:type="dxa"/>
            <w:vAlign w:val="bottom"/>
          </w:tcPr>
          <w:p w14:paraId="5E7D711E" w14:textId="77777777" w:rsidR="00E000F9" w:rsidRPr="0012790E" w:rsidRDefault="00E000F9" w:rsidP="00E000F9">
            <w:pPr>
              <w:pStyle w:val="Summarytabletextrightaligned"/>
              <w:rPr>
                <w:szCs w:val="16"/>
              </w:rPr>
            </w:pPr>
            <w:r w:rsidRPr="0012790E">
              <w:rPr>
                <w:szCs w:val="16"/>
              </w:rPr>
              <w:t>2.2</w:t>
            </w:r>
          </w:p>
        </w:tc>
      </w:tr>
      <w:tr w:rsidR="00E000F9" w:rsidRPr="0012790E" w14:paraId="655BA3CC" w14:textId="77777777" w:rsidTr="54937204">
        <w:tc>
          <w:tcPr>
            <w:tcW w:w="3470" w:type="dxa"/>
            <w:shd w:val="clear" w:color="auto" w:fill="auto"/>
            <w:vAlign w:val="bottom"/>
          </w:tcPr>
          <w:p w14:paraId="1FF7EF42" w14:textId="77777777" w:rsidR="00E000F9" w:rsidRPr="0012790E" w:rsidRDefault="00E000F9" w:rsidP="00E000F9">
            <w:pPr>
              <w:pStyle w:val="SummaryMeasureTitlewithTheme"/>
            </w:pPr>
            <w:r w:rsidRPr="0012790E">
              <w:t>Commonwealth War Graves Commission – additional funding</w:t>
            </w:r>
          </w:p>
        </w:tc>
        <w:tc>
          <w:tcPr>
            <w:tcW w:w="851" w:type="dxa"/>
            <w:vAlign w:val="bottom"/>
          </w:tcPr>
          <w:p w14:paraId="05A26822" w14:textId="77777777" w:rsidR="00E000F9" w:rsidRPr="0012790E" w:rsidRDefault="00E000F9" w:rsidP="00E000F9">
            <w:pPr>
              <w:pStyle w:val="Summarytabletextrightaligned"/>
              <w:rPr>
                <w:szCs w:val="16"/>
              </w:rPr>
            </w:pPr>
            <w:r w:rsidRPr="0012790E">
              <w:rPr>
                <w:szCs w:val="16"/>
              </w:rPr>
              <w:noBreakHyphen/>
            </w:r>
          </w:p>
        </w:tc>
        <w:tc>
          <w:tcPr>
            <w:tcW w:w="851" w:type="dxa"/>
            <w:shd w:val="clear" w:color="auto" w:fill="E6F2FF"/>
            <w:vAlign w:val="bottom"/>
          </w:tcPr>
          <w:p w14:paraId="428199D2" w14:textId="77777777" w:rsidR="00E000F9" w:rsidRPr="0012790E" w:rsidRDefault="00E000F9" w:rsidP="00E000F9">
            <w:pPr>
              <w:pStyle w:val="Summarytabletextrightaligned"/>
              <w:rPr>
                <w:szCs w:val="16"/>
              </w:rPr>
            </w:pPr>
            <w:r w:rsidRPr="0012790E">
              <w:rPr>
                <w:szCs w:val="16"/>
              </w:rPr>
              <w:t>0.4</w:t>
            </w:r>
          </w:p>
        </w:tc>
        <w:tc>
          <w:tcPr>
            <w:tcW w:w="851" w:type="dxa"/>
            <w:vAlign w:val="bottom"/>
          </w:tcPr>
          <w:p w14:paraId="00F6F358" w14:textId="77777777" w:rsidR="00E000F9" w:rsidRPr="0012790E" w:rsidRDefault="00E000F9" w:rsidP="00E000F9">
            <w:pPr>
              <w:pStyle w:val="Summarytabletextrightaligned"/>
              <w:rPr>
                <w:szCs w:val="16"/>
              </w:rPr>
            </w:pPr>
            <w:r w:rsidRPr="0012790E">
              <w:rPr>
                <w:szCs w:val="16"/>
              </w:rPr>
              <w:t>0.4</w:t>
            </w:r>
          </w:p>
        </w:tc>
        <w:tc>
          <w:tcPr>
            <w:tcW w:w="851" w:type="dxa"/>
            <w:vAlign w:val="bottom"/>
          </w:tcPr>
          <w:p w14:paraId="1CE23995" w14:textId="77777777" w:rsidR="00E000F9" w:rsidRPr="0012790E" w:rsidRDefault="00E000F9" w:rsidP="00E000F9">
            <w:pPr>
              <w:pStyle w:val="Summarytabletextrightaligned"/>
              <w:rPr>
                <w:szCs w:val="16"/>
              </w:rPr>
            </w:pPr>
            <w:r w:rsidRPr="0012790E">
              <w:rPr>
                <w:szCs w:val="16"/>
              </w:rPr>
              <w:t>0.4</w:t>
            </w:r>
          </w:p>
        </w:tc>
        <w:tc>
          <w:tcPr>
            <w:tcW w:w="851" w:type="dxa"/>
            <w:vAlign w:val="bottom"/>
          </w:tcPr>
          <w:p w14:paraId="2DC7CEF7" w14:textId="77777777" w:rsidR="00E000F9" w:rsidRPr="0012790E" w:rsidRDefault="00E000F9" w:rsidP="00E000F9">
            <w:pPr>
              <w:pStyle w:val="Summarytabletextrightaligned"/>
              <w:rPr>
                <w:szCs w:val="16"/>
              </w:rPr>
            </w:pPr>
            <w:r w:rsidRPr="0012790E">
              <w:rPr>
                <w:szCs w:val="16"/>
              </w:rPr>
              <w:noBreakHyphen/>
            </w:r>
          </w:p>
        </w:tc>
      </w:tr>
      <w:tr w:rsidR="00E000F9" w:rsidRPr="0012790E" w14:paraId="0549249F" w14:textId="77777777" w:rsidTr="54937204">
        <w:tc>
          <w:tcPr>
            <w:tcW w:w="3470" w:type="dxa"/>
            <w:shd w:val="clear" w:color="auto" w:fill="auto"/>
            <w:vAlign w:val="bottom"/>
          </w:tcPr>
          <w:p w14:paraId="07A7A4F0" w14:textId="77777777" w:rsidR="00E000F9" w:rsidRPr="0012790E" w:rsidRDefault="00E000F9" w:rsidP="00E000F9">
            <w:pPr>
              <w:pStyle w:val="SummaryMeasureTitlewithTheme"/>
            </w:pPr>
            <w:r w:rsidRPr="0012790E">
              <w:t>Continuing Veterans' Access to Health and Support Programs</w:t>
            </w:r>
          </w:p>
        </w:tc>
        <w:tc>
          <w:tcPr>
            <w:tcW w:w="851" w:type="dxa"/>
            <w:vAlign w:val="bottom"/>
          </w:tcPr>
          <w:p w14:paraId="456F427C" w14:textId="77777777" w:rsidR="00E000F9" w:rsidRPr="0012790E" w:rsidRDefault="00E000F9" w:rsidP="00E000F9">
            <w:pPr>
              <w:pStyle w:val="Summarytabletextrightaligned"/>
              <w:rPr>
                <w:szCs w:val="16"/>
              </w:rPr>
            </w:pPr>
            <w:r w:rsidRPr="0012790E">
              <w:rPr>
                <w:szCs w:val="16"/>
              </w:rPr>
              <w:noBreakHyphen/>
            </w:r>
          </w:p>
        </w:tc>
        <w:tc>
          <w:tcPr>
            <w:tcW w:w="851" w:type="dxa"/>
            <w:shd w:val="clear" w:color="auto" w:fill="E6F2FF"/>
            <w:vAlign w:val="bottom"/>
          </w:tcPr>
          <w:p w14:paraId="58566AD5" w14:textId="77777777" w:rsidR="00E000F9" w:rsidRPr="0012790E" w:rsidRDefault="00E000F9" w:rsidP="00E000F9">
            <w:pPr>
              <w:pStyle w:val="Summarytabletextrightaligned"/>
              <w:rPr>
                <w:szCs w:val="16"/>
              </w:rPr>
            </w:pPr>
            <w:r w:rsidRPr="0012790E">
              <w:rPr>
                <w:szCs w:val="16"/>
              </w:rPr>
              <w:t>28.5</w:t>
            </w:r>
          </w:p>
        </w:tc>
        <w:tc>
          <w:tcPr>
            <w:tcW w:w="851" w:type="dxa"/>
            <w:vAlign w:val="bottom"/>
          </w:tcPr>
          <w:p w14:paraId="064D5AC7" w14:textId="77777777" w:rsidR="00E000F9" w:rsidRPr="0012790E" w:rsidRDefault="00E000F9" w:rsidP="00E000F9">
            <w:pPr>
              <w:pStyle w:val="Summarytabletextrightaligned"/>
              <w:rPr>
                <w:szCs w:val="16"/>
              </w:rPr>
            </w:pPr>
            <w:r w:rsidRPr="0012790E">
              <w:rPr>
                <w:szCs w:val="16"/>
              </w:rPr>
              <w:t>27.7</w:t>
            </w:r>
          </w:p>
        </w:tc>
        <w:tc>
          <w:tcPr>
            <w:tcW w:w="851" w:type="dxa"/>
            <w:vAlign w:val="bottom"/>
          </w:tcPr>
          <w:p w14:paraId="60A03F43" w14:textId="77777777" w:rsidR="00E000F9" w:rsidRPr="0012790E" w:rsidRDefault="00E000F9" w:rsidP="00E000F9">
            <w:pPr>
              <w:pStyle w:val="Summarytabletextrightaligned"/>
              <w:rPr>
                <w:szCs w:val="16"/>
              </w:rPr>
            </w:pPr>
            <w:r w:rsidRPr="0012790E">
              <w:rPr>
                <w:szCs w:val="16"/>
              </w:rPr>
              <w:t>2.4</w:t>
            </w:r>
          </w:p>
        </w:tc>
        <w:tc>
          <w:tcPr>
            <w:tcW w:w="851" w:type="dxa"/>
            <w:vAlign w:val="bottom"/>
          </w:tcPr>
          <w:p w14:paraId="7EA7C54D" w14:textId="77777777" w:rsidR="00E000F9" w:rsidRPr="0012790E" w:rsidRDefault="00E000F9" w:rsidP="00E000F9">
            <w:pPr>
              <w:pStyle w:val="Summarytabletextrightaligned"/>
              <w:rPr>
                <w:szCs w:val="16"/>
              </w:rPr>
            </w:pPr>
            <w:r w:rsidRPr="0012790E">
              <w:rPr>
                <w:szCs w:val="16"/>
              </w:rPr>
              <w:noBreakHyphen/>
            </w:r>
          </w:p>
        </w:tc>
      </w:tr>
      <w:tr w:rsidR="00E000F9" w:rsidRPr="0012790E" w14:paraId="109E2791" w14:textId="77777777" w:rsidTr="54937204">
        <w:tc>
          <w:tcPr>
            <w:tcW w:w="3470" w:type="dxa"/>
            <w:tcBorders>
              <w:bottom w:val="single" w:sz="4" w:space="0" w:color="293F5B"/>
            </w:tcBorders>
            <w:shd w:val="clear" w:color="auto" w:fill="auto"/>
            <w:vAlign w:val="bottom"/>
          </w:tcPr>
          <w:p w14:paraId="620E8ECC" w14:textId="77777777" w:rsidR="00E000F9" w:rsidRPr="0012790E" w:rsidRDefault="00E000F9" w:rsidP="00E000F9">
            <w:pPr>
              <w:pStyle w:val="SummaryMeasureTitlewithTheme"/>
            </w:pPr>
            <w:r w:rsidRPr="0012790E">
              <w:t>Defence Service Homes Insurance Scheme Review</w:t>
            </w:r>
          </w:p>
        </w:tc>
        <w:tc>
          <w:tcPr>
            <w:tcW w:w="851" w:type="dxa"/>
            <w:tcBorders>
              <w:bottom w:val="single" w:sz="4" w:space="0" w:color="293F5B"/>
            </w:tcBorders>
            <w:vAlign w:val="bottom"/>
          </w:tcPr>
          <w:p w14:paraId="63891A4C" w14:textId="77777777" w:rsidR="00E000F9" w:rsidRPr="0012790E" w:rsidRDefault="00E000F9" w:rsidP="00E000F9">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1DC2CEEC" w14:textId="77777777" w:rsidR="00E000F9" w:rsidRPr="0012790E" w:rsidRDefault="00E000F9" w:rsidP="00E000F9">
            <w:pPr>
              <w:pStyle w:val="Summarytabletextrightaligned"/>
              <w:rPr>
                <w:szCs w:val="16"/>
              </w:rPr>
            </w:pPr>
            <w:r w:rsidRPr="0012790E">
              <w:rPr>
                <w:szCs w:val="16"/>
              </w:rPr>
              <w:noBreakHyphen/>
            </w:r>
          </w:p>
        </w:tc>
        <w:tc>
          <w:tcPr>
            <w:tcW w:w="851" w:type="dxa"/>
            <w:tcBorders>
              <w:bottom w:val="single" w:sz="4" w:space="0" w:color="293F5B"/>
            </w:tcBorders>
            <w:vAlign w:val="bottom"/>
          </w:tcPr>
          <w:p w14:paraId="5588EA22" w14:textId="77777777" w:rsidR="00E000F9" w:rsidRPr="0012790E" w:rsidRDefault="00E000F9" w:rsidP="00E000F9">
            <w:pPr>
              <w:pStyle w:val="Summarytabletextrightaligned"/>
              <w:rPr>
                <w:szCs w:val="16"/>
              </w:rPr>
            </w:pPr>
            <w:r w:rsidRPr="0012790E">
              <w:rPr>
                <w:szCs w:val="16"/>
              </w:rPr>
              <w:noBreakHyphen/>
            </w:r>
          </w:p>
        </w:tc>
        <w:tc>
          <w:tcPr>
            <w:tcW w:w="851" w:type="dxa"/>
            <w:tcBorders>
              <w:bottom w:val="single" w:sz="4" w:space="0" w:color="293F5B"/>
            </w:tcBorders>
            <w:vAlign w:val="bottom"/>
          </w:tcPr>
          <w:p w14:paraId="008AEF40" w14:textId="77777777" w:rsidR="00E000F9" w:rsidRPr="0012790E" w:rsidRDefault="00E000F9" w:rsidP="00E000F9">
            <w:pPr>
              <w:pStyle w:val="Summarytabletextrightaligned"/>
              <w:rPr>
                <w:szCs w:val="16"/>
              </w:rPr>
            </w:pPr>
            <w:r w:rsidRPr="0012790E">
              <w:rPr>
                <w:szCs w:val="16"/>
              </w:rPr>
              <w:noBreakHyphen/>
            </w:r>
          </w:p>
        </w:tc>
        <w:tc>
          <w:tcPr>
            <w:tcW w:w="851" w:type="dxa"/>
            <w:tcBorders>
              <w:bottom w:val="single" w:sz="4" w:space="0" w:color="293F5B"/>
            </w:tcBorders>
            <w:vAlign w:val="bottom"/>
          </w:tcPr>
          <w:p w14:paraId="6D091601" w14:textId="77777777" w:rsidR="00E000F9" w:rsidRPr="0012790E" w:rsidRDefault="00E000F9" w:rsidP="00E000F9">
            <w:pPr>
              <w:pStyle w:val="Summarytabletextrightaligned"/>
              <w:rPr>
                <w:szCs w:val="16"/>
              </w:rPr>
            </w:pPr>
            <w:r w:rsidRPr="0012790E">
              <w:rPr>
                <w:szCs w:val="16"/>
              </w:rPr>
              <w:noBreakHyphen/>
            </w:r>
          </w:p>
        </w:tc>
      </w:tr>
    </w:tbl>
    <w:p w14:paraId="1E60A6CA" w14:textId="77777777" w:rsidR="0012790E" w:rsidRPr="0012790E" w:rsidRDefault="0012790E" w:rsidP="0012790E">
      <w:pPr>
        <w:pStyle w:val="TableHeadingcontinued"/>
        <w:sectPr w:rsidR="0012790E" w:rsidRPr="0012790E" w:rsidSect="00EA5BFE">
          <w:headerReference w:type="even" r:id="rId41"/>
          <w:headerReference w:type="default" r:id="rId42"/>
          <w:footerReference w:type="even" r:id="rId43"/>
          <w:footerReference w:type="default" r:id="rId44"/>
          <w:footerReference w:type="first" r:id="rId45"/>
          <w:pgSz w:w="11905" w:h="16837"/>
          <w:pgMar w:top="2835" w:right="2098" w:bottom="2466" w:left="2098" w:header="1814" w:footer="1814" w:gutter="0"/>
          <w:cols w:space="720"/>
          <w:noEndnote/>
          <w:docGrid w:linePitch="272"/>
        </w:sectPr>
      </w:pPr>
    </w:p>
    <w:p w14:paraId="71B1FACC" w14:textId="77777777" w:rsidR="0012790E" w:rsidRPr="0012790E" w:rsidRDefault="0012790E" w:rsidP="0012790E">
      <w:pPr>
        <w:pStyle w:val="TableHeadingcontinued"/>
        <w:rPr>
          <w:szCs w:val="16"/>
        </w:rPr>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4C069398" w14:textId="77777777">
        <w:tc>
          <w:tcPr>
            <w:tcW w:w="3470" w:type="dxa"/>
            <w:tcBorders>
              <w:top w:val="single" w:sz="4" w:space="0" w:color="293F5B"/>
            </w:tcBorders>
            <w:shd w:val="clear" w:color="auto" w:fill="auto"/>
            <w:vAlign w:val="bottom"/>
          </w:tcPr>
          <w:p w14:paraId="53EF6416"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21DF8320"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16B62204"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6443C08D"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163EDDE8"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04D3CA5A"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550BE4D5" w14:textId="77777777">
        <w:tc>
          <w:tcPr>
            <w:tcW w:w="3470" w:type="dxa"/>
            <w:shd w:val="clear" w:color="auto" w:fill="auto"/>
            <w:vAlign w:val="bottom"/>
          </w:tcPr>
          <w:p w14:paraId="33591133" w14:textId="77777777" w:rsidR="0012790E" w:rsidRPr="0012790E" w:rsidRDefault="0012790E">
            <w:pPr>
              <w:pStyle w:val="Summarytabletextrightaligned"/>
            </w:pPr>
          </w:p>
        </w:tc>
        <w:tc>
          <w:tcPr>
            <w:tcW w:w="851" w:type="dxa"/>
            <w:tcBorders>
              <w:bottom w:val="single" w:sz="4" w:space="0" w:color="293F5B"/>
            </w:tcBorders>
            <w:vAlign w:val="bottom"/>
          </w:tcPr>
          <w:p w14:paraId="7AF5A957"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3D6E6A50"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4FF154B4"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784B6ED4"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00E7BB5F" w14:textId="77777777" w:rsidR="0012790E" w:rsidRPr="0012790E" w:rsidRDefault="0012790E">
            <w:pPr>
              <w:pStyle w:val="Summarytabletextrightaligned"/>
            </w:pPr>
            <w:r w:rsidRPr="0012790E">
              <w:t>$m</w:t>
            </w:r>
          </w:p>
        </w:tc>
      </w:tr>
      <w:tr w:rsidR="0012790E" w:rsidRPr="0012790E" w14:paraId="01AB0BA2" w14:textId="77777777">
        <w:tc>
          <w:tcPr>
            <w:tcW w:w="3470" w:type="dxa"/>
            <w:shd w:val="clear" w:color="auto" w:fill="auto"/>
            <w:vAlign w:val="bottom"/>
          </w:tcPr>
          <w:p w14:paraId="4456977F" w14:textId="77777777" w:rsidR="0012790E" w:rsidRPr="0012790E" w:rsidRDefault="0012790E" w:rsidP="000D3386">
            <w:pPr>
              <w:pStyle w:val="SummaryMeasureTitlewithTheme"/>
              <w:ind w:left="339" w:hanging="339"/>
              <w:rPr>
                <w:rFonts w:cs="Arial"/>
                <w:b/>
              </w:rPr>
            </w:pPr>
            <w:r w:rsidRPr="0012790E">
              <w:rPr>
                <w:rFonts w:cs="Arial"/>
                <w:b/>
              </w:rPr>
              <w:t>DEFENCE (continued)</w:t>
            </w:r>
          </w:p>
        </w:tc>
        <w:tc>
          <w:tcPr>
            <w:tcW w:w="851" w:type="dxa"/>
            <w:vAlign w:val="bottom"/>
          </w:tcPr>
          <w:p w14:paraId="48FEB974" w14:textId="77777777" w:rsidR="0012790E" w:rsidRPr="0012790E" w:rsidRDefault="0012790E">
            <w:pPr>
              <w:pStyle w:val="Summarytabletextrightaligned"/>
              <w:rPr>
                <w:szCs w:val="16"/>
              </w:rPr>
            </w:pPr>
          </w:p>
        </w:tc>
        <w:tc>
          <w:tcPr>
            <w:tcW w:w="851" w:type="dxa"/>
            <w:shd w:val="clear" w:color="auto" w:fill="E6F2FF"/>
            <w:vAlign w:val="bottom"/>
          </w:tcPr>
          <w:p w14:paraId="6F1D7A91" w14:textId="77777777" w:rsidR="0012790E" w:rsidRPr="0012790E" w:rsidRDefault="0012790E">
            <w:pPr>
              <w:pStyle w:val="Summarytabletextrightaligned"/>
              <w:rPr>
                <w:szCs w:val="16"/>
              </w:rPr>
            </w:pPr>
          </w:p>
        </w:tc>
        <w:tc>
          <w:tcPr>
            <w:tcW w:w="851" w:type="dxa"/>
            <w:vAlign w:val="bottom"/>
          </w:tcPr>
          <w:p w14:paraId="58F40E4D" w14:textId="77777777" w:rsidR="0012790E" w:rsidRPr="0012790E" w:rsidRDefault="0012790E">
            <w:pPr>
              <w:pStyle w:val="Summarytabletextrightaligned"/>
              <w:rPr>
                <w:szCs w:val="16"/>
              </w:rPr>
            </w:pPr>
          </w:p>
        </w:tc>
        <w:tc>
          <w:tcPr>
            <w:tcW w:w="851" w:type="dxa"/>
            <w:vAlign w:val="bottom"/>
          </w:tcPr>
          <w:p w14:paraId="25D5831B" w14:textId="77777777" w:rsidR="0012790E" w:rsidRPr="0012790E" w:rsidRDefault="0012790E">
            <w:pPr>
              <w:pStyle w:val="Summarytabletextrightaligned"/>
              <w:rPr>
                <w:szCs w:val="16"/>
              </w:rPr>
            </w:pPr>
          </w:p>
        </w:tc>
        <w:tc>
          <w:tcPr>
            <w:tcW w:w="851" w:type="dxa"/>
            <w:vAlign w:val="bottom"/>
          </w:tcPr>
          <w:p w14:paraId="0B136234" w14:textId="77777777" w:rsidR="0012790E" w:rsidRPr="0012790E" w:rsidRDefault="0012790E">
            <w:pPr>
              <w:pStyle w:val="Summarytabletextrightaligned"/>
              <w:rPr>
                <w:szCs w:val="16"/>
              </w:rPr>
            </w:pPr>
          </w:p>
        </w:tc>
      </w:tr>
      <w:tr w:rsidR="0012790E" w:rsidRPr="0012790E" w14:paraId="20FA8058" w14:textId="77777777">
        <w:tc>
          <w:tcPr>
            <w:tcW w:w="3470" w:type="dxa"/>
            <w:shd w:val="clear" w:color="auto" w:fill="auto"/>
            <w:vAlign w:val="bottom"/>
          </w:tcPr>
          <w:p w14:paraId="19E9F5CF" w14:textId="77777777" w:rsidR="0012790E" w:rsidRPr="0012790E" w:rsidRDefault="0012790E">
            <w:pPr>
              <w:pStyle w:val="SummaryMeasureTitlewithTheme"/>
            </w:pPr>
            <w:r w:rsidRPr="0012790E">
              <w:t>Department of Veterans' Affairs – additional resourcing to support service delivery</w:t>
            </w:r>
          </w:p>
        </w:tc>
        <w:tc>
          <w:tcPr>
            <w:tcW w:w="851" w:type="dxa"/>
            <w:vAlign w:val="bottom"/>
          </w:tcPr>
          <w:p w14:paraId="3F87C34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65AF9F8" w14:textId="77777777" w:rsidR="0012790E" w:rsidRPr="0012790E" w:rsidRDefault="0012790E">
            <w:pPr>
              <w:pStyle w:val="Summarytabletextrightaligned"/>
              <w:rPr>
                <w:szCs w:val="16"/>
              </w:rPr>
            </w:pPr>
            <w:r w:rsidRPr="0012790E">
              <w:rPr>
                <w:szCs w:val="16"/>
              </w:rPr>
              <w:t>94.0</w:t>
            </w:r>
          </w:p>
        </w:tc>
        <w:tc>
          <w:tcPr>
            <w:tcW w:w="851" w:type="dxa"/>
            <w:vAlign w:val="bottom"/>
          </w:tcPr>
          <w:p w14:paraId="7B347901" w14:textId="77777777" w:rsidR="0012790E" w:rsidRPr="0012790E" w:rsidRDefault="0012790E">
            <w:pPr>
              <w:pStyle w:val="Summarytabletextrightaligned"/>
              <w:rPr>
                <w:szCs w:val="16"/>
              </w:rPr>
            </w:pPr>
            <w:r w:rsidRPr="0012790E">
              <w:rPr>
                <w:szCs w:val="16"/>
              </w:rPr>
              <w:t>59.9</w:t>
            </w:r>
          </w:p>
        </w:tc>
        <w:tc>
          <w:tcPr>
            <w:tcW w:w="851" w:type="dxa"/>
            <w:vAlign w:val="bottom"/>
          </w:tcPr>
          <w:p w14:paraId="27131A5E" w14:textId="77777777" w:rsidR="0012790E" w:rsidRPr="0012790E" w:rsidRDefault="0012790E">
            <w:pPr>
              <w:pStyle w:val="Summarytabletextrightaligned"/>
              <w:rPr>
                <w:szCs w:val="16"/>
              </w:rPr>
            </w:pPr>
            <w:r w:rsidRPr="0012790E">
              <w:rPr>
                <w:szCs w:val="16"/>
              </w:rPr>
              <w:t>20.1</w:t>
            </w:r>
          </w:p>
        </w:tc>
        <w:tc>
          <w:tcPr>
            <w:tcW w:w="851" w:type="dxa"/>
            <w:vAlign w:val="bottom"/>
          </w:tcPr>
          <w:p w14:paraId="22E75D7E" w14:textId="77777777" w:rsidR="0012790E" w:rsidRPr="0012790E" w:rsidRDefault="0012790E">
            <w:pPr>
              <w:pStyle w:val="Summarytabletextrightaligned"/>
              <w:rPr>
                <w:szCs w:val="16"/>
              </w:rPr>
            </w:pPr>
            <w:r w:rsidRPr="0012790E">
              <w:rPr>
                <w:szCs w:val="16"/>
              </w:rPr>
              <w:t>20.3</w:t>
            </w:r>
          </w:p>
        </w:tc>
      </w:tr>
      <w:tr w:rsidR="0012790E" w:rsidRPr="0012790E" w14:paraId="1A6EE08B" w14:textId="77777777">
        <w:tc>
          <w:tcPr>
            <w:tcW w:w="3470" w:type="dxa"/>
            <w:shd w:val="clear" w:color="auto" w:fill="auto"/>
            <w:vAlign w:val="bottom"/>
          </w:tcPr>
          <w:p w14:paraId="451A7414" w14:textId="77777777" w:rsidR="0012790E" w:rsidRPr="0012790E" w:rsidRDefault="0012790E">
            <w:pPr>
              <w:pStyle w:val="SummaryMeasureTitlewithTheme"/>
            </w:pPr>
            <w:r w:rsidRPr="0012790E">
              <w:t>Establishment of the Administrative Review Tribunal and Addressing Extremely High Migration Backlogs in the Courts(b)</w:t>
            </w:r>
          </w:p>
        </w:tc>
        <w:tc>
          <w:tcPr>
            <w:tcW w:w="851" w:type="dxa"/>
            <w:vAlign w:val="bottom"/>
          </w:tcPr>
          <w:p w14:paraId="22E4016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0159F1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885C9D6"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F9D20AF"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9FBC2DA" w14:textId="77777777" w:rsidR="0012790E" w:rsidRPr="0012790E" w:rsidRDefault="0012790E">
            <w:pPr>
              <w:pStyle w:val="Summarytabletextrightaligned"/>
              <w:rPr>
                <w:szCs w:val="16"/>
              </w:rPr>
            </w:pPr>
            <w:r w:rsidRPr="0012790E">
              <w:rPr>
                <w:szCs w:val="16"/>
              </w:rPr>
              <w:noBreakHyphen/>
            </w:r>
          </w:p>
        </w:tc>
      </w:tr>
      <w:tr w:rsidR="0012790E" w:rsidRPr="0012790E" w14:paraId="6552F470" w14:textId="77777777">
        <w:tc>
          <w:tcPr>
            <w:tcW w:w="3470" w:type="dxa"/>
            <w:shd w:val="clear" w:color="auto" w:fill="auto"/>
            <w:vAlign w:val="bottom"/>
          </w:tcPr>
          <w:p w14:paraId="2AA8E294" w14:textId="77777777" w:rsidR="0012790E" w:rsidRPr="0012790E" w:rsidRDefault="0012790E">
            <w:pPr>
              <w:pStyle w:val="SummaryMeasureTitlewithTheme"/>
            </w:pPr>
            <w:r w:rsidRPr="0012790E">
              <w:t>Funding for the Alfred Hospital</w:t>
            </w:r>
          </w:p>
        </w:tc>
        <w:tc>
          <w:tcPr>
            <w:tcW w:w="851" w:type="dxa"/>
            <w:vAlign w:val="bottom"/>
          </w:tcPr>
          <w:p w14:paraId="2C09167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3AEBC3F"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178BCDE" w14:textId="77777777" w:rsidR="0012790E" w:rsidRPr="0012790E" w:rsidRDefault="0012790E">
            <w:pPr>
              <w:pStyle w:val="Summarytabletextrightaligned"/>
              <w:rPr>
                <w:szCs w:val="16"/>
              </w:rPr>
            </w:pPr>
            <w:r w:rsidRPr="0012790E">
              <w:rPr>
                <w:szCs w:val="16"/>
              </w:rPr>
              <w:t>0.1</w:t>
            </w:r>
          </w:p>
        </w:tc>
        <w:tc>
          <w:tcPr>
            <w:tcW w:w="851" w:type="dxa"/>
            <w:vAlign w:val="bottom"/>
          </w:tcPr>
          <w:p w14:paraId="5FF24D6A" w14:textId="77777777" w:rsidR="0012790E" w:rsidRPr="0012790E" w:rsidRDefault="0012790E">
            <w:pPr>
              <w:pStyle w:val="Summarytabletextrightaligned"/>
              <w:rPr>
                <w:szCs w:val="16"/>
              </w:rPr>
            </w:pPr>
            <w:r w:rsidRPr="0012790E">
              <w:rPr>
                <w:szCs w:val="16"/>
              </w:rPr>
              <w:t>0.1</w:t>
            </w:r>
          </w:p>
        </w:tc>
        <w:tc>
          <w:tcPr>
            <w:tcW w:w="851" w:type="dxa"/>
            <w:vAlign w:val="bottom"/>
          </w:tcPr>
          <w:p w14:paraId="6D90C142" w14:textId="77777777" w:rsidR="0012790E" w:rsidRPr="0012790E" w:rsidRDefault="0012790E">
            <w:pPr>
              <w:pStyle w:val="Summarytabletextrightaligned"/>
              <w:rPr>
                <w:szCs w:val="16"/>
              </w:rPr>
            </w:pPr>
            <w:r w:rsidRPr="0012790E">
              <w:rPr>
                <w:szCs w:val="16"/>
              </w:rPr>
              <w:t>0.1</w:t>
            </w:r>
          </w:p>
        </w:tc>
      </w:tr>
      <w:tr w:rsidR="0012790E" w:rsidRPr="0012790E" w14:paraId="5EC86368" w14:textId="77777777">
        <w:tc>
          <w:tcPr>
            <w:tcW w:w="3470" w:type="dxa"/>
            <w:shd w:val="clear" w:color="auto" w:fill="auto"/>
            <w:vAlign w:val="bottom"/>
          </w:tcPr>
          <w:p w14:paraId="3A786972" w14:textId="77777777" w:rsidR="0012790E" w:rsidRPr="0012790E" w:rsidRDefault="0012790E">
            <w:pPr>
              <w:pStyle w:val="SummaryMeasureTitlewithTheme"/>
            </w:pPr>
            <w:r w:rsidRPr="0012790E">
              <w:t>Pharmaceutical Benefits Scheme (PBS) – new and amended listings(b)</w:t>
            </w:r>
          </w:p>
        </w:tc>
        <w:tc>
          <w:tcPr>
            <w:tcW w:w="851" w:type="dxa"/>
            <w:vAlign w:val="bottom"/>
          </w:tcPr>
          <w:p w14:paraId="3871FE73" w14:textId="77777777" w:rsidR="0012790E" w:rsidRPr="0012790E" w:rsidRDefault="0012790E">
            <w:pPr>
              <w:pStyle w:val="Summarytabletextrightaligned"/>
              <w:rPr>
                <w:szCs w:val="16"/>
              </w:rPr>
            </w:pPr>
            <w:r w:rsidRPr="0012790E">
              <w:rPr>
                <w:szCs w:val="16"/>
              </w:rPr>
              <w:t>6.1</w:t>
            </w:r>
          </w:p>
        </w:tc>
        <w:tc>
          <w:tcPr>
            <w:tcW w:w="851" w:type="dxa"/>
            <w:shd w:val="clear" w:color="auto" w:fill="E6F2FF"/>
            <w:vAlign w:val="bottom"/>
          </w:tcPr>
          <w:p w14:paraId="083B58EC" w14:textId="77777777" w:rsidR="0012790E" w:rsidRPr="0012790E" w:rsidRDefault="0012790E">
            <w:pPr>
              <w:pStyle w:val="Summarytabletextrightaligned"/>
              <w:rPr>
                <w:szCs w:val="16"/>
              </w:rPr>
            </w:pPr>
            <w:r w:rsidRPr="0012790E">
              <w:rPr>
                <w:szCs w:val="16"/>
              </w:rPr>
              <w:t>19.2</w:t>
            </w:r>
          </w:p>
        </w:tc>
        <w:tc>
          <w:tcPr>
            <w:tcW w:w="851" w:type="dxa"/>
            <w:vAlign w:val="bottom"/>
          </w:tcPr>
          <w:p w14:paraId="67CF12B9" w14:textId="77777777" w:rsidR="0012790E" w:rsidRPr="0012790E" w:rsidRDefault="0012790E">
            <w:pPr>
              <w:pStyle w:val="Summarytabletextrightaligned"/>
              <w:rPr>
                <w:szCs w:val="16"/>
              </w:rPr>
            </w:pPr>
            <w:r w:rsidRPr="0012790E">
              <w:rPr>
                <w:szCs w:val="16"/>
              </w:rPr>
              <w:t>16.4</w:t>
            </w:r>
          </w:p>
        </w:tc>
        <w:tc>
          <w:tcPr>
            <w:tcW w:w="851" w:type="dxa"/>
            <w:vAlign w:val="bottom"/>
          </w:tcPr>
          <w:p w14:paraId="0E0E3DDE" w14:textId="77777777" w:rsidR="0012790E" w:rsidRPr="0012790E" w:rsidRDefault="0012790E">
            <w:pPr>
              <w:pStyle w:val="Summarytabletextrightaligned"/>
              <w:rPr>
                <w:szCs w:val="16"/>
              </w:rPr>
            </w:pPr>
            <w:r w:rsidRPr="0012790E">
              <w:rPr>
                <w:szCs w:val="16"/>
              </w:rPr>
              <w:t>10.1</w:t>
            </w:r>
          </w:p>
        </w:tc>
        <w:tc>
          <w:tcPr>
            <w:tcW w:w="851" w:type="dxa"/>
            <w:vAlign w:val="bottom"/>
          </w:tcPr>
          <w:p w14:paraId="53682E63" w14:textId="77777777" w:rsidR="0012790E" w:rsidRPr="0012790E" w:rsidRDefault="0012790E">
            <w:pPr>
              <w:pStyle w:val="Summarytabletextrightaligned"/>
              <w:rPr>
                <w:szCs w:val="16"/>
              </w:rPr>
            </w:pPr>
            <w:r w:rsidRPr="0012790E">
              <w:rPr>
                <w:szCs w:val="16"/>
              </w:rPr>
              <w:t>9.9</w:t>
            </w:r>
          </w:p>
        </w:tc>
      </w:tr>
      <w:tr w:rsidR="0012790E" w:rsidRPr="0012790E" w14:paraId="7AD57BC3" w14:textId="77777777">
        <w:tc>
          <w:tcPr>
            <w:tcW w:w="3470" w:type="dxa"/>
            <w:shd w:val="clear" w:color="auto" w:fill="auto"/>
            <w:vAlign w:val="bottom"/>
          </w:tcPr>
          <w:p w14:paraId="489A65A5" w14:textId="77777777" w:rsidR="0012790E" w:rsidRPr="0012790E" w:rsidRDefault="0012790E">
            <w:pPr>
              <w:pStyle w:val="SummaryMeasureTitlewithTheme"/>
            </w:pPr>
            <w:r w:rsidRPr="0012790E">
              <w:t>Reform of Veterans' Compensation Legislation</w:t>
            </w:r>
          </w:p>
        </w:tc>
        <w:tc>
          <w:tcPr>
            <w:tcW w:w="851" w:type="dxa"/>
            <w:vAlign w:val="bottom"/>
          </w:tcPr>
          <w:p w14:paraId="663A551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6E02222" w14:textId="762D2C70" w:rsidR="0012790E" w:rsidRPr="0012790E" w:rsidRDefault="008C00F1">
            <w:pPr>
              <w:pStyle w:val="Summarytabletextrightaligned"/>
              <w:rPr>
                <w:szCs w:val="16"/>
              </w:rPr>
            </w:pPr>
            <w:r>
              <w:rPr>
                <w:szCs w:val="16"/>
              </w:rPr>
              <w:t>-</w:t>
            </w:r>
          </w:p>
        </w:tc>
        <w:tc>
          <w:tcPr>
            <w:tcW w:w="851" w:type="dxa"/>
            <w:vAlign w:val="bottom"/>
          </w:tcPr>
          <w:p w14:paraId="3F8A6212" w14:textId="3E0EC8B6" w:rsidR="0012790E" w:rsidRPr="0012790E" w:rsidRDefault="008C00F1">
            <w:pPr>
              <w:pStyle w:val="Summarytabletextrightaligned"/>
              <w:rPr>
                <w:szCs w:val="16"/>
              </w:rPr>
            </w:pPr>
            <w:r>
              <w:rPr>
                <w:szCs w:val="16"/>
              </w:rPr>
              <w:t>-</w:t>
            </w:r>
          </w:p>
        </w:tc>
        <w:tc>
          <w:tcPr>
            <w:tcW w:w="851" w:type="dxa"/>
            <w:vAlign w:val="bottom"/>
          </w:tcPr>
          <w:p w14:paraId="3AE11FB6" w14:textId="5836CA0E" w:rsidR="0012790E" w:rsidRPr="0012790E" w:rsidRDefault="008C00F1">
            <w:pPr>
              <w:pStyle w:val="Summarytabletextrightaligned"/>
              <w:rPr>
                <w:szCs w:val="16"/>
              </w:rPr>
            </w:pPr>
            <w:r>
              <w:rPr>
                <w:szCs w:val="16"/>
              </w:rPr>
              <w:t>-</w:t>
            </w:r>
          </w:p>
        </w:tc>
        <w:tc>
          <w:tcPr>
            <w:tcW w:w="851" w:type="dxa"/>
            <w:vAlign w:val="bottom"/>
          </w:tcPr>
          <w:p w14:paraId="698A546B" w14:textId="48F2500E" w:rsidR="0012790E" w:rsidRPr="0012790E" w:rsidRDefault="008C00F1">
            <w:pPr>
              <w:pStyle w:val="Summarytabletextrightaligned"/>
              <w:rPr>
                <w:szCs w:val="16"/>
              </w:rPr>
            </w:pPr>
            <w:r>
              <w:rPr>
                <w:szCs w:val="16"/>
              </w:rPr>
              <w:t>-</w:t>
            </w:r>
          </w:p>
        </w:tc>
      </w:tr>
      <w:tr w:rsidR="0012790E" w:rsidRPr="0012790E" w14:paraId="7C5FAE00" w14:textId="77777777">
        <w:tc>
          <w:tcPr>
            <w:tcW w:w="3470" w:type="dxa"/>
            <w:shd w:val="clear" w:color="auto" w:fill="auto"/>
            <w:vAlign w:val="bottom"/>
          </w:tcPr>
          <w:p w14:paraId="6AF9E172" w14:textId="77777777" w:rsidR="0012790E" w:rsidRPr="0012790E" w:rsidRDefault="0012790E">
            <w:pPr>
              <w:pStyle w:val="SummaryMeasureTitlewithTheme"/>
            </w:pPr>
            <w:r w:rsidRPr="0012790E">
              <w:t>Securing Cheaper Medicines(b)</w:t>
            </w:r>
          </w:p>
        </w:tc>
        <w:tc>
          <w:tcPr>
            <w:tcW w:w="851" w:type="dxa"/>
            <w:vAlign w:val="bottom"/>
          </w:tcPr>
          <w:p w14:paraId="0F4ACB2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35F5614" w14:textId="77777777" w:rsidR="0012790E" w:rsidRPr="0012790E" w:rsidRDefault="0012790E">
            <w:pPr>
              <w:pStyle w:val="Summarytabletextrightaligned"/>
              <w:rPr>
                <w:szCs w:val="16"/>
              </w:rPr>
            </w:pPr>
            <w:r w:rsidRPr="0012790E">
              <w:rPr>
                <w:szCs w:val="16"/>
              </w:rPr>
              <w:t>0.4</w:t>
            </w:r>
          </w:p>
        </w:tc>
        <w:tc>
          <w:tcPr>
            <w:tcW w:w="851" w:type="dxa"/>
            <w:vAlign w:val="bottom"/>
          </w:tcPr>
          <w:p w14:paraId="3B7613BC" w14:textId="77777777" w:rsidR="0012790E" w:rsidRPr="0012790E" w:rsidRDefault="0012790E">
            <w:pPr>
              <w:pStyle w:val="Summarytabletextrightaligned"/>
              <w:rPr>
                <w:szCs w:val="16"/>
              </w:rPr>
            </w:pPr>
            <w:r w:rsidRPr="0012790E">
              <w:rPr>
                <w:szCs w:val="16"/>
              </w:rPr>
              <w:t>1.1</w:t>
            </w:r>
          </w:p>
        </w:tc>
        <w:tc>
          <w:tcPr>
            <w:tcW w:w="851" w:type="dxa"/>
            <w:vAlign w:val="bottom"/>
          </w:tcPr>
          <w:p w14:paraId="3BDFDE4D" w14:textId="77777777" w:rsidR="0012790E" w:rsidRPr="0012790E" w:rsidRDefault="0012790E">
            <w:pPr>
              <w:pStyle w:val="Summarytabletextrightaligned"/>
              <w:rPr>
                <w:szCs w:val="16"/>
              </w:rPr>
            </w:pPr>
            <w:r w:rsidRPr="0012790E">
              <w:rPr>
                <w:szCs w:val="16"/>
              </w:rPr>
              <w:t>1.9</w:t>
            </w:r>
          </w:p>
        </w:tc>
        <w:tc>
          <w:tcPr>
            <w:tcW w:w="851" w:type="dxa"/>
            <w:vAlign w:val="bottom"/>
          </w:tcPr>
          <w:p w14:paraId="166002FF" w14:textId="77777777" w:rsidR="0012790E" w:rsidRPr="0012790E" w:rsidRDefault="0012790E">
            <w:pPr>
              <w:pStyle w:val="Summarytabletextrightaligned"/>
              <w:rPr>
                <w:szCs w:val="16"/>
              </w:rPr>
            </w:pPr>
            <w:r w:rsidRPr="0012790E">
              <w:rPr>
                <w:szCs w:val="16"/>
              </w:rPr>
              <w:t>2.4</w:t>
            </w:r>
          </w:p>
        </w:tc>
      </w:tr>
      <w:tr w:rsidR="0012790E" w:rsidRPr="0012790E" w14:paraId="13BC6E19" w14:textId="77777777">
        <w:tc>
          <w:tcPr>
            <w:tcW w:w="3470" w:type="dxa"/>
            <w:shd w:val="clear" w:color="auto" w:fill="auto"/>
            <w:vAlign w:val="bottom"/>
          </w:tcPr>
          <w:p w14:paraId="7DA32D22" w14:textId="77777777" w:rsidR="0012790E" w:rsidRPr="0012790E" w:rsidRDefault="0012790E">
            <w:pPr>
              <w:pStyle w:val="SummaryMeasureTitlewithTheme"/>
            </w:pPr>
            <w:r w:rsidRPr="0012790E">
              <w:t>Strengthening Medicare – Medicare Urgent Care Clinics – additional funding</w:t>
            </w:r>
          </w:p>
        </w:tc>
        <w:tc>
          <w:tcPr>
            <w:tcW w:w="851" w:type="dxa"/>
            <w:vAlign w:val="bottom"/>
          </w:tcPr>
          <w:p w14:paraId="78076A5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F8832BF" w14:textId="77777777" w:rsidR="0012790E" w:rsidRPr="0012790E" w:rsidRDefault="0012790E">
            <w:pPr>
              <w:pStyle w:val="Summarytabletextrightaligned"/>
              <w:rPr>
                <w:szCs w:val="16"/>
              </w:rPr>
            </w:pPr>
            <w:r w:rsidRPr="0012790E">
              <w:rPr>
                <w:szCs w:val="16"/>
              </w:rPr>
              <w:t>1.6</w:t>
            </w:r>
          </w:p>
        </w:tc>
        <w:tc>
          <w:tcPr>
            <w:tcW w:w="851" w:type="dxa"/>
            <w:vAlign w:val="bottom"/>
          </w:tcPr>
          <w:p w14:paraId="370FB5CF" w14:textId="77777777" w:rsidR="0012790E" w:rsidRPr="0012790E" w:rsidRDefault="0012790E">
            <w:pPr>
              <w:pStyle w:val="Summarytabletextrightaligned"/>
              <w:rPr>
                <w:szCs w:val="16"/>
              </w:rPr>
            </w:pPr>
            <w:r w:rsidRPr="0012790E">
              <w:rPr>
                <w:szCs w:val="16"/>
              </w:rPr>
              <w:t>1.5</w:t>
            </w:r>
          </w:p>
        </w:tc>
        <w:tc>
          <w:tcPr>
            <w:tcW w:w="851" w:type="dxa"/>
            <w:vAlign w:val="bottom"/>
          </w:tcPr>
          <w:p w14:paraId="70BE99A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B1A1C4C" w14:textId="77777777" w:rsidR="0012790E" w:rsidRPr="0012790E" w:rsidRDefault="0012790E">
            <w:pPr>
              <w:pStyle w:val="Summarytabletextrightaligned"/>
              <w:rPr>
                <w:szCs w:val="16"/>
              </w:rPr>
            </w:pPr>
            <w:r w:rsidRPr="0012790E">
              <w:rPr>
                <w:szCs w:val="16"/>
              </w:rPr>
              <w:noBreakHyphen/>
            </w:r>
          </w:p>
        </w:tc>
      </w:tr>
      <w:tr w:rsidR="0012790E" w:rsidRPr="0012790E" w14:paraId="6F3B3212" w14:textId="77777777">
        <w:tc>
          <w:tcPr>
            <w:tcW w:w="3470" w:type="dxa"/>
            <w:shd w:val="clear" w:color="auto" w:fill="auto"/>
            <w:vAlign w:val="bottom"/>
          </w:tcPr>
          <w:p w14:paraId="3ED86A6E" w14:textId="77777777" w:rsidR="0012790E" w:rsidRPr="0012790E" w:rsidRDefault="0012790E">
            <w:pPr>
              <w:pStyle w:val="SummaryMeasureTitlewithTheme"/>
            </w:pPr>
            <w:r w:rsidRPr="0012790E">
              <w:t>Strengthening Medicare – an effective and clinically appropriate Medicare Benefits Schedule (MBS)</w:t>
            </w:r>
          </w:p>
        </w:tc>
        <w:tc>
          <w:tcPr>
            <w:tcW w:w="851" w:type="dxa"/>
            <w:vAlign w:val="bottom"/>
          </w:tcPr>
          <w:p w14:paraId="0F77E46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5818F6C" w14:textId="77777777" w:rsidR="0012790E" w:rsidRPr="0012790E" w:rsidRDefault="0012790E">
            <w:pPr>
              <w:pStyle w:val="Summarytabletextrightaligned"/>
              <w:rPr>
                <w:szCs w:val="16"/>
              </w:rPr>
            </w:pPr>
            <w:r w:rsidRPr="0012790E">
              <w:rPr>
                <w:szCs w:val="16"/>
              </w:rPr>
              <w:t>1.1</w:t>
            </w:r>
          </w:p>
        </w:tc>
        <w:tc>
          <w:tcPr>
            <w:tcW w:w="851" w:type="dxa"/>
            <w:vAlign w:val="bottom"/>
          </w:tcPr>
          <w:p w14:paraId="5667D376" w14:textId="77777777" w:rsidR="0012790E" w:rsidRPr="0012790E" w:rsidRDefault="0012790E">
            <w:pPr>
              <w:pStyle w:val="Summarytabletextrightaligned"/>
              <w:rPr>
                <w:szCs w:val="16"/>
              </w:rPr>
            </w:pPr>
            <w:r w:rsidRPr="0012790E">
              <w:rPr>
                <w:szCs w:val="16"/>
              </w:rPr>
              <w:t>1.1</w:t>
            </w:r>
          </w:p>
        </w:tc>
        <w:tc>
          <w:tcPr>
            <w:tcW w:w="851" w:type="dxa"/>
            <w:vAlign w:val="bottom"/>
          </w:tcPr>
          <w:p w14:paraId="68283CAB" w14:textId="77777777" w:rsidR="0012790E" w:rsidRPr="0012790E" w:rsidRDefault="0012790E">
            <w:pPr>
              <w:pStyle w:val="Summarytabletextrightaligned"/>
              <w:rPr>
                <w:szCs w:val="16"/>
              </w:rPr>
            </w:pPr>
            <w:r w:rsidRPr="0012790E">
              <w:rPr>
                <w:szCs w:val="16"/>
              </w:rPr>
              <w:t>1.4</w:t>
            </w:r>
          </w:p>
        </w:tc>
        <w:tc>
          <w:tcPr>
            <w:tcW w:w="851" w:type="dxa"/>
            <w:vAlign w:val="bottom"/>
          </w:tcPr>
          <w:p w14:paraId="6AAC4E0D" w14:textId="77777777" w:rsidR="0012790E" w:rsidRPr="0012790E" w:rsidRDefault="0012790E">
            <w:pPr>
              <w:pStyle w:val="Summarytabletextrightaligned"/>
              <w:rPr>
                <w:szCs w:val="16"/>
              </w:rPr>
            </w:pPr>
            <w:r w:rsidRPr="0012790E">
              <w:rPr>
                <w:szCs w:val="16"/>
              </w:rPr>
              <w:t>2.2</w:t>
            </w:r>
          </w:p>
        </w:tc>
      </w:tr>
      <w:tr w:rsidR="0012790E" w:rsidRPr="0012790E" w14:paraId="0B878936" w14:textId="77777777">
        <w:tc>
          <w:tcPr>
            <w:tcW w:w="3470" w:type="dxa"/>
            <w:shd w:val="clear" w:color="auto" w:fill="auto"/>
            <w:vAlign w:val="bottom"/>
          </w:tcPr>
          <w:p w14:paraId="4CFCC537" w14:textId="77777777" w:rsidR="0012790E" w:rsidRPr="0012790E" w:rsidRDefault="0012790E">
            <w:pPr>
              <w:pStyle w:val="SummaryMeasureTitlewithTheme"/>
            </w:pPr>
            <w:r w:rsidRPr="0012790E">
              <w:t>Supporting Ongoing Access to Vaccines</w:t>
            </w:r>
          </w:p>
        </w:tc>
        <w:tc>
          <w:tcPr>
            <w:tcW w:w="851" w:type="dxa"/>
            <w:vAlign w:val="bottom"/>
          </w:tcPr>
          <w:p w14:paraId="18269F62"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CBD2242" w14:textId="77777777" w:rsidR="0012790E" w:rsidRPr="0012790E" w:rsidRDefault="0012790E">
            <w:pPr>
              <w:pStyle w:val="Summarytabletextrightaligned"/>
              <w:rPr>
                <w:szCs w:val="16"/>
              </w:rPr>
            </w:pPr>
            <w:r w:rsidRPr="0012790E">
              <w:rPr>
                <w:szCs w:val="16"/>
              </w:rPr>
              <w:t>0.8</w:t>
            </w:r>
          </w:p>
        </w:tc>
        <w:tc>
          <w:tcPr>
            <w:tcW w:w="851" w:type="dxa"/>
            <w:vAlign w:val="bottom"/>
          </w:tcPr>
          <w:p w14:paraId="1ED80589" w14:textId="77777777" w:rsidR="0012790E" w:rsidRPr="0012790E" w:rsidRDefault="0012790E">
            <w:pPr>
              <w:pStyle w:val="Summarytabletextrightaligned"/>
              <w:rPr>
                <w:szCs w:val="16"/>
              </w:rPr>
            </w:pPr>
            <w:r w:rsidRPr="0012790E">
              <w:rPr>
                <w:szCs w:val="16"/>
              </w:rPr>
              <w:t>1.2</w:t>
            </w:r>
          </w:p>
        </w:tc>
        <w:tc>
          <w:tcPr>
            <w:tcW w:w="851" w:type="dxa"/>
            <w:vAlign w:val="bottom"/>
          </w:tcPr>
          <w:p w14:paraId="60591E27" w14:textId="77777777" w:rsidR="0012790E" w:rsidRPr="0012790E" w:rsidRDefault="0012790E">
            <w:pPr>
              <w:pStyle w:val="Summarytabletextrightaligned"/>
              <w:rPr>
                <w:szCs w:val="16"/>
              </w:rPr>
            </w:pPr>
            <w:r w:rsidRPr="0012790E">
              <w:rPr>
                <w:szCs w:val="16"/>
              </w:rPr>
              <w:t>1.3</w:t>
            </w:r>
          </w:p>
        </w:tc>
        <w:tc>
          <w:tcPr>
            <w:tcW w:w="851" w:type="dxa"/>
            <w:vAlign w:val="bottom"/>
          </w:tcPr>
          <w:p w14:paraId="55E69FA6" w14:textId="77777777" w:rsidR="0012790E" w:rsidRPr="0012790E" w:rsidRDefault="0012790E">
            <w:pPr>
              <w:pStyle w:val="Summarytabletextrightaligned"/>
              <w:rPr>
                <w:szCs w:val="16"/>
              </w:rPr>
            </w:pPr>
            <w:r w:rsidRPr="0012790E">
              <w:rPr>
                <w:szCs w:val="16"/>
              </w:rPr>
              <w:t>1.3</w:t>
            </w:r>
          </w:p>
        </w:tc>
      </w:tr>
      <w:tr w:rsidR="0012790E" w:rsidRPr="0012790E" w14:paraId="50079D0F" w14:textId="77777777">
        <w:tc>
          <w:tcPr>
            <w:tcW w:w="3470" w:type="dxa"/>
            <w:shd w:val="clear" w:color="auto" w:fill="auto"/>
            <w:vAlign w:val="bottom"/>
          </w:tcPr>
          <w:p w14:paraId="69A7914A" w14:textId="77777777" w:rsidR="0012790E" w:rsidRPr="0012790E" w:rsidRDefault="0012790E">
            <w:pPr>
              <w:pStyle w:val="SummaryMeasureTitlewithTheme"/>
            </w:pPr>
            <w:r w:rsidRPr="0012790E">
              <w:t>Supporting Veteran Owned Business Grant Program</w:t>
            </w:r>
          </w:p>
        </w:tc>
        <w:tc>
          <w:tcPr>
            <w:tcW w:w="851" w:type="dxa"/>
            <w:tcBorders>
              <w:bottom w:val="single" w:sz="4" w:space="0" w:color="293F5B"/>
            </w:tcBorders>
            <w:vAlign w:val="bottom"/>
          </w:tcPr>
          <w:p w14:paraId="5C7DB852"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5E1505F7"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6792CF50"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06281033"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4A0229BA" w14:textId="77777777" w:rsidR="0012790E" w:rsidRPr="0012790E" w:rsidRDefault="0012790E">
            <w:pPr>
              <w:pStyle w:val="Summarytabletextrightaligned"/>
              <w:rPr>
                <w:szCs w:val="16"/>
              </w:rPr>
            </w:pPr>
            <w:r w:rsidRPr="0012790E">
              <w:rPr>
                <w:szCs w:val="16"/>
              </w:rPr>
              <w:noBreakHyphen/>
            </w:r>
          </w:p>
        </w:tc>
      </w:tr>
      <w:tr w:rsidR="00D5489D" w:rsidRPr="0012790E" w14:paraId="02D86A68" w14:textId="77777777">
        <w:tc>
          <w:tcPr>
            <w:tcW w:w="3470" w:type="dxa"/>
            <w:shd w:val="clear" w:color="auto" w:fill="auto"/>
            <w:vAlign w:val="bottom"/>
          </w:tcPr>
          <w:p w14:paraId="4F213625" w14:textId="77777777" w:rsidR="00D5489D" w:rsidRPr="0012790E" w:rsidRDefault="00D5489D" w:rsidP="00D5489D">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48270048" w14:textId="77777777" w:rsidR="00D5489D" w:rsidRPr="0012790E" w:rsidRDefault="00D5489D" w:rsidP="00D5489D">
            <w:pPr>
              <w:pStyle w:val="Summarytabletextrightalignedbold"/>
              <w:rPr>
                <w:bCs/>
                <w:szCs w:val="16"/>
              </w:rPr>
            </w:pPr>
            <w:r w:rsidRPr="0012790E">
              <w:rPr>
                <w:bCs/>
                <w:szCs w:val="16"/>
              </w:rPr>
              <w:t>21.6</w:t>
            </w:r>
          </w:p>
        </w:tc>
        <w:tc>
          <w:tcPr>
            <w:tcW w:w="851" w:type="dxa"/>
            <w:tcBorders>
              <w:top w:val="single" w:sz="4" w:space="0" w:color="293F5B"/>
              <w:bottom w:val="single" w:sz="4" w:space="0" w:color="293F5B"/>
            </w:tcBorders>
            <w:shd w:val="clear" w:color="auto" w:fill="E6F2FF"/>
            <w:vAlign w:val="bottom"/>
          </w:tcPr>
          <w:p w14:paraId="1B42B801" w14:textId="12F6022E" w:rsidR="00D5489D" w:rsidRPr="0012790E" w:rsidRDefault="00D5489D" w:rsidP="00D5489D">
            <w:pPr>
              <w:pStyle w:val="Summarytabletextrightalignedbold"/>
              <w:rPr>
                <w:bCs/>
                <w:szCs w:val="16"/>
              </w:rPr>
            </w:pPr>
            <w:r w:rsidRPr="0012790E">
              <w:rPr>
                <w:bCs/>
                <w:szCs w:val="16"/>
              </w:rPr>
              <w:t>55</w:t>
            </w:r>
            <w:r>
              <w:rPr>
                <w:bCs/>
                <w:szCs w:val="16"/>
              </w:rPr>
              <w:t>4</w:t>
            </w:r>
            <w:r w:rsidRPr="0012790E">
              <w:rPr>
                <w:bCs/>
                <w:szCs w:val="16"/>
              </w:rPr>
              <w:t>.</w:t>
            </w:r>
            <w:r w:rsidR="00060F36">
              <w:rPr>
                <w:bCs/>
                <w:szCs w:val="16"/>
              </w:rPr>
              <w:t>6</w:t>
            </w:r>
          </w:p>
        </w:tc>
        <w:tc>
          <w:tcPr>
            <w:tcW w:w="851" w:type="dxa"/>
            <w:tcBorders>
              <w:top w:val="single" w:sz="4" w:space="0" w:color="293F5B"/>
              <w:bottom w:val="single" w:sz="4" w:space="0" w:color="293F5B"/>
            </w:tcBorders>
            <w:vAlign w:val="bottom"/>
          </w:tcPr>
          <w:p w14:paraId="6999BCC7" w14:textId="02BE5111" w:rsidR="00D5489D" w:rsidRPr="0012790E" w:rsidRDefault="00D5489D" w:rsidP="00D5489D">
            <w:pPr>
              <w:pStyle w:val="Summarytabletextrightalignedbold"/>
              <w:rPr>
                <w:bCs/>
                <w:szCs w:val="16"/>
              </w:rPr>
            </w:pPr>
            <w:r>
              <w:rPr>
                <w:bCs/>
                <w:szCs w:val="16"/>
              </w:rPr>
              <w:t>880.</w:t>
            </w:r>
            <w:r w:rsidR="00060F36">
              <w:rPr>
                <w:bCs/>
                <w:szCs w:val="16"/>
              </w:rPr>
              <w:t>1</w:t>
            </w:r>
          </w:p>
        </w:tc>
        <w:tc>
          <w:tcPr>
            <w:tcW w:w="851" w:type="dxa"/>
            <w:tcBorders>
              <w:top w:val="single" w:sz="4" w:space="0" w:color="293F5B"/>
              <w:bottom w:val="single" w:sz="4" w:space="0" w:color="293F5B"/>
            </w:tcBorders>
            <w:vAlign w:val="bottom"/>
          </w:tcPr>
          <w:p w14:paraId="49EC03E5" w14:textId="5A38AF0C" w:rsidR="00D5489D" w:rsidRPr="0012790E" w:rsidRDefault="00D5489D" w:rsidP="00D5489D">
            <w:pPr>
              <w:pStyle w:val="Summarytabletextrightalignedbold"/>
              <w:rPr>
                <w:bCs/>
                <w:szCs w:val="16"/>
              </w:rPr>
            </w:pPr>
            <w:r>
              <w:rPr>
                <w:bCs/>
                <w:szCs w:val="16"/>
              </w:rPr>
              <w:t>769.8</w:t>
            </w:r>
          </w:p>
        </w:tc>
        <w:tc>
          <w:tcPr>
            <w:tcW w:w="851" w:type="dxa"/>
            <w:tcBorders>
              <w:top w:val="single" w:sz="4" w:space="0" w:color="293F5B"/>
              <w:bottom w:val="single" w:sz="4" w:space="0" w:color="293F5B"/>
            </w:tcBorders>
            <w:vAlign w:val="bottom"/>
          </w:tcPr>
          <w:p w14:paraId="7E5E4DB7" w14:textId="4BA05034" w:rsidR="00D5489D" w:rsidRPr="0012790E" w:rsidRDefault="00D5489D" w:rsidP="00D5489D">
            <w:pPr>
              <w:pStyle w:val="Summarytabletextrightalignedbold"/>
              <w:rPr>
                <w:bCs/>
                <w:szCs w:val="16"/>
              </w:rPr>
            </w:pPr>
            <w:r w:rsidRPr="0012790E">
              <w:rPr>
                <w:bCs/>
                <w:szCs w:val="16"/>
              </w:rPr>
              <w:t>3,</w:t>
            </w:r>
            <w:r>
              <w:rPr>
                <w:bCs/>
                <w:szCs w:val="16"/>
              </w:rPr>
              <w:t>840.</w:t>
            </w:r>
            <w:r w:rsidR="00060F36">
              <w:rPr>
                <w:bCs/>
                <w:szCs w:val="16"/>
              </w:rPr>
              <w:t>4</w:t>
            </w:r>
          </w:p>
        </w:tc>
      </w:tr>
      <w:tr w:rsidR="0012790E" w:rsidRPr="0012790E" w14:paraId="1D78DA83" w14:textId="77777777">
        <w:tc>
          <w:tcPr>
            <w:tcW w:w="3470" w:type="dxa"/>
            <w:shd w:val="clear" w:color="auto" w:fill="auto"/>
            <w:vAlign w:val="bottom"/>
          </w:tcPr>
          <w:p w14:paraId="4376D440" w14:textId="77777777" w:rsidR="0012790E" w:rsidRPr="0012790E" w:rsidRDefault="0012790E">
            <w:pPr>
              <w:pStyle w:val="SummaryPortfolioTitle-BP2"/>
            </w:pPr>
            <w:r w:rsidRPr="0012790E">
              <w:t>EDUCATION</w:t>
            </w:r>
          </w:p>
        </w:tc>
        <w:tc>
          <w:tcPr>
            <w:tcW w:w="851" w:type="dxa"/>
            <w:tcBorders>
              <w:top w:val="single" w:sz="4" w:space="0" w:color="293F5B"/>
            </w:tcBorders>
            <w:vAlign w:val="bottom"/>
          </w:tcPr>
          <w:p w14:paraId="40B96522" w14:textId="77777777" w:rsidR="0012790E" w:rsidRPr="0012790E" w:rsidRDefault="0012790E">
            <w:pPr>
              <w:pStyle w:val="MeasureTableTextRightAlignedBefore6ptAfter1pt"/>
              <w:rPr>
                <w:b/>
                <w:bCs/>
              </w:rPr>
            </w:pPr>
          </w:p>
        </w:tc>
        <w:tc>
          <w:tcPr>
            <w:tcW w:w="851" w:type="dxa"/>
            <w:tcBorders>
              <w:top w:val="single" w:sz="4" w:space="0" w:color="293F5B"/>
            </w:tcBorders>
            <w:shd w:val="clear" w:color="auto" w:fill="E6F2FF"/>
            <w:vAlign w:val="bottom"/>
          </w:tcPr>
          <w:p w14:paraId="23699794"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24E8D485"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132DBE4C"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5CEA2420" w14:textId="77777777" w:rsidR="0012790E" w:rsidRPr="0012790E" w:rsidRDefault="0012790E">
            <w:pPr>
              <w:pStyle w:val="MeasureTableTextRightAlignedBefore6ptAfter1pt"/>
              <w:rPr>
                <w:b/>
                <w:bCs/>
              </w:rPr>
            </w:pPr>
          </w:p>
        </w:tc>
      </w:tr>
      <w:tr w:rsidR="0012790E" w:rsidRPr="0012790E" w14:paraId="1E940042" w14:textId="77777777">
        <w:tc>
          <w:tcPr>
            <w:tcW w:w="3470" w:type="dxa"/>
            <w:shd w:val="clear" w:color="auto" w:fill="auto"/>
            <w:vAlign w:val="bottom"/>
          </w:tcPr>
          <w:p w14:paraId="406382DF" w14:textId="77777777" w:rsidR="0012790E" w:rsidRPr="0012790E" w:rsidRDefault="0012790E">
            <w:pPr>
              <w:pStyle w:val="SummaryAgencyTitle-BP2"/>
              <w:rPr>
                <w:iCs/>
              </w:rPr>
            </w:pPr>
            <w:r w:rsidRPr="0012790E">
              <w:rPr>
                <w:iCs/>
              </w:rPr>
              <w:t>Department of Education</w:t>
            </w:r>
          </w:p>
        </w:tc>
        <w:tc>
          <w:tcPr>
            <w:tcW w:w="851" w:type="dxa"/>
            <w:vAlign w:val="bottom"/>
          </w:tcPr>
          <w:p w14:paraId="44A07017" w14:textId="77777777" w:rsidR="0012790E" w:rsidRPr="0012790E" w:rsidRDefault="0012790E">
            <w:pPr>
              <w:pStyle w:val="SummaryAgencyTitle-BP2"/>
              <w:rPr>
                <w:iCs/>
              </w:rPr>
            </w:pPr>
          </w:p>
        </w:tc>
        <w:tc>
          <w:tcPr>
            <w:tcW w:w="851" w:type="dxa"/>
            <w:shd w:val="clear" w:color="auto" w:fill="E6F2FF"/>
            <w:vAlign w:val="bottom"/>
          </w:tcPr>
          <w:p w14:paraId="59F8FC58" w14:textId="77777777" w:rsidR="0012790E" w:rsidRPr="0012790E" w:rsidRDefault="0012790E">
            <w:pPr>
              <w:pStyle w:val="SummaryAgencyTitle-BP2"/>
              <w:rPr>
                <w:iCs/>
              </w:rPr>
            </w:pPr>
          </w:p>
        </w:tc>
        <w:tc>
          <w:tcPr>
            <w:tcW w:w="851" w:type="dxa"/>
            <w:vAlign w:val="bottom"/>
          </w:tcPr>
          <w:p w14:paraId="3FF59B94" w14:textId="77777777" w:rsidR="0012790E" w:rsidRPr="0012790E" w:rsidRDefault="0012790E">
            <w:pPr>
              <w:pStyle w:val="SummaryAgencyTitle-BP2"/>
              <w:rPr>
                <w:iCs/>
              </w:rPr>
            </w:pPr>
          </w:p>
        </w:tc>
        <w:tc>
          <w:tcPr>
            <w:tcW w:w="851" w:type="dxa"/>
            <w:vAlign w:val="bottom"/>
          </w:tcPr>
          <w:p w14:paraId="4C5E4DEA" w14:textId="77777777" w:rsidR="0012790E" w:rsidRPr="0012790E" w:rsidRDefault="0012790E">
            <w:pPr>
              <w:pStyle w:val="SummaryAgencyTitle-BP2"/>
              <w:rPr>
                <w:iCs/>
              </w:rPr>
            </w:pPr>
          </w:p>
        </w:tc>
        <w:tc>
          <w:tcPr>
            <w:tcW w:w="851" w:type="dxa"/>
            <w:vAlign w:val="bottom"/>
          </w:tcPr>
          <w:p w14:paraId="58DFD8FB" w14:textId="77777777" w:rsidR="0012790E" w:rsidRPr="0012790E" w:rsidRDefault="0012790E">
            <w:pPr>
              <w:pStyle w:val="SummaryAgencyTitle-BP2"/>
              <w:rPr>
                <w:iCs/>
              </w:rPr>
            </w:pPr>
          </w:p>
        </w:tc>
      </w:tr>
      <w:tr w:rsidR="0012790E" w:rsidRPr="0012790E" w14:paraId="6BEAFF36" w14:textId="77777777">
        <w:tc>
          <w:tcPr>
            <w:tcW w:w="3470" w:type="dxa"/>
            <w:shd w:val="clear" w:color="auto" w:fill="auto"/>
            <w:vAlign w:val="bottom"/>
          </w:tcPr>
          <w:p w14:paraId="2EDAAD1C" w14:textId="77777777" w:rsidR="0012790E" w:rsidRPr="0012790E" w:rsidRDefault="0012790E">
            <w:pPr>
              <w:pStyle w:val="SummaryMeasureTitlewithTheme"/>
            </w:pPr>
            <w:r w:rsidRPr="0012790E">
              <w:t>APS Capability Reinvestment Fund: 2024</w:t>
            </w:r>
            <w:r w:rsidRPr="0012790E">
              <w:noBreakHyphen/>
              <w:t>25 projects funded under round two</w:t>
            </w:r>
          </w:p>
        </w:tc>
        <w:tc>
          <w:tcPr>
            <w:tcW w:w="851" w:type="dxa"/>
            <w:vAlign w:val="bottom"/>
          </w:tcPr>
          <w:p w14:paraId="162FC97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24FA55B" w14:textId="6031BA7F" w:rsidR="0012790E" w:rsidRPr="0012790E" w:rsidRDefault="00B92B04">
            <w:pPr>
              <w:pStyle w:val="Summarytabletextrightaligned"/>
              <w:rPr>
                <w:szCs w:val="16"/>
              </w:rPr>
            </w:pPr>
            <w:r>
              <w:rPr>
                <w:szCs w:val="16"/>
              </w:rPr>
              <w:t>-</w:t>
            </w:r>
          </w:p>
        </w:tc>
        <w:tc>
          <w:tcPr>
            <w:tcW w:w="851" w:type="dxa"/>
            <w:vAlign w:val="bottom"/>
          </w:tcPr>
          <w:p w14:paraId="04875B78"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7CCC20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53CE35B" w14:textId="77777777" w:rsidR="0012790E" w:rsidRPr="0012790E" w:rsidRDefault="0012790E">
            <w:pPr>
              <w:pStyle w:val="Summarytabletextrightaligned"/>
              <w:rPr>
                <w:szCs w:val="16"/>
              </w:rPr>
            </w:pPr>
            <w:r w:rsidRPr="0012790E">
              <w:rPr>
                <w:szCs w:val="16"/>
              </w:rPr>
              <w:noBreakHyphen/>
            </w:r>
          </w:p>
        </w:tc>
      </w:tr>
      <w:tr w:rsidR="00C8305E" w:rsidRPr="0012790E" w14:paraId="0D1F6B92" w14:textId="77777777">
        <w:tc>
          <w:tcPr>
            <w:tcW w:w="3470" w:type="dxa"/>
            <w:shd w:val="clear" w:color="auto" w:fill="auto"/>
            <w:vAlign w:val="bottom"/>
          </w:tcPr>
          <w:p w14:paraId="314D9CB3" w14:textId="77777777" w:rsidR="00C8305E" w:rsidRPr="0012790E" w:rsidRDefault="00C8305E" w:rsidP="00C8305E">
            <w:pPr>
              <w:pStyle w:val="SummaryMeasureTitlewithTheme"/>
            </w:pPr>
            <w:r w:rsidRPr="0012790E">
              <w:t>Australian Universities Accord – tertiary education system reforms(b)</w:t>
            </w:r>
          </w:p>
        </w:tc>
        <w:tc>
          <w:tcPr>
            <w:tcW w:w="851" w:type="dxa"/>
            <w:vAlign w:val="bottom"/>
          </w:tcPr>
          <w:p w14:paraId="09815007" w14:textId="77777777" w:rsidR="00C8305E" w:rsidRPr="0012790E" w:rsidRDefault="00C8305E" w:rsidP="00C8305E">
            <w:pPr>
              <w:pStyle w:val="Summarytabletextrightaligned"/>
              <w:rPr>
                <w:szCs w:val="16"/>
              </w:rPr>
            </w:pPr>
            <w:r w:rsidRPr="0012790E">
              <w:rPr>
                <w:szCs w:val="16"/>
              </w:rPr>
              <w:noBreakHyphen/>
            </w:r>
          </w:p>
        </w:tc>
        <w:tc>
          <w:tcPr>
            <w:tcW w:w="851" w:type="dxa"/>
            <w:shd w:val="clear" w:color="auto" w:fill="E6F2FF"/>
            <w:vAlign w:val="bottom"/>
          </w:tcPr>
          <w:p w14:paraId="40E7DD95" w14:textId="77777777" w:rsidR="00C8305E" w:rsidRPr="0012790E" w:rsidRDefault="00C8305E" w:rsidP="00C8305E">
            <w:pPr>
              <w:pStyle w:val="Summarytabletextrightaligned"/>
              <w:rPr>
                <w:szCs w:val="16"/>
              </w:rPr>
            </w:pPr>
            <w:r w:rsidRPr="0012790E">
              <w:rPr>
                <w:szCs w:val="16"/>
              </w:rPr>
              <w:t>34.4</w:t>
            </w:r>
          </w:p>
        </w:tc>
        <w:tc>
          <w:tcPr>
            <w:tcW w:w="851" w:type="dxa"/>
            <w:vAlign w:val="bottom"/>
          </w:tcPr>
          <w:p w14:paraId="1A2C6A15" w14:textId="6ECC91A5" w:rsidR="00C8305E" w:rsidRPr="0012790E" w:rsidRDefault="00C8305E" w:rsidP="00C8305E">
            <w:pPr>
              <w:pStyle w:val="Summarytabletextrightaligned"/>
              <w:rPr>
                <w:szCs w:val="16"/>
              </w:rPr>
            </w:pPr>
            <w:r>
              <w:rPr>
                <w:szCs w:val="16"/>
              </w:rPr>
              <w:t>146.5</w:t>
            </w:r>
          </w:p>
        </w:tc>
        <w:tc>
          <w:tcPr>
            <w:tcW w:w="851" w:type="dxa"/>
            <w:vAlign w:val="bottom"/>
          </w:tcPr>
          <w:p w14:paraId="34EE7003" w14:textId="38FC5C48" w:rsidR="00C8305E" w:rsidRPr="0012790E" w:rsidRDefault="00C8305E" w:rsidP="00C8305E">
            <w:pPr>
              <w:pStyle w:val="Summarytabletextrightaligned"/>
              <w:rPr>
                <w:szCs w:val="16"/>
              </w:rPr>
            </w:pPr>
            <w:r>
              <w:rPr>
                <w:szCs w:val="16"/>
              </w:rPr>
              <w:t>172.7</w:t>
            </w:r>
          </w:p>
        </w:tc>
        <w:tc>
          <w:tcPr>
            <w:tcW w:w="851" w:type="dxa"/>
            <w:vAlign w:val="bottom"/>
          </w:tcPr>
          <w:p w14:paraId="3A4BE866" w14:textId="446CFB04" w:rsidR="00C8305E" w:rsidRPr="0012790E" w:rsidRDefault="00C8305E" w:rsidP="00C8305E">
            <w:pPr>
              <w:pStyle w:val="Summarytabletextrightaligned"/>
              <w:rPr>
                <w:szCs w:val="16"/>
              </w:rPr>
            </w:pPr>
            <w:r>
              <w:rPr>
                <w:szCs w:val="16"/>
              </w:rPr>
              <w:t>199.8</w:t>
            </w:r>
          </w:p>
        </w:tc>
      </w:tr>
      <w:tr w:rsidR="0012790E" w:rsidRPr="0012790E" w14:paraId="65DA01C6" w14:textId="77777777">
        <w:tc>
          <w:tcPr>
            <w:tcW w:w="3470" w:type="dxa"/>
            <w:shd w:val="clear" w:color="auto" w:fill="auto"/>
            <w:vAlign w:val="bottom"/>
          </w:tcPr>
          <w:p w14:paraId="096E83B4" w14:textId="77777777" w:rsidR="0012790E" w:rsidRPr="0012790E" w:rsidRDefault="0012790E">
            <w:pPr>
              <w:pStyle w:val="SummaryMeasureTitlewithTheme"/>
            </w:pPr>
            <w:r w:rsidRPr="0012790E">
              <w:t>Child Care Subsidy Reform – further measures for strong and sustainable foundations</w:t>
            </w:r>
          </w:p>
        </w:tc>
        <w:tc>
          <w:tcPr>
            <w:tcW w:w="851" w:type="dxa"/>
            <w:vAlign w:val="bottom"/>
          </w:tcPr>
          <w:p w14:paraId="6FBF44B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7BB0BE7" w14:textId="77777777" w:rsidR="0012790E" w:rsidRPr="0012790E" w:rsidRDefault="0012790E">
            <w:pPr>
              <w:pStyle w:val="Summarytabletextrightaligned"/>
              <w:rPr>
                <w:szCs w:val="16"/>
              </w:rPr>
            </w:pPr>
            <w:r w:rsidRPr="0012790E">
              <w:rPr>
                <w:szCs w:val="16"/>
              </w:rPr>
              <w:noBreakHyphen/>
              <w:t>6.5</w:t>
            </w:r>
          </w:p>
        </w:tc>
        <w:tc>
          <w:tcPr>
            <w:tcW w:w="851" w:type="dxa"/>
            <w:vAlign w:val="bottom"/>
          </w:tcPr>
          <w:p w14:paraId="7DC4490C" w14:textId="77777777" w:rsidR="0012790E" w:rsidRPr="0012790E" w:rsidRDefault="0012790E">
            <w:pPr>
              <w:pStyle w:val="Summarytabletextrightaligned"/>
              <w:rPr>
                <w:szCs w:val="16"/>
              </w:rPr>
            </w:pPr>
            <w:r w:rsidRPr="0012790E">
              <w:rPr>
                <w:szCs w:val="16"/>
              </w:rPr>
              <w:noBreakHyphen/>
              <w:t>141.3</w:t>
            </w:r>
          </w:p>
        </w:tc>
        <w:tc>
          <w:tcPr>
            <w:tcW w:w="851" w:type="dxa"/>
            <w:vAlign w:val="bottom"/>
          </w:tcPr>
          <w:p w14:paraId="6E335109" w14:textId="77777777" w:rsidR="0012790E" w:rsidRPr="0012790E" w:rsidRDefault="0012790E">
            <w:pPr>
              <w:pStyle w:val="Summarytabletextrightaligned"/>
              <w:rPr>
                <w:szCs w:val="16"/>
              </w:rPr>
            </w:pPr>
            <w:r w:rsidRPr="0012790E">
              <w:rPr>
                <w:szCs w:val="16"/>
              </w:rPr>
              <w:noBreakHyphen/>
              <w:t>143.3</w:t>
            </w:r>
          </w:p>
        </w:tc>
        <w:tc>
          <w:tcPr>
            <w:tcW w:w="851" w:type="dxa"/>
            <w:vAlign w:val="bottom"/>
          </w:tcPr>
          <w:p w14:paraId="41B8B3E4" w14:textId="77777777" w:rsidR="0012790E" w:rsidRPr="0012790E" w:rsidRDefault="0012790E">
            <w:pPr>
              <w:pStyle w:val="Summarytabletextrightaligned"/>
              <w:rPr>
                <w:szCs w:val="16"/>
              </w:rPr>
            </w:pPr>
            <w:r w:rsidRPr="0012790E">
              <w:rPr>
                <w:szCs w:val="16"/>
              </w:rPr>
              <w:noBreakHyphen/>
              <w:t>135.6</w:t>
            </w:r>
          </w:p>
        </w:tc>
      </w:tr>
      <w:tr w:rsidR="0012790E" w:rsidRPr="0012790E" w14:paraId="0CC4E529" w14:textId="77777777">
        <w:tc>
          <w:tcPr>
            <w:tcW w:w="3470" w:type="dxa"/>
            <w:shd w:val="clear" w:color="auto" w:fill="auto"/>
            <w:vAlign w:val="bottom"/>
          </w:tcPr>
          <w:p w14:paraId="778301DC" w14:textId="77777777" w:rsidR="0012790E" w:rsidRPr="0012790E" w:rsidRDefault="0012790E">
            <w:pPr>
              <w:pStyle w:val="SummaryMeasureTitlewithTheme"/>
            </w:pPr>
            <w:r w:rsidRPr="0012790E">
              <w:t>Closing the Gap – Education</w:t>
            </w:r>
          </w:p>
        </w:tc>
        <w:tc>
          <w:tcPr>
            <w:tcW w:w="851" w:type="dxa"/>
            <w:vAlign w:val="bottom"/>
          </w:tcPr>
          <w:p w14:paraId="77EB5B9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B24B341" w14:textId="77777777" w:rsidR="0012790E" w:rsidRPr="0012790E" w:rsidRDefault="0012790E">
            <w:pPr>
              <w:pStyle w:val="Summarytabletextrightaligned"/>
              <w:rPr>
                <w:szCs w:val="16"/>
              </w:rPr>
            </w:pPr>
            <w:r w:rsidRPr="0012790E">
              <w:rPr>
                <w:szCs w:val="16"/>
              </w:rPr>
              <w:t>40.4</w:t>
            </w:r>
          </w:p>
        </w:tc>
        <w:tc>
          <w:tcPr>
            <w:tcW w:w="851" w:type="dxa"/>
            <w:vAlign w:val="bottom"/>
          </w:tcPr>
          <w:p w14:paraId="69FD758A" w14:textId="77777777" w:rsidR="0012790E" w:rsidRPr="0012790E" w:rsidRDefault="0012790E">
            <w:pPr>
              <w:pStyle w:val="Summarytabletextrightaligned"/>
              <w:rPr>
                <w:szCs w:val="16"/>
              </w:rPr>
            </w:pPr>
            <w:r w:rsidRPr="0012790E">
              <w:rPr>
                <w:szCs w:val="16"/>
              </w:rPr>
              <w:t>42.2</w:t>
            </w:r>
          </w:p>
        </w:tc>
        <w:tc>
          <w:tcPr>
            <w:tcW w:w="851" w:type="dxa"/>
            <w:vAlign w:val="bottom"/>
          </w:tcPr>
          <w:p w14:paraId="3B93206D" w14:textId="77777777" w:rsidR="0012790E" w:rsidRPr="0012790E" w:rsidRDefault="0012790E">
            <w:pPr>
              <w:pStyle w:val="Summarytabletextrightaligned"/>
              <w:rPr>
                <w:szCs w:val="16"/>
              </w:rPr>
            </w:pPr>
            <w:r w:rsidRPr="0012790E">
              <w:rPr>
                <w:szCs w:val="16"/>
              </w:rPr>
              <w:t>13.1</w:t>
            </w:r>
          </w:p>
        </w:tc>
        <w:tc>
          <w:tcPr>
            <w:tcW w:w="851" w:type="dxa"/>
            <w:vAlign w:val="bottom"/>
          </w:tcPr>
          <w:p w14:paraId="164FC1A7" w14:textId="77777777" w:rsidR="0012790E" w:rsidRPr="0012790E" w:rsidRDefault="0012790E">
            <w:pPr>
              <w:pStyle w:val="Summarytabletextrightaligned"/>
              <w:rPr>
                <w:szCs w:val="16"/>
              </w:rPr>
            </w:pPr>
            <w:r w:rsidRPr="0012790E">
              <w:rPr>
                <w:szCs w:val="16"/>
              </w:rPr>
              <w:t>11.8</w:t>
            </w:r>
          </w:p>
        </w:tc>
      </w:tr>
      <w:tr w:rsidR="0012790E" w:rsidRPr="0012790E" w14:paraId="7BB9DF43" w14:textId="77777777">
        <w:tc>
          <w:tcPr>
            <w:tcW w:w="3470" w:type="dxa"/>
            <w:shd w:val="clear" w:color="auto" w:fill="auto"/>
            <w:vAlign w:val="bottom"/>
          </w:tcPr>
          <w:p w14:paraId="7897FFED" w14:textId="77777777" w:rsidR="0012790E" w:rsidRPr="0012790E" w:rsidRDefault="0012790E">
            <w:pPr>
              <w:pStyle w:val="SummaryMeasureTitlewithTheme"/>
            </w:pPr>
            <w:r w:rsidRPr="0012790E">
              <w:t>Inclusion Support Program – additional funding</w:t>
            </w:r>
          </w:p>
        </w:tc>
        <w:tc>
          <w:tcPr>
            <w:tcW w:w="851" w:type="dxa"/>
            <w:vAlign w:val="bottom"/>
          </w:tcPr>
          <w:p w14:paraId="7A42237A"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657ED3D" w14:textId="77777777" w:rsidR="0012790E" w:rsidRPr="0012790E" w:rsidRDefault="0012790E">
            <w:pPr>
              <w:pStyle w:val="Summarytabletextrightaligned"/>
              <w:rPr>
                <w:szCs w:val="16"/>
              </w:rPr>
            </w:pPr>
            <w:r w:rsidRPr="0012790E">
              <w:rPr>
                <w:szCs w:val="16"/>
              </w:rPr>
              <w:t>98.4</w:t>
            </w:r>
          </w:p>
        </w:tc>
        <w:tc>
          <w:tcPr>
            <w:tcW w:w="851" w:type="dxa"/>
            <w:vAlign w:val="bottom"/>
          </w:tcPr>
          <w:p w14:paraId="063528F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0720DA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281E1A1" w14:textId="77777777" w:rsidR="0012790E" w:rsidRPr="0012790E" w:rsidRDefault="0012790E">
            <w:pPr>
              <w:pStyle w:val="Summarytabletextrightaligned"/>
              <w:rPr>
                <w:szCs w:val="16"/>
              </w:rPr>
            </w:pPr>
            <w:r w:rsidRPr="0012790E">
              <w:rPr>
                <w:szCs w:val="16"/>
              </w:rPr>
              <w:noBreakHyphen/>
            </w:r>
          </w:p>
        </w:tc>
      </w:tr>
      <w:tr w:rsidR="0012790E" w:rsidRPr="0012790E" w14:paraId="7DC86E4A" w14:textId="77777777">
        <w:tc>
          <w:tcPr>
            <w:tcW w:w="3470" w:type="dxa"/>
            <w:shd w:val="clear" w:color="auto" w:fill="auto"/>
            <w:vAlign w:val="bottom"/>
          </w:tcPr>
          <w:p w14:paraId="24B6FE42" w14:textId="77777777" w:rsidR="0012790E" w:rsidRPr="0012790E" w:rsidRDefault="0012790E">
            <w:pPr>
              <w:pStyle w:val="SummaryMeasureTitlewithTheme"/>
            </w:pPr>
            <w:r w:rsidRPr="0012790E">
              <w:t>Permanent Migration Program – 2024</w:t>
            </w:r>
            <w:r w:rsidRPr="0012790E">
              <w:noBreakHyphen/>
              <w:t>25 planning levels and multi</w:t>
            </w:r>
            <w:r w:rsidRPr="0012790E">
              <w:noBreakHyphen/>
              <w:t>year planning(b)</w:t>
            </w:r>
          </w:p>
        </w:tc>
        <w:tc>
          <w:tcPr>
            <w:tcW w:w="851" w:type="dxa"/>
            <w:vAlign w:val="bottom"/>
          </w:tcPr>
          <w:p w14:paraId="1B44F9A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0294C30" w14:textId="77777777" w:rsidR="0012790E" w:rsidRPr="0012790E" w:rsidRDefault="0012790E">
            <w:pPr>
              <w:pStyle w:val="Summarytabletextrightaligned"/>
              <w:rPr>
                <w:szCs w:val="16"/>
              </w:rPr>
            </w:pPr>
            <w:r w:rsidRPr="0012790E">
              <w:rPr>
                <w:szCs w:val="16"/>
              </w:rPr>
              <w:noBreakHyphen/>
              <w:t>1.6</w:t>
            </w:r>
          </w:p>
        </w:tc>
        <w:tc>
          <w:tcPr>
            <w:tcW w:w="851" w:type="dxa"/>
            <w:vAlign w:val="bottom"/>
          </w:tcPr>
          <w:p w14:paraId="0B5C97D8" w14:textId="77777777" w:rsidR="0012790E" w:rsidRPr="0012790E" w:rsidRDefault="0012790E">
            <w:pPr>
              <w:pStyle w:val="Summarytabletextrightaligned"/>
              <w:rPr>
                <w:szCs w:val="16"/>
              </w:rPr>
            </w:pPr>
            <w:r w:rsidRPr="0012790E">
              <w:rPr>
                <w:szCs w:val="16"/>
              </w:rPr>
              <w:noBreakHyphen/>
              <w:t>9.7</w:t>
            </w:r>
          </w:p>
        </w:tc>
        <w:tc>
          <w:tcPr>
            <w:tcW w:w="851" w:type="dxa"/>
            <w:vAlign w:val="bottom"/>
          </w:tcPr>
          <w:p w14:paraId="7A39FB1A" w14:textId="77777777" w:rsidR="0012790E" w:rsidRPr="0012790E" w:rsidRDefault="0012790E">
            <w:pPr>
              <w:pStyle w:val="Summarytabletextrightaligned"/>
              <w:rPr>
                <w:szCs w:val="16"/>
              </w:rPr>
            </w:pPr>
            <w:r w:rsidRPr="0012790E">
              <w:rPr>
                <w:szCs w:val="16"/>
              </w:rPr>
              <w:noBreakHyphen/>
              <w:t>8.6</w:t>
            </w:r>
          </w:p>
        </w:tc>
        <w:tc>
          <w:tcPr>
            <w:tcW w:w="851" w:type="dxa"/>
            <w:vAlign w:val="bottom"/>
          </w:tcPr>
          <w:p w14:paraId="1D631925" w14:textId="77777777" w:rsidR="0012790E" w:rsidRPr="0012790E" w:rsidRDefault="0012790E">
            <w:pPr>
              <w:pStyle w:val="Summarytabletextrightaligned"/>
              <w:rPr>
                <w:szCs w:val="16"/>
              </w:rPr>
            </w:pPr>
            <w:r w:rsidRPr="0012790E">
              <w:rPr>
                <w:szCs w:val="16"/>
              </w:rPr>
              <w:noBreakHyphen/>
              <w:t>7.3</w:t>
            </w:r>
          </w:p>
        </w:tc>
      </w:tr>
      <w:tr w:rsidR="0012790E" w:rsidRPr="0012790E" w14:paraId="5C1EDF6D" w14:textId="77777777">
        <w:tc>
          <w:tcPr>
            <w:tcW w:w="3470" w:type="dxa"/>
            <w:shd w:val="clear" w:color="auto" w:fill="auto"/>
            <w:vAlign w:val="bottom"/>
          </w:tcPr>
          <w:p w14:paraId="0D3C0286" w14:textId="77777777" w:rsidR="0012790E" w:rsidRPr="0012790E" w:rsidRDefault="0012790E">
            <w:pPr>
              <w:pStyle w:val="SummaryMeasureTitlewithTheme"/>
            </w:pPr>
            <w:r w:rsidRPr="0012790E">
              <w:t>School Education Support</w:t>
            </w:r>
          </w:p>
        </w:tc>
        <w:tc>
          <w:tcPr>
            <w:tcW w:w="851" w:type="dxa"/>
            <w:vAlign w:val="bottom"/>
          </w:tcPr>
          <w:p w14:paraId="5239890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44B7E4F" w14:textId="77777777" w:rsidR="0012790E" w:rsidRPr="0012790E" w:rsidRDefault="0012790E">
            <w:pPr>
              <w:pStyle w:val="Summarytabletextrightaligned"/>
              <w:rPr>
                <w:szCs w:val="16"/>
              </w:rPr>
            </w:pPr>
            <w:r w:rsidRPr="0012790E">
              <w:rPr>
                <w:szCs w:val="16"/>
              </w:rPr>
              <w:t>9.1</w:t>
            </w:r>
          </w:p>
        </w:tc>
        <w:tc>
          <w:tcPr>
            <w:tcW w:w="851" w:type="dxa"/>
            <w:vAlign w:val="bottom"/>
          </w:tcPr>
          <w:p w14:paraId="5F395438" w14:textId="77777777" w:rsidR="0012790E" w:rsidRPr="0012790E" w:rsidRDefault="0012790E">
            <w:pPr>
              <w:pStyle w:val="Summarytabletextrightaligned"/>
              <w:rPr>
                <w:szCs w:val="16"/>
              </w:rPr>
            </w:pPr>
            <w:r w:rsidRPr="0012790E">
              <w:rPr>
                <w:szCs w:val="16"/>
              </w:rPr>
              <w:t>12.7</w:t>
            </w:r>
          </w:p>
        </w:tc>
        <w:tc>
          <w:tcPr>
            <w:tcW w:w="851" w:type="dxa"/>
            <w:vAlign w:val="bottom"/>
          </w:tcPr>
          <w:p w14:paraId="3560D909" w14:textId="77777777" w:rsidR="0012790E" w:rsidRPr="0012790E" w:rsidRDefault="0012790E">
            <w:pPr>
              <w:pStyle w:val="Summarytabletextrightaligned"/>
              <w:rPr>
                <w:szCs w:val="16"/>
              </w:rPr>
            </w:pPr>
            <w:r w:rsidRPr="0012790E">
              <w:rPr>
                <w:szCs w:val="16"/>
              </w:rPr>
              <w:t>11.1</w:t>
            </w:r>
          </w:p>
        </w:tc>
        <w:tc>
          <w:tcPr>
            <w:tcW w:w="851" w:type="dxa"/>
            <w:vAlign w:val="bottom"/>
          </w:tcPr>
          <w:p w14:paraId="5F730F4D" w14:textId="77777777" w:rsidR="0012790E" w:rsidRPr="0012790E" w:rsidRDefault="0012790E">
            <w:pPr>
              <w:pStyle w:val="Summarytabletextrightaligned"/>
              <w:rPr>
                <w:szCs w:val="16"/>
              </w:rPr>
            </w:pPr>
            <w:r w:rsidRPr="0012790E">
              <w:rPr>
                <w:szCs w:val="16"/>
              </w:rPr>
              <w:t>6.4</w:t>
            </w:r>
          </w:p>
        </w:tc>
      </w:tr>
      <w:tr w:rsidR="0012790E" w:rsidRPr="0012790E" w14:paraId="603F22EC" w14:textId="77777777">
        <w:tc>
          <w:tcPr>
            <w:tcW w:w="3470" w:type="dxa"/>
            <w:shd w:val="clear" w:color="auto" w:fill="auto"/>
            <w:vAlign w:val="bottom"/>
          </w:tcPr>
          <w:p w14:paraId="276E4C5D" w14:textId="77777777" w:rsidR="0012790E" w:rsidRPr="0012790E" w:rsidRDefault="0012790E">
            <w:pPr>
              <w:pStyle w:val="SummaryAgencyTitle-BP2"/>
              <w:rPr>
                <w:iCs/>
              </w:rPr>
            </w:pPr>
            <w:r w:rsidRPr="0012790E">
              <w:rPr>
                <w:iCs/>
              </w:rPr>
              <w:t>Tertiary Education Quality and Standards Agency</w:t>
            </w:r>
          </w:p>
        </w:tc>
        <w:tc>
          <w:tcPr>
            <w:tcW w:w="851" w:type="dxa"/>
            <w:vAlign w:val="bottom"/>
          </w:tcPr>
          <w:p w14:paraId="4D74579D" w14:textId="77777777" w:rsidR="0012790E" w:rsidRPr="0012790E" w:rsidRDefault="0012790E">
            <w:pPr>
              <w:pStyle w:val="SummaryAgencyTitle-BP2"/>
              <w:rPr>
                <w:iCs/>
              </w:rPr>
            </w:pPr>
          </w:p>
        </w:tc>
        <w:tc>
          <w:tcPr>
            <w:tcW w:w="851" w:type="dxa"/>
            <w:shd w:val="clear" w:color="auto" w:fill="E6F2FF"/>
            <w:vAlign w:val="bottom"/>
          </w:tcPr>
          <w:p w14:paraId="0351F4FC" w14:textId="77777777" w:rsidR="0012790E" w:rsidRPr="0012790E" w:rsidRDefault="0012790E">
            <w:pPr>
              <w:pStyle w:val="SummaryAgencyTitle-BP2"/>
              <w:rPr>
                <w:iCs/>
              </w:rPr>
            </w:pPr>
          </w:p>
        </w:tc>
        <w:tc>
          <w:tcPr>
            <w:tcW w:w="851" w:type="dxa"/>
            <w:vAlign w:val="bottom"/>
          </w:tcPr>
          <w:p w14:paraId="7A301DF1" w14:textId="77777777" w:rsidR="0012790E" w:rsidRPr="0012790E" w:rsidRDefault="0012790E">
            <w:pPr>
              <w:pStyle w:val="SummaryAgencyTitle-BP2"/>
              <w:rPr>
                <w:iCs/>
              </w:rPr>
            </w:pPr>
          </w:p>
        </w:tc>
        <w:tc>
          <w:tcPr>
            <w:tcW w:w="851" w:type="dxa"/>
            <w:vAlign w:val="bottom"/>
          </w:tcPr>
          <w:p w14:paraId="22F9A1D0" w14:textId="77777777" w:rsidR="0012790E" w:rsidRPr="0012790E" w:rsidRDefault="0012790E">
            <w:pPr>
              <w:pStyle w:val="SummaryAgencyTitle-BP2"/>
              <w:rPr>
                <w:iCs/>
              </w:rPr>
            </w:pPr>
          </w:p>
        </w:tc>
        <w:tc>
          <w:tcPr>
            <w:tcW w:w="851" w:type="dxa"/>
            <w:vAlign w:val="bottom"/>
          </w:tcPr>
          <w:p w14:paraId="5DC16B52" w14:textId="77777777" w:rsidR="0012790E" w:rsidRPr="0012790E" w:rsidRDefault="0012790E">
            <w:pPr>
              <w:pStyle w:val="SummaryAgencyTitle-BP2"/>
              <w:rPr>
                <w:iCs/>
              </w:rPr>
            </w:pPr>
          </w:p>
        </w:tc>
      </w:tr>
      <w:tr w:rsidR="0012790E" w:rsidRPr="0012790E" w14:paraId="29D21558" w14:textId="77777777">
        <w:tc>
          <w:tcPr>
            <w:tcW w:w="3470" w:type="dxa"/>
            <w:shd w:val="clear" w:color="auto" w:fill="auto"/>
            <w:vAlign w:val="bottom"/>
          </w:tcPr>
          <w:p w14:paraId="712B946B" w14:textId="77777777" w:rsidR="0012790E" w:rsidRPr="0012790E" w:rsidRDefault="0012790E">
            <w:pPr>
              <w:pStyle w:val="SummaryMeasureTitlewithTheme"/>
            </w:pPr>
            <w:r w:rsidRPr="0012790E">
              <w:t>Australian Universities Accord – tertiary education system reforms(b)</w:t>
            </w:r>
          </w:p>
        </w:tc>
        <w:tc>
          <w:tcPr>
            <w:tcW w:w="851" w:type="dxa"/>
            <w:tcBorders>
              <w:bottom w:val="single" w:sz="4" w:space="0" w:color="293F5B"/>
            </w:tcBorders>
            <w:vAlign w:val="bottom"/>
          </w:tcPr>
          <w:p w14:paraId="2FE9C129"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35A41823" w14:textId="77777777" w:rsidR="0012790E" w:rsidRPr="0012790E" w:rsidRDefault="0012790E">
            <w:pPr>
              <w:pStyle w:val="Summarytabletextrightaligned"/>
              <w:rPr>
                <w:szCs w:val="16"/>
              </w:rPr>
            </w:pPr>
            <w:r w:rsidRPr="0012790E">
              <w:rPr>
                <w:szCs w:val="16"/>
              </w:rPr>
              <w:t>0.5</w:t>
            </w:r>
          </w:p>
        </w:tc>
        <w:tc>
          <w:tcPr>
            <w:tcW w:w="851" w:type="dxa"/>
            <w:tcBorders>
              <w:bottom w:val="single" w:sz="4" w:space="0" w:color="293F5B"/>
            </w:tcBorders>
            <w:vAlign w:val="bottom"/>
          </w:tcPr>
          <w:p w14:paraId="733ED32C"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4C3844BB"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25B19C9E" w14:textId="77777777" w:rsidR="0012790E" w:rsidRPr="0012790E" w:rsidRDefault="0012790E">
            <w:pPr>
              <w:pStyle w:val="Summarytabletextrightaligned"/>
              <w:rPr>
                <w:szCs w:val="16"/>
              </w:rPr>
            </w:pPr>
            <w:r w:rsidRPr="0012790E">
              <w:rPr>
                <w:szCs w:val="16"/>
              </w:rPr>
              <w:noBreakHyphen/>
            </w:r>
          </w:p>
        </w:tc>
      </w:tr>
      <w:tr w:rsidR="00BD6391" w:rsidRPr="0012790E" w14:paraId="19515ED5" w14:textId="77777777">
        <w:tc>
          <w:tcPr>
            <w:tcW w:w="3470" w:type="dxa"/>
            <w:tcBorders>
              <w:bottom w:val="single" w:sz="4" w:space="0" w:color="293F5B"/>
            </w:tcBorders>
            <w:shd w:val="clear" w:color="auto" w:fill="auto"/>
            <w:vAlign w:val="bottom"/>
          </w:tcPr>
          <w:p w14:paraId="7B89906E" w14:textId="77777777" w:rsidR="00BD6391" w:rsidRPr="0012790E" w:rsidRDefault="00BD6391" w:rsidP="00BD6391">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6776C664" w14:textId="77777777" w:rsidR="00BD6391" w:rsidRPr="0012790E" w:rsidRDefault="00BD6391" w:rsidP="00BD6391">
            <w:pPr>
              <w:pStyle w:val="Summarytabletextrightalignedbold"/>
              <w:rPr>
                <w:bCs/>
                <w:szCs w:val="16"/>
              </w:rPr>
            </w:pPr>
            <w:r w:rsidRPr="0012790E">
              <w:rPr>
                <w:bCs/>
                <w:szCs w:val="16"/>
              </w:rPr>
              <w:noBreakHyphen/>
            </w:r>
          </w:p>
        </w:tc>
        <w:tc>
          <w:tcPr>
            <w:tcW w:w="851" w:type="dxa"/>
            <w:tcBorders>
              <w:top w:val="single" w:sz="4" w:space="0" w:color="293F5B"/>
              <w:bottom w:val="single" w:sz="4" w:space="0" w:color="293F5B"/>
            </w:tcBorders>
            <w:shd w:val="clear" w:color="auto" w:fill="E6F2FF"/>
            <w:vAlign w:val="bottom"/>
          </w:tcPr>
          <w:p w14:paraId="52A5E309" w14:textId="77777777" w:rsidR="00BD6391" w:rsidRPr="0012790E" w:rsidRDefault="00BD6391" w:rsidP="00BD6391">
            <w:pPr>
              <w:pStyle w:val="Summarytabletextrightalignedbold"/>
              <w:rPr>
                <w:bCs/>
                <w:szCs w:val="16"/>
              </w:rPr>
            </w:pPr>
            <w:r w:rsidRPr="0012790E">
              <w:rPr>
                <w:bCs/>
                <w:szCs w:val="16"/>
              </w:rPr>
              <w:t>174.7</w:t>
            </w:r>
          </w:p>
        </w:tc>
        <w:tc>
          <w:tcPr>
            <w:tcW w:w="851" w:type="dxa"/>
            <w:tcBorders>
              <w:top w:val="single" w:sz="4" w:space="0" w:color="293F5B"/>
              <w:bottom w:val="single" w:sz="4" w:space="0" w:color="293F5B"/>
            </w:tcBorders>
            <w:vAlign w:val="bottom"/>
          </w:tcPr>
          <w:p w14:paraId="4103C203" w14:textId="23E69F86" w:rsidR="00BD6391" w:rsidRPr="0012790E" w:rsidRDefault="00BD6391" w:rsidP="00BD6391">
            <w:pPr>
              <w:pStyle w:val="Summarytabletextrightalignedbold"/>
              <w:rPr>
                <w:bCs/>
                <w:szCs w:val="16"/>
              </w:rPr>
            </w:pPr>
            <w:r>
              <w:rPr>
                <w:bCs/>
                <w:szCs w:val="16"/>
              </w:rPr>
              <w:t>50.4</w:t>
            </w:r>
          </w:p>
        </w:tc>
        <w:tc>
          <w:tcPr>
            <w:tcW w:w="851" w:type="dxa"/>
            <w:tcBorders>
              <w:top w:val="single" w:sz="4" w:space="0" w:color="293F5B"/>
              <w:bottom w:val="single" w:sz="4" w:space="0" w:color="293F5B"/>
            </w:tcBorders>
            <w:vAlign w:val="bottom"/>
          </w:tcPr>
          <w:p w14:paraId="4836BC97" w14:textId="61828DB4" w:rsidR="00BD6391" w:rsidRPr="0012790E" w:rsidRDefault="00C8446B" w:rsidP="00BD6391">
            <w:pPr>
              <w:pStyle w:val="Summarytabletextrightalignedbold"/>
              <w:rPr>
                <w:bCs/>
                <w:szCs w:val="16"/>
              </w:rPr>
            </w:pPr>
            <w:r>
              <w:rPr>
                <w:bCs/>
                <w:szCs w:val="16"/>
              </w:rPr>
              <w:t>45.0</w:t>
            </w:r>
          </w:p>
        </w:tc>
        <w:tc>
          <w:tcPr>
            <w:tcW w:w="851" w:type="dxa"/>
            <w:tcBorders>
              <w:top w:val="single" w:sz="4" w:space="0" w:color="293F5B"/>
              <w:bottom w:val="single" w:sz="4" w:space="0" w:color="293F5B"/>
            </w:tcBorders>
            <w:vAlign w:val="bottom"/>
          </w:tcPr>
          <w:p w14:paraId="76EDBBFA" w14:textId="68830ACE" w:rsidR="00BD6391" w:rsidRPr="0012790E" w:rsidRDefault="00BD6391" w:rsidP="00BD6391">
            <w:pPr>
              <w:pStyle w:val="Summarytabletextrightalignedbold"/>
              <w:rPr>
                <w:bCs/>
                <w:szCs w:val="16"/>
              </w:rPr>
            </w:pPr>
            <w:r>
              <w:rPr>
                <w:bCs/>
                <w:szCs w:val="16"/>
              </w:rPr>
              <w:t>75.</w:t>
            </w:r>
            <w:r w:rsidR="00C8446B">
              <w:rPr>
                <w:bCs/>
                <w:szCs w:val="16"/>
              </w:rPr>
              <w:t>1</w:t>
            </w:r>
          </w:p>
        </w:tc>
      </w:tr>
    </w:tbl>
    <w:p w14:paraId="61AFD257" w14:textId="77777777" w:rsidR="0012790E" w:rsidRPr="0012790E" w:rsidRDefault="0012790E" w:rsidP="0012790E">
      <w:pPr>
        <w:pStyle w:val="TableHeadingcontinued"/>
        <w:sectPr w:rsidR="0012790E" w:rsidRPr="0012790E" w:rsidSect="00EA5BFE">
          <w:headerReference w:type="even" r:id="rId46"/>
          <w:headerReference w:type="default" r:id="rId47"/>
          <w:footerReference w:type="even" r:id="rId48"/>
          <w:footerReference w:type="default" r:id="rId49"/>
          <w:footerReference w:type="first" r:id="rId50"/>
          <w:pgSz w:w="11905" w:h="16837"/>
          <w:pgMar w:top="2835" w:right="2098" w:bottom="2466" w:left="2098" w:header="1814" w:footer="1814" w:gutter="0"/>
          <w:cols w:space="720"/>
          <w:noEndnote/>
          <w:docGrid w:linePitch="272"/>
        </w:sectPr>
      </w:pPr>
    </w:p>
    <w:p w14:paraId="799E21D3" w14:textId="77777777" w:rsidR="0012790E" w:rsidRPr="0012790E" w:rsidRDefault="0012790E" w:rsidP="0012790E">
      <w:pPr>
        <w:pStyle w:val="TableHeadingcontinued"/>
        <w:rPr>
          <w:bCs/>
        </w:rPr>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1E9D6191" w14:textId="77777777">
        <w:tc>
          <w:tcPr>
            <w:tcW w:w="3470" w:type="dxa"/>
            <w:tcBorders>
              <w:top w:val="single" w:sz="4" w:space="0" w:color="293F5B"/>
            </w:tcBorders>
            <w:shd w:val="clear" w:color="auto" w:fill="auto"/>
            <w:vAlign w:val="bottom"/>
          </w:tcPr>
          <w:p w14:paraId="42848201"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707C3EFF"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6989A649"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60BD1CDA"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5208CB55"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366D6A8D"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72FA78F0" w14:textId="77777777">
        <w:tc>
          <w:tcPr>
            <w:tcW w:w="3470" w:type="dxa"/>
            <w:shd w:val="clear" w:color="auto" w:fill="auto"/>
            <w:vAlign w:val="bottom"/>
          </w:tcPr>
          <w:p w14:paraId="16B4AFF3" w14:textId="77777777" w:rsidR="0012790E" w:rsidRPr="0012790E" w:rsidRDefault="0012790E">
            <w:pPr>
              <w:pStyle w:val="Summarytabletextrightaligned"/>
            </w:pPr>
          </w:p>
        </w:tc>
        <w:tc>
          <w:tcPr>
            <w:tcW w:w="851" w:type="dxa"/>
            <w:tcBorders>
              <w:bottom w:val="single" w:sz="4" w:space="0" w:color="293F5B"/>
            </w:tcBorders>
            <w:vAlign w:val="bottom"/>
          </w:tcPr>
          <w:p w14:paraId="2CCEC090"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12BE3280"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25A41857"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23469228"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6561C61F" w14:textId="77777777" w:rsidR="0012790E" w:rsidRPr="0012790E" w:rsidRDefault="0012790E">
            <w:pPr>
              <w:pStyle w:val="Summarytabletextrightaligned"/>
            </w:pPr>
            <w:r w:rsidRPr="0012790E">
              <w:t>$m</w:t>
            </w:r>
          </w:p>
        </w:tc>
      </w:tr>
      <w:tr w:rsidR="0012790E" w:rsidRPr="0012790E" w14:paraId="2171408A" w14:textId="77777777">
        <w:tc>
          <w:tcPr>
            <w:tcW w:w="3470" w:type="dxa"/>
            <w:shd w:val="clear" w:color="auto" w:fill="auto"/>
            <w:vAlign w:val="bottom"/>
          </w:tcPr>
          <w:p w14:paraId="0DFE7BB0" w14:textId="77777777" w:rsidR="0012790E" w:rsidRPr="0012790E" w:rsidRDefault="0012790E">
            <w:pPr>
              <w:pStyle w:val="SummaryPortfolioTitle-BP2"/>
            </w:pPr>
            <w:r w:rsidRPr="0012790E">
              <w:t>EMPLOYMENT AND WORKPLACE RELATIONS</w:t>
            </w:r>
          </w:p>
        </w:tc>
        <w:tc>
          <w:tcPr>
            <w:tcW w:w="851" w:type="dxa"/>
            <w:tcBorders>
              <w:top w:val="single" w:sz="4" w:space="0" w:color="293F5B"/>
            </w:tcBorders>
            <w:vAlign w:val="bottom"/>
          </w:tcPr>
          <w:p w14:paraId="76DBC302" w14:textId="77777777" w:rsidR="0012790E" w:rsidRPr="0012790E" w:rsidRDefault="0012790E">
            <w:pPr>
              <w:pStyle w:val="MeasureTableTextRightAlignedBefore6ptAfter1pt"/>
              <w:rPr>
                <w:b/>
                <w:bCs/>
              </w:rPr>
            </w:pPr>
          </w:p>
        </w:tc>
        <w:tc>
          <w:tcPr>
            <w:tcW w:w="851" w:type="dxa"/>
            <w:tcBorders>
              <w:top w:val="single" w:sz="4" w:space="0" w:color="293F5B"/>
            </w:tcBorders>
            <w:shd w:val="clear" w:color="auto" w:fill="E6F2FF"/>
            <w:vAlign w:val="bottom"/>
          </w:tcPr>
          <w:p w14:paraId="67D52D25"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7831C35F"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28211909"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18CA3C1F" w14:textId="77777777" w:rsidR="0012790E" w:rsidRPr="0012790E" w:rsidRDefault="0012790E">
            <w:pPr>
              <w:pStyle w:val="MeasureTableTextRightAlignedBefore6ptAfter1pt"/>
              <w:rPr>
                <w:b/>
                <w:bCs/>
              </w:rPr>
            </w:pPr>
          </w:p>
        </w:tc>
      </w:tr>
      <w:tr w:rsidR="0012790E" w:rsidRPr="0012790E" w14:paraId="6DC61E61" w14:textId="77777777">
        <w:tc>
          <w:tcPr>
            <w:tcW w:w="3470" w:type="dxa"/>
            <w:shd w:val="clear" w:color="auto" w:fill="auto"/>
            <w:vAlign w:val="bottom"/>
          </w:tcPr>
          <w:p w14:paraId="10C5A85B" w14:textId="77777777" w:rsidR="0012790E" w:rsidRPr="0012790E" w:rsidRDefault="0012790E">
            <w:pPr>
              <w:pStyle w:val="SummaryAgencyTitle-BP2"/>
              <w:rPr>
                <w:iCs/>
              </w:rPr>
            </w:pPr>
            <w:r w:rsidRPr="0012790E">
              <w:rPr>
                <w:iCs/>
              </w:rPr>
              <w:t>Australian Skills Quality Authority</w:t>
            </w:r>
          </w:p>
        </w:tc>
        <w:tc>
          <w:tcPr>
            <w:tcW w:w="851" w:type="dxa"/>
            <w:vAlign w:val="bottom"/>
          </w:tcPr>
          <w:p w14:paraId="09D863B5" w14:textId="77777777" w:rsidR="0012790E" w:rsidRPr="0012790E" w:rsidRDefault="0012790E">
            <w:pPr>
              <w:pStyle w:val="SummaryAgencyTitle-BP2"/>
              <w:rPr>
                <w:iCs/>
              </w:rPr>
            </w:pPr>
          </w:p>
        </w:tc>
        <w:tc>
          <w:tcPr>
            <w:tcW w:w="851" w:type="dxa"/>
            <w:shd w:val="clear" w:color="auto" w:fill="E6F2FF"/>
            <w:vAlign w:val="bottom"/>
          </w:tcPr>
          <w:p w14:paraId="4D75D684" w14:textId="77777777" w:rsidR="0012790E" w:rsidRPr="0012790E" w:rsidRDefault="0012790E">
            <w:pPr>
              <w:pStyle w:val="SummaryAgencyTitle-BP2"/>
              <w:rPr>
                <w:iCs/>
              </w:rPr>
            </w:pPr>
          </w:p>
        </w:tc>
        <w:tc>
          <w:tcPr>
            <w:tcW w:w="851" w:type="dxa"/>
            <w:vAlign w:val="bottom"/>
          </w:tcPr>
          <w:p w14:paraId="3CB375E6" w14:textId="77777777" w:rsidR="0012790E" w:rsidRPr="0012790E" w:rsidRDefault="0012790E">
            <w:pPr>
              <w:pStyle w:val="SummaryAgencyTitle-BP2"/>
              <w:rPr>
                <w:iCs/>
              </w:rPr>
            </w:pPr>
          </w:p>
        </w:tc>
        <w:tc>
          <w:tcPr>
            <w:tcW w:w="851" w:type="dxa"/>
            <w:vAlign w:val="bottom"/>
          </w:tcPr>
          <w:p w14:paraId="4BBEBA44" w14:textId="77777777" w:rsidR="0012790E" w:rsidRPr="0012790E" w:rsidRDefault="0012790E">
            <w:pPr>
              <w:pStyle w:val="SummaryAgencyTitle-BP2"/>
              <w:rPr>
                <w:iCs/>
              </w:rPr>
            </w:pPr>
          </w:p>
        </w:tc>
        <w:tc>
          <w:tcPr>
            <w:tcW w:w="851" w:type="dxa"/>
            <w:vAlign w:val="bottom"/>
          </w:tcPr>
          <w:p w14:paraId="6EFCA801" w14:textId="77777777" w:rsidR="0012790E" w:rsidRPr="0012790E" w:rsidRDefault="0012790E">
            <w:pPr>
              <w:pStyle w:val="SummaryAgencyTitle-BP2"/>
              <w:rPr>
                <w:iCs/>
              </w:rPr>
            </w:pPr>
          </w:p>
        </w:tc>
      </w:tr>
      <w:tr w:rsidR="0012790E" w:rsidRPr="0012790E" w14:paraId="7351DA0B" w14:textId="77777777">
        <w:tc>
          <w:tcPr>
            <w:tcW w:w="3470" w:type="dxa"/>
            <w:shd w:val="clear" w:color="auto" w:fill="auto"/>
            <w:vAlign w:val="bottom"/>
          </w:tcPr>
          <w:p w14:paraId="64885E5B" w14:textId="77777777" w:rsidR="0012790E" w:rsidRPr="0012790E" w:rsidRDefault="0012790E">
            <w:pPr>
              <w:pStyle w:val="SummaryMeasureTitlewithTheme"/>
            </w:pPr>
            <w:r w:rsidRPr="0012790E">
              <w:t>Amendments to the National Vocational Education and Training Regulator Act 2011(b)</w:t>
            </w:r>
          </w:p>
        </w:tc>
        <w:tc>
          <w:tcPr>
            <w:tcW w:w="851" w:type="dxa"/>
            <w:vAlign w:val="bottom"/>
          </w:tcPr>
          <w:p w14:paraId="5E98B14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2D60A66" w14:textId="77777777" w:rsidR="0012790E" w:rsidRPr="0012790E" w:rsidRDefault="0012790E">
            <w:pPr>
              <w:pStyle w:val="Summarytabletextrightaligned"/>
              <w:rPr>
                <w:szCs w:val="16"/>
              </w:rPr>
            </w:pPr>
            <w:r w:rsidRPr="0012790E">
              <w:rPr>
                <w:szCs w:val="16"/>
              </w:rPr>
              <w:t>0.3</w:t>
            </w:r>
          </w:p>
        </w:tc>
        <w:tc>
          <w:tcPr>
            <w:tcW w:w="851" w:type="dxa"/>
            <w:vAlign w:val="bottom"/>
          </w:tcPr>
          <w:p w14:paraId="0859AC79" w14:textId="77777777" w:rsidR="0012790E" w:rsidRPr="0012790E" w:rsidRDefault="0012790E">
            <w:pPr>
              <w:pStyle w:val="Summarytabletextrightaligned"/>
              <w:rPr>
                <w:szCs w:val="16"/>
              </w:rPr>
            </w:pPr>
            <w:r w:rsidRPr="0012790E">
              <w:rPr>
                <w:szCs w:val="16"/>
              </w:rPr>
              <w:t>0.3</w:t>
            </w:r>
          </w:p>
        </w:tc>
        <w:tc>
          <w:tcPr>
            <w:tcW w:w="851" w:type="dxa"/>
            <w:vAlign w:val="bottom"/>
          </w:tcPr>
          <w:p w14:paraId="733A4105" w14:textId="77777777" w:rsidR="0012790E" w:rsidRPr="0012790E" w:rsidRDefault="0012790E">
            <w:pPr>
              <w:pStyle w:val="Summarytabletextrightaligned"/>
              <w:rPr>
                <w:szCs w:val="16"/>
              </w:rPr>
            </w:pPr>
            <w:r w:rsidRPr="0012790E">
              <w:rPr>
                <w:szCs w:val="16"/>
              </w:rPr>
              <w:t>0.3</w:t>
            </w:r>
          </w:p>
        </w:tc>
        <w:tc>
          <w:tcPr>
            <w:tcW w:w="851" w:type="dxa"/>
            <w:vAlign w:val="bottom"/>
          </w:tcPr>
          <w:p w14:paraId="1CDD5D52" w14:textId="77777777" w:rsidR="0012790E" w:rsidRPr="0012790E" w:rsidRDefault="0012790E">
            <w:pPr>
              <w:pStyle w:val="Summarytabletextrightaligned"/>
              <w:rPr>
                <w:szCs w:val="16"/>
              </w:rPr>
            </w:pPr>
            <w:r w:rsidRPr="0012790E">
              <w:rPr>
                <w:szCs w:val="16"/>
              </w:rPr>
              <w:t>0.3</w:t>
            </w:r>
          </w:p>
        </w:tc>
      </w:tr>
      <w:tr w:rsidR="0012790E" w:rsidRPr="0012790E" w14:paraId="7911B062" w14:textId="77777777">
        <w:tc>
          <w:tcPr>
            <w:tcW w:w="3470" w:type="dxa"/>
            <w:shd w:val="clear" w:color="auto" w:fill="auto"/>
            <w:vAlign w:val="bottom"/>
          </w:tcPr>
          <w:p w14:paraId="2626CE3C" w14:textId="77777777" w:rsidR="0012790E" w:rsidRPr="0012790E" w:rsidRDefault="0012790E">
            <w:pPr>
              <w:pStyle w:val="SummaryMeasureTitlewithTheme"/>
            </w:pPr>
            <w:r w:rsidRPr="0012790E">
              <w:t>Australian Universities Accord – tertiary education system reforms(b)</w:t>
            </w:r>
          </w:p>
        </w:tc>
        <w:tc>
          <w:tcPr>
            <w:tcW w:w="851" w:type="dxa"/>
            <w:vAlign w:val="bottom"/>
          </w:tcPr>
          <w:p w14:paraId="39C29F8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A6FB032" w14:textId="77777777" w:rsidR="0012790E" w:rsidRPr="0012790E" w:rsidRDefault="0012790E">
            <w:pPr>
              <w:pStyle w:val="Summarytabletextrightaligned"/>
              <w:rPr>
                <w:szCs w:val="16"/>
              </w:rPr>
            </w:pPr>
            <w:r w:rsidRPr="0012790E">
              <w:rPr>
                <w:szCs w:val="16"/>
              </w:rPr>
              <w:t>1.3</w:t>
            </w:r>
          </w:p>
        </w:tc>
        <w:tc>
          <w:tcPr>
            <w:tcW w:w="851" w:type="dxa"/>
            <w:vAlign w:val="bottom"/>
          </w:tcPr>
          <w:p w14:paraId="29C7756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3F011B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BE55C46" w14:textId="77777777" w:rsidR="0012790E" w:rsidRPr="0012790E" w:rsidRDefault="0012790E">
            <w:pPr>
              <w:pStyle w:val="Summarytabletextrightaligned"/>
              <w:rPr>
                <w:szCs w:val="16"/>
              </w:rPr>
            </w:pPr>
            <w:r w:rsidRPr="0012790E">
              <w:rPr>
                <w:szCs w:val="16"/>
              </w:rPr>
              <w:noBreakHyphen/>
            </w:r>
          </w:p>
        </w:tc>
      </w:tr>
      <w:tr w:rsidR="0012790E" w:rsidRPr="0012790E" w14:paraId="2A93C2E8" w14:textId="77777777">
        <w:tc>
          <w:tcPr>
            <w:tcW w:w="3470" w:type="dxa"/>
            <w:shd w:val="clear" w:color="auto" w:fill="auto"/>
            <w:vAlign w:val="bottom"/>
          </w:tcPr>
          <w:p w14:paraId="36A8A054" w14:textId="77777777" w:rsidR="0012790E" w:rsidRPr="0012790E" w:rsidRDefault="0012790E">
            <w:pPr>
              <w:pStyle w:val="SummaryAgencyTitle-BP2"/>
              <w:rPr>
                <w:iCs/>
              </w:rPr>
            </w:pPr>
            <w:r w:rsidRPr="0012790E">
              <w:rPr>
                <w:iCs/>
              </w:rPr>
              <w:t>Comcare</w:t>
            </w:r>
          </w:p>
        </w:tc>
        <w:tc>
          <w:tcPr>
            <w:tcW w:w="851" w:type="dxa"/>
            <w:vAlign w:val="bottom"/>
          </w:tcPr>
          <w:p w14:paraId="7E1B92C0" w14:textId="77777777" w:rsidR="0012790E" w:rsidRPr="0012790E" w:rsidRDefault="0012790E">
            <w:pPr>
              <w:pStyle w:val="SummaryAgencyTitle-BP2"/>
              <w:rPr>
                <w:iCs/>
              </w:rPr>
            </w:pPr>
          </w:p>
        </w:tc>
        <w:tc>
          <w:tcPr>
            <w:tcW w:w="851" w:type="dxa"/>
            <w:shd w:val="clear" w:color="auto" w:fill="E6F2FF"/>
            <w:vAlign w:val="bottom"/>
          </w:tcPr>
          <w:p w14:paraId="02D9C099" w14:textId="77777777" w:rsidR="0012790E" w:rsidRPr="0012790E" w:rsidRDefault="0012790E">
            <w:pPr>
              <w:pStyle w:val="SummaryAgencyTitle-BP2"/>
              <w:rPr>
                <w:iCs/>
              </w:rPr>
            </w:pPr>
          </w:p>
        </w:tc>
        <w:tc>
          <w:tcPr>
            <w:tcW w:w="851" w:type="dxa"/>
            <w:vAlign w:val="bottom"/>
          </w:tcPr>
          <w:p w14:paraId="76BE4FF9" w14:textId="77777777" w:rsidR="0012790E" w:rsidRPr="0012790E" w:rsidRDefault="0012790E">
            <w:pPr>
              <w:pStyle w:val="SummaryAgencyTitle-BP2"/>
              <w:rPr>
                <w:iCs/>
              </w:rPr>
            </w:pPr>
          </w:p>
        </w:tc>
        <w:tc>
          <w:tcPr>
            <w:tcW w:w="851" w:type="dxa"/>
            <w:vAlign w:val="bottom"/>
          </w:tcPr>
          <w:p w14:paraId="7E0EEB9B" w14:textId="77777777" w:rsidR="0012790E" w:rsidRPr="0012790E" w:rsidRDefault="0012790E">
            <w:pPr>
              <w:pStyle w:val="SummaryAgencyTitle-BP2"/>
              <w:rPr>
                <w:iCs/>
              </w:rPr>
            </w:pPr>
          </w:p>
        </w:tc>
        <w:tc>
          <w:tcPr>
            <w:tcW w:w="851" w:type="dxa"/>
            <w:vAlign w:val="bottom"/>
          </w:tcPr>
          <w:p w14:paraId="1D719CA9" w14:textId="77777777" w:rsidR="0012790E" w:rsidRPr="0012790E" w:rsidRDefault="0012790E">
            <w:pPr>
              <w:pStyle w:val="SummaryAgencyTitle-BP2"/>
              <w:rPr>
                <w:iCs/>
              </w:rPr>
            </w:pPr>
          </w:p>
        </w:tc>
      </w:tr>
      <w:tr w:rsidR="0012790E" w:rsidRPr="0012790E" w14:paraId="4A772744" w14:textId="77777777">
        <w:tc>
          <w:tcPr>
            <w:tcW w:w="3470" w:type="dxa"/>
            <w:shd w:val="clear" w:color="auto" w:fill="auto"/>
            <w:vAlign w:val="bottom"/>
          </w:tcPr>
          <w:p w14:paraId="01A90B03" w14:textId="77777777" w:rsidR="0012790E" w:rsidRPr="0012790E" w:rsidRDefault="0012790E">
            <w:pPr>
              <w:pStyle w:val="SummaryMeasureTitlewithTheme"/>
            </w:pPr>
            <w:r w:rsidRPr="0012790E">
              <w:t>APS Capability Reinvestment Fund: 2024</w:t>
            </w:r>
            <w:r w:rsidRPr="0012790E">
              <w:noBreakHyphen/>
              <w:t>25 projects funded under round two</w:t>
            </w:r>
          </w:p>
        </w:tc>
        <w:tc>
          <w:tcPr>
            <w:tcW w:w="851" w:type="dxa"/>
            <w:vAlign w:val="bottom"/>
          </w:tcPr>
          <w:p w14:paraId="4D18259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265FD5A" w14:textId="06426791" w:rsidR="0012790E" w:rsidRPr="0012790E" w:rsidRDefault="00B92B04">
            <w:pPr>
              <w:pStyle w:val="Summarytabletextrightaligned"/>
              <w:rPr>
                <w:szCs w:val="16"/>
              </w:rPr>
            </w:pPr>
            <w:r>
              <w:rPr>
                <w:szCs w:val="16"/>
              </w:rPr>
              <w:t>-</w:t>
            </w:r>
          </w:p>
        </w:tc>
        <w:tc>
          <w:tcPr>
            <w:tcW w:w="851" w:type="dxa"/>
            <w:vAlign w:val="bottom"/>
          </w:tcPr>
          <w:p w14:paraId="0DB5243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93A0BA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2DD9A59" w14:textId="77777777" w:rsidR="0012790E" w:rsidRPr="0012790E" w:rsidRDefault="0012790E">
            <w:pPr>
              <w:pStyle w:val="Summarytabletextrightaligned"/>
              <w:rPr>
                <w:szCs w:val="16"/>
              </w:rPr>
            </w:pPr>
            <w:r w:rsidRPr="0012790E">
              <w:rPr>
                <w:szCs w:val="16"/>
              </w:rPr>
              <w:noBreakHyphen/>
            </w:r>
          </w:p>
        </w:tc>
      </w:tr>
      <w:tr w:rsidR="0012790E" w:rsidRPr="0012790E" w14:paraId="39B1E7D4" w14:textId="77777777">
        <w:tc>
          <w:tcPr>
            <w:tcW w:w="3470" w:type="dxa"/>
            <w:shd w:val="clear" w:color="auto" w:fill="auto"/>
            <w:vAlign w:val="bottom"/>
          </w:tcPr>
          <w:p w14:paraId="582A3ADC" w14:textId="77777777" w:rsidR="0012790E" w:rsidRPr="0012790E" w:rsidRDefault="0012790E">
            <w:pPr>
              <w:pStyle w:val="SummaryAgencyTitle-BP2"/>
              <w:rPr>
                <w:iCs/>
              </w:rPr>
            </w:pPr>
            <w:r w:rsidRPr="0012790E">
              <w:rPr>
                <w:iCs/>
              </w:rPr>
              <w:t>Department of Employment and Workplace Relations</w:t>
            </w:r>
          </w:p>
        </w:tc>
        <w:tc>
          <w:tcPr>
            <w:tcW w:w="851" w:type="dxa"/>
            <w:vAlign w:val="bottom"/>
          </w:tcPr>
          <w:p w14:paraId="6720FDFC" w14:textId="77777777" w:rsidR="0012790E" w:rsidRPr="0012790E" w:rsidRDefault="0012790E">
            <w:pPr>
              <w:pStyle w:val="SummaryAgencyTitle-BP2"/>
              <w:rPr>
                <w:iCs/>
              </w:rPr>
            </w:pPr>
          </w:p>
        </w:tc>
        <w:tc>
          <w:tcPr>
            <w:tcW w:w="851" w:type="dxa"/>
            <w:shd w:val="clear" w:color="auto" w:fill="E6F2FF"/>
            <w:vAlign w:val="bottom"/>
          </w:tcPr>
          <w:p w14:paraId="77BC943F" w14:textId="77777777" w:rsidR="0012790E" w:rsidRPr="0012790E" w:rsidRDefault="0012790E">
            <w:pPr>
              <w:pStyle w:val="SummaryAgencyTitle-BP2"/>
              <w:rPr>
                <w:iCs/>
              </w:rPr>
            </w:pPr>
          </w:p>
        </w:tc>
        <w:tc>
          <w:tcPr>
            <w:tcW w:w="851" w:type="dxa"/>
            <w:vAlign w:val="bottom"/>
          </w:tcPr>
          <w:p w14:paraId="18901DB7" w14:textId="77777777" w:rsidR="0012790E" w:rsidRPr="0012790E" w:rsidRDefault="0012790E">
            <w:pPr>
              <w:pStyle w:val="SummaryAgencyTitle-BP2"/>
              <w:rPr>
                <w:iCs/>
              </w:rPr>
            </w:pPr>
          </w:p>
        </w:tc>
        <w:tc>
          <w:tcPr>
            <w:tcW w:w="851" w:type="dxa"/>
            <w:vAlign w:val="bottom"/>
          </w:tcPr>
          <w:p w14:paraId="6BD0AD73" w14:textId="77777777" w:rsidR="0012790E" w:rsidRPr="0012790E" w:rsidRDefault="0012790E">
            <w:pPr>
              <w:pStyle w:val="SummaryAgencyTitle-BP2"/>
              <w:rPr>
                <w:iCs/>
              </w:rPr>
            </w:pPr>
          </w:p>
        </w:tc>
        <w:tc>
          <w:tcPr>
            <w:tcW w:w="851" w:type="dxa"/>
            <w:vAlign w:val="bottom"/>
          </w:tcPr>
          <w:p w14:paraId="3F9B08EB" w14:textId="77777777" w:rsidR="0012790E" w:rsidRPr="0012790E" w:rsidRDefault="0012790E">
            <w:pPr>
              <w:pStyle w:val="SummaryAgencyTitle-BP2"/>
              <w:rPr>
                <w:iCs/>
              </w:rPr>
            </w:pPr>
          </w:p>
        </w:tc>
      </w:tr>
      <w:tr w:rsidR="0012790E" w:rsidRPr="0012790E" w14:paraId="42DD6A0B" w14:textId="77777777">
        <w:tc>
          <w:tcPr>
            <w:tcW w:w="3470" w:type="dxa"/>
            <w:shd w:val="clear" w:color="auto" w:fill="auto"/>
            <w:vAlign w:val="bottom"/>
          </w:tcPr>
          <w:p w14:paraId="79177C4A" w14:textId="77777777" w:rsidR="0012790E" w:rsidRPr="0012790E" w:rsidRDefault="0012790E">
            <w:pPr>
              <w:pStyle w:val="SummaryMeasureTitlewithTheme"/>
            </w:pPr>
            <w:r w:rsidRPr="0012790E">
              <w:t>APS Capability Reinvestment Fund: 2024</w:t>
            </w:r>
            <w:r w:rsidRPr="0012790E">
              <w:noBreakHyphen/>
              <w:t>25 projects funded under round two</w:t>
            </w:r>
          </w:p>
        </w:tc>
        <w:tc>
          <w:tcPr>
            <w:tcW w:w="851" w:type="dxa"/>
            <w:vAlign w:val="bottom"/>
          </w:tcPr>
          <w:p w14:paraId="15081FA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3B29AAF" w14:textId="3C8BDA47" w:rsidR="0012790E" w:rsidRPr="0012790E" w:rsidRDefault="00B92B04">
            <w:pPr>
              <w:pStyle w:val="Summarytabletextrightaligned"/>
              <w:rPr>
                <w:szCs w:val="16"/>
              </w:rPr>
            </w:pPr>
            <w:r>
              <w:rPr>
                <w:szCs w:val="16"/>
              </w:rPr>
              <w:t>-</w:t>
            </w:r>
          </w:p>
        </w:tc>
        <w:tc>
          <w:tcPr>
            <w:tcW w:w="851" w:type="dxa"/>
            <w:vAlign w:val="bottom"/>
          </w:tcPr>
          <w:p w14:paraId="25E5300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4711B9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23C6AE3" w14:textId="77777777" w:rsidR="0012790E" w:rsidRPr="0012790E" w:rsidRDefault="0012790E">
            <w:pPr>
              <w:pStyle w:val="Summarytabletextrightaligned"/>
              <w:rPr>
                <w:szCs w:val="16"/>
              </w:rPr>
            </w:pPr>
            <w:r w:rsidRPr="0012790E">
              <w:rPr>
                <w:szCs w:val="16"/>
              </w:rPr>
              <w:noBreakHyphen/>
            </w:r>
          </w:p>
        </w:tc>
      </w:tr>
      <w:tr w:rsidR="0012790E" w:rsidRPr="0012790E" w14:paraId="69C6F5CE" w14:textId="77777777">
        <w:tc>
          <w:tcPr>
            <w:tcW w:w="3470" w:type="dxa"/>
            <w:shd w:val="clear" w:color="auto" w:fill="auto"/>
            <w:vAlign w:val="bottom"/>
          </w:tcPr>
          <w:p w14:paraId="433A1132" w14:textId="77777777" w:rsidR="0012790E" w:rsidRPr="0012790E" w:rsidRDefault="0012790E">
            <w:pPr>
              <w:pStyle w:val="SummaryMeasureTitlewithTheme"/>
            </w:pPr>
            <w:r w:rsidRPr="0012790E">
              <w:t>Australian Apprenticeships Incentive System – further support(b)</w:t>
            </w:r>
          </w:p>
        </w:tc>
        <w:tc>
          <w:tcPr>
            <w:tcW w:w="851" w:type="dxa"/>
            <w:vAlign w:val="bottom"/>
          </w:tcPr>
          <w:p w14:paraId="25B285E7"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CC7C77C" w14:textId="77777777" w:rsidR="0012790E" w:rsidRPr="0012790E" w:rsidRDefault="0012790E">
            <w:pPr>
              <w:pStyle w:val="Summarytabletextrightaligned"/>
              <w:rPr>
                <w:szCs w:val="16"/>
              </w:rPr>
            </w:pPr>
            <w:r w:rsidRPr="0012790E">
              <w:rPr>
                <w:szCs w:val="16"/>
              </w:rPr>
              <w:t>65.2</w:t>
            </w:r>
          </w:p>
        </w:tc>
        <w:tc>
          <w:tcPr>
            <w:tcW w:w="851" w:type="dxa"/>
            <w:vAlign w:val="bottom"/>
          </w:tcPr>
          <w:p w14:paraId="273CAE59" w14:textId="77777777" w:rsidR="0012790E" w:rsidRPr="0012790E" w:rsidRDefault="0012790E">
            <w:pPr>
              <w:pStyle w:val="Summarytabletextrightaligned"/>
              <w:rPr>
                <w:szCs w:val="16"/>
              </w:rPr>
            </w:pPr>
            <w:r w:rsidRPr="0012790E">
              <w:rPr>
                <w:szCs w:val="16"/>
              </w:rPr>
              <w:t>180.1</w:t>
            </w:r>
          </w:p>
        </w:tc>
        <w:tc>
          <w:tcPr>
            <w:tcW w:w="851" w:type="dxa"/>
            <w:vAlign w:val="bottom"/>
          </w:tcPr>
          <w:p w14:paraId="5DF95F0D" w14:textId="77777777" w:rsidR="0012790E" w:rsidRPr="0012790E" w:rsidRDefault="0012790E">
            <w:pPr>
              <w:pStyle w:val="Summarytabletextrightaligned"/>
              <w:rPr>
                <w:szCs w:val="16"/>
              </w:rPr>
            </w:pPr>
            <w:r w:rsidRPr="0012790E">
              <w:rPr>
                <w:szCs w:val="16"/>
              </w:rPr>
              <w:t>18.0</w:t>
            </w:r>
          </w:p>
        </w:tc>
        <w:tc>
          <w:tcPr>
            <w:tcW w:w="851" w:type="dxa"/>
            <w:vAlign w:val="bottom"/>
          </w:tcPr>
          <w:p w14:paraId="42C063F1" w14:textId="77777777" w:rsidR="0012790E" w:rsidRPr="0012790E" w:rsidRDefault="0012790E">
            <w:pPr>
              <w:pStyle w:val="Summarytabletextrightaligned"/>
              <w:rPr>
                <w:szCs w:val="16"/>
              </w:rPr>
            </w:pPr>
            <w:r w:rsidRPr="0012790E">
              <w:rPr>
                <w:szCs w:val="16"/>
              </w:rPr>
              <w:t>1.9</w:t>
            </w:r>
          </w:p>
        </w:tc>
      </w:tr>
      <w:tr w:rsidR="0012790E" w:rsidRPr="0012790E" w14:paraId="27E556DE" w14:textId="77777777">
        <w:tc>
          <w:tcPr>
            <w:tcW w:w="3470" w:type="dxa"/>
            <w:shd w:val="clear" w:color="auto" w:fill="auto"/>
            <w:vAlign w:val="bottom"/>
          </w:tcPr>
          <w:p w14:paraId="10D0D733" w14:textId="77777777" w:rsidR="0012790E" w:rsidRPr="0012790E" w:rsidRDefault="0012790E">
            <w:pPr>
              <w:pStyle w:val="SummaryMeasureTitlewithTheme"/>
            </w:pPr>
            <w:r w:rsidRPr="0012790E">
              <w:t>Australian Universities Accord – tertiary education system reforms(b)</w:t>
            </w:r>
          </w:p>
        </w:tc>
        <w:tc>
          <w:tcPr>
            <w:tcW w:w="851" w:type="dxa"/>
            <w:vAlign w:val="bottom"/>
          </w:tcPr>
          <w:p w14:paraId="36DC809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43D07A1" w14:textId="77777777" w:rsidR="0012790E" w:rsidRPr="0012790E" w:rsidRDefault="0012790E">
            <w:pPr>
              <w:pStyle w:val="Summarytabletextrightaligned"/>
              <w:rPr>
                <w:szCs w:val="16"/>
              </w:rPr>
            </w:pPr>
            <w:r w:rsidRPr="0012790E">
              <w:rPr>
                <w:szCs w:val="16"/>
              </w:rPr>
              <w:t>14.0</w:t>
            </w:r>
          </w:p>
        </w:tc>
        <w:tc>
          <w:tcPr>
            <w:tcW w:w="851" w:type="dxa"/>
            <w:vAlign w:val="bottom"/>
          </w:tcPr>
          <w:p w14:paraId="745A73DE" w14:textId="77777777" w:rsidR="0012790E" w:rsidRPr="0012790E" w:rsidRDefault="0012790E">
            <w:pPr>
              <w:pStyle w:val="Summarytabletextrightaligned"/>
              <w:rPr>
                <w:szCs w:val="16"/>
              </w:rPr>
            </w:pPr>
            <w:r w:rsidRPr="0012790E">
              <w:rPr>
                <w:szCs w:val="16"/>
              </w:rPr>
              <w:t>15.0</w:t>
            </w:r>
          </w:p>
        </w:tc>
        <w:tc>
          <w:tcPr>
            <w:tcW w:w="851" w:type="dxa"/>
            <w:vAlign w:val="bottom"/>
          </w:tcPr>
          <w:p w14:paraId="4D1BF752" w14:textId="77777777" w:rsidR="0012790E" w:rsidRPr="0012790E" w:rsidRDefault="0012790E">
            <w:pPr>
              <w:pStyle w:val="Summarytabletextrightaligned"/>
              <w:rPr>
                <w:szCs w:val="16"/>
              </w:rPr>
            </w:pPr>
            <w:r w:rsidRPr="0012790E">
              <w:rPr>
                <w:szCs w:val="16"/>
              </w:rPr>
              <w:t>20.9</w:t>
            </w:r>
          </w:p>
        </w:tc>
        <w:tc>
          <w:tcPr>
            <w:tcW w:w="851" w:type="dxa"/>
            <w:vAlign w:val="bottom"/>
          </w:tcPr>
          <w:p w14:paraId="44EBDF61" w14:textId="77777777" w:rsidR="0012790E" w:rsidRPr="0012790E" w:rsidRDefault="0012790E">
            <w:pPr>
              <w:pStyle w:val="Summarytabletextrightaligned"/>
              <w:rPr>
                <w:szCs w:val="16"/>
              </w:rPr>
            </w:pPr>
            <w:r w:rsidRPr="0012790E">
              <w:rPr>
                <w:szCs w:val="16"/>
              </w:rPr>
              <w:t>22.9</w:t>
            </w:r>
          </w:p>
        </w:tc>
      </w:tr>
      <w:tr w:rsidR="0012790E" w:rsidRPr="0012790E" w14:paraId="22D399A9" w14:textId="77777777">
        <w:tc>
          <w:tcPr>
            <w:tcW w:w="3470" w:type="dxa"/>
            <w:shd w:val="clear" w:color="auto" w:fill="auto"/>
            <w:vAlign w:val="bottom"/>
          </w:tcPr>
          <w:p w14:paraId="24425931" w14:textId="77777777" w:rsidR="0012790E" w:rsidRPr="0012790E" w:rsidRDefault="0012790E">
            <w:pPr>
              <w:pStyle w:val="SummaryMeasureTitlewithTheme"/>
            </w:pPr>
            <w:r w:rsidRPr="0012790E">
              <w:t>Commonwealth Rent Assistance – increase the maximum rates</w:t>
            </w:r>
          </w:p>
        </w:tc>
        <w:tc>
          <w:tcPr>
            <w:tcW w:w="851" w:type="dxa"/>
            <w:vAlign w:val="bottom"/>
          </w:tcPr>
          <w:p w14:paraId="20647EC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A6040D4" w14:textId="77777777" w:rsidR="0012790E" w:rsidRPr="0012790E" w:rsidRDefault="0012790E">
            <w:pPr>
              <w:pStyle w:val="Summarytabletextrightaligned"/>
              <w:rPr>
                <w:szCs w:val="16"/>
              </w:rPr>
            </w:pPr>
            <w:r w:rsidRPr="0012790E">
              <w:rPr>
                <w:szCs w:val="16"/>
              </w:rPr>
              <w:t>0.2</w:t>
            </w:r>
          </w:p>
        </w:tc>
        <w:tc>
          <w:tcPr>
            <w:tcW w:w="851" w:type="dxa"/>
            <w:vAlign w:val="bottom"/>
          </w:tcPr>
          <w:p w14:paraId="69A3E91E" w14:textId="77777777" w:rsidR="0012790E" w:rsidRPr="0012790E" w:rsidRDefault="0012790E">
            <w:pPr>
              <w:pStyle w:val="Summarytabletextrightaligned"/>
              <w:rPr>
                <w:szCs w:val="16"/>
              </w:rPr>
            </w:pPr>
            <w:r w:rsidRPr="0012790E">
              <w:rPr>
                <w:szCs w:val="16"/>
              </w:rPr>
              <w:t>0.5</w:t>
            </w:r>
          </w:p>
        </w:tc>
        <w:tc>
          <w:tcPr>
            <w:tcW w:w="851" w:type="dxa"/>
            <w:vAlign w:val="bottom"/>
          </w:tcPr>
          <w:p w14:paraId="50331783" w14:textId="77777777" w:rsidR="0012790E" w:rsidRPr="0012790E" w:rsidRDefault="0012790E">
            <w:pPr>
              <w:pStyle w:val="Summarytabletextrightaligned"/>
              <w:rPr>
                <w:szCs w:val="16"/>
              </w:rPr>
            </w:pPr>
            <w:r w:rsidRPr="0012790E">
              <w:rPr>
                <w:szCs w:val="16"/>
              </w:rPr>
              <w:t>0.7</w:t>
            </w:r>
          </w:p>
        </w:tc>
        <w:tc>
          <w:tcPr>
            <w:tcW w:w="851" w:type="dxa"/>
            <w:vAlign w:val="bottom"/>
          </w:tcPr>
          <w:p w14:paraId="5319E0D8" w14:textId="77777777" w:rsidR="0012790E" w:rsidRPr="0012790E" w:rsidRDefault="0012790E">
            <w:pPr>
              <w:pStyle w:val="Summarytabletextrightaligned"/>
              <w:rPr>
                <w:szCs w:val="16"/>
              </w:rPr>
            </w:pPr>
            <w:r w:rsidRPr="0012790E">
              <w:rPr>
                <w:szCs w:val="16"/>
              </w:rPr>
              <w:t>0.7</w:t>
            </w:r>
          </w:p>
        </w:tc>
      </w:tr>
      <w:tr w:rsidR="0012790E" w:rsidRPr="0012790E" w14:paraId="16E63581" w14:textId="77777777">
        <w:tc>
          <w:tcPr>
            <w:tcW w:w="3470" w:type="dxa"/>
            <w:shd w:val="clear" w:color="auto" w:fill="auto"/>
            <w:vAlign w:val="bottom"/>
          </w:tcPr>
          <w:p w14:paraId="2ABA9E0B" w14:textId="77777777" w:rsidR="0012790E" w:rsidRPr="0012790E" w:rsidRDefault="0012790E">
            <w:pPr>
              <w:pStyle w:val="SummaryMeasureTitlewithTheme"/>
            </w:pPr>
            <w:r w:rsidRPr="0012790E">
              <w:t>Disability Employment Services Reform</w:t>
            </w:r>
          </w:p>
        </w:tc>
        <w:tc>
          <w:tcPr>
            <w:tcW w:w="851" w:type="dxa"/>
            <w:vAlign w:val="bottom"/>
          </w:tcPr>
          <w:p w14:paraId="544DE7EF" w14:textId="77777777" w:rsidR="0012790E" w:rsidRPr="0012790E" w:rsidRDefault="0012790E">
            <w:pPr>
              <w:pStyle w:val="Summarytabletextrightaligned"/>
              <w:rPr>
                <w:szCs w:val="16"/>
              </w:rPr>
            </w:pPr>
            <w:r w:rsidRPr="0012790E">
              <w:rPr>
                <w:szCs w:val="16"/>
              </w:rPr>
              <w:t>0.2</w:t>
            </w:r>
          </w:p>
        </w:tc>
        <w:tc>
          <w:tcPr>
            <w:tcW w:w="851" w:type="dxa"/>
            <w:shd w:val="clear" w:color="auto" w:fill="E6F2FF"/>
            <w:vAlign w:val="bottom"/>
          </w:tcPr>
          <w:p w14:paraId="4BC790CB" w14:textId="77777777" w:rsidR="0012790E" w:rsidRPr="0012790E" w:rsidRDefault="0012790E">
            <w:pPr>
              <w:pStyle w:val="Summarytabletextrightaligned"/>
              <w:rPr>
                <w:szCs w:val="16"/>
              </w:rPr>
            </w:pPr>
            <w:r w:rsidRPr="0012790E">
              <w:rPr>
                <w:szCs w:val="16"/>
              </w:rPr>
              <w:t>35.0</w:t>
            </w:r>
          </w:p>
        </w:tc>
        <w:tc>
          <w:tcPr>
            <w:tcW w:w="851" w:type="dxa"/>
            <w:vAlign w:val="bottom"/>
          </w:tcPr>
          <w:p w14:paraId="420A94D6" w14:textId="77777777" w:rsidR="0012790E" w:rsidRPr="0012790E" w:rsidRDefault="0012790E">
            <w:pPr>
              <w:pStyle w:val="Summarytabletextrightaligned"/>
              <w:rPr>
                <w:szCs w:val="16"/>
              </w:rPr>
            </w:pPr>
            <w:r w:rsidRPr="0012790E">
              <w:rPr>
                <w:szCs w:val="16"/>
              </w:rPr>
              <w:t>28.5</w:t>
            </w:r>
          </w:p>
        </w:tc>
        <w:tc>
          <w:tcPr>
            <w:tcW w:w="851" w:type="dxa"/>
            <w:vAlign w:val="bottom"/>
          </w:tcPr>
          <w:p w14:paraId="2AFCAE75" w14:textId="77777777" w:rsidR="0012790E" w:rsidRPr="0012790E" w:rsidRDefault="0012790E">
            <w:pPr>
              <w:pStyle w:val="Summarytabletextrightaligned"/>
              <w:rPr>
                <w:szCs w:val="16"/>
              </w:rPr>
            </w:pPr>
            <w:r w:rsidRPr="0012790E">
              <w:rPr>
                <w:szCs w:val="16"/>
              </w:rPr>
              <w:t>10.7</w:t>
            </w:r>
          </w:p>
        </w:tc>
        <w:tc>
          <w:tcPr>
            <w:tcW w:w="851" w:type="dxa"/>
            <w:vAlign w:val="bottom"/>
          </w:tcPr>
          <w:p w14:paraId="3ABD9ABE" w14:textId="77777777" w:rsidR="0012790E" w:rsidRPr="0012790E" w:rsidRDefault="0012790E">
            <w:pPr>
              <w:pStyle w:val="Summarytabletextrightaligned"/>
              <w:rPr>
                <w:szCs w:val="16"/>
              </w:rPr>
            </w:pPr>
            <w:r w:rsidRPr="0012790E">
              <w:rPr>
                <w:szCs w:val="16"/>
              </w:rPr>
              <w:t>1.1</w:t>
            </w:r>
          </w:p>
        </w:tc>
      </w:tr>
      <w:tr w:rsidR="0012790E" w:rsidRPr="0012790E" w14:paraId="02096D2C" w14:textId="77777777">
        <w:tc>
          <w:tcPr>
            <w:tcW w:w="3470" w:type="dxa"/>
            <w:shd w:val="clear" w:color="auto" w:fill="auto"/>
            <w:vAlign w:val="bottom"/>
          </w:tcPr>
          <w:p w14:paraId="189F5E79" w14:textId="77777777" w:rsidR="0012790E" w:rsidRPr="0012790E" w:rsidRDefault="0012790E">
            <w:pPr>
              <w:pStyle w:val="SummaryMeasureTitlewithTheme"/>
            </w:pPr>
            <w:r w:rsidRPr="0012790E">
              <w:t>Employment and Workplace Relations – reprioritisation(b)</w:t>
            </w:r>
          </w:p>
        </w:tc>
        <w:tc>
          <w:tcPr>
            <w:tcW w:w="851" w:type="dxa"/>
            <w:vAlign w:val="bottom"/>
          </w:tcPr>
          <w:p w14:paraId="34F7FBCF" w14:textId="77777777" w:rsidR="0012790E" w:rsidRPr="0012790E" w:rsidRDefault="0012790E">
            <w:pPr>
              <w:pStyle w:val="Summarytabletextrightaligned"/>
              <w:rPr>
                <w:szCs w:val="16"/>
              </w:rPr>
            </w:pPr>
            <w:r w:rsidRPr="0012790E">
              <w:rPr>
                <w:szCs w:val="16"/>
              </w:rPr>
              <w:noBreakHyphen/>
              <w:t>11.0</w:t>
            </w:r>
          </w:p>
        </w:tc>
        <w:tc>
          <w:tcPr>
            <w:tcW w:w="851" w:type="dxa"/>
            <w:shd w:val="clear" w:color="auto" w:fill="E6F2FF"/>
            <w:vAlign w:val="bottom"/>
          </w:tcPr>
          <w:p w14:paraId="2884025A" w14:textId="77777777" w:rsidR="0012790E" w:rsidRPr="0012790E" w:rsidRDefault="0012790E">
            <w:pPr>
              <w:pStyle w:val="Summarytabletextrightaligned"/>
              <w:rPr>
                <w:szCs w:val="16"/>
              </w:rPr>
            </w:pPr>
            <w:r w:rsidRPr="0012790E">
              <w:rPr>
                <w:szCs w:val="16"/>
              </w:rPr>
              <w:noBreakHyphen/>
              <w:t>14.9</w:t>
            </w:r>
          </w:p>
        </w:tc>
        <w:tc>
          <w:tcPr>
            <w:tcW w:w="851" w:type="dxa"/>
            <w:vAlign w:val="bottom"/>
          </w:tcPr>
          <w:p w14:paraId="6B5AFB7A" w14:textId="77777777" w:rsidR="0012790E" w:rsidRPr="0012790E" w:rsidRDefault="0012790E">
            <w:pPr>
              <w:pStyle w:val="Summarytabletextrightaligned"/>
              <w:rPr>
                <w:szCs w:val="16"/>
              </w:rPr>
            </w:pPr>
            <w:r w:rsidRPr="0012790E">
              <w:rPr>
                <w:szCs w:val="16"/>
              </w:rPr>
              <w:noBreakHyphen/>
              <w:t>13.2</w:t>
            </w:r>
          </w:p>
        </w:tc>
        <w:tc>
          <w:tcPr>
            <w:tcW w:w="851" w:type="dxa"/>
            <w:vAlign w:val="bottom"/>
          </w:tcPr>
          <w:p w14:paraId="1C6E6DC9" w14:textId="77777777" w:rsidR="0012790E" w:rsidRPr="0012790E" w:rsidRDefault="0012790E">
            <w:pPr>
              <w:pStyle w:val="Summarytabletextrightaligned"/>
              <w:rPr>
                <w:szCs w:val="16"/>
              </w:rPr>
            </w:pPr>
            <w:r w:rsidRPr="0012790E">
              <w:rPr>
                <w:szCs w:val="16"/>
              </w:rPr>
              <w:noBreakHyphen/>
              <w:t>13.2</w:t>
            </w:r>
          </w:p>
        </w:tc>
        <w:tc>
          <w:tcPr>
            <w:tcW w:w="851" w:type="dxa"/>
            <w:vAlign w:val="bottom"/>
          </w:tcPr>
          <w:p w14:paraId="5376723D" w14:textId="77777777" w:rsidR="0012790E" w:rsidRPr="0012790E" w:rsidRDefault="0012790E">
            <w:pPr>
              <w:pStyle w:val="Summarytabletextrightaligned"/>
              <w:rPr>
                <w:szCs w:val="16"/>
              </w:rPr>
            </w:pPr>
            <w:r w:rsidRPr="0012790E">
              <w:rPr>
                <w:szCs w:val="16"/>
              </w:rPr>
              <w:noBreakHyphen/>
              <w:t>13.3</w:t>
            </w:r>
          </w:p>
        </w:tc>
      </w:tr>
      <w:tr w:rsidR="0012790E" w:rsidRPr="0012790E" w14:paraId="19E99762" w14:textId="77777777">
        <w:tc>
          <w:tcPr>
            <w:tcW w:w="3470" w:type="dxa"/>
            <w:shd w:val="clear" w:color="auto" w:fill="auto"/>
            <w:vAlign w:val="bottom"/>
          </w:tcPr>
          <w:p w14:paraId="3EADF0C0" w14:textId="77777777" w:rsidR="0012790E" w:rsidRPr="0012790E" w:rsidRDefault="0012790E">
            <w:pPr>
              <w:pStyle w:val="SummaryMeasureTitlewithTheme"/>
            </w:pPr>
            <w:r w:rsidRPr="0012790E">
              <w:t>Employment Services Reform</w:t>
            </w:r>
          </w:p>
        </w:tc>
        <w:tc>
          <w:tcPr>
            <w:tcW w:w="851" w:type="dxa"/>
            <w:vAlign w:val="bottom"/>
          </w:tcPr>
          <w:p w14:paraId="31F9BF55" w14:textId="77777777" w:rsidR="0012790E" w:rsidRPr="0012790E" w:rsidRDefault="0012790E">
            <w:pPr>
              <w:pStyle w:val="Summarytabletextrightaligned"/>
              <w:rPr>
                <w:szCs w:val="16"/>
              </w:rPr>
            </w:pPr>
            <w:r w:rsidRPr="0012790E">
              <w:rPr>
                <w:szCs w:val="16"/>
              </w:rPr>
              <w:noBreakHyphen/>
              <w:t>2.9</w:t>
            </w:r>
          </w:p>
        </w:tc>
        <w:tc>
          <w:tcPr>
            <w:tcW w:w="851" w:type="dxa"/>
            <w:shd w:val="clear" w:color="auto" w:fill="E6F2FF"/>
            <w:vAlign w:val="bottom"/>
          </w:tcPr>
          <w:p w14:paraId="552DF898" w14:textId="77777777" w:rsidR="0012790E" w:rsidRPr="0012790E" w:rsidRDefault="0012790E">
            <w:pPr>
              <w:pStyle w:val="Summarytabletextrightaligned"/>
              <w:rPr>
                <w:szCs w:val="16"/>
              </w:rPr>
            </w:pPr>
            <w:r w:rsidRPr="0012790E">
              <w:rPr>
                <w:szCs w:val="16"/>
              </w:rPr>
              <w:t>37.9</w:t>
            </w:r>
          </w:p>
        </w:tc>
        <w:tc>
          <w:tcPr>
            <w:tcW w:w="851" w:type="dxa"/>
            <w:vAlign w:val="bottom"/>
          </w:tcPr>
          <w:p w14:paraId="5FA6BB74" w14:textId="77777777" w:rsidR="0012790E" w:rsidRPr="0012790E" w:rsidRDefault="0012790E">
            <w:pPr>
              <w:pStyle w:val="Summarytabletextrightaligned"/>
              <w:rPr>
                <w:szCs w:val="16"/>
              </w:rPr>
            </w:pPr>
            <w:r w:rsidRPr="0012790E">
              <w:rPr>
                <w:szCs w:val="16"/>
              </w:rPr>
              <w:t>3.5</w:t>
            </w:r>
          </w:p>
        </w:tc>
        <w:tc>
          <w:tcPr>
            <w:tcW w:w="851" w:type="dxa"/>
            <w:vAlign w:val="bottom"/>
          </w:tcPr>
          <w:p w14:paraId="1A7241FC" w14:textId="77777777" w:rsidR="0012790E" w:rsidRPr="0012790E" w:rsidRDefault="0012790E">
            <w:pPr>
              <w:pStyle w:val="Summarytabletextrightaligned"/>
              <w:rPr>
                <w:szCs w:val="16"/>
              </w:rPr>
            </w:pPr>
            <w:r w:rsidRPr="0012790E">
              <w:rPr>
                <w:szCs w:val="16"/>
              </w:rPr>
              <w:noBreakHyphen/>
              <w:t>14.4</w:t>
            </w:r>
          </w:p>
        </w:tc>
        <w:tc>
          <w:tcPr>
            <w:tcW w:w="851" w:type="dxa"/>
            <w:vAlign w:val="bottom"/>
          </w:tcPr>
          <w:p w14:paraId="2C5A2927" w14:textId="77777777" w:rsidR="0012790E" w:rsidRPr="0012790E" w:rsidRDefault="0012790E">
            <w:pPr>
              <w:pStyle w:val="Summarytabletextrightaligned"/>
              <w:rPr>
                <w:szCs w:val="16"/>
              </w:rPr>
            </w:pPr>
            <w:r w:rsidRPr="0012790E">
              <w:rPr>
                <w:szCs w:val="16"/>
              </w:rPr>
              <w:noBreakHyphen/>
              <w:t>29.2</w:t>
            </w:r>
          </w:p>
        </w:tc>
      </w:tr>
      <w:tr w:rsidR="0012790E" w:rsidRPr="0012790E" w14:paraId="4B972939" w14:textId="77777777">
        <w:tc>
          <w:tcPr>
            <w:tcW w:w="3470" w:type="dxa"/>
            <w:shd w:val="clear" w:color="auto" w:fill="auto"/>
            <w:vAlign w:val="bottom"/>
          </w:tcPr>
          <w:p w14:paraId="316158C1" w14:textId="77777777" w:rsidR="0012790E" w:rsidRPr="0012790E" w:rsidRDefault="0012790E">
            <w:pPr>
              <w:pStyle w:val="SummaryMeasureTitlewithTheme"/>
            </w:pPr>
            <w:r w:rsidRPr="0012790E">
              <w:t>Engineered Stone Import Prohibition(b)</w:t>
            </w:r>
          </w:p>
        </w:tc>
        <w:tc>
          <w:tcPr>
            <w:tcW w:w="851" w:type="dxa"/>
            <w:vAlign w:val="bottom"/>
          </w:tcPr>
          <w:p w14:paraId="7E96A8E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4DA4FA6"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62E9A3F"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4E0685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00F720C" w14:textId="77777777" w:rsidR="0012790E" w:rsidRPr="0012790E" w:rsidRDefault="0012790E">
            <w:pPr>
              <w:pStyle w:val="Summarytabletextrightaligned"/>
              <w:rPr>
                <w:szCs w:val="16"/>
              </w:rPr>
            </w:pPr>
            <w:r w:rsidRPr="0012790E">
              <w:rPr>
                <w:szCs w:val="16"/>
              </w:rPr>
              <w:noBreakHyphen/>
            </w:r>
          </w:p>
        </w:tc>
      </w:tr>
      <w:tr w:rsidR="0012790E" w:rsidRPr="0012790E" w14:paraId="4FAD26FA" w14:textId="77777777">
        <w:tc>
          <w:tcPr>
            <w:tcW w:w="3470" w:type="dxa"/>
            <w:shd w:val="clear" w:color="auto" w:fill="auto"/>
            <w:vAlign w:val="bottom"/>
          </w:tcPr>
          <w:p w14:paraId="01155B02" w14:textId="77777777" w:rsidR="0012790E" w:rsidRPr="0012790E" w:rsidRDefault="0012790E">
            <w:pPr>
              <w:pStyle w:val="SummaryMeasureTitlewithTheme"/>
            </w:pPr>
            <w:r w:rsidRPr="0012790E">
              <w:t>Extending Broome Employment Services</w:t>
            </w:r>
          </w:p>
        </w:tc>
        <w:tc>
          <w:tcPr>
            <w:tcW w:w="851" w:type="dxa"/>
            <w:vAlign w:val="bottom"/>
          </w:tcPr>
          <w:p w14:paraId="2B51136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062085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BE61615" w14:textId="77777777" w:rsidR="0012790E" w:rsidRPr="0012790E" w:rsidRDefault="0012790E">
            <w:pPr>
              <w:pStyle w:val="Summarytabletextrightaligned"/>
              <w:rPr>
                <w:szCs w:val="16"/>
              </w:rPr>
            </w:pPr>
            <w:r w:rsidRPr="0012790E">
              <w:rPr>
                <w:szCs w:val="16"/>
              </w:rPr>
              <w:t>1.2</w:t>
            </w:r>
          </w:p>
        </w:tc>
        <w:tc>
          <w:tcPr>
            <w:tcW w:w="851" w:type="dxa"/>
            <w:vAlign w:val="bottom"/>
          </w:tcPr>
          <w:p w14:paraId="34E9EF28" w14:textId="77777777" w:rsidR="0012790E" w:rsidRPr="0012790E" w:rsidRDefault="0012790E">
            <w:pPr>
              <w:pStyle w:val="Summarytabletextrightaligned"/>
              <w:rPr>
                <w:szCs w:val="16"/>
              </w:rPr>
            </w:pPr>
            <w:r w:rsidRPr="0012790E">
              <w:rPr>
                <w:szCs w:val="16"/>
              </w:rPr>
              <w:t>1.7</w:t>
            </w:r>
          </w:p>
        </w:tc>
        <w:tc>
          <w:tcPr>
            <w:tcW w:w="851" w:type="dxa"/>
            <w:vAlign w:val="bottom"/>
          </w:tcPr>
          <w:p w14:paraId="0D88AEF8" w14:textId="77777777" w:rsidR="0012790E" w:rsidRPr="0012790E" w:rsidRDefault="0012790E">
            <w:pPr>
              <w:pStyle w:val="Summarytabletextrightaligned"/>
              <w:rPr>
                <w:szCs w:val="16"/>
              </w:rPr>
            </w:pPr>
            <w:r w:rsidRPr="0012790E">
              <w:rPr>
                <w:szCs w:val="16"/>
              </w:rPr>
              <w:t>0.7</w:t>
            </w:r>
          </w:p>
        </w:tc>
      </w:tr>
      <w:tr w:rsidR="0012790E" w:rsidRPr="0012790E" w14:paraId="44987D1E" w14:textId="77777777">
        <w:tc>
          <w:tcPr>
            <w:tcW w:w="3470" w:type="dxa"/>
            <w:shd w:val="clear" w:color="auto" w:fill="auto"/>
            <w:vAlign w:val="bottom"/>
          </w:tcPr>
          <w:p w14:paraId="40BD1837" w14:textId="77777777" w:rsidR="0012790E" w:rsidRPr="0012790E" w:rsidRDefault="0012790E">
            <w:pPr>
              <w:pStyle w:val="SummaryMeasureTitlewithTheme"/>
            </w:pPr>
            <w:r w:rsidRPr="0012790E">
              <w:t>First Nations Prison to Employment Program</w:t>
            </w:r>
          </w:p>
        </w:tc>
        <w:tc>
          <w:tcPr>
            <w:tcW w:w="851" w:type="dxa"/>
            <w:vAlign w:val="bottom"/>
          </w:tcPr>
          <w:p w14:paraId="3156D631" w14:textId="77777777" w:rsidR="0012790E" w:rsidRPr="0012790E" w:rsidRDefault="0012790E">
            <w:pPr>
              <w:pStyle w:val="Summarytabletextrightaligned"/>
              <w:rPr>
                <w:szCs w:val="16"/>
              </w:rPr>
            </w:pPr>
            <w:r w:rsidRPr="0012790E">
              <w:rPr>
                <w:szCs w:val="16"/>
              </w:rPr>
              <w:t>..</w:t>
            </w:r>
          </w:p>
        </w:tc>
        <w:tc>
          <w:tcPr>
            <w:tcW w:w="851" w:type="dxa"/>
            <w:shd w:val="clear" w:color="auto" w:fill="E6F2FF"/>
            <w:vAlign w:val="bottom"/>
          </w:tcPr>
          <w:p w14:paraId="6B63D1F7" w14:textId="77777777" w:rsidR="0012790E" w:rsidRPr="0012790E" w:rsidRDefault="0012790E">
            <w:pPr>
              <w:pStyle w:val="Summarytabletextrightaligned"/>
              <w:rPr>
                <w:szCs w:val="16"/>
              </w:rPr>
            </w:pPr>
            <w:r w:rsidRPr="0012790E">
              <w:rPr>
                <w:szCs w:val="16"/>
              </w:rPr>
              <w:t>8.7</w:t>
            </w:r>
          </w:p>
        </w:tc>
        <w:tc>
          <w:tcPr>
            <w:tcW w:w="851" w:type="dxa"/>
            <w:vAlign w:val="bottom"/>
          </w:tcPr>
          <w:p w14:paraId="6F7AEB76" w14:textId="77777777" w:rsidR="0012790E" w:rsidRPr="0012790E" w:rsidRDefault="0012790E">
            <w:pPr>
              <w:pStyle w:val="Summarytabletextrightaligned"/>
              <w:rPr>
                <w:szCs w:val="16"/>
              </w:rPr>
            </w:pPr>
            <w:r w:rsidRPr="0012790E">
              <w:rPr>
                <w:szCs w:val="16"/>
              </w:rPr>
              <w:t>19.6</w:t>
            </w:r>
          </w:p>
        </w:tc>
        <w:tc>
          <w:tcPr>
            <w:tcW w:w="851" w:type="dxa"/>
            <w:vAlign w:val="bottom"/>
          </w:tcPr>
          <w:p w14:paraId="59A7FC16" w14:textId="77777777" w:rsidR="0012790E" w:rsidRPr="0012790E" w:rsidRDefault="0012790E">
            <w:pPr>
              <w:pStyle w:val="Summarytabletextrightaligned"/>
              <w:rPr>
                <w:szCs w:val="16"/>
              </w:rPr>
            </w:pPr>
            <w:r w:rsidRPr="0012790E">
              <w:rPr>
                <w:szCs w:val="16"/>
              </w:rPr>
              <w:t>15.9</w:t>
            </w:r>
          </w:p>
        </w:tc>
        <w:tc>
          <w:tcPr>
            <w:tcW w:w="851" w:type="dxa"/>
            <w:vAlign w:val="bottom"/>
          </w:tcPr>
          <w:p w14:paraId="1C7EB954" w14:textId="77777777" w:rsidR="0012790E" w:rsidRPr="0012790E" w:rsidRDefault="0012790E">
            <w:pPr>
              <w:pStyle w:val="Summarytabletextrightaligned"/>
              <w:rPr>
                <w:szCs w:val="16"/>
              </w:rPr>
            </w:pPr>
            <w:r w:rsidRPr="0012790E">
              <w:rPr>
                <w:szCs w:val="16"/>
              </w:rPr>
              <w:t>15.5</w:t>
            </w:r>
          </w:p>
        </w:tc>
      </w:tr>
      <w:tr w:rsidR="0012790E" w:rsidRPr="0012790E" w14:paraId="621B172A" w14:textId="77777777">
        <w:tc>
          <w:tcPr>
            <w:tcW w:w="3470" w:type="dxa"/>
            <w:shd w:val="clear" w:color="auto" w:fill="auto"/>
            <w:vAlign w:val="bottom"/>
          </w:tcPr>
          <w:p w14:paraId="2904CB2E" w14:textId="77777777" w:rsidR="0012790E" w:rsidRPr="0012790E" w:rsidRDefault="0012790E">
            <w:pPr>
              <w:pStyle w:val="SummaryMeasureTitlewithTheme"/>
            </w:pPr>
            <w:r w:rsidRPr="0012790E">
              <w:t>Further Support for the Vocational Education and Training System</w:t>
            </w:r>
          </w:p>
        </w:tc>
        <w:tc>
          <w:tcPr>
            <w:tcW w:w="851" w:type="dxa"/>
            <w:vAlign w:val="bottom"/>
          </w:tcPr>
          <w:p w14:paraId="37F3710A"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144517F" w14:textId="77777777" w:rsidR="0012790E" w:rsidRPr="0012790E" w:rsidRDefault="0012790E">
            <w:pPr>
              <w:pStyle w:val="Summarytabletextrightaligned"/>
              <w:rPr>
                <w:szCs w:val="16"/>
              </w:rPr>
            </w:pPr>
            <w:r w:rsidRPr="0012790E">
              <w:rPr>
                <w:szCs w:val="16"/>
              </w:rPr>
              <w:t>25.0</w:t>
            </w:r>
          </w:p>
        </w:tc>
        <w:tc>
          <w:tcPr>
            <w:tcW w:w="851" w:type="dxa"/>
            <w:vAlign w:val="bottom"/>
          </w:tcPr>
          <w:p w14:paraId="04F725D8" w14:textId="77777777" w:rsidR="0012790E" w:rsidRPr="0012790E" w:rsidRDefault="0012790E">
            <w:pPr>
              <w:pStyle w:val="Summarytabletextrightaligned"/>
              <w:rPr>
                <w:szCs w:val="16"/>
              </w:rPr>
            </w:pPr>
            <w:r w:rsidRPr="0012790E">
              <w:rPr>
                <w:szCs w:val="16"/>
              </w:rPr>
              <w:t>0.8</w:t>
            </w:r>
          </w:p>
        </w:tc>
        <w:tc>
          <w:tcPr>
            <w:tcW w:w="851" w:type="dxa"/>
            <w:vAlign w:val="bottom"/>
          </w:tcPr>
          <w:p w14:paraId="1873857F" w14:textId="77777777" w:rsidR="0012790E" w:rsidRPr="0012790E" w:rsidRDefault="0012790E">
            <w:pPr>
              <w:pStyle w:val="Summarytabletextrightaligned"/>
              <w:rPr>
                <w:szCs w:val="16"/>
              </w:rPr>
            </w:pPr>
            <w:r w:rsidRPr="0012790E">
              <w:rPr>
                <w:szCs w:val="16"/>
              </w:rPr>
              <w:t>0.4</w:t>
            </w:r>
          </w:p>
        </w:tc>
        <w:tc>
          <w:tcPr>
            <w:tcW w:w="851" w:type="dxa"/>
            <w:vAlign w:val="bottom"/>
          </w:tcPr>
          <w:p w14:paraId="22D50B31" w14:textId="77777777" w:rsidR="0012790E" w:rsidRPr="0012790E" w:rsidRDefault="0012790E">
            <w:pPr>
              <w:pStyle w:val="Summarytabletextrightaligned"/>
              <w:rPr>
                <w:szCs w:val="16"/>
              </w:rPr>
            </w:pPr>
            <w:r w:rsidRPr="0012790E">
              <w:rPr>
                <w:szCs w:val="16"/>
              </w:rPr>
              <w:t>..</w:t>
            </w:r>
          </w:p>
        </w:tc>
      </w:tr>
      <w:tr w:rsidR="0012790E" w:rsidRPr="0012790E" w14:paraId="2F5C1D01" w14:textId="77777777">
        <w:tc>
          <w:tcPr>
            <w:tcW w:w="3470" w:type="dxa"/>
            <w:shd w:val="clear" w:color="auto" w:fill="auto"/>
            <w:vAlign w:val="bottom"/>
          </w:tcPr>
          <w:p w14:paraId="44548139" w14:textId="77777777" w:rsidR="0012790E" w:rsidRPr="0012790E" w:rsidRDefault="0012790E">
            <w:pPr>
              <w:pStyle w:val="SummaryMeasureTitlewithTheme"/>
            </w:pPr>
            <w:r w:rsidRPr="0012790E">
              <w:t>Future Made in Australia – Workforce and Trade Partnerships for Renewable Energy Superpower Industries</w:t>
            </w:r>
          </w:p>
        </w:tc>
        <w:tc>
          <w:tcPr>
            <w:tcW w:w="851" w:type="dxa"/>
            <w:vAlign w:val="bottom"/>
          </w:tcPr>
          <w:p w14:paraId="78EE2ED0" w14:textId="77777777" w:rsidR="0012790E" w:rsidRPr="0012790E" w:rsidRDefault="0012790E">
            <w:pPr>
              <w:pStyle w:val="Summarytabletextrightaligned"/>
              <w:rPr>
                <w:szCs w:val="16"/>
              </w:rPr>
            </w:pPr>
            <w:r w:rsidRPr="0012790E">
              <w:rPr>
                <w:szCs w:val="16"/>
              </w:rPr>
              <w:t>..</w:t>
            </w:r>
          </w:p>
        </w:tc>
        <w:tc>
          <w:tcPr>
            <w:tcW w:w="851" w:type="dxa"/>
            <w:shd w:val="clear" w:color="auto" w:fill="E6F2FF"/>
            <w:vAlign w:val="bottom"/>
          </w:tcPr>
          <w:p w14:paraId="6486C9DC" w14:textId="77777777" w:rsidR="0012790E" w:rsidRPr="0012790E" w:rsidRDefault="0012790E">
            <w:pPr>
              <w:pStyle w:val="Summarytabletextrightaligned"/>
              <w:rPr>
                <w:szCs w:val="16"/>
              </w:rPr>
            </w:pPr>
            <w:r w:rsidRPr="0012790E">
              <w:rPr>
                <w:szCs w:val="16"/>
              </w:rPr>
              <w:t>14.6</w:t>
            </w:r>
          </w:p>
        </w:tc>
        <w:tc>
          <w:tcPr>
            <w:tcW w:w="851" w:type="dxa"/>
            <w:vAlign w:val="bottom"/>
          </w:tcPr>
          <w:p w14:paraId="21FAF722" w14:textId="77777777" w:rsidR="0012790E" w:rsidRPr="0012790E" w:rsidRDefault="0012790E">
            <w:pPr>
              <w:pStyle w:val="Summarytabletextrightaligned"/>
              <w:rPr>
                <w:szCs w:val="16"/>
              </w:rPr>
            </w:pPr>
            <w:r w:rsidRPr="0012790E">
              <w:rPr>
                <w:szCs w:val="16"/>
              </w:rPr>
              <w:t>20.8</w:t>
            </w:r>
          </w:p>
        </w:tc>
        <w:tc>
          <w:tcPr>
            <w:tcW w:w="851" w:type="dxa"/>
            <w:vAlign w:val="bottom"/>
          </w:tcPr>
          <w:p w14:paraId="33E790A5" w14:textId="77777777" w:rsidR="0012790E" w:rsidRPr="0012790E" w:rsidRDefault="0012790E">
            <w:pPr>
              <w:pStyle w:val="Summarytabletextrightaligned"/>
              <w:rPr>
                <w:szCs w:val="16"/>
              </w:rPr>
            </w:pPr>
            <w:r w:rsidRPr="0012790E">
              <w:rPr>
                <w:szCs w:val="16"/>
              </w:rPr>
              <w:t>20.6</w:t>
            </w:r>
          </w:p>
        </w:tc>
        <w:tc>
          <w:tcPr>
            <w:tcW w:w="851" w:type="dxa"/>
            <w:vAlign w:val="bottom"/>
          </w:tcPr>
          <w:p w14:paraId="55A4D3BF" w14:textId="77777777" w:rsidR="0012790E" w:rsidRPr="0012790E" w:rsidRDefault="0012790E">
            <w:pPr>
              <w:pStyle w:val="Summarytabletextrightaligned"/>
              <w:rPr>
                <w:szCs w:val="16"/>
              </w:rPr>
            </w:pPr>
            <w:r w:rsidRPr="0012790E">
              <w:rPr>
                <w:szCs w:val="16"/>
              </w:rPr>
              <w:t>10.7</w:t>
            </w:r>
          </w:p>
        </w:tc>
      </w:tr>
      <w:tr w:rsidR="0012790E" w:rsidRPr="0012790E" w14:paraId="5F9D2EFD" w14:textId="77777777">
        <w:tc>
          <w:tcPr>
            <w:tcW w:w="3470" w:type="dxa"/>
            <w:shd w:val="clear" w:color="auto" w:fill="auto"/>
            <w:vAlign w:val="bottom"/>
          </w:tcPr>
          <w:p w14:paraId="7BD1884D" w14:textId="77777777" w:rsidR="0012790E" w:rsidRPr="0012790E" w:rsidRDefault="0012790E">
            <w:pPr>
              <w:pStyle w:val="SummaryMeasureTitlewithTheme"/>
            </w:pPr>
            <w:r w:rsidRPr="0012790E">
              <w:t>Housing Support(b)</w:t>
            </w:r>
          </w:p>
        </w:tc>
        <w:tc>
          <w:tcPr>
            <w:tcW w:w="851" w:type="dxa"/>
            <w:vAlign w:val="bottom"/>
          </w:tcPr>
          <w:p w14:paraId="3066E31E" w14:textId="77777777" w:rsidR="0012790E" w:rsidRPr="0012790E" w:rsidRDefault="0012790E">
            <w:pPr>
              <w:pStyle w:val="Summarytabletextrightaligned"/>
              <w:rPr>
                <w:szCs w:val="16"/>
              </w:rPr>
            </w:pPr>
            <w:r w:rsidRPr="0012790E">
              <w:rPr>
                <w:szCs w:val="16"/>
              </w:rPr>
              <w:t>0.2</w:t>
            </w:r>
          </w:p>
        </w:tc>
        <w:tc>
          <w:tcPr>
            <w:tcW w:w="851" w:type="dxa"/>
            <w:shd w:val="clear" w:color="auto" w:fill="E6F2FF"/>
            <w:vAlign w:val="bottom"/>
          </w:tcPr>
          <w:p w14:paraId="7623B429" w14:textId="77777777" w:rsidR="0012790E" w:rsidRPr="0012790E" w:rsidRDefault="0012790E">
            <w:pPr>
              <w:pStyle w:val="Summarytabletextrightaligned"/>
              <w:rPr>
                <w:szCs w:val="16"/>
              </w:rPr>
            </w:pPr>
            <w:r w:rsidRPr="0012790E">
              <w:rPr>
                <w:szCs w:val="16"/>
              </w:rPr>
              <w:t>9.0</w:t>
            </w:r>
          </w:p>
        </w:tc>
        <w:tc>
          <w:tcPr>
            <w:tcW w:w="851" w:type="dxa"/>
            <w:vAlign w:val="bottom"/>
          </w:tcPr>
          <w:p w14:paraId="52C386EC" w14:textId="77777777" w:rsidR="0012790E" w:rsidRPr="0012790E" w:rsidRDefault="0012790E">
            <w:pPr>
              <w:pStyle w:val="Summarytabletextrightaligned"/>
              <w:rPr>
                <w:szCs w:val="16"/>
              </w:rPr>
            </w:pPr>
            <w:r w:rsidRPr="0012790E">
              <w:rPr>
                <w:szCs w:val="16"/>
              </w:rPr>
              <w:t>2.8</w:t>
            </w:r>
          </w:p>
        </w:tc>
        <w:tc>
          <w:tcPr>
            <w:tcW w:w="851" w:type="dxa"/>
            <w:vAlign w:val="bottom"/>
          </w:tcPr>
          <w:p w14:paraId="321BF9A8" w14:textId="77777777" w:rsidR="0012790E" w:rsidRPr="0012790E" w:rsidRDefault="0012790E">
            <w:pPr>
              <w:pStyle w:val="Summarytabletextrightaligned"/>
              <w:rPr>
                <w:szCs w:val="16"/>
              </w:rPr>
            </w:pPr>
            <w:r w:rsidRPr="0012790E">
              <w:rPr>
                <w:szCs w:val="16"/>
              </w:rPr>
              <w:t>0.5</w:t>
            </w:r>
          </w:p>
        </w:tc>
        <w:tc>
          <w:tcPr>
            <w:tcW w:w="851" w:type="dxa"/>
            <w:vAlign w:val="bottom"/>
          </w:tcPr>
          <w:p w14:paraId="76456769" w14:textId="77777777" w:rsidR="0012790E" w:rsidRPr="0012790E" w:rsidRDefault="0012790E">
            <w:pPr>
              <w:pStyle w:val="Summarytabletextrightaligned"/>
              <w:rPr>
                <w:szCs w:val="16"/>
              </w:rPr>
            </w:pPr>
            <w:r w:rsidRPr="0012790E">
              <w:rPr>
                <w:szCs w:val="16"/>
              </w:rPr>
              <w:noBreakHyphen/>
            </w:r>
          </w:p>
        </w:tc>
      </w:tr>
      <w:tr w:rsidR="0012790E" w:rsidRPr="0012790E" w14:paraId="0518E0B9" w14:textId="77777777">
        <w:tc>
          <w:tcPr>
            <w:tcW w:w="3470" w:type="dxa"/>
            <w:shd w:val="clear" w:color="auto" w:fill="auto"/>
            <w:vAlign w:val="bottom"/>
          </w:tcPr>
          <w:p w14:paraId="2C2085E4" w14:textId="77777777" w:rsidR="0012790E" w:rsidRPr="0012790E" w:rsidRDefault="0012790E">
            <w:pPr>
              <w:pStyle w:val="SummaryMeasureTitlewithTheme"/>
            </w:pPr>
            <w:r w:rsidRPr="0012790E">
              <w:t>Net Zero Economy</w:t>
            </w:r>
          </w:p>
        </w:tc>
        <w:tc>
          <w:tcPr>
            <w:tcW w:w="851" w:type="dxa"/>
            <w:vAlign w:val="bottom"/>
          </w:tcPr>
          <w:p w14:paraId="76BD377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405E6E9" w14:textId="77777777" w:rsidR="0012790E" w:rsidRPr="0012790E" w:rsidRDefault="0012790E">
            <w:pPr>
              <w:pStyle w:val="Summarytabletextrightaligned"/>
              <w:rPr>
                <w:szCs w:val="16"/>
              </w:rPr>
            </w:pPr>
            <w:r w:rsidRPr="0012790E">
              <w:rPr>
                <w:szCs w:val="16"/>
              </w:rPr>
              <w:t>9.6</w:t>
            </w:r>
          </w:p>
        </w:tc>
        <w:tc>
          <w:tcPr>
            <w:tcW w:w="851" w:type="dxa"/>
            <w:vAlign w:val="bottom"/>
          </w:tcPr>
          <w:p w14:paraId="01785D47" w14:textId="77777777" w:rsidR="0012790E" w:rsidRPr="0012790E" w:rsidRDefault="0012790E">
            <w:pPr>
              <w:pStyle w:val="Summarytabletextrightaligned"/>
              <w:rPr>
                <w:szCs w:val="16"/>
              </w:rPr>
            </w:pPr>
            <w:r w:rsidRPr="0012790E">
              <w:rPr>
                <w:szCs w:val="16"/>
              </w:rPr>
              <w:t>27.6</w:t>
            </w:r>
          </w:p>
        </w:tc>
        <w:tc>
          <w:tcPr>
            <w:tcW w:w="851" w:type="dxa"/>
            <w:vAlign w:val="bottom"/>
          </w:tcPr>
          <w:p w14:paraId="019F1E1A" w14:textId="77777777" w:rsidR="0012790E" w:rsidRPr="0012790E" w:rsidRDefault="0012790E">
            <w:pPr>
              <w:pStyle w:val="Summarytabletextrightaligned"/>
              <w:rPr>
                <w:szCs w:val="16"/>
              </w:rPr>
            </w:pPr>
            <w:r w:rsidRPr="0012790E">
              <w:rPr>
                <w:szCs w:val="16"/>
              </w:rPr>
              <w:t>31.5</w:t>
            </w:r>
          </w:p>
        </w:tc>
        <w:tc>
          <w:tcPr>
            <w:tcW w:w="851" w:type="dxa"/>
            <w:vAlign w:val="bottom"/>
          </w:tcPr>
          <w:p w14:paraId="50526C7D" w14:textId="77777777" w:rsidR="0012790E" w:rsidRPr="0012790E" w:rsidRDefault="0012790E">
            <w:pPr>
              <w:pStyle w:val="Summarytabletextrightaligned"/>
              <w:rPr>
                <w:szCs w:val="16"/>
              </w:rPr>
            </w:pPr>
            <w:r w:rsidRPr="0012790E">
              <w:rPr>
                <w:szCs w:val="16"/>
              </w:rPr>
              <w:t>28.8</w:t>
            </w:r>
          </w:p>
        </w:tc>
      </w:tr>
      <w:tr w:rsidR="0012790E" w:rsidRPr="0012790E" w14:paraId="43F1A557" w14:textId="77777777">
        <w:tc>
          <w:tcPr>
            <w:tcW w:w="3470" w:type="dxa"/>
            <w:shd w:val="clear" w:color="auto" w:fill="auto"/>
            <w:vAlign w:val="bottom"/>
          </w:tcPr>
          <w:p w14:paraId="2671D441" w14:textId="77777777" w:rsidR="0012790E" w:rsidRPr="0012790E" w:rsidRDefault="0012790E">
            <w:pPr>
              <w:pStyle w:val="SummaryMeasureTitlewithTheme"/>
            </w:pPr>
            <w:r w:rsidRPr="0012790E">
              <w:t>Permanent Migration Program – 2024</w:t>
            </w:r>
            <w:r w:rsidRPr="0012790E">
              <w:noBreakHyphen/>
              <w:t>25 planning levels and multi</w:t>
            </w:r>
            <w:r w:rsidRPr="0012790E">
              <w:noBreakHyphen/>
              <w:t>year planning(b)</w:t>
            </w:r>
          </w:p>
        </w:tc>
        <w:tc>
          <w:tcPr>
            <w:tcW w:w="851" w:type="dxa"/>
            <w:vAlign w:val="bottom"/>
          </w:tcPr>
          <w:p w14:paraId="77E87A2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CA43C3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3A797A6"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F718A94" w14:textId="77777777" w:rsidR="0012790E" w:rsidRPr="0012790E" w:rsidRDefault="0012790E">
            <w:pPr>
              <w:pStyle w:val="Summarytabletextrightaligned"/>
              <w:rPr>
                <w:szCs w:val="16"/>
              </w:rPr>
            </w:pPr>
            <w:r w:rsidRPr="0012790E">
              <w:rPr>
                <w:szCs w:val="16"/>
              </w:rPr>
              <w:t>..</w:t>
            </w:r>
          </w:p>
        </w:tc>
        <w:tc>
          <w:tcPr>
            <w:tcW w:w="851" w:type="dxa"/>
            <w:vAlign w:val="bottom"/>
          </w:tcPr>
          <w:p w14:paraId="01DE305A" w14:textId="77777777" w:rsidR="0012790E" w:rsidRPr="0012790E" w:rsidRDefault="0012790E">
            <w:pPr>
              <w:pStyle w:val="Summarytabletextrightaligned"/>
              <w:rPr>
                <w:szCs w:val="16"/>
              </w:rPr>
            </w:pPr>
            <w:r w:rsidRPr="0012790E">
              <w:rPr>
                <w:szCs w:val="16"/>
              </w:rPr>
              <w:t>..</w:t>
            </w:r>
          </w:p>
        </w:tc>
      </w:tr>
      <w:tr w:rsidR="0012790E" w:rsidRPr="0012790E" w14:paraId="2D0BBCFD" w14:textId="77777777">
        <w:tc>
          <w:tcPr>
            <w:tcW w:w="3470" w:type="dxa"/>
            <w:shd w:val="clear" w:color="auto" w:fill="auto"/>
            <w:vAlign w:val="bottom"/>
          </w:tcPr>
          <w:p w14:paraId="2860E0BD" w14:textId="77777777" w:rsidR="0012790E" w:rsidRPr="0012790E" w:rsidRDefault="0012790E">
            <w:pPr>
              <w:pStyle w:val="SummaryMeasureTitlewithTheme"/>
            </w:pPr>
            <w:r w:rsidRPr="0012790E">
              <w:t>Promoting TAFE and VET Pathways</w:t>
            </w:r>
          </w:p>
        </w:tc>
        <w:tc>
          <w:tcPr>
            <w:tcW w:w="851" w:type="dxa"/>
            <w:vAlign w:val="bottom"/>
          </w:tcPr>
          <w:p w14:paraId="279A6CE2"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A4FD2BF" w14:textId="77777777" w:rsidR="0012790E" w:rsidRPr="0012790E" w:rsidRDefault="0012790E">
            <w:pPr>
              <w:pStyle w:val="Summarytabletextrightaligned"/>
              <w:rPr>
                <w:szCs w:val="16"/>
              </w:rPr>
            </w:pPr>
            <w:r w:rsidRPr="0012790E">
              <w:rPr>
                <w:szCs w:val="16"/>
              </w:rPr>
              <w:t>4.4</w:t>
            </w:r>
          </w:p>
        </w:tc>
        <w:tc>
          <w:tcPr>
            <w:tcW w:w="851" w:type="dxa"/>
            <w:vAlign w:val="bottom"/>
          </w:tcPr>
          <w:p w14:paraId="1354CF8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7A9C48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6E57D7C" w14:textId="77777777" w:rsidR="0012790E" w:rsidRPr="0012790E" w:rsidRDefault="0012790E">
            <w:pPr>
              <w:pStyle w:val="Summarytabletextrightaligned"/>
              <w:rPr>
                <w:szCs w:val="16"/>
              </w:rPr>
            </w:pPr>
            <w:r w:rsidRPr="0012790E">
              <w:rPr>
                <w:szCs w:val="16"/>
              </w:rPr>
              <w:noBreakHyphen/>
            </w:r>
          </w:p>
        </w:tc>
      </w:tr>
      <w:tr w:rsidR="0012790E" w:rsidRPr="0012790E" w14:paraId="3D0C70A2" w14:textId="77777777">
        <w:tc>
          <w:tcPr>
            <w:tcW w:w="3470" w:type="dxa"/>
            <w:shd w:val="clear" w:color="auto" w:fill="auto"/>
            <w:vAlign w:val="bottom"/>
          </w:tcPr>
          <w:p w14:paraId="365DFF91" w14:textId="77777777" w:rsidR="0012790E" w:rsidRPr="0012790E" w:rsidRDefault="0012790E">
            <w:pPr>
              <w:pStyle w:val="SummaryMeasureTitlewithTheme"/>
            </w:pPr>
            <w:r w:rsidRPr="0012790E">
              <w:t>Remote Jobs and Economic Development Program</w:t>
            </w:r>
          </w:p>
        </w:tc>
        <w:tc>
          <w:tcPr>
            <w:tcW w:w="851" w:type="dxa"/>
            <w:vAlign w:val="bottom"/>
          </w:tcPr>
          <w:p w14:paraId="4F22265B"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C26523D" w14:textId="77777777" w:rsidR="0012790E" w:rsidRPr="0012790E" w:rsidRDefault="0012790E">
            <w:pPr>
              <w:pStyle w:val="Summarytabletextrightaligned"/>
              <w:rPr>
                <w:szCs w:val="16"/>
              </w:rPr>
            </w:pPr>
            <w:r w:rsidRPr="0012790E">
              <w:rPr>
                <w:szCs w:val="16"/>
              </w:rPr>
              <w:t>0.6</w:t>
            </w:r>
          </w:p>
        </w:tc>
        <w:tc>
          <w:tcPr>
            <w:tcW w:w="851" w:type="dxa"/>
            <w:vAlign w:val="bottom"/>
          </w:tcPr>
          <w:p w14:paraId="152DDE8E" w14:textId="77777777" w:rsidR="0012790E" w:rsidRPr="0012790E" w:rsidRDefault="0012790E">
            <w:pPr>
              <w:pStyle w:val="Summarytabletextrightaligned"/>
              <w:rPr>
                <w:szCs w:val="16"/>
              </w:rPr>
            </w:pPr>
            <w:r w:rsidRPr="0012790E">
              <w:rPr>
                <w:szCs w:val="16"/>
              </w:rPr>
              <w:t>0.5</w:t>
            </w:r>
          </w:p>
        </w:tc>
        <w:tc>
          <w:tcPr>
            <w:tcW w:w="851" w:type="dxa"/>
            <w:vAlign w:val="bottom"/>
          </w:tcPr>
          <w:p w14:paraId="1BBFB2BF" w14:textId="77777777" w:rsidR="0012790E" w:rsidRPr="0012790E" w:rsidRDefault="0012790E">
            <w:pPr>
              <w:pStyle w:val="Summarytabletextrightaligned"/>
              <w:rPr>
                <w:szCs w:val="16"/>
              </w:rPr>
            </w:pPr>
            <w:r w:rsidRPr="0012790E">
              <w:rPr>
                <w:szCs w:val="16"/>
              </w:rPr>
              <w:t>0.1</w:t>
            </w:r>
          </w:p>
        </w:tc>
        <w:tc>
          <w:tcPr>
            <w:tcW w:w="851" w:type="dxa"/>
            <w:vAlign w:val="bottom"/>
          </w:tcPr>
          <w:p w14:paraId="243915F7" w14:textId="77777777" w:rsidR="0012790E" w:rsidRPr="0012790E" w:rsidRDefault="0012790E">
            <w:pPr>
              <w:pStyle w:val="Summarytabletextrightaligned"/>
              <w:rPr>
                <w:szCs w:val="16"/>
              </w:rPr>
            </w:pPr>
            <w:r w:rsidRPr="0012790E">
              <w:rPr>
                <w:szCs w:val="16"/>
              </w:rPr>
              <w:t>0.1</w:t>
            </w:r>
          </w:p>
        </w:tc>
      </w:tr>
      <w:tr w:rsidR="0012790E" w:rsidRPr="0012790E" w14:paraId="58A1F9AF" w14:textId="77777777">
        <w:tc>
          <w:tcPr>
            <w:tcW w:w="3470" w:type="dxa"/>
            <w:shd w:val="clear" w:color="auto" w:fill="auto"/>
            <w:vAlign w:val="bottom"/>
          </w:tcPr>
          <w:p w14:paraId="2149D0C5" w14:textId="77777777" w:rsidR="0012790E" w:rsidRPr="0012790E" w:rsidRDefault="0012790E">
            <w:pPr>
              <w:pStyle w:val="SummaryMeasureTitlewithTheme"/>
            </w:pPr>
            <w:r w:rsidRPr="0012790E">
              <w:t>Services Australia – additional resourcing</w:t>
            </w:r>
          </w:p>
        </w:tc>
        <w:tc>
          <w:tcPr>
            <w:tcW w:w="851" w:type="dxa"/>
            <w:vAlign w:val="bottom"/>
          </w:tcPr>
          <w:p w14:paraId="27DAC7D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F317EBE" w14:textId="77777777" w:rsidR="0012790E" w:rsidRPr="0012790E" w:rsidRDefault="0012790E">
            <w:pPr>
              <w:pStyle w:val="Summarytabletextrightaligned"/>
              <w:rPr>
                <w:szCs w:val="16"/>
              </w:rPr>
            </w:pPr>
            <w:r w:rsidRPr="0012790E">
              <w:rPr>
                <w:szCs w:val="16"/>
              </w:rPr>
              <w:t>0.4</w:t>
            </w:r>
          </w:p>
        </w:tc>
        <w:tc>
          <w:tcPr>
            <w:tcW w:w="851" w:type="dxa"/>
            <w:vAlign w:val="bottom"/>
          </w:tcPr>
          <w:p w14:paraId="78D7E74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DCFBD9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5A867C5" w14:textId="77777777" w:rsidR="0012790E" w:rsidRPr="0012790E" w:rsidRDefault="0012790E">
            <w:pPr>
              <w:pStyle w:val="Summarytabletextrightaligned"/>
              <w:rPr>
                <w:szCs w:val="16"/>
              </w:rPr>
            </w:pPr>
            <w:r w:rsidRPr="0012790E">
              <w:rPr>
                <w:szCs w:val="16"/>
              </w:rPr>
              <w:noBreakHyphen/>
            </w:r>
          </w:p>
        </w:tc>
      </w:tr>
      <w:tr w:rsidR="0012790E" w:rsidRPr="0012790E" w14:paraId="62789AB9" w14:textId="77777777">
        <w:tc>
          <w:tcPr>
            <w:tcW w:w="3470" w:type="dxa"/>
            <w:shd w:val="clear" w:color="auto" w:fill="auto"/>
            <w:vAlign w:val="bottom"/>
          </w:tcPr>
          <w:p w14:paraId="58F497FF" w14:textId="77777777" w:rsidR="0012790E" w:rsidRPr="0012790E" w:rsidRDefault="0012790E">
            <w:pPr>
              <w:pStyle w:val="SummaryMeasureTitlewithTheme"/>
            </w:pPr>
            <w:r w:rsidRPr="0012790E">
              <w:t>Supporting Safety and Responsible Decommissioning in the Offshore Resources Sector</w:t>
            </w:r>
          </w:p>
        </w:tc>
        <w:tc>
          <w:tcPr>
            <w:tcW w:w="851" w:type="dxa"/>
            <w:vAlign w:val="bottom"/>
          </w:tcPr>
          <w:p w14:paraId="3A780148" w14:textId="5C419CE6" w:rsidR="0012790E" w:rsidRPr="0012790E" w:rsidRDefault="004F6F95">
            <w:pPr>
              <w:pStyle w:val="Summarytabletextrightaligned"/>
              <w:rPr>
                <w:szCs w:val="16"/>
              </w:rPr>
            </w:pPr>
            <w:r>
              <w:rPr>
                <w:szCs w:val="16"/>
              </w:rPr>
              <w:t>-</w:t>
            </w:r>
          </w:p>
        </w:tc>
        <w:tc>
          <w:tcPr>
            <w:tcW w:w="851" w:type="dxa"/>
            <w:shd w:val="clear" w:color="auto" w:fill="E6F2FF"/>
            <w:vAlign w:val="bottom"/>
          </w:tcPr>
          <w:p w14:paraId="28D5F35C" w14:textId="5C2D0BDA" w:rsidR="0012790E" w:rsidRPr="0012790E" w:rsidRDefault="004F6F95">
            <w:pPr>
              <w:pStyle w:val="Summarytabletextrightaligned"/>
              <w:rPr>
                <w:szCs w:val="16"/>
              </w:rPr>
            </w:pPr>
            <w:r>
              <w:rPr>
                <w:szCs w:val="16"/>
              </w:rPr>
              <w:t>-</w:t>
            </w:r>
          </w:p>
        </w:tc>
        <w:tc>
          <w:tcPr>
            <w:tcW w:w="851" w:type="dxa"/>
            <w:vAlign w:val="bottom"/>
          </w:tcPr>
          <w:p w14:paraId="32E5DFD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7C94FF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10E73AD" w14:textId="77777777" w:rsidR="0012790E" w:rsidRPr="0012790E" w:rsidRDefault="0012790E">
            <w:pPr>
              <w:pStyle w:val="Summarytabletextrightaligned"/>
              <w:rPr>
                <w:szCs w:val="16"/>
              </w:rPr>
            </w:pPr>
            <w:r w:rsidRPr="0012790E">
              <w:rPr>
                <w:szCs w:val="16"/>
              </w:rPr>
              <w:noBreakHyphen/>
            </w:r>
          </w:p>
        </w:tc>
      </w:tr>
      <w:tr w:rsidR="0012790E" w:rsidRPr="0012790E" w14:paraId="2E34A577" w14:textId="77777777">
        <w:tc>
          <w:tcPr>
            <w:tcW w:w="3470" w:type="dxa"/>
            <w:shd w:val="clear" w:color="auto" w:fill="auto"/>
            <w:vAlign w:val="bottom"/>
          </w:tcPr>
          <w:p w14:paraId="47D4941B" w14:textId="77777777" w:rsidR="0012790E" w:rsidRPr="0012790E" w:rsidRDefault="0012790E">
            <w:pPr>
              <w:pStyle w:val="SummaryMeasureTitlewithTheme"/>
            </w:pPr>
            <w:r w:rsidRPr="0012790E">
              <w:t>Workplace Relations(b)</w:t>
            </w:r>
          </w:p>
        </w:tc>
        <w:tc>
          <w:tcPr>
            <w:tcW w:w="851" w:type="dxa"/>
            <w:vAlign w:val="bottom"/>
          </w:tcPr>
          <w:p w14:paraId="4142B50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7280352" w14:textId="77777777" w:rsidR="0012790E" w:rsidRPr="0012790E" w:rsidRDefault="0012790E">
            <w:pPr>
              <w:pStyle w:val="Summarytabletextrightaligned"/>
              <w:rPr>
                <w:szCs w:val="16"/>
              </w:rPr>
            </w:pPr>
            <w:r w:rsidRPr="0012790E">
              <w:rPr>
                <w:szCs w:val="16"/>
              </w:rPr>
              <w:t>13.2</w:t>
            </w:r>
          </w:p>
        </w:tc>
        <w:tc>
          <w:tcPr>
            <w:tcW w:w="851" w:type="dxa"/>
            <w:vAlign w:val="bottom"/>
          </w:tcPr>
          <w:p w14:paraId="15142D98" w14:textId="77777777" w:rsidR="0012790E" w:rsidRPr="0012790E" w:rsidRDefault="0012790E">
            <w:pPr>
              <w:pStyle w:val="Summarytabletextrightaligned"/>
              <w:rPr>
                <w:szCs w:val="16"/>
              </w:rPr>
            </w:pPr>
            <w:r w:rsidRPr="0012790E">
              <w:rPr>
                <w:szCs w:val="16"/>
              </w:rPr>
              <w:t>27.4</w:t>
            </w:r>
          </w:p>
        </w:tc>
        <w:tc>
          <w:tcPr>
            <w:tcW w:w="851" w:type="dxa"/>
            <w:vAlign w:val="bottom"/>
          </w:tcPr>
          <w:p w14:paraId="4225DAAA" w14:textId="77777777" w:rsidR="0012790E" w:rsidRPr="0012790E" w:rsidRDefault="0012790E">
            <w:pPr>
              <w:pStyle w:val="Summarytabletextrightaligned"/>
              <w:rPr>
                <w:szCs w:val="16"/>
              </w:rPr>
            </w:pPr>
            <w:r w:rsidRPr="0012790E">
              <w:rPr>
                <w:szCs w:val="16"/>
              </w:rPr>
              <w:t>29.1</w:t>
            </w:r>
          </w:p>
        </w:tc>
        <w:tc>
          <w:tcPr>
            <w:tcW w:w="851" w:type="dxa"/>
            <w:vAlign w:val="bottom"/>
          </w:tcPr>
          <w:p w14:paraId="4142794F" w14:textId="77777777" w:rsidR="0012790E" w:rsidRPr="0012790E" w:rsidRDefault="0012790E">
            <w:pPr>
              <w:pStyle w:val="Summarytabletextrightaligned"/>
              <w:rPr>
                <w:szCs w:val="16"/>
              </w:rPr>
            </w:pPr>
            <w:r w:rsidRPr="0012790E">
              <w:rPr>
                <w:szCs w:val="16"/>
              </w:rPr>
              <w:t>29.2</w:t>
            </w:r>
          </w:p>
        </w:tc>
      </w:tr>
      <w:tr w:rsidR="0012790E" w:rsidRPr="0012790E" w14:paraId="7747AACD" w14:textId="77777777">
        <w:tc>
          <w:tcPr>
            <w:tcW w:w="3470" w:type="dxa"/>
            <w:shd w:val="clear" w:color="auto" w:fill="auto"/>
            <w:vAlign w:val="bottom"/>
          </w:tcPr>
          <w:p w14:paraId="34BC90EF" w14:textId="77777777" w:rsidR="0012790E" w:rsidRPr="0012790E" w:rsidRDefault="0012790E">
            <w:pPr>
              <w:pStyle w:val="SummaryAgencyTitle-BP2"/>
              <w:rPr>
                <w:iCs/>
              </w:rPr>
            </w:pPr>
            <w:r w:rsidRPr="0012790E">
              <w:rPr>
                <w:iCs/>
              </w:rPr>
              <w:t>Fair Work Commission</w:t>
            </w:r>
          </w:p>
        </w:tc>
        <w:tc>
          <w:tcPr>
            <w:tcW w:w="851" w:type="dxa"/>
            <w:vAlign w:val="bottom"/>
          </w:tcPr>
          <w:p w14:paraId="4110FE56" w14:textId="77777777" w:rsidR="0012790E" w:rsidRPr="0012790E" w:rsidRDefault="0012790E">
            <w:pPr>
              <w:pStyle w:val="SummaryAgencyTitle-BP2"/>
              <w:rPr>
                <w:iCs/>
              </w:rPr>
            </w:pPr>
          </w:p>
        </w:tc>
        <w:tc>
          <w:tcPr>
            <w:tcW w:w="851" w:type="dxa"/>
            <w:shd w:val="clear" w:color="auto" w:fill="E6F2FF"/>
            <w:vAlign w:val="bottom"/>
          </w:tcPr>
          <w:p w14:paraId="43F9F718" w14:textId="77777777" w:rsidR="0012790E" w:rsidRPr="0012790E" w:rsidRDefault="0012790E">
            <w:pPr>
              <w:pStyle w:val="SummaryAgencyTitle-BP2"/>
              <w:rPr>
                <w:iCs/>
              </w:rPr>
            </w:pPr>
          </w:p>
        </w:tc>
        <w:tc>
          <w:tcPr>
            <w:tcW w:w="851" w:type="dxa"/>
            <w:vAlign w:val="bottom"/>
          </w:tcPr>
          <w:p w14:paraId="678922FE" w14:textId="77777777" w:rsidR="0012790E" w:rsidRPr="0012790E" w:rsidRDefault="0012790E">
            <w:pPr>
              <w:pStyle w:val="SummaryAgencyTitle-BP2"/>
              <w:rPr>
                <w:iCs/>
              </w:rPr>
            </w:pPr>
          </w:p>
        </w:tc>
        <w:tc>
          <w:tcPr>
            <w:tcW w:w="851" w:type="dxa"/>
            <w:vAlign w:val="bottom"/>
          </w:tcPr>
          <w:p w14:paraId="13104ADC" w14:textId="77777777" w:rsidR="0012790E" w:rsidRPr="0012790E" w:rsidRDefault="0012790E">
            <w:pPr>
              <w:pStyle w:val="SummaryAgencyTitle-BP2"/>
              <w:rPr>
                <w:iCs/>
              </w:rPr>
            </w:pPr>
          </w:p>
        </w:tc>
        <w:tc>
          <w:tcPr>
            <w:tcW w:w="851" w:type="dxa"/>
            <w:vAlign w:val="bottom"/>
          </w:tcPr>
          <w:p w14:paraId="73149291" w14:textId="77777777" w:rsidR="0012790E" w:rsidRPr="0012790E" w:rsidRDefault="0012790E">
            <w:pPr>
              <w:pStyle w:val="SummaryAgencyTitle-BP2"/>
              <w:rPr>
                <w:iCs/>
              </w:rPr>
            </w:pPr>
          </w:p>
        </w:tc>
      </w:tr>
      <w:tr w:rsidR="0012790E" w:rsidRPr="0012790E" w14:paraId="7E689BDA" w14:textId="77777777">
        <w:tc>
          <w:tcPr>
            <w:tcW w:w="3470" w:type="dxa"/>
            <w:tcBorders>
              <w:bottom w:val="single" w:sz="4" w:space="0" w:color="293F5B"/>
            </w:tcBorders>
            <w:shd w:val="clear" w:color="auto" w:fill="auto"/>
            <w:vAlign w:val="bottom"/>
          </w:tcPr>
          <w:p w14:paraId="13706A7E" w14:textId="77777777" w:rsidR="0012790E" w:rsidRPr="0012790E" w:rsidRDefault="0012790E">
            <w:pPr>
              <w:pStyle w:val="SummaryMeasureTitlewithTheme"/>
            </w:pPr>
            <w:r w:rsidRPr="0012790E">
              <w:t>Net Zero Economy</w:t>
            </w:r>
          </w:p>
        </w:tc>
        <w:tc>
          <w:tcPr>
            <w:tcW w:w="851" w:type="dxa"/>
            <w:tcBorders>
              <w:bottom w:val="single" w:sz="4" w:space="0" w:color="293F5B"/>
            </w:tcBorders>
            <w:vAlign w:val="bottom"/>
          </w:tcPr>
          <w:p w14:paraId="5AB22C87"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00631F33" w14:textId="77777777" w:rsidR="0012790E" w:rsidRPr="0012790E" w:rsidRDefault="0012790E">
            <w:pPr>
              <w:pStyle w:val="Summarytabletextrightaligned"/>
              <w:rPr>
                <w:szCs w:val="16"/>
              </w:rPr>
            </w:pPr>
            <w:r w:rsidRPr="0012790E">
              <w:rPr>
                <w:szCs w:val="16"/>
              </w:rPr>
              <w:t>0.5</w:t>
            </w:r>
          </w:p>
        </w:tc>
        <w:tc>
          <w:tcPr>
            <w:tcW w:w="851" w:type="dxa"/>
            <w:tcBorders>
              <w:bottom w:val="single" w:sz="4" w:space="0" w:color="293F5B"/>
            </w:tcBorders>
            <w:vAlign w:val="bottom"/>
          </w:tcPr>
          <w:p w14:paraId="75B08712" w14:textId="77777777" w:rsidR="0012790E" w:rsidRPr="0012790E" w:rsidRDefault="0012790E">
            <w:pPr>
              <w:pStyle w:val="Summarytabletextrightaligned"/>
              <w:rPr>
                <w:szCs w:val="16"/>
              </w:rPr>
            </w:pPr>
            <w:r w:rsidRPr="0012790E">
              <w:rPr>
                <w:szCs w:val="16"/>
              </w:rPr>
              <w:t>0.5</w:t>
            </w:r>
          </w:p>
        </w:tc>
        <w:tc>
          <w:tcPr>
            <w:tcW w:w="851" w:type="dxa"/>
            <w:tcBorders>
              <w:bottom w:val="single" w:sz="4" w:space="0" w:color="293F5B"/>
            </w:tcBorders>
            <w:vAlign w:val="bottom"/>
          </w:tcPr>
          <w:p w14:paraId="103AA971" w14:textId="77777777" w:rsidR="0012790E" w:rsidRPr="0012790E" w:rsidRDefault="0012790E">
            <w:pPr>
              <w:pStyle w:val="Summarytabletextrightaligned"/>
              <w:rPr>
                <w:szCs w:val="16"/>
              </w:rPr>
            </w:pPr>
            <w:r w:rsidRPr="0012790E">
              <w:rPr>
                <w:szCs w:val="16"/>
              </w:rPr>
              <w:t>0.5</w:t>
            </w:r>
          </w:p>
        </w:tc>
        <w:tc>
          <w:tcPr>
            <w:tcW w:w="851" w:type="dxa"/>
            <w:tcBorders>
              <w:bottom w:val="single" w:sz="4" w:space="0" w:color="293F5B"/>
            </w:tcBorders>
            <w:vAlign w:val="bottom"/>
          </w:tcPr>
          <w:p w14:paraId="35830521" w14:textId="77777777" w:rsidR="0012790E" w:rsidRPr="0012790E" w:rsidRDefault="0012790E">
            <w:pPr>
              <w:pStyle w:val="Summarytabletextrightaligned"/>
              <w:rPr>
                <w:szCs w:val="16"/>
              </w:rPr>
            </w:pPr>
            <w:r w:rsidRPr="0012790E">
              <w:rPr>
                <w:szCs w:val="16"/>
              </w:rPr>
              <w:t>0.5</w:t>
            </w:r>
          </w:p>
        </w:tc>
      </w:tr>
    </w:tbl>
    <w:p w14:paraId="0E2FE45F" w14:textId="77777777" w:rsidR="0012790E" w:rsidRPr="0012790E" w:rsidRDefault="0012790E" w:rsidP="0012790E">
      <w:pPr>
        <w:pStyle w:val="TableHeadingcontinued"/>
        <w:sectPr w:rsidR="0012790E" w:rsidRPr="0012790E" w:rsidSect="00EA5BFE">
          <w:headerReference w:type="even" r:id="rId51"/>
          <w:headerReference w:type="default" r:id="rId52"/>
          <w:footerReference w:type="even" r:id="rId53"/>
          <w:footerReference w:type="default" r:id="rId54"/>
          <w:footerReference w:type="first" r:id="rId55"/>
          <w:pgSz w:w="11905" w:h="16837"/>
          <w:pgMar w:top="2835" w:right="2098" w:bottom="2466" w:left="2098" w:header="1814" w:footer="1814" w:gutter="0"/>
          <w:cols w:space="720"/>
          <w:noEndnote/>
          <w:docGrid w:linePitch="272"/>
        </w:sectPr>
      </w:pPr>
    </w:p>
    <w:p w14:paraId="1295A6AC" w14:textId="77777777" w:rsidR="0012790E" w:rsidRPr="0012790E" w:rsidRDefault="0012790E" w:rsidP="0012790E">
      <w:pPr>
        <w:pStyle w:val="TableHeadingcontinued"/>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3DBD2ECE" w14:textId="77777777" w:rsidTr="54937204">
        <w:tc>
          <w:tcPr>
            <w:tcW w:w="3470" w:type="dxa"/>
            <w:tcBorders>
              <w:top w:val="single" w:sz="4" w:space="0" w:color="293F5B"/>
            </w:tcBorders>
            <w:shd w:val="clear" w:color="auto" w:fill="auto"/>
            <w:vAlign w:val="bottom"/>
          </w:tcPr>
          <w:p w14:paraId="1227C7BD"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1B265A6E"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2967ED5A"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130962CD"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6A20026D"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6909F306"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43EC4A30" w14:textId="77777777" w:rsidTr="54937204">
        <w:tc>
          <w:tcPr>
            <w:tcW w:w="3470" w:type="dxa"/>
            <w:shd w:val="clear" w:color="auto" w:fill="auto"/>
            <w:vAlign w:val="bottom"/>
          </w:tcPr>
          <w:p w14:paraId="1DB977D2" w14:textId="77777777" w:rsidR="0012790E" w:rsidRPr="0012790E" w:rsidRDefault="0012790E">
            <w:pPr>
              <w:pStyle w:val="Summarytabletextrightaligned"/>
            </w:pPr>
          </w:p>
        </w:tc>
        <w:tc>
          <w:tcPr>
            <w:tcW w:w="851" w:type="dxa"/>
            <w:tcBorders>
              <w:bottom w:val="single" w:sz="4" w:space="0" w:color="293F5B"/>
            </w:tcBorders>
            <w:vAlign w:val="bottom"/>
          </w:tcPr>
          <w:p w14:paraId="6F3664BD"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14C3A25F"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3038C5CB"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0D08C7D4"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24E6C3A5" w14:textId="77777777" w:rsidR="0012790E" w:rsidRPr="0012790E" w:rsidRDefault="0012790E">
            <w:pPr>
              <w:pStyle w:val="Summarytabletextrightaligned"/>
            </w:pPr>
            <w:r w:rsidRPr="0012790E">
              <w:t>$m</w:t>
            </w:r>
          </w:p>
        </w:tc>
      </w:tr>
      <w:tr w:rsidR="0012790E" w:rsidRPr="0012790E" w14:paraId="41A8B222" w14:textId="77777777" w:rsidTr="54937204">
        <w:tc>
          <w:tcPr>
            <w:tcW w:w="3470" w:type="dxa"/>
            <w:shd w:val="clear" w:color="auto" w:fill="auto"/>
            <w:vAlign w:val="bottom"/>
          </w:tcPr>
          <w:p w14:paraId="5AE6E495" w14:textId="77777777" w:rsidR="0012790E" w:rsidRPr="0012790E" w:rsidRDefault="0012790E" w:rsidP="000D3386">
            <w:pPr>
              <w:pStyle w:val="SummaryAgencyTitle-BP2"/>
              <w:ind w:left="0" w:firstLine="0"/>
              <w:rPr>
                <w:b/>
                <w:i w:val="0"/>
                <w:iCs/>
              </w:rPr>
            </w:pPr>
            <w:r w:rsidRPr="0012790E">
              <w:rPr>
                <w:b/>
                <w:i w:val="0"/>
                <w:iCs/>
              </w:rPr>
              <w:t>EMPLOYMENT AND WORKPLACE RELATIONS (continued)</w:t>
            </w:r>
          </w:p>
        </w:tc>
        <w:tc>
          <w:tcPr>
            <w:tcW w:w="851" w:type="dxa"/>
            <w:vAlign w:val="bottom"/>
          </w:tcPr>
          <w:p w14:paraId="66DC1D77" w14:textId="77777777" w:rsidR="0012790E" w:rsidRPr="0012790E" w:rsidRDefault="0012790E">
            <w:pPr>
              <w:pStyle w:val="SummaryAgencyTitle-BP2"/>
              <w:rPr>
                <w:iCs/>
              </w:rPr>
            </w:pPr>
          </w:p>
        </w:tc>
        <w:tc>
          <w:tcPr>
            <w:tcW w:w="851" w:type="dxa"/>
            <w:shd w:val="clear" w:color="auto" w:fill="E6F2FF"/>
            <w:vAlign w:val="bottom"/>
          </w:tcPr>
          <w:p w14:paraId="2563494E" w14:textId="77777777" w:rsidR="0012790E" w:rsidRPr="0012790E" w:rsidRDefault="0012790E">
            <w:pPr>
              <w:pStyle w:val="SummaryAgencyTitle-BP2"/>
              <w:rPr>
                <w:iCs/>
              </w:rPr>
            </w:pPr>
          </w:p>
        </w:tc>
        <w:tc>
          <w:tcPr>
            <w:tcW w:w="851" w:type="dxa"/>
            <w:vAlign w:val="bottom"/>
          </w:tcPr>
          <w:p w14:paraId="6CFFFE77" w14:textId="77777777" w:rsidR="0012790E" w:rsidRPr="0012790E" w:rsidRDefault="0012790E">
            <w:pPr>
              <w:pStyle w:val="SummaryAgencyTitle-BP2"/>
              <w:rPr>
                <w:iCs/>
              </w:rPr>
            </w:pPr>
          </w:p>
        </w:tc>
        <w:tc>
          <w:tcPr>
            <w:tcW w:w="851" w:type="dxa"/>
            <w:vAlign w:val="bottom"/>
          </w:tcPr>
          <w:p w14:paraId="33D1FFDC" w14:textId="77777777" w:rsidR="0012790E" w:rsidRPr="0012790E" w:rsidRDefault="0012790E">
            <w:pPr>
              <w:pStyle w:val="SummaryAgencyTitle-BP2"/>
              <w:rPr>
                <w:iCs/>
              </w:rPr>
            </w:pPr>
          </w:p>
        </w:tc>
        <w:tc>
          <w:tcPr>
            <w:tcW w:w="851" w:type="dxa"/>
            <w:vAlign w:val="bottom"/>
          </w:tcPr>
          <w:p w14:paraId="1A5172AA" w14:textId="77777777" w:rsidR="0012790E" w:rsidRPr="0012790E" w:rsidRDefault="0012790E">
            <w:pPr>
              <w:pStyle w:val="SummaryAgencyTitle-BP2"/>
              <w:rPr>
                <w:iCs/>
              </w:rPr>
            </w:pPr>
          </w:p>
        </w:tc>
      </w:tr>
      <w:tr w:rsidR="0012790E" w:rsidRPr="0012790E" w14:paraId="16C75762" w14:textId="77777777" w:rsidTr="54937204">
        <w:tc>
          <w:tcPr>
            <w:tcW w:w="3470" w:type="dxa"/>
            <w:shd w:val="clear" w:color="auto" w:fill="auto"/>
            <w:vAlign w:val="bottom"/>
          </w:tcPr>
          <w:p w14:paraId="7FC69C0A" w14:textId="77777777" w:rsidR="0012790E" w:rsidRPr="0012790E" w:rsidRDefault="0012790E">
            <w:pPr>
              <w:pStyle w:val="SummaryAgencyTitle-BP2"/>
              <w:rPr>
                <w:iCs/>
              </w:rPr>
            </w:pPr>
            <w:r w:rsidRPr="0012790E">
              <w:rPr>
                <w:iCs/>
              </w:rPr>
              <w:t>Office of the Fair Work Ombudsman</w:t>
            </w:r>
          </w:p>
        </w:tc>
        <w:tc>
          <w:tcPr>
            <w:tcW w:w="851" w:type="dxa"/>
            <w:vAlign w:val="bottom"/>
          </w:tcPr>
          <w:p w14:paraId="015D15BC" w14:textId="77777777" w:rsidR="0012790E" w:rsidRPr="0012790E" w:rsidRDefault="0012790E">
            <w:pPr>
              <w:pStyle w:val="SummaryAgencyTitle-BP2"/>
              <w:rPr>
                <w:iCs/>
              </w:rPr>
            </w:pPr>
          </w:p>
        </w:tc>
        <w:tc>
          <w:tcPr>
            <w:tcW w:w="851" w:type="dxa"/>
            <w:shd w:val="clear" w:color="auto" w:fill="E6F2FF"/>
            <w:vAlign w:val="bottom"/>
          </w:tcPr>
          <w:p w14:paraId="6B178890" w14:textId="77777777" w:rsidR="0012790E" w:rsidRPr="0012790E" w:rsidRDefault="0012790E">
            <w:pPr>
              <w:pStyle w:val="SummaryAgencyTitle-BP2"/>
              <w:rPr>
                <w:iCs/>
              </w:rPr>
            </w:pPr>
          </w:p>
        </w:tc>
        <w:tc>
          <w:tcPr>
            <w:tcW w:w="851" w:type="dxa"/>
            <w:vAlign w:val="bottom"/>
          </w:tcPr>
          <w:p w14:paraId="00DEF028" w14:textId="77777777" w:rsidR="0012790E" w:rsidRPr="0012790E" w:rsidRDefault="0012790E">
            <w:pPr>
              <w:pStyle w:val="SummaryAgencyTitle-BP2"/>
              <w:rPr>
                <w:iCs/>
              </w:rPr>
            </w:pPr>
          </w:p>
        </w:tc>
        <w:tc>
          <w:tcPr>
            <w:tcW w:w="851" w:type="dxa"/>
            <w:vAlign w:val="bottom"/>
          </w:tcPr>
          <w:p w14:paraId="03AFE682" w14:textId="77777777" w:rsidR="0012790E" w:rsidRPr="0012790E" w:rsidRDefault="0012790E">
            <w:pPr>
              <w:pStyle w:val="SummaryAgencyTitle-BP2"/>
              <w:rPr>
                <w:iCs/>
              </w:rPr>
            </w:pPr>
          </w:p>
        </w:tc>
        <w:tc>
          <w:tcPr>
            <w:tcW w:w="851" w:type="dxa"/>
            <w:vAlign w:val="bottom"/>
          </w:tcPr>
          <w:p w14:paraId="0E2AB0A5" w14:textId="77777777" w:rsidR="0012790E" w:rsidRPr="0012790E" w:rsidRDefault="0012790E">
            <w:pPr>
              <w:pStyle w:val="SummaryAgencyTitle-BP2"/>
              <w:rPr>
                <w:iCs/>
              </w:rPr>
            </w:pPr>
          </w:p>
        </w:tc>
      </w:tr>
      <w:tr w:rsidR="0012790E" w:rsidRPr="0012790E" w14:paraId="72CC6A3A" w14:textId="77777777" w:rsidTr="54937204">
        <w:tc>
          <w:tcPr>
            <w:tcW w:w="3470" w:type="dxa"/>
            <w:shd w:val="clear" w:color="auto" w:fill="auto"/>
            <w:vAlign w:val="bottom"/>
          </w:tcPr>
          <w:p w14:paraId="78700FF7" w14:textId="77777777" w:rsidR="0012790E" w:rsidRPr="0012790E" w:rsidRDefault="0012790E">
            <w:pPr>
              <w:pStyle w:val="SummaryMeasureTitlewithTheme"/>
            </w:pPr>
            <w:r w:rsidRPr="0012790E">
              <w:t>Delivering a Strategic Fleet</w:t>
            </w:r>
          </w:p>
        </w:tc>
        <w:tc>
          <w:tcPr>
            <w:tcW w:w="851" w:type="dxa"/>
            <w:vAlign w:val="bottom"/>
          </w:tcPr>
          <w:p w14:paraId="7E21600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16F1011" w14:textId="77777777" w:rsidR="0012790E" w:rsidRPr="0012790E" w:rsidRDefault="0012790E">
            <w:pPr>
              <w:pStyle w:val="Summarytabletextrightaligned"/>
              <w:rPr>
                <w:szCs w:val="16"/>
              </w:rPr>
            </w:pPr>
            <w:r w:rsidRPr="0012790E">
              <w:rPr>
                <w:szCs w:val="16"/>
              </w:rPr>
              <w:t>0.9</w:t>
            </w:r>
          </w:p>
        </w:tc>
        <w:tc>
          <w:tcPr>
            <w:tcW w:w="851" w:type="dxa"/>
            <w:vAlign w:val="bottom"/>
          </w:tcPr>
          <w:p w14:paraId="7CC83650" w14:textId="77777777" w:rsidR="0012790E" w:rsidRPr="0012790E" w:rsidRDefault="0012790E">
            <w:pPr>
              <w:pStyle w:val="Summarytabletextrightaligned"/>
              <w:rPr>
                <w:szCs w:val="16"/>
              </w:rPr>
            </w:pPr>
            <w:r w:rsidRPr="0012790E">
              <w:rPr>
                <w:szCs w:val="16"/>
              </w:rPr>
              <w:t>0.9</w:t>
            </w:r>
          </w:p>
        </w:tc>
        <w:tc>
          <w:tcPr>
            <w:tcW w:w="851" w:type="dxa"/>
            <w:vAlign w:val="bottom"/>
          </w:tcPr>
          <w:p w14:paraId="27D8889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8FD91BA" w14:textId="77777777" w:rsidR="0012790E" w:rsidRPr="0012790E" w:rsidRDefault="0012790E">
            <w:pPr>
              <w:pStyle w:val="Summarytabletextrightaligned"/>
              <w:rPr>
                <w:szCs w:val="16"/>
              </w:rPr>
            </w:pPr>
            <w:r w:rsidRPr="0012790E">
              <w:rPr>
                <w:szCs w:val="16"/>
              </w:rPr>
              <w:noBreakHyphen/>
            </w:r>
          </w:p>
        </w:tc>
      </w:tr>
      <w:tr w:rsidR="0012790E" w:rsidRPr="0012790E" w14:paraId="1A54B115" w14:textId="77777777" w:rsidTr="54937204">
        <w:tc>
          <w:tcPr>
            <w:tcW w:w="3470" w:type="dxa"/>
            <w:shd w:val="clear" w:color="auto" w:fill="auto"/>
            <w:vAlign w:val="bottom"/>
          </w:tcPr>
          <w:p w14:paraId="27143539" w14:textId="77777777" w:rsidR="0012790E" w:rsidRPr="0012790E" w:rsidRDefault="0012790E">
            <w:pPr>
              <w:pStyle w:val="SummaryMeasureTitlewithTheme"/>
            </w:pPr>
            <w:r w:rsidRPr="0012790E">
              <w:t>Workplace Relations(b)</w:t>
            </w:r>
          </w:p>
        </w:tc>
        <w:tc>
          <w:tcPr>
            <w:tcW w:w="851" w:type="dxa"/>
            <w:tcBorders>
              <w:bottom w:val="single" w:sz="4" w:space="0" w:color="293F5B"/>
            </w:tcBorders>
            <w:vAlign w:val="bottom"/>
          </w:tcPr>
          <w:p w14:paraId="4D4A92D0"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40EF1DDD" w14:textId="77777777" w:rsidR="0012790E" w:rsidRPr="0012790E" w:rsidRDefault="0012790E">
            <w:pPr>
              <w:pStyle w:val="Summarytabletextrightaligned"/>
              <w:rPr>
                <w:szCs w:val="16"/>
              </w:rPr>
            </w:pPr>
            <w:r w:rsidRPr="0012790E">
              <w:rPr>
                <w:szCs w:val="16"/>
              </w:rPr>
              <w:t>8.6</w:t>
            </w:r>
          </w:p>
        </w:tc>
        <w:tc>
          <w:tcPr>
            <w:tcW w:w="851" w:type="dxa"/>
            <w:tcBorders>
              <w:bottom w:val="single" w:sz="4" w:space="0" w:color="293F5B"/>
            </w:tcBorders>
            <w:vAlign w:val="bottom"/>
          </w:tcPr>
          <w:p w14:paraId="30597B22" w14:textId="77777777" w:rsidR="0012790E" w:rsidRPr="0012790E" w:rsidRDefault="0012790E">
            <w:pPr>
              <w:pStyle w:val="Summarytabletextrightaligned"/>
              <w:rPr>
                <w:szCs w:val="16"/>
              </w:rPr>
            </w:pPr>
            <w:r w:rsidRPr="0012790E">
              <w:rPr>
                <w:szCs w:val="16"/>
              </w:rPr>
              <w:t>6.3</w:t>
            </w:r>
          </w:p>
        </w:tc>
        <w:tc>
          <w:tcPr>
            <w:tcW w:w="851" w:type="dxa"/>
            <w:tcBorders>
              <w:bottom w:val="single" w:sz="4" w:space="0" w:color="293F5B"/>
            </w:tcBorders>
            <w:vAlign w:val="bottom"/>
          </w:tcPr>
          <w:p w14:paraId="73D584A4" w14:textId="77777777" w:rsidR="0012790E" w:rsidRPr="0012790E" w:rsidRDefault="0012790E">
            <w:pPr>
              <w:pStyle w:val="Summarytabletextrightaligned"/>
              <w:rPr>
                <w:szCs w:val="16"/>
              </w:rPr>
            </w:pPr>
            <w:r w:rsidRPr="0012790E">
              <w:rPr>
                <w:szCs w:val="16"/>
              </w:rPr>
              <w:t>8.1</w:t>
            </w:r>
          </w:p>
        </w:tc>
        <w:tc>
          <w:tcPr>
            <w:tcW w:w="851" w:type="dxa"/>
            <w:tcBorders>
              <w:bottom w:val="single" w:sz="4" w:space="0" w:color="293F5B"/>
            </w:tcBorders>
            <w:vAlign w:val="bottom"/>
          </w:tcPr>
          <w:p w14:paraId="614E77BE" w14:textId="77777777" w:rsidR="0012790E" w:rsidRPr="0012790E" w:rsidRDefault="0012790E">
            <w:pPr>
              <w:pStyle w:val="Summarytabletextrightaligned"/>
              <w:rPr>
                <w:szCs w:val="16"/>
              </w:rPr>
            </w:pPr>
            <w:r w:rsidRPr="0012790E">
              <w:rPr>
                <w:szCs w:val="16"/>
              </w:rPr>
              <w:t>8.3</w:t>
            </w:r>
          </w:p>
        </w:tc>
      </w:tr>
      <w:tr w:rsidR="0012790E" w:rsidRPr="0012790E" w14:paraId="3CEE7D65" w14:textId="77777777" w:rsidTr="54937204">
        <w:tc>
          <w:tcPr>
            <w:tcW w:w="3470" w:type="dxa"/>
            <w:shd w:val="clear" w:color="auto" w:fill="auto"/>
            <w:vAlign w:val="bottom"/>
          </w:tcPr>
          <w:p w14:paraId="3E1A2C2D" w14:textId="77777777" w:rsidR="0012790E" w:rsidRPr="0012790E" w:rsidRDefault="0012790E">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0D1D8102" w14:textId="472CA467" w:rsidR="0012790E" w:rsidRPr="0012790E" w:rsidRDefault="00C8446B">
            <w:pPr>
              <w:pStyle w:val="Summarytabletextrightalignedbold"/>
              <w:rPr>
                <w:bCs/>
                <w:szCs w:val="16"/>
              </w:rPr>
            </w:pPr>
            <w:r>
              <w:rPr>
                <w:bCs/>
                <w:szCs w:val="16"/>
              </w:rPr>
              <w:t>-13.5</w:t>
            </w:r>
          </w:p>
        </w:tc>
        <w:tc>
          <w:tcPr>
            <w:tcW w:w="851" w:type="dxa"/>
            <w:tcBorders>
              <w:top w:val="single" w:sz="4" w:space="0" w:color="293F5B"/>
              <w:bottom w:val="single" w:sz="4" w:space="0" w:color="293F5B"/>
            </w:tcBorders>
            <w:shd w:val="clear" w:color="auto" w:fill="E6F2FF"/>
            <w:vAlign w:val="bottom"/>
          </w:tcPr>
          <w:p w14:paraId="3FEAE838" w14:textId="16ABE713" w:rsidR="0012790E" w:rsidRPr="0012790E" w:rsidRDefault="00C8446B">
            <w:pPr>
              <w:pStyle w:val="Summarytabletextrightalignedbold"/>
              <w:rPr>
                <w:bCs/>
                <w:szCs w:val="16"/>
              </w:rPr>
            </w:pPr>
            <w:r>
              <w:rPr>
                <w:bCs/>
                <w:szCs w:val="16"/>
              </w:rPr>
              <w:t>234.5</w:t>
            </w:r>
          </w:p>
        </w:tc>
        <w:tc>
          <w:tcPr>
            <w:tcW w:w="851" w:type="dxa"/>
            <w:tcBorders>
              <w:top w:val="single" w:sz="4" w:space="0" w:color="293F5B"/>
              <w:bottom w:val="single" w:sz="4" w:space="0" w:color="293F5B"/>
            </w:tcBorders>
            <w:vAlign w:val="bottom"/>
          </w:tcPr>
          <w:p w14:paraId="31DB728E" w14:textId="5BCC8DB5" w:rsidR="0012790E" w:rsidRPr="0012790E" w:rsidRDefault="00C8446B">
            <w:pPr>
              <w:pStyle w:val="Summarytabletextrightalignedbold"/>
              <w:rPr>
                <w:bCs/>
                <w:szCs w:val="16"/>
              </w:rPr>
            </w:pPr>
            <w:r>
              <w:rPr>
                <w:bCs/>
                <w:szCs w:val="16"/>
              </w:rPr>
              <w:t>323.1</w:t>
            </w:r>
          </w:p>
        </w:tc>
        <w:tc>
          <w:tcPr>
            <w:tcW w:w="851" w:type="dxa"/>
            <w:tcBorders>
              <w:top w:val="single" w:sz="4" w:space="0" w:color="293F5B"/>
              <w:bottom w:val="single" w:sz="4" w:space="0" w:color="293F5B"/>
            </w:tcBorders>
            <w:vAlign w:val="bottom"/>
          </w:tcPr>
          <w:p w14:paraId="4AC66CA1" w14:textId="51652F5F" w:rsidR="0012790E" w:rsidRPr="0012790E" w:rsidRDefault="0052254D">
            <w:pPr>
              <w:pStyle w:val="Summarytabletextrightalignedbold"/>
              <w:rPr>
                <w:bCs/>
                <w:szCs w:val="16"/>
              </w:rPr>
            </w:pPr>
            <w:r>
              <w:rPr>
                <w:bCs/>
                <w:szCs w:val="16"/>
              </w:rPr>
              <w:t>131.4</w:t>
            </w:r>
          </w:p>
        </w:tc>
        <w:tc>
          <w:tcPr>
            <w:tcW w:w="851" w:type="dxa"/>
            <w:tcBorders>
              <w:top w:val="single" w:sz="4" w:space="0" w:color="293F5B"/>
              <w:bottom w:val="single" w:sz="4" w:space="0" w:color="293F5B"/>
            </w:tcBorders>
            <w:vAlign w:val="bottom"/>
          </w:tcPr>
          <w:p w14:paraId="39423B6C" w14:textId="77777777" w:rsidR="0012790E" w:rsidRPr="0012790E" w:rsidRDefault="0012790E">
            <w:pPr>
              <w:pStyle w:val="Summarytabletextrightalignedbold"/>
              <w:rPr>
                <w:bCs/>
                <w:szCs w:val="16"/>
              </w:rPr>
            </w:pPr>
            <w:r w:rsidRPr="0012790E">
              <w:rPr>
                <w:bCs/>
                <w:szCs w:val="16"/>
              </w:rPr>
              <w:t>78.2</w:t>
            </w:r>
          </w:p>
        </w:tc>
      </w:tr>
      <w:tr w:rsidR="0012790E" w:rsidRPr="0012790E" w14:paraId="5669B960" w14:textId="77777777" w:rsidTr="54937204">
        <w:tc>
          <w:tcPr>
            <w:tcW w:w="3470" w:type="dxa"/>
            <w:shd w:val="clear" w:color="auto" w:fill="auto"/>
            <w:vAlign w:val="bottom"/>
          </w:tcPr>
          <w:p w14:paraId="244D5965" w14:textId="77777777" w:rsidR="0012790E" w:rsidRPr="0012790E" w:rsidRDefault="0012790E">
            <w:pPr>
              <w:pStyle w:val="SummaryPortfolioTitle-BP2"/>
            </w:pPr>
            <w:r w:rsidRPr="0012790E">
              <w:t>FINANCE</w:t>
            </w:r>
          </w:p>
        </w:tc>
        <w:tc>
          <w:tcPr>
            <w:tcW w:w="851" w:type="dxa"/>
            <w:tcBorders>
              <w:top w:val="single" w:sz="4" w:space="0" w:color="293F5B"/>
            </w:tcBorders>
            <w:vAlign w:val="bottom"/>
          </w:tcPr>
          <w:p w14:paraId="466B3907" w14:textId="77777777" w:rsidR="0012790E" w:rsidRPr="0012790E" w:rsidRDefault="0012790E">
            <w:pPr>
              <w:pStyle w:val="MeasureTableTextRightAlignedBefore6ptAfter1pt"/>
              <w:rPr>
                <w:b/>
                <w:bCs/>
              </w:rPr>
            </w:pPr>
          </w:p>
        </w:tc>
        <w:tc>
          <w:tcPr>
            <w:tcW w:w="851" w:type="dxa"/>
            <w:tcBorders>
              <w:top w:val="single" w:sz="4" w:space="0" w:color="293F5B"/>
            </w:tcBorders>
            <w:shd w:val="clear" w:color="auto" w:fill="E6F2FF"/>
            <w:vAlign w:val="bottom"/>
          </w:tcPr>
          <w:p w14:paraId="1A77AA5F"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7BCFB668"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6A95A0F3"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094C7D25" w14:textId="77777777" w:rsidR="0012790E" w:rsidRPr="0012790E" w:rsidRDefault="0012790E">
            <w:pPr>
              <w:pStyle w:val="MeasureTableTextRightAlignedBefore6ptAfter1pt"/>
              <w:rPr>
                <w:b/>
                <w:bCs/>
              </w:rPr>
            </w:pPr>
          </w:p>
        </w:tc>
      </w:tr>
      <w:tr w:rsidR="0012790E" w:rsidRPr="0012790E" w14:paraId="66C395DC" w14:textId="77777777" w:rsidTr="54937204">
        <w:tc>
          <w:tcPr>
            <w:tcW w:w="3470" w:type="dxa"/>
            <w:shd w:val="clear" w:color="auto" w:fill="auto"/>
            <w:vAlign w:val="bottom"/>
          </w:tcPr>
          <w:p w14:paraId="30F975E9" w14:textId="77777777" w:rsidR="0012790E" w:rsidRPr="0012790E" w:rsidRDefault="0012790E">
            <w:pPr>
              <w:pStyle w:val="SummaryAgencyTitle-BP2"/>
              <w:rPr>
                <w:iCs/>
              </w:rPr>
            </w:pPr>
            <w:r w:rsidRPr="0012790E">
              <w:rPr>
                <w:iCs/>
              </w:rPr>
              <w:t>Australian Electoral Commission</w:t>
            </w:r>
          </w:p>
        </w:tc>
        <w:tc>
          <w:tcPr>
            <w:tcW w:w="851" w:type="dxa"/>
            <w:vAlign w:val="bottom"/>
          </w:tcPr>
          <w:p w14:paraId="6D2D43E8" w14:textId="77777777" w:rsidR="0012790E" w:rsidRPr="0012790E" w:rsidRDefault="0012790E">
            <w:pPr>
              <w:pStyle w:val="SummaryAgencyTitle-BP2"/>
              <w:rPr>
                <w:iCs/>
              </w:rPr>
            </w:pPr>
          </w:p>
        </w:tc>
        <w:tc>
          <w:tcPr>
            <w:tcW w:w="851" w:type="dxa"/>
            <w:shd w:val="clear" w:color="auto" w:fill="E6F2FF"/>
            <w:vAlign w:val="bottom"/>
          </w:tcPr>
          <w:p w14:paraId="7C931A6E" w14:textId="77777777" w:rsidR="0012790E" w:rsidRPr="0012790E" w:rsidRDefault="0012790E">
            <w:pPr>
              <w:pStyle w:val="SummaryAgencyTitle-BP2"/>
              <w:rPr>
                <w:iCs/>
              </w:rPr>
            </w:pPr>
          </w:p>
        </w:tc>
        <w:tc>
          <w:tcPr>
            <w:tcW w:w="851" w:type="dxa"/>
            <w:vAlign w:val="bottom"/>
          </w:tcPr>
          <w:p w14:paraId="3269F79B" w14:textId="77777777" w:rsidR="0012790E" w:rsidRPr="0012790E" w:rsidRDefault="0012790E">
            <w:pPr>
              <w:pStyle w:val="SummaryAgencyTitle-BP2"/>
              <w:rPr>
                <w:iCs/>
              </w:rPr>
            </w:pPr>
          </w:p>
        </w:tc>
        <w:tc>
          <w:tcPr>
            <w:tcW w:w="851" w:type="dxa"/>
            <w:vAlign w:val="bottom"/>
          </w:tcPr>
          <w:p w14:paraId="264CC2B6" w14:textId="77777777" w:rsidR="0012790E" w:rsidRPr="0012790E" w:rsidRDefault="0012790E">
            <w:pPr>
              <w:pStyle w:val="SummaryAgencyTitle-BP2"/>
              <w:rPr>
                <w:iCs/>
              </w:rPr>
            </w:pPr>
          </w:p>
        </w:tc>
        <w:tc>
          <w:tcPr>
            <w:tcW w:w="851" w:type="dxa"/>
            <w:vAlign w:val="bottom"/>
          </w:tcPr>
          <w:p w14:paraId="69D68BF1" w14:textId="77777777" w:rsidR="0012790E" w:rsidRPr="0012790E" w:rsidRDefault="0012790E">
            <w:pPr>
              <w:pStyle w:val="SummaryAgencyTitle-BP2"/>
              <w:rPr>
                <w:iCs/>
              </w:rPr>
            </w:pPr>
          </w:p>
        </w:tc>
      </w:tr>
      <w:tr w:rsidR="0012790E" w:rsidRPr="0012790E" w14:paraId="7BDA4AAE" w14:textId="77777777" w:rsidTr="54937204">
        <w:tc>
          <w:tcPr>
            <w:tcW w:w="3470" w:type="dxa"/>
            <w:shd w:val="clear" w:color="auto" w:fill="auto"/>
            <w:vAlign w:val="bottom"/>
          </w:tcPr>
          <w:p w14:paraId="7858F5AE" w14:textId="77777777" w:rsidR="0012790E" w:rsidRPr="0012790E" w:rsidRDefault="0012790E">
            <w:pPr>
              <w:pStyle w:val="SummaryMeasureTitlewithTheme"/>
            </w:pPr>
            <w:r w:rsidRPr="0012790E">
              <w:t>Finance Portfolio – additional resourcing</w:t>
            </w:r>
          </w:p>
        </w:tc>
        <w:tc>
          <w:tcPr>
            <w:tcW w:w="851" w:type="dxa"/>
            <w:vAlign w:val="bottom"/>
          </w:tcPr>
          <w:p w14:paraId="07D60F7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A1C40CA" w14:textId="77777777" w:rsidR="0012790E" w:rsidRPr="0012790E" w:rsidRDefault="0012790E">
            <w:pPr>
              <w:pStyle w:val="Summarytabletextrightaligned"/>
              <w:rPr>
                <w:szCs w:val="16"/>
              </w:rPr>
            </w:pPr>
            <w:r w:rsidRPr="0012790E">
              <w:rPr>
                <w:szCs w:val="16"/>
              </w:rPr>
              <w:t>6.5</w:t>
            </w:r>
          </w:p>
        </w:tc>
        <w:tc>
          <w:tcPr>
            <w:tcW w:w="851" w:type="dxa"/>
            <w:vAlign w:val="bottom"/>
          </w:tcPr>
          <w:p w14:paraId="68EE692F" w14:textId="77777777" w:rsidR="0012790E" w:rsidRPr="0012790E" w:rsidRDefault="0012790E">
            <w:pPr>
              <w:pStyle w:val="Summarytabletextrightaligned"/>
              <w:rPr>
                <w:szCs w:val="16"/>
              </w:rPr>
            </w:pPr>
            <w:r w:rsidRPr="0012790E">
              <w:rPr>
                <w:szCs w:val="16"/>
              </w:rPr>
              <w:t>6.4</w:t>
            </w:r>
          </w:p>
        </w:tc>
        <w:tc>
          <w:tcPr>
            <w:tcW w:w="851" w:type="dxa"/>
            <w:vAlign w:val="bottom"/>
          </w:tcPr>
          <w:p w14:paraId="1D462E2E"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8666916" w14:textId="77777777" w:rsidR="0012790E" w:rsidRPr="0012790E" w:rsidRDefault="0012790E">
            <w:pPr>
              <w:pStyle w:val="Summarytabletextrightaligned"/>
              <w:rPr>
                <w:szCs w:val="16"/>
              </w:rPr>
            </w:pPr>
            <w:r w:rsidRPr="0012790E">
              <w:rPr>
                <w:szCs w:val="16"/>
              </w:rPr>
              <w:noBreakHyphen/>
            </w:r>
          </w:p>
        </w:tc>
      </w:tr>
      <w:tr w:rsidR="0012790E" w:rsidRPr="0012790E" w14:paraId="267974D7" w14:textId="77777777" w:rsidTr="54937204">
        <w:tc>
          <w:tcPr>
            <w:tcW w:w="3470" w:type="dxa"/>
            <w:shd w:val="clear" w:color="auto" w:fill="auto"/>
            <w:vAlign w:val="bottom"/>
          </w:tcPr>
          <w:p w14:paraId="006FDF50" w14:textId="77777777" w:rsidR="0012790E" w:rsidRPr="0012790E" w:rsidRDefault="0012790E">
            <w:pPr>
              <w:pStyle w:val="SummaryAgencyTitle-BP2"/>
              <w:rPr>
                <w:iCs/>
              </w:rPr>
            </w:pPr>
            <w:r w:rsidRPr="0012790E">
              <w:rPr>
                <w:iCs/>
              </w:rPr>
              <w:t>Department of Finance</w:t>
            </w:r>
          </w:p>
        </w:tc>
        <w:tc>
          <w:tcPr>
            <w:tcW w:w="851" w:type="dxa"/>
            <w:vAlign w:val="bottom"/>
          </w:tcPr>
          <w:p w14:paraId="5ED6BB54" w14:textId="77777777" w:rsidR="0012790E" w:rsidRPr="0012790E" w:rsidRDefault="0012790E">
            <w:pPr>
              <w:pStyle w:val="SummaryAgencyTitle-BP2"/>
              <w:rPr>
                <w:iCs/>
              </w:rPr>
            </w:pPr>
          </w:p>
        </w:tc>
        <w:tc>
          <w:tcPr>
            <w:tcW w:w="851" w:type="dxa"/>
            <w:shd w:val="clear" w:color="auto" w:fill="E6F2FF"/>
            <w:vAlign w:val="bottom"/>
          </w:tcPr>
          <w:p w14:paraId="6EDD795A" w14:textId="77777777" w:rsidR="0012790E" w:rsidRPr="0012790E" w:rsidRDefault="0012790E">
            <w:pPr>
              <w:pStyle w:val="SummaryAgencyTitle-BP2"/>
              <w:rPr>
                <w:iCs/>
              </w:rPr>
            </w:pPr>
          </w:p>
        </w:tc>
        <w:tc>
          <w:tcPr>
            <w:tcW w:w="851" w:type="dxa"/>
            <w:vAlign w:val="bottom"/>
          </w:tcPr>
          <w:p w14:paraId="41857652" w14:textId="77777777" w:rsidR="0012790E" w:rsidRPr="0012790E" w:rsidRDefault="0012790E">
            <w:pPr>
              <w:pStyle w:val="SummaryAgencyTitle-BP2"/>
              <w:rPr>
                <w:iCs/>
              </w:rPr>
            </w:pPr>
          </w:p>
        </w:tc>
        <w:tc>
          <w:tcPr>
            <w:tcW w:w="851" w:type="dxa"/>
            <w:vAlign w:val="bottom"/>
          </w:tcPr>
          <w:p w14:paraId="3818EEBF" w14:textId="77777777" w:rsidR="0012790E" w:rsidRPr="0012790E" w:rsidRDefault="0012790E">
            <w:pPr>
              <w:pStyle w:val="SummaryAgencyTitle-BP2"/>
              <w:rPr>
                <w:iCs/>
              </w:rPr>
            </w:pPr>
          </w:p>
        </w:tc>
        <w:tc>
          <w:tcPr>
            <w:tcW w:w="851" w:type="dxa"/>
            <w:vAlign w:val="bottom"/>
          </w:tcPr>
          <w:p w14:paraId="2F8BEFC0" w14:textId="77777777" w:rsidR="0012790E" w:rsidRPr="0012790E" w:rsidRDefault="0012790E">
            <w:pPr>
              <w:pStyle w:val="SummaryAgencyTitle-BP2"/>
              <w:rPr>
                <w:iCs/>
              </w:rPr>
            </w:pPr>
          </w:p>
        </w:tc>
      </w:tr>
      <w:tr w:rsidR="0012790E" w:rsidRPr="0012790E" w14:paraId="4299707C" w14:textId="77777777" w:rsidTr="54937204">
        <w:tc>
          <w:tcPr>
            <w:tcW w:w="3470" w:type="dxa"/>
            <w:shd w:val="clear" w:color="auto" w:fill="auto"/>
            <w:vAlign w:val="bottom"/>
          </w:tcPr>
          <w:p w14:paraId="1C8418A6" w14:textId="4EB5298D" w:rsidR="0012790E" w:rsidRPr="0012790E" w:rsidRDefault="0012790E">
            <w:pPr>
              <w:pStyle w:val="SummaryMeasureTitlewithTheme"/>
            </w:pPr>
            <w:r w:rsidRPr="0012790E">
              <w:t>Anti</w:t>
            </w:r>
            <w:r w:rsidRPr="0012790E">
              <w:noBreakHyphen/>
              <w:t>Money Laundering and Counter</w:t>
            </w:r>
            <w:r w:rsidRPr="0012790E">
              <w:noBreakHyphen/>
              <w:t>Terrorism Financing Reform</w:t>
            </w:r>
          </w:p>
        </w:tc>
        <w:tc>
          <w:tcPr>
            <w:tcW w:w="851" w:type="dxa"/>
            <w:vAlign w:val="bottom"/>
          </w:tcPr>
          <w:p w14:paraId="12B2692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178D6A1" w14:textId="77777777" w:rsidR="0012790E" w:rsidRPr="0012790E" w:rsidRDefault="0012790E">
            <w:pPr>
              <w:pStyle w:val="Summarytabletextrightaligned"/>
              <w:rPr>
                <w:szCs w:val="16"/>
              </w:rPr>
            </w:pPr>
            <w:r w:rsidRPr="0012790E">
              <w:rPr>
                <w:szCs w:val="16"/>
              </w:rPr>
              <w:t>0.1</w:t>
            </w:r>
          </w:p>
        </w:tc>
        <w:tc>
          <w:tcPr>
            <w:tcW w:w="851" w:type="dxa"/>
            <w:vAlign w:val="bottom"/>
          </w:tcPr>
          <w:p w14:paraId="73CEDA0B" w14:textId="31D72874" w:rsidR="0012790E" w:rsidRPr="0012790E" w:rsidRDefault="002C0CE2">
            <w:pPr>
              <w:pStyle w:val="Summarytabletextrightaligned"/>
              <w:rPr>
                <w:szCs w:val="16"/>
              </w:rPr>
            </w:pPr>
            <w:r>
              <w:rPr>
                <w:szCs w:val="16"/>
              </w:rPr>
              <w:t>0.1</w:t>
            </w:r>
          </w:p>
        </w:tc>
        <w:tc>
          <w:tcPr>
            <w:tcW w:w="851" w:type="dxa"/>
            <w:vAlign w:val="bottom"/>
          </w:tcPr>
          <w:p w14:paraId="618FC5F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3AB6DA0" w14:textId="77777777" w:rsidR="0012790E" w:rsidRPr="0012790E" w:rsidRDefault="0012790E">
            <w:pPr>
              <w:pStyle w:val="Summarytabletextrightaligned"/>
              <w:rPr>
                <w:szCs w:val="16"/>
              </w:rPr>
            </w:pPr>
            <w:r w:rsidRPr="0012790E">
              <w:rPr>
                <w:szCs w:val="16"/>
              </w:rPr>
              <w:noBreakHyphen/>
            </w:r>
          </w:p>
        </w:tc>
      </w:tr>
      <w:tr w:rsidR="0012790E" w:rsidRPr="0012790E" w14:paraId="5813E9D5" w14:textId="77777777" w:rsidTr="54937204">
        <w:tc>
          <w:tcPr>
            <w:tcW w:w="3470" w:type="dxa"/>
            <w:shd w:val="clear" w:color="auto" w:fill="auto"/>
            <w:vAlign w:val="bottom"/>
          </w:tcPr>
          <w:p w14:paraId="137D2B54" w14:textId="77777777" w:rsidR="0012790E" w:rsidRPr="0012790E" w:rsidRDefault="0012790E">
            <w:pPr>
              <w:pStyle w:val="SummaryMeasureTitlewithTheme"/>
            </w:pPr>
            <w:r w:rsidRPr="0012790E">
              <w:t>APS Capability Reinvestment Fund: 2024</w:t>
            </w:r>
            <w:r w:rsidRPr="0012790E">
              <w:noBreakHyphen/>
              <w:t>25 projects funded under round two</w:t>
            </w:r>
          </w:p>
        </w:tc>
        <w:tc>
          <w:tcPr>
            <w:tcW w:w="851" w:type="dxa"/>
            <w:vAlign w:val="bottom"/>
          </w:tcPr>
          <w:p w14:paraId="43F3E6AB"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EE50DF3" w14:textId="2637B4EC" w:rsidR="0012790E" w:rsidRPr="0012790E" w:rsidRDefault="00B92B04">
            <w:pPr>
              <w:pStyle w:val="Summarytabletextrightaligned"/>
              <w:rPr>
                <w:szCs w:val="16"/>
              </w:rPr>
            </w:pPr>
            <w:r>
              <w:rPr>
                <w:szCs w:val="16"/>
              </w:rPr>
              <w:t>-</w:t>
            </w:r>
          </w:p>
        </w:tc>
        <w:tc>
          <w:tcPr>
            <w:tcW w:w="851" w:type="dxa"/>
            <w:vAlign w:val="bottom"/>
          </w:tcPr>
          <w:p w14:paraId="34552FB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313826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E7F635E" w14:textId="77777777" w:rsidR="0012790E" w:rsidRPr="0012790E" w:rsidRDefault="0012790E">
            <w:pPr>
              <w:pStyle w:val="Summarytabletextrightaligned"/>
              <w:rPr>
                <w:szCs w:val="16"/>
              </w:rPr>
            </w:pPr>
            <w:r w:rsidRPr="0012790E">
              <w:rPr>
                <w:szCs w:val="16"/>
              </w:rPr>
              <w:noBreakHyphen/>
            </w:r>
          </w:p>
        </w:tc>
      </w:tr>
      <w:tr w:rsidR="0012790E" w:rsidRPr="0012790E" w14:paraId="5FADDE3D" w14:textId="77777777" w:rsidTr="54937204">
        <w:tc>
          <w:tcPr>
            <w:tcW w:w="3470" w:type="dxa"/>
            <w:shd w:val="clear" w:color="auto" w:fill="auto"/>
            <w:vAlign w:val="bottom"/>
          </w:tcPr>
          <w:p w14:paraId="0EFE84AC" w14:textId="77777777" w:rsidR="0012790E" w:rsidRPr="0012790E" w:rsidRDefault="0012790E">
            <w:pPr>
              <w:pStyle w:val="SummaryMeasureTitlewithTheme"/>
            </w:pPr>
            <w:r w:rsidRPr="0012790E">
              <w:t>Australian Antarctic Program – additional funding</w:t>
            </w:r>
          </w:p>
        </w:tc>
        <w:tc>
          <w:tcPr>
            <w:tcW w:w="851" w:type="dxa"/>
            <w:vAlign w:val="bottom"/>
          </w:tcPr>
          <w:p w14:paraId="55346A5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6E14E3F" w14:textId="77777777" w:rsidR="0012790E" w:rsidRPr="0012790E" w:rsidRDefault="0012790E">
            <w:pPr>
              <w:pStyle w:val="Summarytabletextrightaligned"/>
              <w:rPr>
                <w:szCs w:val="16"/>
              </w:rPr>
            </w:pPr>
            <w:r w:rsidRPr="0012790E">
              <w:rPr>
                <w:szCs w:val="16"/>
              </w:rPr>
              <w:t>0.1</w:t>
            </w:r>
          </w:p>
        </w:tc>
        <w:tc>
          <w:tcPr>
            <w:tcW w:w="851" w:type="dxa"/>
            <w:vAlign w:val="bottom"/>
          </w:tcPr>
          <w:p w14:paraId="1C83A646" w14:textId="77777777" w:rsidR="0012790E" w:rsidRPr="0012790E" w:rsidRDefault="0012790E">
            <w:pPr>
              <w:pStyle w:val="Summarytabletextrightaligned"/>
              <w:rPr>
                <w:szCs w:val="16"/>
              </w:rPr>
            </w:pPr>
            <w:r w:rsidRPr="0012790E">
              <w:rPr>
                <w:szCs w:val="16"/>
              </w:rPr>
              <w:t>0.1</w:t>
            </w:r>
          </w:p>
        </w:tc>
        <w:tc>
          <w:tcPr>
            <w:tcW w:w="851" w:type="dxa"/>
            <w:vAlign w:val="bottom"/>
          </w:tcPr>
          <w:p w14:paraId="018E87AD" w14:textId="77777777" w:rsidR="0012790E" w:rsidRPr="0012790E" w:rsidRDefault="0012790E">
            <w:pPr>
              <w:pStyle w:val="Summarytabletextrightaligned"/>
              <w:rPr>
                <w:szCs w:val="16"/>
              </w:rPr>
            </w:pPr>
            <w:r w:rsidRPr="0012790E">
              <w:rPr>
                <w:szCs w:val="16"/>
              </w:rPr>
              <w:t>0.1</w:t>
            </w:r>
          </w:p>
        </w:tc>
        <w:tc>
          <w:tcPr>
            <w:tcW w:w="851" w:type="dxa"/>
            <w:vAlign w:val="bottom"/>
          </w:tcPr>
          <w:p w14:paraId="53F7ACD2" w14:textId="77777777" w:rsidR="0012790E" w:rsidRPr="0012790E" w:rsidRDefault="0012790E">
            <w:pPr>
              <w:pStyle w:val="Summarytabletextrightaligned"/>
              <w:rPr>
                <w:szCs w:val="16"/>
              </w:rPr>
            </w:pPr>
            <w:r w:rsidRPr="0012790E">
              <w:rPr>
                <w:szCs w:val="16"/>
              </w:rPr>
              <w:t>0.1</w:t>
            </w:r>
          </w:p>
        </w:tc>
      </w:tr>
      <w:tr w:rsidR="0012790E" w:rsidRPr="0012790E" w14:paraId="48DF5736" w14:textId="77777777" w:rsidTr="54937204">
        <w:tc>
          <w:tcPr>
            <w:tcW w:w="3470" w:type="dxa"/>
            <w:shd w:val="clear" w:color="auto" w:fill="auto"/>
            <w:vAlign w:val="bottom"/>
          </w:tcPr>
          <w:p w14:paraId="2C33A952" w14:textId="77777777" w:rsidR="0012790E" w:rsidRPr="0012790E" w:rsidRDefault="0012790E">
            <w:pPr>
              <w:pStyle w:val="SummaryMeasureTitlewithTheme"/>
            </w:pPr>
            <w:r w:rsidRPr="0012790E">
              <w:t>Civil Maritime Critical Security Capabilities</w:t>
            </w:r>
          </w:p>
        </w:tc>
        <w:tc>
          <w:tcPr>
            <w:tcW w:w="851" w:type="dxa"/>
            <w:vAlign w:val="bottom"/>
          </w:tcPr>
          <w:p w14:paraId="54F37C7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BFBAF1D" w14:textId="77777777" w:rsidR="0012790E" w:rsidRPr="0012790E" w:rsidRDefault="0012790E">
            <w:pPr>
              <w:pStyle w:val="Summarytabletextrightaligned"/>
              <w:rPr>
                <w:szCs w:val="16"/>
              </w:rPr>
            </w:pPr>
            <w:r w:rsidRPr="0012790E">
              <w:rPr>
                <w:szCs w:val="16"/>
              </w:rPr>
              <w:t>0.1</w:t>
            </w:r>
          </w:p>
        </w:tc>
        <w:tc>
          <w:tcPr>
            <w:tcW w:w="851" w:type="dxa"/>
            <w:vAlign w:val="bottom"/>
          </w:tcPr>
          <w:p w14:paraId="2179AE0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414EDE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1F7575D" w14:textId="77777777" w:rsidR="0012790E" w:rsidRPr="0012790E" w:rsidRDefault="0012790E">
            <w:pPr>
              <w:pStyle w:val="Summarytabletextrightaligned"/>
              <w:rPr>
                <w:szCs w:val="16"/>
              </w:rPr>
            </w:pPr>
            <w:r w:rsidRPr="0012790E">
              <w:rPr>
                <w:szCs w:val="16"/>
              </w:rPr>
              <w:noBreakHyphen/>
            </w:r>
          </w:p>
        </w:tc>
      </w:tr>
      <w:tr w:rsidR="0012790E" w:rsidRPr="0012790E" w14:paraId="385AE54C" w14:textId="77777777" w:rsidTr="54937204">
        <w:tc>
          <w:tcPr>
            <w:tcW w:w="3470" w:type="dxa"/>
            <w:shd w:val="clear" w:color="auto" w:fill="auto"/>
            <w:vAlign w:val="bottom"/>
          </w:tcPr>
          <w:p w14:paraId="3B2196F2" w14:textId="77777777" w:rsidR="0012790E" w:rsidRPr="0012790E" w:rsidRDefault="0012790E">
            <w:pPr>
              <w:pStyle w:val="SummaryMeasureTitlewithTheme"/>
            </w:pPr>
            <w:r w:rsidRPr="0012790E">
              <w:t>Cyber Security of Regulators and Improving Registers(b)</w:t>
            </w:r>
          </w:p>
        </w:tc>
        <w:tc>
          <w:tcPr>
            <w:tcW w:w="851" w:type="dxa"/>
            <w:vAlign w:val="bottom"/>
          </w:tcPr>
          <w:p w14:paraId="12A8A413"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AAB1E6D" w14:textId="77777777" w:rsidR="0012790E" w:rsidRPr="0012790E" w:rsidRDefault="0012790E">
            <w:pPr>
              <w:pStyle w:val="Summarytabletextrightaligned"/>
              <w:rPr>
                <w:szCs w:val="16"/>
              </w:rPr>
            </w:pPr>
            <w:r w:rsidRPr="0012790E">
              <w:rPr>
                <w:szCs w:val="16"/>
              </w:rPr>
              <w:t>0.4</w:t>
            </w:r>
          </w:p>
        </w:tc>
        <w:tc>
          <w:tcPr>
            <w:tcW w:w="851" w:type="dxa"/>
            <w:vAlign w:val="bottom"/>
          </w:tcPr>
          <w:p w14:paraId="41BB3E46" w14:textId="77777777" w:rsidR="0012790E" w:rsidRPr="0012790E" w:rsidRDefault="0012790E">
            <w:pPr>
              <w:pStyle w:val="Summarytabletextrightaligned"/>
              <w:rPr>
                <w:szCs w:val="16"/>
              </w:rPr>
            </w:pPr>
            <w:r w:rsidRPr="0012790E">
              <w:rPr>
                <w:szCs w:val="16"/>
              </w:rPr>
              <w:t>0.2</w:t>
            </w:r>
          </w:p>
        </w:tc>
        <w:tc>
          <w:tcPr>
            <w:tcW w:w="851" w:type="dxa"/>
            <w:vAlign w:val="bottom"/>
          </w:tcPr>
          <w:p w14:paraId="4750D4E0" w14:textId="77777777" w:rsidR="0012790E" w:rsidRPr="0012790E" w:rsidRDefault="0012790E">
            <w:pPr>
              <w:pStyle w:val="Summarytabletextrightaligned"/>
              <w:rPr>
                <w:szCs w:val="16"/>
              </w:rPr>
            </w:pPr>
            <w:r w:rsidRPr="0012790E">
              <w:rPr>
                <w:szCs w:val="16"/>
              </w:rPr>
              <w:t>0.2</w:t>
            </w:r>
          </w:p>
        </w:tc>
        <w:tc>
          <w:tcPr>
            <w:tcW w:w="851" w:type="dxa"/>
            <w:vAlign w:val="bottom"/>
          </w:tcPr>
          <w:p w14:paraId="0303803A" w14:textId="77777777" w:rsidR="0012790E" w:rsidRPr="0012790E" w:rsidRDefault="0012790E">
            <w:pPr>
              <w:pStyle w:val="Summarytabletextrightaligned"/>
              <w:rPr>
                <w:szCs w:val="16"/>
              </w:rPr>
            </w:pPr>
            <w:r w:rsidRPr="0012790E">
              <w:rPr>
                <w:szCs w:val="16"/>
              </w:rPr>
              <w:t>0.2</w:t>
            </w:r>
          </w:p>
        </w:tc>
      </w:tr>
      <w:tr w:rsidR="0012790E" w:rsidRPr="0012790E" w14:paraId="792B1E8C" w14:textId="77777777" w:rsidTr="54937204">
        <w:tc>
          <w:tcPr>
            <w:tcW w:w="3470" w:type="dxa"/>
            <w:shd w:val="clear" w:color="auto" w:fill="auto"/>
            <w:vAlign w:val="bottom"/>
          </w:tcPr>
          <w:p w14:paraId="121B5F3E" w14:textId="77777777" w:rsidR="0012790E" w:rsidRPr="0012790E" w:rsidRDefault="0012790E">
            <w:pPr>
              <w:pStyle w:val="SummaryMeasureTitlewithTheme"/>
            </w:pPr>
            <w:r w:rsidRPr="0012790E">
              <w:t>Delivering a Strategic Fleet</w:t>
            </w:r>
          </w:p>
        </w:tc>
        <w:tc>
          <w:tcPr>
            <w:tcW w:w="851" w:type="dxa"/>
            <w:vAlign w:val="bottom"/>
          </w:tcPr>
          <w:p w14:paraId="3F2194B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652ACAA" w14:textId="77777777" w:rsidR="0012790E" w:rsidRPr="0012790E" w:rsidRDefault="0012790E">
            <w:pPr>
              <w:pStyle w:val="Summarytabletextrightaligned"/>
              <w:rPr>
                <w:szCs w:val="16"/>
              </w:rPr>
            </w:pPr>
            <w:r w:rsidRPr="0012790E">
              <w:rPr>
                <w:szCs w:val="16"/>
              </w:rPr>
              <w:t>0.1</w:t>
            </w:r>
          </w:p>
        </w:tc>
        <w:tc>
          <w:tcPr>
            <w:tcW w:w="851" w:type="dxa"/>
            <w:vAlign w:val="bottom"/>
          </w:tcPr>
          <w:p w14:paraId="2CB69F1F" w14:textId="77777777" w:rsidR="0012790E" w:rsidRPr="0012790E" w:rsidRDefault="0012790E">
            <w:pPr>
              <w:pStyle w:val="Summarytabletextrightaligned"/>
              <w:rPr>
                <w:szCs w:val="16"/>
              </w:rPr>
            </w:pPr>
            <w:r w:rsidRPr="0012790E">
              <w:rPr>
                <w:szCs w:val="16"/>
              </w:rPr>
              <w:t>0.1</w:t>
            </w:r>
          </w:p>
        </w:tc>
        <w:tc>
          <w:tcPr>
            <w:tcW w:w="851" w:type="dxa"/>
            <w:vAlign w:val="bottom"/>
          </w:tcPr>
          <w:p w14:paraId="750325ED" w14:textId="77777777" w:rsidR="0012790E" w:rsidRPr="0012790E" w:rsidRDefault="0012790E">
            <w:pPr>
              <w:pStyle w:val="Summarytabletextrightaligned"/>
              <w:rPr>
                <w:szCs w:val="16"/>
              </w:rPr>
            </w:pPr>
            <w:r w:rsidRPr="0012790E">
              <w:rPr>
                <w:szCs w:val="16"/>
              </w:rPr>
              <w:t>0.1</w:t>
            </w:r>
          </w:p>
        </w:tc>
        <w:tc>
          <w:tcPr>
            <w:tcW w:w="851" w:type="dxa"/>
            <w:vAlign w:val="bottom"/>
          </w:tcPr>
          <w:p w14:paraId="14D2E1BF" w14:textId="77777777" w:rsidR="0012790E" w:rsidRPr="0012790E" w:rsidRDefault="0012790E">
            <w:pPr>
              <w:pStyle w:val="Summarytabletextrightaligned"/>
              <w:rPr>
                <w:szCs w:val="16"/>
              </w:rPr>
            </w:pPr>
            <w:r w:rsidRPr="0012790E">
              <w:rPr>
                <w:szCs w:val="16"/>
              </w:rPr>
              <w:t>0.1</w:t>
            </w:r>
          </w:p>
        </w:tc>
      </w:tr>
      <w:tr w:rsidR="0012790E" w:rsidRPr="0012790E" w14:paraId="70AA9846" w14:textId="77777777" w:rsidTr="54937204">
        <w:tc>
          <w:tcPr>
            <w:tcW w:w="3470" w:type="dxa"/>
            <w:shd w:val="clear" w:color="auto" w:fill="auto"/>
            <w:vAlign w:val="bottom"/>
          </w:tcPr>
          <w:p w14:paraId="063FC99D" w14:textId="77777777" w:rsidR="0012790E" w:rsidRPr="0012790E" w:rsidRDefault="0012790E">
            <w:pPr>
              <w:pStyle w:val="SummaryMeasureTitlewithTheme"/>
            </w:pPr>
            <w:r w:rsidRPr="0012790E">
              <w:t>Digital ID</w:t>
            </w:r>
          </w:p>
        </w:tc>
        <w:tc>
          <w:tcPr>
            <w:tcW w:w="851" w:type="dxa"/>
            <w:vAlign w:val="bottom"/>
          </w:tcPr>
          <w:p w14:paraId="58263D1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E035A66" w14:textId="77777777" w:rsidR="0012790E" w:rsidRPr="0012790E" w:rsidRDefault="0012790E">
            <w:pPr>
              <w:pStyle w:val="Summarytabletextrightaligned"/>
              <w:rPr>
                <w:szCs w:val="16"/>
              </w:rPr>
            </w:pPr>
            <w:r w:rsidRPr="0012790E">
              <w:rPr>
                <w:szCs w:val="16"/>
              </w:rPr>
              <w:t>18.4</w:t>
            </w:r>
          </w:p>
        </w:tc>
        <w:tc>
          <w:tcPr>
            <w:tcW w:w="851" w:type="dxa"/>
            <w:vAlign w:val="bottom"/>
          </w:tcPr>
          <w:p w14:paraId="71AFE53A" w14:textId="77777777" w:rsidR="0012790E" w:rsidRPr="0012790E" w:rsidRDefault="0012790E">
            <w:pPr>
              <w:pStyle w:val="Summarytabletextrightaligned"/>
              <w:rPr>
                <w:szCs w:val="16"/>
              </w:rPr>
            </w:pPr>
            <w:r w:rsidRPr="0012790E">
              <w:rPr>
                <w:szCs w:val="16"/>
              </w:rPr>
              <w:t>26.7</w:t>
            </w:r>
          </w:p>
        </w:tc>
        <w:tc>
          <w:tcPr>
            <w:tcW w:w="851" w:type="dxa"/>
            <w:vAlign w:val="bottom"/>
          </w:tcPr>
          <w:p w14:paraId="03F9CAA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0E0F1D7" w14:textId="77777777" w:rsidR="0012790E" w:rsidRPr="0012790E" w:rsidRDefault="0012790E">
            <w:pPr>
              <w:pStyle w:val="Summarytabletextrightaligned"/>
              <w:rPr>
                <w:szCs w:val="16"/>
              </w:rPr>
            </w:pPr>
            <w:r w:rsidRPr="0012790E">
              <w:rPr>
                <w:szCs w:val="16"/>
              </w:rPr>
              <w:noBreakHyphen/>
            </w:r>
          </w:p>
        </w:tc>
      </w:tr>
      <w:tr w:rsidR="0012790E" w:rsidRPr="0012790E" w14:paraId="29EF0A02" w14:textId="77777777" w:rsidTr="54937204">
        <w:tc>
          <w:tcPr>
            <w:tcW w:w="3470" w:type="dxa"/>
            <w:shd w:val="clear" w:color="auto" w:fill="auto"/>
            <w:vAlign w:val="bottom"/>
          </w:tcPr>
          <w:p w14:paraId="5BA0A718" w14:textId="77777777" w:rsidR="0012790E" w:rsidRPr="0012790E" w:rsidRDefault="0012790E">
            <w:pPr>
              <w:pStyle w:val="SummaryMeasureTitlewithTheme"/>
            </w:pPr>
            <w:r w:rsidRPr="0012790E">
              <w:t>Equity Injection for Australian Naval Infrastructure</w:t>
            </w:r>
          </w:p>
        </w:tc>
        <w:tc>
          <w:tcPr>
            <w:tcW w:w="851" w:type="dxa"/>
            <w:vAlign w:val="bottom"/>
          </w:tcPr>
          <w:p w14:paraId="3D3732B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9A06428" w14:textId="77777777" w:rsidR="0012790E" w:rsidRPr="0012790E" w:rsidRDefault="0012790E">
            <w:pPr>
              <w:pStyle w:val="Summarytabletextrightaligned"/>
            </w:pPr>
            <w:r w:rsidRPr="54937204">
              <w:rPr>
                <w:lang w:val="en-US"/>
              </w:rPr>
              <w:t>nfp</w:t>
            </w:r>
          </w:p>
        </w:tc>
        <w:tc>
          <w:tcPr>
            <w:tcW w:w="851" w:type="dxa"/>
            <w:vAlign w:val="bottom"/>
          </w:tcPr>
          <w:p w14:paraId="692EFA51" w14:textId="77777777" w:rsidR="0012790E" w:rsidRPr="0012790E" w:rsidRDefault="0012790E">
            <w:pPr>
              <w:pStyle w:val="Summarytabletextrightaligned"/>
            </w:pPr>
            <w:r w:rsidRPr="54937204">
              <w:rPr>
                <w:lang w:val="en-US"/>
              </w:rPr>
              <w:t>nfp</w:t>
            </w:r>
          </w:p>
        </w:tc>
        <w:tc>
          <w:tcPr>
            <w:tcW w:w="851" w:type="dxa"/>
            <w:vAlign w:val="bottom"/>
          </w:tcPr>
          <w:p w14:paraId="4A45E093" w14:textId="77777777" w:rsidR="0012790E" w:rsidRPr="0012790E" w:rsidRDefault="0012790E">
            <w:pPr>
              <w:pStyle w:val="Summarytabletextrightaligned"/>
            </w:pPr>
            <w:r w:rsidRPr="54937204">
              <w:rPr>
                <w:lang w:val="en-US"/>
              </w:rPr>
              <w:t>nfp</w:t>
            </w:r>
          </w:p>
        </w:tc>
        <w:tc>
          <w:tcPr>
            <w:tcW w:w="851" w:type="dxa"/>
            <w:vAlign w:val="bottom"/>
          </w:tcPr>
          <w:p w14:paraId="75C5377F" w14:textId="77777777" w:rsidR="0012790E" w:rsidRPr="0012790E" w:rsidRDefault="0012790E">
            <w:pPr>
              <w:pStyle w:val="Summarytabletextrightaligned"/>
            </w:pPr>
            <w:r w:rsidRPr="54937204">
              <w:rPr>
                <w:lang w:val="en-US"/>
              </w:rPr>
              <w:t>nfp</w:t>
            </w:r>
          </w:p>
        </w:tc>
      </w:tr>
      <w:tr w:rsidR="0012790E" w:rsidRPr="0012790E" w14:paraId="3F866AB3" w14:textId="77777777" w:rsidTr="54937204">
        <w:tc>
          <w:tcPr>
            <w:tcW w:w="3470" w:type="dxa"/>
            <w:shd w:val="clear" w:color="auto" w:fill="auto"/>
            <w:vAlign w:val="bottom"/>
          </w:tcPr>
          <w:p w14:paraId="525FC6C4" w14:textId="77777777" w:rsidR="0012790E" w:rsidRPr="0012790E" w:rsidRDefault="0012790E">
            <w:pPr>
              <w:pStyle w:val="SummaryMeasureTitlewithTheme"/>
            </w:pPr>
            <w:r w:rsidRPr="0012790E">
              <w:t>Finance Portfolio – additional resourcing</w:t>
            </w:r>
          </w:p>
        </w:tc>
        <w:tc>
          <w:tcPr>
            <w:tcW w:w="851" w:type="dxa"/>
            <w:vAlign w:val="bottom"/>
          </w:tcPr>
          <w:p w14:paraId="3F59377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CB12658" w14:textId="77777777" w:rsidR="0012790E" w:rsidRPr="0012790E" w:rsidRDefault="0012790E">
            <w:pPr>
              <w:pStyle w:val="Summarytabletextrightaligned"/>
              <w:rPr>
                <w:szCs w:val="16"/>
              </w:rPr>
            </w:pPr>
            <w:r w:rsidRPr="0012790E">
              <w:rPr>
                <w:szCs w:val="16"/>
              </w:rPr>
              <w:t>5.9</w:t>
            </w:r>
          </w:p>
        </w:tc>
        <w:tc>
          <w:tcPr>
            <w:tcW w:w="851" w:type="dxa"/>
            <w:vAlign w:val="bottom"/>
          </w:tcPr>
          <w:p w14:paraId="1318E992" w14:textId="77777777" w:rsidR="0012790E" w:rsidRPr="0012790E" w:rsidRDefault="0012790E">
            <w:pPr>
              <w:pStyle w:val="Summarytabletextrightaligned"/>
              <w:rPr>
                <w:szCs w:val="16"/>
              </w:rPr>
            </w:pPr>
            <w:r w:rsidRPr="0012790E">
              <w:rPr>
                <w:szCs w:val="16"/>
              </w:rPr>
              <w:t>1.1</w:t>
            </w:r>
          </w:p>
        </w:tc>
        <w:tc>
          <w:tcPr>
            <w:tcW w:w="851" w:type="dxa"/>
            <w:vAlign w:val="bottom"/>
          </w:tcPr>
          <w:p w14:paraId="3DC53339" w14:textId="77777777" w:rsidR="0012790E" w:rsidRPr="0012790E" w:rsidRDefault="0012790E">
            <w:pPr>
              <w:pStyle w:val="Summarytabletextrightaligned"/>
              <w:rPr>
                <w:szCs w:val="16"/>
              </w:rPr>
            </w:pPr>
            <w:r w:rsidRPr="0012790E">
              <w:rPr>
                <w:szCs w:val="16"/>
              </w:rPr>
              <w:t>1.1</w:t>
            </w:r>
          </w:p>
        </w:tc>
        <w:tc>
          <w:tcPr>
            <w:tcW w:w="851" w:type="dxa"/>
            <w:vAlign w:val="bottom"/>
          </w:tcPr>
          <w:p w14:paraId="514AD97D" w14:textId="77777777" w:rsidR="0012790E" w:rsidRPr="0012790E" w:rsidRDefault="0012790E">
            <w:pPr>
              <w:pStyle w:val="Summarytabletextrightaligned"/>
              <w:rPr>
                <w:szCs w:val="16"/>
              </w:rPr>
            </w:pPr>
            <w:r w:rsidRPr="0012790E">
              <w:rPr>
                <w:szCs w:val="16"/>
              </w:rPr>
              <w:t>1.1</w:t>
            </w:r>
          </w:p>
        </w:tc>
      </w:tr>
      <w:tr w:rsidR="0012790E" w:rsidRPr="0012790E" w14:paraId="2D1EB232" w14:textId="77777777" w:rsidTr="54937204">
        <w:tc>
          <w:tcPr>
            <w:tcW w:w="3470" w:type="dxa"/>
            <w:shd w:val="clear" w:color="auto" w:fill="auto"/>
            <w:vAlign w:val="bottom"/>
          </w:tcPr>
          <w:p w14:paraId="22B82A26" w14:textId="77777777" w:rsidR="0012790E" w:rsidRPr="0012790E" w:rsidRDefault="0012790E">
            <w:pPr>
              <w:pStyle w:val="SummaryMeasureTitlewithTheme"/>
            </w:pPr>
            <w:r w:rsidRPr="0012790E">
              <w:t>Future Made in Australia – Attracting Investment in Key Industries</w:t>
            </w:r>
          </w:p>
        </w:tc>
        <w:tc>
          <w:tcPr>
            <w:tcW w:w="851" w:type="dxa"/>
            <w:vAlign w:val="bottom"/>
          </w:tcPr>
          <w:p w14:paraId="0E35B47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D593011" w14:textId="77777777" w:rsidR="0012790E" w:rsidRPr="0012790E" w:rsidRDefault="0012790E">
            <w:pPr>
              <w:pStyle w:val="Summarytabletextrightaligned"/>
              <w:rPr>
                <w:szCs w:val="16"/>
              </w:rPr>
            </w:pPr>
            <w:r w:rsidRPr="0012790E">
              <w:rPr>
                <w:szCs w:val="16"/>
              </w:rPr>
              <w:t>1.3</w:t>
            </w:r>
          </w:p>
        </w:tc>
        <w:tc>
          <w:tcPr>
            <w:tcW w:w="851" w:type="dxa"/>
            <w:vAlign w:val="bottom"/>
          </w:tcPr>
          <w:p w14:paraId="2195D92A" w14:textId="77777777" w:rsidR="0012790E" w:rsidRPr="0012790E" w:rsidRDefault="0012790E">
            <w:pPr>
              <w:pStyle w:val="Summarytabletextrightaligned"/>
              <w:rPr>
                <w:szCs w:val="16"/>
              </w:rPr>
            </w:pPr>
            <w:r w:rsidRPr="0012790E">
              <w:rPr>
                <w:szCs w:val="16"/>
              </w:rPr>
              <w:t>1.8</w:t>
            </w:r>
          </w:p>
        </w:tc>
        <w:tc>
          <w:tcPr>
            <w:tcW w:w="851" w:type="dxa"/>
            <w:vAlign w:val="bottom"/>
          </w:tcPr>
          <w:p w14:paraId="0CB8E3B2" w14:textId="77777777" w:rsidR="0012790E" w:rsidRPr="0012790E" w:rsidRDefault="0012790E">
            <w:pPr>
              <w:pStyle w:val="Summarytabletextrightaligned"/>
              <w:rPr>
                <w:szCs w:val="16"/>
              </w:rPr>
            </w:pPr>
            <w:r w:rsidRPr="0012790E">
              <w:rPr>
                <w:szCs w:val="16"/>
              </w:rPr>
              <w:t>1.8</w:t>
            </w:r>
          </w:p>
        </w:tc>
        <w:tc>
          <w:tcPr>
            <w:tcW w:w="851" w:type="dxa"/>
            <w:vAlign w:val="bottom"/>
          </w:tcPr>
          <w:p w14:paraId="2C03E96D" w14:textId="77777777" w:rsidR="0012790E" w:rsidRPr="0012790E" w:rsidRDefault="0012790E">
            <w:pPr>
              <w:pStyle w:val="Summarytabletextrightaligned"/>
              <w:rPr>
                <w:szCs w:val="16"/>
              </w:rPr>
            </w:pPr>
            <w:r w:rsidRPr="0012790E">
              <w:rPr>
                <w:szCs w:val="16"/>
              </w:rPr>
              <w:t>1.9</w:t>
            </w:r>
          </w:p>
        </w:tc>
      </w:tr>
      <w:tr w:rsidR="0012790E" w:rsidRPr="0012790E" w14:paraId="3A0A78BC" w14:textId="77777777" w:rsidTr="54937204">
        <w:tc>
          <w:tcPr>
            <w:tcW w:w="3470" w:type="dxa"/>
            <w:shd w:val="clear" w:color="auto" w:fill="auto"/>
            <w:vAlign w:val="bottom"/>
          </w:tcPr>
          <w:p w14:paraId="0DA6F977" w14:textId="77777777" w:rsidR="0012790E" w:rsidRPr="0012790E" w:rsidRDefault="0012790E">
            <w:pPr>
              <w:pStyle w:val="SummaryMeasureTitlewithTheme"/>
            </w:pPr>
            <w:r w:rsidRPr="0012790E">
              <w:t>Future Made in Australia – Investing in Innovation, Science and Digital Capabilities(b)</w:t>
            </w:r>
          </w:p>
        </w:tc>
        <w:tc>
          <w:tcPr>
            <w:tcW w:w="851" w:type="dxa"/>
            <w:vAlign w:val="bottom"/>
          </w:tcPr>
          <w:p w14:paraId="59BD00C7" w14:textId="77777777" w:rsidR="0012790E" w:rsidRPr="0012790E" w:rsidRDefault="0012790E">
            <w:pPr>
              <w:pStyle w:val="Summarytabletextrightaligned"/>
              <w:rPr>
                <w:szCs w:val="16"/>
              </w:rPr>
            </w:pPr>
            <w:r w:rsidRPr="0012790E">
              <w:rPr>
                <w:szCs w:val="16"/>
              </w:rPr>
              <w:t>0.9</w:t>
            </w:r>
          </w:p>
        </w:tc>
        <w:tc>
          <w:tcPr>
            <w:tcW w:w="851" w:type="dxa"/>
            <w:shd w:val="clear" w:color="auto" w:fill="E6F2FF"/>
            <w:vAlign w:val="bottom"/>
          </w:tcPr>
          <w:p w14:paraId="42D3B52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ED85681"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C7B707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695C09A" w14:textId="77777777" w:rsidR="0012790E" w:rsidRPr="0012790E" w:rsidRDefault="0012790E">
            <w:pPr>
              <w:pStyle w:val="Summarytabletextrightaligned"/>
              <w:rPr>
                <w:szCs w:val="16"/>
              </w:rPr>
            </w:pPr>
            <w:r w:rsidRPr="0012790E">
              <w:rPr>
                <w:szCs w:val="16"/>
              </w:rPr>
              <w:noBreakHyphen/>
            </w:r>
          </w:p>
        </w:tc>
      </w:tr>
      <w:tr w:rsidR="0012790E" w:rsidRPr="0012790E" w14:paraId="669CF814" w14:textId="77777777" w:rsidTr="54937204">
        <w:tc>
          <w:tcPr>
            <w:tcW w:w="3470" w:type="dxa"/>
            <w:shd w:val="clear" w:color="auto" w:fill="auto"/>
            <w:vAlign w:val="bottom"/>
          </w:tcPr>
          <w:p w14:paraId="3EC6A541" w14:textId="77777777" w:rsidR="0012790E" w:rsidRPr="0012790E" w:rsidRDefault="0012790E">
            <w:pPr>
              <w:pStyle w:val="SummaryMeasureTitlewithTheme"/>
            </w:pPr>
            <w:r w:rsidRPr="0012790E">
              <w:t>Housing Support(b)</w:t>
            </w:r>
          </w:p>
        </w:tc>
        <w:tc>
          <w:tcPr>
            <w:tcW w:w="851" w:type="dxa"/>
            <w:vAlign w:val="bottom"/>
          </w:tcPr>
          <w:p w14:paraId="65BE8A1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9C4D8F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FC46D8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DAB6A5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41AE3AC" w14:textId="77777777" w:rsidR="0012790E" w:rsidRPr="0012790E" w:rsidRDefault="0012790E">
            <w:pPr>
              <w:pStyle w:val="Summarytabletextrightaligned"/>
              <w:rPr>
                <w:szCs w:val="16"/>
              </w:rPr>
            </w:pPr>
            <w:r w:rsidRPr="0012790E">
              <w:rPr>
                <w:szCs w:val="16"/>
              </w:rPr>
              <w:noBreakHyphen/>
            </w:r>
          </w:p>
        </w:tc>
      </w:tr>
      <w:tr w:rsidR="0012790E" w:rsidRPr="0012790E" w14:paraId="6EFD0747" w14:textId="77777777" w:rsidTr="54937204">
        <w:tc>
          <w:tcPr>
            <w:tcW w:w="3470" w:type="dxa"/>
            <w:shd w:val="clear" w:color="auto" w:fill="auto"/>
            <w:vAlign w:val="bottom"/>
          </w:tcPr>
          <w:p w14:paraId="2EE5F2C1" w14:textId="77777777" w:rsidR="0012790E" w:rsidRPr="0012790E" w:rsidRDefault="0012790E">
            <w:pPr>
              <w:pStyle w:val="SummaryMeasureTitlewithTheme"/>
            </w:pPr>
            <w:r w:rsidRPr="0012790E">
              <w:t>Initial funding for the Independent Parliamentary Standards Commission</w:t>
            </w:r>
          </w:p>
        </w:tc>
        <w:tc>
          <w:tcPr>
            <w:tcW w:w="851" w:type="dxa"/>
            <w:vAlign w:val="bottom"/>
          </w:tcPr>
          <w:p w14:paraId="469EA7A3"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F91E3AB" w14:textId="77777777" w:rsidR="0012790E" w:rsidRPr="0012790E" w:rsidRDefault="0012790E">
            <w:pPr>
              <w:pStyle w:val="Summarytabletextrightaligned"/>
              <w:rPr>
                <w:szCs w:val="16"/>
              </w:rPr>
            </w:pPr>
            <w:r w:rsidRPr="0012790E">
              <w:rPr>
                <w:szCs w:val="16"/>
              </w:rPr>
              <w:t>1.5</w:t>
            </w:r>
          </w:p>
        </w:tc>
        <w:tc>
          <w:tcPr>
            <w:tcW w:w="851" w:type="dxa"/>
            <w:vAlign w:val="bottom"/>
          </w:tcPr>
          <w:p w14:paraId="2AD7ED97" w14:textId="77777777" w:rsidR="0012790E" w:rsidRPr="0012790E" w:rsidRDefault="0012790E">
            <w:pPr>
              <w:pStyle w:val="Summarytabletextrightaligned"/>
              <w:rPr>
                <w:szCs w:val="16"/>
              </w:rPr>
            </w:pPr>
            <w:r w:rsidRPr="0012790E">
              <w:rPr>
                <w:szCs w:val="16"/>
              </w:rPr>
              <w:t>1.6</w:t>
            </w:r>
          </w:p>
        </w:tc>
        <w:tc>
          <w:tcPr>
            <w:tcW w:w="851" w:type="dxa"/>
            <w:vAlign w:val="bottom"/>
          </w:tcPr>
          <w:p w14:paraId="38C284DC" w14:textId="77777777" w:rsidR="0012790E" w:rsidRPr="0012790E" w:rsidRDefault="0012790E">
            <w:pPr>
              <w:pStyle w:val="Summarytabletextrightaligned"/>
              <w:rPr>
                <w:szCs w:val="16"/>
              </w:rPr>
            </w:pPr>
            <w:r w:rsidRPr="0012790E">
              <w:rPr>
                <w:szCs w:val="16"/>
              </w:rPr>
              <w:t>0.8</w:t>
            </w:r>
          </w:p>
        </w:tc>
        <w:tc>
          <w:tcPr>
            <w:tcW w:w="851" w:type="dxa"/>
            <w:vAlign w:val="bottom"/>
          </w:tcPr>
          <w:p w14:paraId="196FBEF2" w14:textId="77777777" w:rsidR="0012790E" w:rsidRPr="0012790E" w:rsidRDefault="0012790E">
            <w:pPr>
              <w:pStyle w:val="Summarytabletextrightaligned"/>
              <w:rPr>
                <w:szCs w:val="16"/>
              </w:rPr>
            </w:pPr>
            <w:r w:rsidRPr="0012790E">
              <w:rPr>
                <w:szCs w:val="16"/>
              </w:rPr>
              <w:t>0.8</w:t>
            </w:r>
          </w:p>
        </w:tc>
      </w:tr>
      <w:tr w:rsidR="0012790E" w:rsidRPr="0012790E" w14:paraId="086559A5" w14:textId="77777777" w:rsidTr="54937204">
        <w:tc>
          <w:tcPr>
            <w:tcW w:w="3470" w:type="dxa"/>
            <w:shd w:val="clear" w:color="auto" w:fill="auto"/>
            <w:vAlign w:val="bottom"/>
          </w:tcPr>
          <w:p w14:paraId="7C0D25ED" w14:textId="77777777" w:rsidR="0012790E" w:rsidRPr="0012790E" w:rsidRDefault="0012790E">
            <w:pPr>
              <w:pStyle w:val="SummaryMeasureTitlewithTheme"/>
            </w:pPr>
            <w:r w:rsidRPr="0012790E">
              <w:t>Maintaining Support for an Effective Foreign Service</w:t>
            </w:r>
          </w:p>
        </w:tc>
        <w:tc>
          <w:tcPr>
            <w:tcW w:w="851" w:type="dxa"/>
            <w:vAlign w:val="bottom"/>
          </w:tcPr>
          <w:p w14:paraId="1F74EE1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3DF6922" w14:textId="77777777" w:rsidR="0012790E" w:rsidRPr="0012790E" w:rsidRDefault="0012790E">
            <w:pPr>
              <w:pStyle w:val="Summarytabletextrightaligned"/>
              <w:rPr>
                <w:szCs w:val="16"/>
              </w:rPr>
            </w:pPr>
            <w:r w:rsidRPr="0012790E">
              <w:rPr>
                <w:szCs w:val="16"/>
              </w:rPr>
              <w:t>0.1</w:t>
            </w:r>
          </w:p>
        </w:tc>
        <w:tc>
          <w:tcPr>
            <w:tcW w:w="851" w:type="dxa"/>
            <w:vAlign w:val="bottom"/>
          </w:tcPr>
          <w:p w14:paraId="0CD129B4" w14:textId="77777777" w:rsidR="0012790E" w:rsidRPr="0012790E" w:rsidRDefault="0012790E">
            <w:pPr>
              <w:pStyle w:val="Summarytabletextrightaligned"/>
              <w:rPr>
                <w:szCs w:val="16"/>
              </w:rPr>
            </w:pPr>
            <w:r w:rsidRPr="0012790E">
              <w:rPr>
                <w:szCs w:val="16"/>
              </w:rPr>
              <w:t>0.1</w:t>
            </w:r>
          </w:p>
        </w:tc>
        <w:tc>
          <w:tcPr>
            <w:tcW w:w="851" w:type="dxa"/>
            <w:vAlign w:val="bottom"/>
          </w:tcPr>
          <w:p w14:paraId="4F398487" w14:textId="77777777" w:rsidR="0012790E" w:rsidRPr="0012790E" w:rsidRDefault="0012790E">
            <w:pPr>
              <w:pStyle w:val="Summarytabletextrightaligned"/>
              <w:rPr>
                <w:szCs w:val="16"/>
              </w:rPr>
            </w:pPr>
            <w:r w:rsidRPr="0012790E">
              <w:rPr>
                <w:szCs w:val="16"/>
              </w:rPr>
              <w:t>0.1</w:t>
            </w:r>
          </w:p>
        </w:tc>
        <w:tc>
          <w:tcPr>
            <w:tcW w:w="851" w:type="dxa"/>
            <w:vAlign w:val="bottom"/>
          </w:tcPr>
          <w:p w14:paraId="6C9E1A56" w14:textId="77777777" w:rsidR="0012790E" w:rsidRPr="0012790E" w:rsidRDefault="0012790E">
            <w:pPr>
              <w:pStyle w:val="Summarytabletextrightaligned"/>
              <w:rPr>
                <w:szCs w:val="16"/>
              </w:rPr>
            </w:pPr>
            <w:r w:rsidRPr="0012790E">
              <w:rPr>
                <w:szCs w:val="16"/>
              </w:rPr>
              <w:t>0.1</w:t>
            </w:r>
          </w:p>
        </w:tc>
      </w:tr>
      <w:tr w:rsidR="004638BD" w:rsidRPr="0012790E" w14:paraId="3120F1C2" w14:textId="77777777" w:rsidTr="54937204">
        <w:tc>
          <w:tcPr>
            <w:tcW w:w="3470" w:type="dxa"/>
            <w:shd w:val="clear" w:color="auto" w:fill="auto"/>
            <w:vAlign w:val="bottom"/>
          </w:tcPr>
          <w:p w14:paraId="332CC0EB" w14:textId="77777777" w:rsidR="004638BD" w:rsidRPr="0012790E" w:rsidRDefault="004638BD" w:rsidP="004638BD">
            <w:pPr>
              <w:pStyle w:val="SummaryMeasureTitlewithTheme"/>
            </w:pPr>
            <w:r w:rsidRPr="0012790E">
              <w:t>National Disability Insurance Scheme – getting the NDIS back on track</w:t>
            </w:r>
          </w:p>
        </w:tc>
        <w:tc>
          <w:tcPr>
            <w:tcW w:w="851" w:type="dxa"/>
            <w:vAlign w:val="bottom"/>
          </w:tcPr>
          <w:p w14:paraId="56F1D721" w14:textId="77777777" w:rsidR="004638BD" w:rsidRPr="0012790E" w:rsidRDefault="004638BD" w:rsidP="004638BD">
            <w:pPr>
              <w:pStyle w:val="Summarytabletextrightaligned"/>
              <w:rPr>
                <w:szCs w:val="16"/>
              </w:rPr>
            </w:pPr>
            <w:r w:rsidRPr="0012790E">
              <w:rPr>
                <w:szCs w:val="16"/>
              </w:rPr>
              <w:noBreakHyphen/>
            </w:r>
          </w:p>
        </w:tc>
        <w:tc>
          <w:tcPr>
            <w:tcW w:w="851" w:type="dxa"/>
            <w:shd w:val="clear" w:color="auto" w:fill="E6F2FF"/>
            <w:vAlign w:val="bottom"/>
          </w:tcPr>
          <w:p w14:paraId="16D6EC13" w14:textId="42247FDA" w:rsidR="004638BD" w:rsidRPr="0012790E" w:rsidRDefault="004638BD" w:rsidP="004638BD">
            <w:pPr>
              <w:pStyle w:val="Summarytabletextrightaligned"/>
              <w:rPr>
                <w:szCs w:val="16"/>
              </w:rPr>
            </w:pPr>
            <w:r w:rsidRPr="0012790E">
              <w:rPr>
                <w:szCs w:val="16"/>
              </w:rPr>
              <w:t>0.</w:t>
            </w:r>
            <w:r>
              <w:rPr>
                <w:szCs w:val="16"/>
              </w:rPr>
              <w:t>2</w:t>
            </w:r>
          </w:p>
        </w:tc>
        <w:tc>
          <w:tcPr>
            <w:tcW w:w="851" w:type="dxa"/>
            <w:vAlign w:val="bottom"/>
          </w:tcPr>
          <w:p w14:paraId="4E2B5BA2" w14:textId="0D4997EE" w:rsidR="004638BD" w:rsidRPr="0012790E" w:rsidRDefault="004638BD" w:rsidP="004638BD">
            <w:pPr>
              <w:pStyle w:val="Summarytabletextrightaligned"/>
              <w:rPr>
                <w:szCs w:val="16"/>
              </w:rPr>
            </w:pPr>
            <w:r>
              <w:rPr>
                <w:szCs w:val="16"/>
              </w:rPr>
              <w:t>0.2</w:t>
            </w:r>
          </w:p>
        </w:tc>
        <w:tc>
          <w:tcPr>
            <w:tcW w:w="851" w:type="dxa"/>
            <w:vAlign w:val="bottom"/>
          </w:tcPr>
          <w:p w14:paraId="706741AC" w14:textId="77777777" w:rsidR="004638BD" w:rsidRPr="0012790E" w:rsidRDefault="004638BD" w:rsidP="004638BD">
            <w:pPr>
              <w:pStyle w:val="Summarytabletextrightaligned"/>
              <w:rPr>
                <w:szCs w:val="16"/>
              </w:rPr>
            </w:pPr>
            <w:r w:rsidRPr="0012790E">
              <w:rPr>
                <w:szCs w:val="16"/>
              </w:rPr>
              <w:t>0.1</w:t>
            </w:r>
          </w:p>
        </w:tc>
        <w:tc>
          <w:tcPr>
            <w:tcW w:w="851" w:type="dxa"/>
            <w:vAlign w:val="bottom"/>
          </w:tcPr>
          <w:p w14:paraId="444F4BEF" w14:textId="77777777" w:rsidR="004638BD" w:rsidRPr="0012790E" w:rsidRDefault="004638BD" w:rsidP="004638BD">
            <w:pPr>
              <w:pStyle w:val="Summarytabletextrightaligned"/>
              <w:rPr>
                <w:szCs w:val="16"/>
              </w:rPr>
            </w:pPr>
            <w:r w:rsidRPr="0012790E">
              <w:rPr>
                <w:szCs w:val="16"/>
              </w:rPr>
              <w:noBreakHyphen/>
            </w:r>
          </w:p>
        </w:tc>
      </w:tr>
      <w:tr w:rsidR="0012790E" w:rsidRPr="0012790E" w14:paraId="31A22BF0" w14:textId="77777777" w:rsidTr="54937204">
        <w:tc>
          <w:tcPr>
            <w:tcW w:w="3470" w:type="dxa"/>
            <w:shd w:val="clear" w:color="auto" w:fill="auto"/>
            <w:vAlign w:val="bottom"/>
          </w:tcPr>
          <w:p w14:paraId="57E76276" w14:textId="77777777" w:rsidR="0012790E" w:rsidRPr="0012790E" w:rsidRDefault="0012790E">
            <w:pPr>
              <w:pStyle w:val="SummaryMeasureTitlewithTheme"/>
            </w:pPr>
            <w:r w:rsidRPr="0012790E">
              <w:t>National Firearms Register</w:t>
            </w:r>
          </w:p>
        </w:tc>
        <w:tc>
          <w:tcPr>
            <w:tcW w:w="851" w:type="dxa"/>
            <w:vAlign w:val="bottom"/>
          </w:tcPr>
          <w:p w14:paraId="62B9318A"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5AE71D1" w14:textId="77777777" w:rsidR="0012790E" w:rsidRPr="0012790E" w:rsidRDefault="0012790E">
            <w:pPr>
              <w:pStyle w:val="Summarytabletextrightaligned"/>
              <w:rPr>
                <w:szCs w:val="16"/>
              </w:rPr>
            </w:pPr>
            <w:r w:rsidRPr="0012790E">
              <w:rPr>
                <w:szCs w:val="16"/>
              </w:rPr>
              <w:t>0.1</w:t>
            </w:r>
          </w:p>
        </w:tc>
        <w:tc>
          <w:tcPr>
            <w:tcW w:w="851" w:type="dxa"/>
            <w:vAlign w:val="bottom"/>
          </w:tcPr>
          <w:p w14:paraId="40515457" w14:textId="77777777" w:rsidR="0012790E" w:rsidRPr="0012790E" w:rsidRDefault="0012790E">
            <w:pPr>
              <w:pStyle w:val="Summarytabletextrightaligned"/>
              <w:rPr>
                <w:szCs w:val="16"/>
              </w:rPr>
            </w:pPr>
            <w:r w:rsidRPr="0012790E">
              <w:rPr>
                <w:szCs w:val="16"/>
              </w:rPr>
              <w:t>0.1</w:t>
            </w:r>
          </w:p>
        </w:tc>
        <w:tc>
          <w:tcPr>
            <w:tcW w:w="851" w:type="dxa"/>
            <w:vAlign w:val="bottom"/>
          </w:tcPr>
          <w:p w14:paraId="0B1D595D" w14:textId="77777777" w:rsidR="0012790E" w:rsidRPr="0012790E" w:rsidRDefault="0012790E">
            <w:pPr>
              <w:pStyle w:val="Summarytabletextrightaligned"/>
              <w:rPr>
                <w:szCs w:val="16"/>
              </w:rPr>
            </w:pPr>
            <w:r w:rsidRPr="0012790E">
              <w:rPr>
                <w:szCs w:val="16"/>
              </w:rPr>
              <w:t>0.1</w:t>
            </w:r>
          </w:p>
        </w:tc>
        <w:tc>
          <w:tcPr>
            <w:tcW w:w="851" w:type="dxa"/>
            <w:vAlign w:val="bottom"/>
          </w:tcPr>
          <w:p w14:paraId="7FF9EA65" w14:textId="77777777" w:rsidR="0012790E" w:rsidRPr="0012790E" w:rsidRDefault="0012790E">
            <w:pPr>
              <w:pStyle w:val="Summarytabletextrightaligned"/>
              <w:rPr>
                <w:szCs w:val="16"/>
              </w:rPr>
            </w:pPr>
            <w:r w:rsidRPr="0012790E">
              <w:rPr>
                <w:szCs w:val="16"/>
              </w:rPr>
              <w:t>0.1</w:t>
            </w:r>
          </w:p>
        </w:tc>
      </w:tr>
      <w:tr w:rsidR="0012790E" w:rsidRPr="0012790E" w14:paraId="080B6764" w14:textId="77777777" w:rsidTr="54937204">
        <w:tc>
          <w:tcPr>
            <w:tcW w:w="3470" w:type="dxa"/>
            <w:shd w:val="clear" w:color="auto" w:fill="auto"/>
            <w:vAlign w:val="bottom"/>
          </w:tcPr>
          <w:p w14:paraId="357C6AC8" w14:textId="77777777" w:rsidR="0012790E" w:rsidRPr="0012790E" w:rsidRDefault="0012790E">
            <w:pPr>
              <w:pStyle w:val="SummaryMeasureTitlewithTheme"/>
            </w:pPr>
            <w:r w:rsidRPr="0012790E">
              <w:t>Parliamentary Expenses Management System – additional funding</w:t>
            </w:r>
          </w:p>
        </w:tc>
        <w:tc>
          <w:tcPr>
            <w:tcW w:w="851" w:type="dxa"/>
            <w:vAlign w:val="bottom"/>
          </w:tcPr>
          <w:p w14:paraId="0119574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435B906" w14:textId="77777777" w:rsidR="0012790E" w:rsidRPr="0012790E" w:rsidRDefault="0012790E">
            <w:pPr>
              <w:pStyle w:val="Summarytabletextrightaligned"/>
              <w:rPr>
                <w:szCs w:val="16"/>
              </w:rPr>
            </w:pPr>
            <w:r w:rsidRPr="0012790E">
              <w:rPr>
                <w:szCs w:val="16"/>
              </w:rPr>
              <w:t>4.9</w:t>
            </w:r>
          </w:p>
        </w:tc>
        <w:tc>
          <w:tcPr>
            <w:tcW w:w="851" w:type="dxa"/>
            <w:vAlign w:val="bottom"/>
          </w:tcPr>
          <w:p w14:paraId="5C07F58B" w14:textId="77777777" w:rsidR="0012790E" w:rsidRPr="0012790E" w:rsidRDefault="0012790E">
            <w:pPr>
              <w:pStyle w:val="Summarytabletextrightaligned"/>
              <w:rPr>
                <w:szCs w:val="16"/>
              </w:rPr>
            </w:pPr>
            <w:r w:rsidRPr="0012790E">
              <w:rPr>
                <w:szCs w:val="16"/>
              </w:rPr>
              <w:t>4.9</w:t>
            </w:r>
          </w:p>
        </w:tc>
        <w:tc>
          <w:tcPr>
            <w:tcW w:w="851" w:type="dxa"/>
            <w:vAlign w:val="bottom"/>
          </w:tcPr>
          <w:p w14:paraId="3863BD0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558503F" w14:textId="77777777" w:rsidR="0012790E" w:rsidRPr="0012790E" w:rsidRDefault="0012790E">
            <w:pPr>
              <w:pStyle w:val="Summarytabletextrightaligned"/>
              <w:rPr>
                <w:szCs w:val="16"/>
              </w:rPr>
            </w:pPr>
            <w:r w:rsidRPr="0012790E">
              <w:rPr>
                <w:szCs w:val="16"/>
              </w:rPr>
              <w:noBreakHyphen/>
            </w:r>
          </w:p>
        </w:tc>
      </w:tr>
      <w:tr w:rsidR="0012790E" w:rsidRPr="0012790E" w14:paraId="38372CAB" w14:textId="77777777" w:rsidTr="54937204">
        <w:tc>
          <w:tcPr>
            <w:tcW w:w="3470" w:type="dxa"/>
            <w:shd w:val="clear" w:color="auto" w:fill="auto"/>
            <w:vAlign w:val="bottom"/>
          </w:tcPr>
          <w:p w14:paraId="388A2D63" w14:textId="77777777" w:rsidR="0012790E" w:rsidRPr="0012790E" w:rsidRDefault="0012790E">
            <w:pPr>
              <w:pStyle w:val="SummaryMeasureTitlewithTheme"/>
            </w:pPr>
            <w:r w:rsidRPr="0012790E">
              <w:t>Prime Minister and Cabinet – additional resourcing</w:t>
            </w:r>
          </w:p>
        </w:tc>
        <w:tc>
          <w:tcPr>
            <w:tcW w:w="851" w:type="dxa"/>
            <w:vAlign w:val="bottom"/>
          </w:tcPr>
          <w:p w14:paraId="27FC027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9F64381"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78863E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66DB66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9FADE83" w14:textId="77777777" w:rsidR="0012790E" w:rsidRPr="0012790E" w:rsidRDefault="0012790E">
            <w:pPr>
              <w:pStyle w:val="Summarytabletextrightaligned"/>
              <w:rPr>
                <w:szCs w:val="16"/>
              </w:rPr>
            </w:pPr>
            <w:r w:rsidRPr="0012790E">
              <w:rPr>
                <w:szCs w:val="16"/>
              </w:rPr>
              <w:noBreakHyphen/>
            </w:r>
          </w:p>
        </w:tc>
      </w:tr>
      <w:tr w:rsidR="0012790E" w:rsidRPr="0012790E" w14:paraId="49F62FF8" w14:textId="77777777" w:rsidTr="54937204">
        <w:tc>
          <w:tcPr>
            <w:tcW w:w="3470" w:type="dxa"/>
            <w:shd w:val="clear" w:color="auto" w:fill="auto"/>
            <w:vAlign w:val="bottom"/>
          </w:tcPr>
          <w:p w14:paraId="37B9773C" w14:textId="77777777" w:rsidR="0012790E" w:rsidRPr="0012790E" w:rsidRDefault="0012790E">
            <w:pPr>
              <w:pStyle w:val="SummaryMeasureTitlewithTheme"/>
            </w:pPr>
            <w:r w:rsidRPr="0012790E">
              <w:t>Services Australia – additional resourcing</w:t>
            </w:r>
          </w:p>
        </w:tc>
        <w:tc>
          <w:tcPr>
            <w:tcW w:w="851" w:type="dxa"/>
            <w:vAlign w:val="bottom"/>
          </w:tcPr>
          <w:p w14:paraId="61200DD7"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5BFD12A" w14:textId="77777777" w:rsidR="0012790E" w:rsidRPr="0012790E" w:rsidRDefault="0012790E">
            <w:pPr>
              <w:pStyle w:val="Summarytabletextrightaligned"/>
              <w:rPr>
                <w:szCs w:val="16"/>
              </w:rPr>
            </w:pPr>
            <w:r w:rsidRPr="0012790E">
              <w:rPr>
                <w:szCs w:val="16"/>
              </w:rPr>
              <w:t>0.1</w:t>
            </w:r>
          </w:p>
        </w:tc>
        <w:tc>
          <w:tcPr>
            <w:tcW w:w="851" w:type="dxa"/>
            <w:vAlign w:val="bottom"/>
          </w:tcPr>
          <w:p w14:paraId="4AC80CDA" w14:textId="77777777" w:rsidR="0012790E" w:rsidRPr="0012790E" w:rsidRDefault="0012790E">
            <w:pPr>
              <w:pStyle w:val="Summarytabletextrightaligned"/>
              <w:rPr>
                <w:szCs w:val="16"/>
              </w:rPr>
            </w:pPr>
            <w:r w:rsidRPr="0012790E">
              <w:rPr>
                <w:szCs w:val="16"/>
              </w:rPr>
              <w:t>0.1</w:t>
            </w:r>
          </w:p>
        </w:tc>
        <w:tc>
          <w:tcPr>
            <w:tcW w:w="851" w:type="dxa"/>
            <w:vAlign w:val="bottom"/>
          </w:tcPr>
          <w:p w14:paraId="77A1E3CE" w14:textId="77777777" w:rsidR="0012790E" w:rsidRPr="0012790E" w:rsidRDefault="0012790E">
            <w:pPr>
              <w:pStyle w:val="Summarytabletextrightaligned"/>
              <w:rPr>
                <w:szCs w:val="16"/>
              </w:rPr>
            </w:pPr>
            <w:r w:rsidRPr="0012790E">
              <w:rPr>
                <w:szCs w:val="16"/>
              </w:rPr>
              <w:t>0.1</w:t>
            </w:r>
          </w:p>
        </w:tc>
        <w:tc>
          <w:tcPr>
            <w:tcW w:w="851" w:type="dxa"/>
            <w:vAlign w:val="bottom"/>
          </w:tcPr>
          <w:p w14:paraId="18AD4329" w14:textId="77777777" w:rsidR="0012790E" w:rsidRPr="0012790E" w:rsidRDefault="0012790E">
            <w:pPr>
              <w:pStyle w:val="Summarytabletextrightaligned"/>
              <w:rPr>
                <w:szCs w:val="16"/>
              </w:rPr>
            </w:pPr>
            <w:r w:rsidRPr="0012790E">
              <w:rPr>
                <w:szCs w:val="16"/>
              </w:rPr>
              <w:t>0.1</w:t>
            </w:r>
          </w:p>
        </w:tc>
      </w:tr>
      <w:tr w:rsidR="0012790E" w:rsidRPr="0012790E" w14:paraId="22BDC896" w14:textId="77777777" w:rsidTr="54937204">
        <w:tc>
          <w:tcPr>
            <w:tcW w:w="3470" w:type="dxa"/>
            <w:shd w:val="clear" w:color="auto" w:fill="auto"/>
            <w:vAlign w:val="bottom"/>
          </w:tcPr>
          <w:p w14:paraId="049B2027" w14:textId="77777777" w:rsidR="0012790E" w:rsidRPr="0012790E" w:rsidRDefault="0012790E">
            <w:pPr>
              <w:pStyle w:val="SummaryMeasureTitlewithTheme"/>
            </w:pPr>
            <w:r w:rsidRPr="0012790E">
              <w:t>Snowy Hydro Limited(b)</w:t>
            </w:r>
          </w:p>
        </w:tc>
        <w:tc>
          <w:tcPr>
            <w:tcW w:w="851" w:type="dxa"/>
            <w:vAlign w:val="bottom"/>
          </w:tcPr>
          <w:p w14:paraId="4E2D3097"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6ADE214" w14:textId="77777777" w:rsidR="0012790E" w:rsidRPr="0012790E" w:rsidRDefault="0012790E">
            <w:pPr>
              <w:pStyle w:val="Summarytabletextrightaligned"/>
              <w:rPr>
                <w:szCs w:val="16"/>
              </w:rPr>
            </w:pPr>
            <w:r w:rsidRPr="0012790E">
              <w:rPr>
                <w:szCs w:val="16"/>
              </w:rPr>
              <w:t>0.8</w:t>
            </w:r>
          </w:p>
        </w:tc>
        <w:tc>
          <w:tcPr>
            <w:tcW w:w="851" w:type="dxa"/>
            <w:vAlign w:val="bottom"/>
          </w:tcPr>
          <w:p w14:paraId="47C6EF35" w14:textId="77777777" w:rsidR="0012790E" w:rsidRPr="0012790E" w:rsidRDefault="0012790E">
            <w:pPr>
              <w:pStyle w:val="Summarytabletextrightaligned"/>
              <w:rPr>
                <w:szCs w:val="16"/>
              </w:rPr>
            </w:pPr>
            <w:r w:rsidRPr="0012790E">
              <w:rPr>
                <w:szCs w:val="16"/>
              </w:rPr>
              <w:t>0.4</w:t>
            </w:r>
          </w:p>
        </w:tc>
        <w:tc>
          <w:tcPr>
            <w:tcW w:w="851" w:type="dxa"/>
            <w:vAlign w:val="bottom"/>
          </w:tcPr>
          <w:p w14:paraId="35D3AB35" w14:textId="77777777" w:rsidR="0012790E" w:rsidRPr="0012790E" w:rsidRDefault="0012790E">
            <w:pPr>
              <w:pStyle w:val="Summarytabletextrightaligned"/>
              <w:rPr>
                <w:szCs w:val="16"/>
              </w:rPr>
            </w:pPr>
            <w:r w:rsidRPr="0012790E">
              <w:rPr>
                <w:szCs w:val="16"/>
              </w:rPr>
              <w:t>0.4</w:t>
            </w:r>
          </w:p>
        </w:tc>
        <w:tc>
          <w:tcPr>
            <w:tcW w:w="851" w:type="dxa"/>
            <w:vAlign w:val="bottom"/>
          </w:tcPr>
          <w:p w14:paraId="145BD9C3" w14:textId="77777777" w:rsidR="0012790E" w:rsidRPr="0012790E" w:rsidRDefault="0012790E">
            <w:pPr>
              <w:pStyle w:val="Summarytabletextrightaligned"/>
              <w:rPr>
                <w:szCs w:val="16"/>
              </w:rPr>
            </w:pPr>
            <w:r w:rsidRPr="0012790E">
              <w:rPr>
                <w:szCs w:val="16"/>
              </w:rPr>
              <w:t>0.4</w:t>
            </w:r>
          </w:p>
        </w:tc>
      </w:tr>
      <w:tr w:rsidR="0012790E" w:rsidRPr="0012790E" w14:paraId="54998D97" w14:textId="77777777" w:rsidTr="54937204">
        <w:tc>
          <w:tcPr>
            <w:tcW w:w="3470" w:type="dxa"/>
            <w:shd w:val="clear" w:color="auto" w:fill="auto"/>
            <w:vAlign w:val="bottom"/>
          </w:tcPr>
          <w:p w14:paraId="65C4E58D" w14:textId="77777777" w:rsidR="0012790E" w:rsidRPr="0012790E" w:rsidRDefault="0012790E">
            <w:pPr>
              <w:pStyle w:val="SummaryMeasureTitlewithTheme"/>
            </w:pPr>
            <w:r w:rsidRPr="0012790E">
              <w:t>Strengthening Tax Compliance – Australian Taxation Office Counter Fraud Strategy(b)</w:t>
            </w:r>
          </w:p>
        </w:tc>
        <w:tc>
          <w:tcPr>
            <w:tcW w:w="851" w:type="dxa"/>
            <w:vAlign w:val="bottom"/>
          </w:tcPr>
          <w:p w14:paraId="4DA741D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496ADDA" w14:textId="77777777" w:rsidR="0012790E" w:rsidRPr="0012790E" w:rsidRDefault="0012790E">
            <w:pPr>
              <w:pStyle w:val="Summarytabletextrightaligned"/>
              <w:rPr>
                <w:szCs w:val="16"/>
              </w:rPr>
            </w:pPr>
            <w:r w:rsidRPr="0012790E">
              <w:rPr>
                <w:szCs w:val="16"/>
              </w:rPr>
              <w:t>0.1</w:t>
            </w:r>
          </w:p>
        </w:tc>
        <w:tc>
          <w:tcPr>
            <w:tcW w:w="851" w:type="dxa"/>
            <w:vAlign w:val="bottom"/>
          </w:tcPr>
          <w:p w14:paraId="4398539F" w14:textId="77777777" w:rsidR="0012790E" w:rsidRPr="0012790E" w:rsidRDefault="0012790E">
            <w:pPr>
              <w:pStyle w:val="Summarytabletextrightaligned"/>
              <w:rPr>
                <w:szCs w:val="16"/>
              </w:rPr>
            </w:pPr>
            <w:r w:rsidRPr="0012790E">
              <w:rPr>
                <w:szCs w:val="16"/>
              </w:rPr>
              <w:t>0.1</w:t>
            </w:r>
          </w:p>
        </w:tc>
        <w:tc>
          <w:tcPr>
            <w:tcW w:w="851" w:type="dxa"/>
            <w:vAlign w:val="bottom"/>
          </w:tcPr>
          <w:p w14:paraId="45CCC2EB" w14:textId="77777777" w:rsidR="0012790E" w:rsidRPr="0012790E" w:rsidRDefault="0012790E">
            <w:pPr>
              <w:pStyle w:val="Summarytabletextrightaligned"/>
              <w:rPr>
                <w:szCs w:val="16"/>
              </w:rPr>
            </w:pPr>
            <w:r w:rsidRPr="0012790E">
              <w:rPr>
                <w:szCs w:val="16"/>
              </w:rPr>
              <w:t>0.1</w:t>
            </w:r>
          </w:p>
        </w:tc>
        <w:tc>
          <w:tcPr>
            <w:tcW w:w="851" w:type="dxa"/>
            <w:vAlign w:val="bottom"/>
          </w:tcPr>
          <w:p w14:paraId="5B5E8823" w14:textId="77777777" w:rsidR="0012790E" w:rsidRPr="0012790E" w:rsidRDefault="0012790E">
            <w:pPr>
              <w:pStyle w:val="Summarytabletextrightaligned"/>
              <w:rPr>
                <w:szCs w:val="16"/>
              </w:rPr>
            </w:pPr>
            <w:r w:rsidRPr="0012790E">
              <w:rPr>
                <w:szCs w:val="16"/>
              </w:rPr>
              <w:t>0.1</w:t>
            </w:r>
          </w:p>
        </w:tc>
      </w:tr>
      <w:tr w:rsidR="0012790E" w:rsidRPr="0012790E" w14:paraId="32DB13AD" w14:textId="77777777" w:rsidTr="54937204">
        <w:tc>
          <w:tcPr>
            <w:tcW w:w="3470" w:type="dxa"/>
            <w:shd w:val="clear" w:color="auto" w:fill="auto"/>
            <w:vAlign w:val="bottom"/>
          </w:tcPr>
          <w:p w14:paraId="21D9C2C2" w14:textId="77777777" w:rsidR="0012790E" w:rsidRPr="0012790E" w:rsidRDefault="0012790E">
            <w:pPr>
              <w:pStyle w:val="SummaryAgencyTitle-BP2"/>
              <w:rPr>
                <w:iCs/>
              </w:rPr>
            </w:pPr>
            <w:r w:rsidRPr="0012790E">
              <w:rPr>
                <w:iCs/>
              </w:rPr>
              <w:t>Digital Transformation Agency</w:t>
            </w:r>
          </w:p>
        </w:tc>
        <w:tc>
          <w:tcPr>
            <w:tcW w:w="851" w:type="dxa"/>
            <w:vAlign w:val="bottom"/>
          </w:tcPr>
          <w:p w14:paraId="3A114B58" w14:textId="77777777" w:rsidR="0012790E" w:rsidRPr="0012790E" w:rsidRDefault="0012790E">
            <w:pPr>
              <w:pStyle w:val="SummaryAgencyTitle-BP2"/>
              <w:rPr>
                <w:iCs/>
              </w:rPr>
            </w:pPr>
          </w:p>
        </w:tc>
        <w:tc>
          <w:tcPr>
            <w:tcW w:w="851" w:type="dxa"/>
            <w:shd w:val="clear" w:color="auto" w:fill="E6F2FF"/>
            <w:vAlign w:val="bottom"/>
          </w:tcPr>
          <w:p w14:paraId="448431A8" w14:textId="77777777" w:rsidR="0012790E" w:rsidRPr="0012790E" w:rsidRDefault="0012790E">
            <w:pPr>
              <w:pStyle w:val="SummaryAgencyTitle-BP2"/>
              <w:rPr>
                <w:iCs/>
              </w:rPr>
            </w:pPr>
          </w:p>
        </w:tc>
        <w:tc>
          <w:tcPr>
            <w:tcW w:w="851" w:type="dxa"/>
            <w:vAlign w:val="bottom"/>
          </w:tcPr>
          <w:p w14:paraId="1E71C6D6" w14:textId="77777777" w:rsidR="0012790E" w:rsidRPr="0012790E" w:rsidRDefault="0012790E">
            <w:pPr>
              <w:pStyle w:val="SummaryAgencyTitle-BP2"/>
              <w:rPr>
                <w:iCs/>
              </w:rPr>
            </w:pPr>
          </w:p>
        </w:tc>
        <w:tc>
          <w:tcPr>
            <w:tcW w:w="851" w:type="dxa"/>
            <w:vAlign w:val="bottom"/>
          </w:tcPr>
          <w:p w14:paraId="0DE5BA31" w14:textId="77777777" w:rsidR="0012790E" w:rsidRPr="0012790E" w:rsidRDefault="0012790E">
            <w:pPr>
              <w:pStyle w:val="SummaryAgencyTitle-BP2"/>
              <w:rPr>
                <w:iCs/>
              </w:rPr>
            </w:pPr>
          </w:p>
        </w:tc>
        <w:tc>
          <w:tcPr>
            <w:tcW w:w="851" w:type="dxa"/>
            <w:vAlign w:val="bottom"/>
          </w:tcPr>
          <w:p w14:paraId="412490FD" w14:textId="77777777" w:rsidR="0012790E" w:rsidRPr="0012790E" w:rsidRDefault="0012790E">
            <w:pPr>
              <w:pStyle w:val="SummaryAgencyTitle-BP2"/>
              <w:rPr>
                <w:iCs/>
              </w:rPr>
            </w:pPr>
          </w:p>
        </w:tc>
      </w:tr>
      <w:tr w:rsidR="0012790E" w:rsidRPr="0012790E" w14:paraId="75F15F3B" w14:textId="77777777" w:rsidTr="54937204">
        <w:tc>
          <w:tcPr>
            <w:tcW w:w="3470" w:type="dxa"/>
            <w:shd w:val="clear" w:color="auto" w:fill="auto"/>
            <w:vAlign w:val="bottom"/>
          </w:tcPr>
          <w:p w14:paraId="198E9E8E" w14:textId="77777777" w:rsidR="0012790E" w:rsidRPr="0012790E" w:rsidRDefault="0012790E">
            <w:pPr>
              <w:pStyle w:val="SummaryMeasureTitlewithTheme"/>
            </w:pPr>
            <w:r w:rsidRPr="0012790E">
              <w:t>APS Capability Reinvestment Fund: 2024</w:t>
            </w:r>
            <w:r w:rsidRPr="0012790E">
              <w:noBreakHyphen/>
              <w:t>25 projects funded under round two</w:t>
            </w:r>
          </w:p>
        </w:tc>
        <w:tc>
          <w:tcPr>
            <w:tcW w:w="851" w:type="dxa"/>
            <w:vAlign w:val="bottom"/>
          </w:tcPr>
          <w:p w14:paraId="0F6564B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FD64E26" w14:textId="5B562EBF" w:rsidR="0012790E" w:rsidRPr="0012790E" w:rsidRDefault="00B92B04">
            <w:pPr>
              <w:pStyle w:val="Summarytabletextrightaligned"/>
              <w:rPr>
                <w:szCs w:val="16"/>
              </w:rPr>
            </w:pPr>
            <w:r>
              <w:rPr>
                <w:szCs w:val="16"/>
              </w:rPr>
              <w:t>-</w:t>
            </w:r>
          </w:p>
        </w:tc>
        <w:tc>
          <w:tcPr>
            <w:tcW w:w="851" w:type="dxa"/>
            <w:vAlign w:val="bottom"/>
          </w:tcPr>
          <w:p w14:paraId="1B80D71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8C7FAD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AEF35D7" w14:textId="77777777" w:rsidR="0012790E" w:rsidRPr="0012790E" w:rsidRDefault="0012790E">
            <w:pPr>
              <w:pStyle w:val="Summarytabletextrightaligned"/>
              <w:rPr>
                <w:szCs w:val="16"/>
              </w:rPr>
            </w:pPr>
            <w:r w:rsidRPr="0012790E">
              <w:rPr>
                <w:szCs w:val="16"/>
              </w:rPr>
              <w:noBreakHyphen/>
            </w:r>
          </w:p>
        </w:tc>
      </w:tr>
      <w:tr w:rsidR="0012790E" w:rsidRPr="0012790E" w14:paraId="0220DD9A" w14:textId="77777777" w:rsidTr="54937204">
        <w:tc>
          <w:tcPr>
            <w:tcW w:w="3470" w:type="dxa"/>
            <w:tcBorders>
              <w:bottom w:val="single" w:sz="4" w:space="0" w:color="293F5B"/>
            </w:tcBorders>
            <w:shd w:val="clear" w:color="auto" w:fill="auto"/>
            <w:vAlign w:val="bottom"/>
          </w:tcPr>
          <w:p w14:paraId="47DF4A74" w14:textId="77777777" w:rsidR="0012790E" w:rsidRPr="0012790E" w:rsidRDefault="0012790E">
            <w:pPr>
              <w:pStyle w:val="SummaryMeasureTitlewithTheme"/>
            </w:pPr>
            <w:r w:rsidRPr="0012790E">
              <w:t>Finance Portfolio – additional resourcing</w:t>
            </w:r>
          </w:p>
        </w:tc>
        <w:tc>
          <w:tcPr>
            <w:tcW w:w="851" w:type="dxa"/>
            <w:tcBorders>
              <w:bottom w:val="single" w:sz="4" w:space="0" w:color="293F5B"/>
            </w:tcBorders>
            <w:vAlign w:val="bottom"/>
          </w:tcPr>
          <w:p w14:paraId="5C380CE5"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6D539557" w14:textId="77777777" w:rsidR="0012790E" w:rsidRPr="0012790E" w:rsidRDefault="0012790E">
            <w:pPr>
              <w:pStyle w:val="Summarytabletextrightaligned"/>
              <w:rPr>
                <w:szCs w:val="16"/>
              </w:rPr>
            </w:pPr>
            <w:r w:rsidRPr="0012790E">
              <w:rPr>
                <w:szCs w:val="16"/>
              </w:rPr>
              <w:t>3.3</w:t>
            </w:r>
          </w:p>
        </w:tc>
        <w:tc>
          <w:tcPr>
            <w:tcW w:w="851" w:type="dxa"/>
            <w:tcBorders>
              <w:bottom w:val="single" w:sz="4" w:space="0" w:color="293F5B"/>
            </w:tcBorders>
            <w:vAlign w:val="bottom"/>
          </w:tcPr>
          <w:p w14:paraId="3A9516E1" w14:textId="77777777" w:rsidR="0012790E" w:rsidRPr="0012790E" w:rsidRDefault="0012790E">
            <w:pPr>
              <w:pStyle w:val="Summarytabletextrightaligned"/>
              <w:rPr>
                <w:szCs w:val="16"/>
              </w:rPr>
            </w:pPr>
            <w:r w:rsidRPr="0012790E">
              <w:rPr>
                <w:szCs w:val="16"/>
              </w:rPr>
              <w:t>3.4</w:t>
            </w:r>
          </w:p>
        </w:tc>
        <w:tc>
          <w:tcPr>
            <w:tcW w:w="851" w:type="dxa"/>
            <w:tcBorders>
              <w:bottom w:val="single" w:sz="4" w:space="0" w:color="293F5B"/>
            </w:tcBorders>
            <w:vAlign w:val="bottom"/>
          </w:tcPr>
          <w:p w14:paraId="049B7B5A"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5BD7D55B" w14:textId="77777777" w:rsidR="0012790E" w:rsidRPr="0012790E" w:rsidRDefault="0012790E">
            <w:pPr>
              <w:pStyle w:val="Summarytabletextrightaligned"/>
              <w:rPr>
                <w:szCs w:val="16"/>
              </w:rPr>
            </w:pPr>
            <w:r w:rsidRPr="0012790E">
              <w:rPr>
                <w:szCs w:val="16"/>
              </w:rPr>
              <w:noBreakHyphen/>
            </w:r>
          </w:p>
        </w:tc>
      </w:tr>
    </w:tbl>
    <w:p w14:paraId="41E212BE" w14:textId="77777777" w:rsidR="0012790E" w:rsidRPr="0012790E" w:rsidRDefault="0012790E" w:rsidP="0012790E">
      <w:pPr>
        <w:pStyle w:val="TableHeadingcontinued"/>
        <w:sectPr w:rsidR="0012790E" w:rsidRPr="0012790E" w:rsidSect="00EA5BFE">
          <w:headerReference w:type="even" r:id="rId56"/>
          <w:headerReference w:type="default" r:id="rId57"/>
          <w:footerReference w:type="even" r:id="rId58"/>
          <w:footerReference w:type="default" r:id="rId59"/>
          <w:footerReference w:type="first" r:id="rId60"/>
          <w:pgSz w:w="11905" w:h="16837"/>
          <w:pgMar w:top="2835" w:right="2098" w:bottom="2466" w:left="2098" w:header="1814" w:footer="1814" w:gutter="0"/>
          <w:cols w:space="720"/>
          <w:noEndnote/>
          <w:docGrid w:linePitch="272"/>
        </w:sectPr>
      </w:pPr>
    </w:p>
    <w:p w14:paraId="1C5E6CA2" w14:textId="77777777" w:rsidR="0012790E" w:rsidRPr="0012790E" w:rsidRDefault="0012790E" w:rsidP="0012790E">
      <w:pPr>
        <w:pStyle w:val="TableHeadingcontinued"/>
        <w:rPr>
          <w:szCs w:val="16"/>
        </w:rPr>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2DA6CB52" w14:textId="77777777" w:rsidTr="54937204">
        <w:tc>
          <w:tcPr>
            <w:tcW w:w="3470" w:type="dxa"/>
            <w:tcBorders>
              <w:top w:val="single" w:sz="4" w:space="0" w:color="293F5B"/>
            </w:tcBorders>
            <w:shd w:val="clear" w:color="auto" w:fill="auto"/>
            <w:vAlign w:val="bottom"/>
          </w:tcPr>
          <w:p w14:paraId="6D7A44A3"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06A80D7D"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781A3A04"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2130A1D8"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61BD8EA5"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40162C1B"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27A7562E" w14:textId="77777777" w:rsidTr="54937204">
        <w:tc>
          <w:tcPr>
            <w:tcW w:w="3470" w:type="dxa"/>
            <w:shd w:val="clear" w:color="auto" w:fill="auto"/>
            <w:vAlign w:val="bottom"/>
          </w:tcPr>
          <w:p w14:paraId="72D2D583" w14:textId="77777777" w:rsidR="0012790E" w:rsidRPr="0012790E" w:rsidRDefault="0012790E">
            <w:pPr>
              <w:pStyle w:val="Summarytabletextrightaligned"/>
            </w:pPr>
          </w:p>
        </w:tc>
        <w:tc>
          <w:tcPr>
            <w:tcW w:w="851" w:type="dxa"/>
            <w:tcBorders>
              <w:bottom w:val="single" w:sz="4" w:space="0" w:color="293F5B"/>
            </w:tcBorders>
            <w:vAlign w:val="bottom"/>
          </w:tcPr>
          <w:p w14:paraId="1D5602CB"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07B5F77F"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6AE47D21"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5AA14B74"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78D893B4" w14:textId="77777777" w:rsidR="0012790E" w:rsidRPr="0012790E" w:rsidRDefault="0012790E">
            <w:pPr>
              <w:pStyle w:val="Summarytabletextrightaligned"/>
            </w:pPr>
            <w:r w:rsidRPr="0012790E">
              <w:t>$m</w:t>
            </w:r>
          </w:p>
        </w:tc>
      </w:tr>
      <w:tr w:rsidR="0012790E" w:rsidRPr="0012790E" w14:paraId="23F71DB7" w14:textId="77777777" w:rsidTr="54937204">
        <w:tc>
          <w:tcPr>
            <w:tcW w:w="3470" w:type="dxa"/>
            <w:shd w:val="clear" w:color="auto" w:fill="auto"/>
            <w:vAlign w:val="bottom"/>
          </w:tcPr>
          <w:p w14:paraId="59A1EADE" w14:textId="77777777" w:rsidR="0012790E" w:rsidRPr="0012790E" w:rsidRDefault="0012790E" w:rsidP="000D3386">
            <w:pPr>
              <w:pStyle w:val="SummaryMeasureTitlewithTheme"/>
              <w:tabs>
                <w:tab w:val="clear" w:pos="285"/>
                <w:tab w:val="left" w:pos="284"/>
              </w:tabs>
              <w:ind w:hanging="340"/>
              <w:rPr>
                <w:rFonts w:cs="Arial"/>
                <w:b/>
              </w:rPr>
            </w:pPr>
            <w:r w:rsidRPr="0012790E">
              <w:rPr>
                <w:rFonts w:cs="Arial"/>
                <w:b/>
              </w:rPr>
              <w:t>FINANCE (continued)</w:t>
            </w:r>
          </w:p>
        </w:tc>
        <w:tc>
          <w:tcPr>
            <w:tcW w:w="851" w:type="dxa"/>
            <w:vAlign w:val="bottom"/>
          </w:tcPr>
          <w:p w14:paraId="33BC1D6B" w14:textId="77777777" w:rsidR="0012790E" w:rsidRPr="0012790E" w:rsidRDefault="0012790E">
            <w:pPr>
              <w:pStyle w:val="Summarytabletextrightaligned"/>
              <w:rPr>
                <w:szCs w:val="16"/>
              </w:rPr>
            </w:pPr>
          </w:p>
        </w:tc>
        <w:tc>
          <w:tcPr>
            <w:tcW w:w="851" w:type="dxa"/>
            <w:shd w:val="clear" w:color="auto" w:fill="E6F2FF"/>
            <w:vAlign w:val="bottom"/>
          </w:tcPr>
          <w:p w14:paraId="52C15262" w14:textId="77777777" w:rsidR="0012790E" w:rsidRPr="0012790E" w:rsidRDefault="0012790E">
            <w:pPr>
              <w:pStyle w:val="Summarytabletextrightaligned"/>
              <w:rPr>
                <w:szCs w:val="16"/>
              </w:rPr>
            </w:pPr>
          </w:p>
        </w:tc>
        <w:tc>
          <w:tcPr>
            <w:tcW w:w="851" w:type="dxa"/>
            <w:vAlign w:val="bottom"/>
          </w:tcPr>
          <w:p w14:paraId="5D826280" w14:textId="77777777" w:rsidR="0012790E" w:rsidRPr="0012790E" w:rsidRDefault="0012790E">
            <w:pPr>
              <w:pStyle w:val="Summarytabletextrightaligned"/>
              <w:rPr>
                <w:szCs w:val="16"/>
              </w:rPr>
            </w:pPr>
          </w:p>
        </w:tc>
        <w:tc>
          <w:tcPr>
            <w:tcW w:w="851" w:type="dxa"/>
            <w:vAlign w:val="bottom"/>
          </w:tcPr>
          <w:p w14:paraId="6E09ADBA" w14:textId="77777777" w:rsidR="0012790E" w:rsidRPr="0012790E" w:rsidRDefault="0012790E">
            <w:pPr>
              <w:pStyle w:val="Summarytabletextrightaligned"/>
              <w:rPr>
                <w:szCs w:val="16"/>
              </w:rPr>
            </w:pPr>
          </w:p>
        </w:tc>
        <w:tc>
          <w:tcPr>
            <w:tcW w:w="851" w:type="dxa"/>
            <w:vAlign w:val="bottom"/>
          </w:tcPr>
          <w:p w14:paraId="045AA1A0" w14:textId="77777777" w:rsidR="0012790E" w:rsidRPr="0012790E" w:rsidRDefault="0012790E">
            <w:pPr>
              <w:pStyle w:val="Summarytabletextrightaligned"/>
              <w:rPr>
                <w:szCs w:val="16"/>
              </w:rPr>
            </w:pPr>
          </w:p>
        </w:tc>
      </w:tr>
      <w:tr w:rsidR="0012790E" w:rsidRPr="0012790E" w14:paraId="1BD40344" w14:textId="77777777" w:rsidTr="54937204">
        <w:tc>
          <w:tcPr>
            <w:tcW w:w="3470" w:type="dxa"/>
            <w:shd w:val="clear" w:color="auto" w:fill="auto"/>
            <w:vAlign w:val="bottom"/>
          </w:tcPr>
          <w:p w14:paraId="5A3BBDDC" w14:textId="77777777" w:rsidR="0012790E" w:rsidRPr="0012790E" w:rsidRDefault="0012790E">
            <w:pPr>
              <w:pStyle w:val="SummaryMeasureTitlewithTheme"/>
            </w:pPr>
            <w:r w:rsidRPr="0012790E">
              <w:t>Supporting Safe and Responsible AI</w:t>
            </w:r>
          </w:p>
        </w:tc>
        <w:tc>
          <w:tcPr>
            <w:tcW w:w="851" w:type="dxa"/>
            <w:vAlign w:val="bottom"/>
          </w:tcPr>
          <w:p w14:paraId="40EF8C9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0F17DB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B7158F6"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66E89A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9A436B8" w14:textId="77777777" w:rsidR="0012790E" w:rsidRPr="0012790E" w:rsidRDefault="0012790E">
            <w:pPr>
              <w:pStyle w:val="Summarytabletextrightaligned"/>
              <w:rPr>
                <w:szCs w:val="16"/>
              </w:rPr>
            </w:pPr>
            <w:r w:rsidRPr="0012790E">
              <w:rPr>
                <w:szCs w:val="16"/>
              </w:rPr>
              <w:noBreakHyphen/>
            </w:r>
          </w:p>
        </w:tc>
      </w:tr>
      <w:tr w:rsidR="0012790E" w:rsidRPr="0012790E" w14:paraId="6C5D7F93" w14:textId="77777777" w:rsidTr="54937204">
        <w:tc>
          <w:tcPr>
            <w:tcW w:w="3470" w:type="dxa"/>
            <w:shd w:val="clear" w:color="auto" w:fill="auto"/>
            <w:vAlign w:val="bottom"/>
          </w:tcPr>
          <w:p w14:paraId="2F8E1A0D" w14:textId="77777777" w:rsidR="0012790E" w:rsidRPr="0012790E" w:rsidRDefault="0012790E">
            <w:pPr>
              <w:pStyle w:val="SummaryAgencyTitle-BP2"/>
              <w:rPr>
                <w:iCs/>
              </w:rPr>
            </w:pPr>
            <w:r w:rsidRPr="0012790E">
              <w:rPr>
                <w:iCs/>
              </w:rPr>
              <w:t>Independent Parliamentary Expenses Authority</w:t>
            </w:r>
          </w:p>
        </w:tc>
        <w:tc>
          <w:tcPr>
            <w:tcW w:w="851" w:type="dxa"/>
            <w:vAlign w:val="bottom"/>
          </w:tcPr>
          <w:p w14:paraId="798A3019" w14:textId="77777777" w:rsidR="0012790E" w:rsidRPr="0012790E" w:rsidRDefault="0012790E">
            <w:pPr>
              <w:pStyle w:val="SummaryAgencyTitle-BP2"/>
              <w:rPr>
                <w:iCs/>
              </w:rPr>
            </w:pPr>
          </w:p>
        </w:tc>
        <w:tc>
          <w:tcPr>
            <w:tcW w:w="851" w:type="dxa"/>
            <w:shd w:val="clear" w:color="auto" w:fill="E6F2FF"/>
            <w:vAlign w:val="bottom"/>
          </w:tcPr>
          <w:p w14:paraId="456424F2" w14:textId="77777777" w:rsidR="0012790E" w:rsidRPr="0012790E" w:rsidRDefault="0012790E">
            <w:pPr>
              <w:pStyle w:val="SummaryAgencyTitle-BP2"/>
              <w:rPr>
                <w:iCs/>
              </w:rPr>
            </w:pPr>
          </w:p>
        </w:tc>
        <w:tc>
          <w:tcPr>
            <w:tcW w:w="851" w:type="dxa"/>
            <w:vAlign w:val="bottom"/>
          </w:tcPr>
          <w:p w14:paraId="2DEA271D" w14:textId="77777777" w:rsidR="0012790E" w:rsidRPr="0012790E" w:rsidRDefault="0012790E">
            <w:pPr>
              <w:pStyle w:val="SummaryAgencyTitle-BP2"/>
              <w:rPr>
                <w:iCs/>
              </w:rPr>
            </w:pPr>
          </w:p>
        </w:tc>
        <w:tc>
          <w:tcPr>
            <w:tcW w:w="851" w:type="dxa"/>
            <w:vAlign w:val="bottom"/>
          </w:tcPr>
          <w:p w14:paraId="0AEB5D27" w14:textId="77777777" w:rsidR="0012790E" w:rsidRPr="0012790E" w:rsidRDefault="0012790E">
            <w:pPr>
              <w:pStyle w:val="SummaryAgencyTitle-BP2"/>
              <w:rPr>
                <w:iCs/>
              </w:rPr>
            </w:pPr>
          </w:p>
        </w:tc>
        <w:tc>
          <w:tcPr>
            <w:tcW w:w="851" w:type="dxa"/>
            <w:vAlign w:val="bottom"/>
          </w:tcPr>
          <w:p w14:paraId="02615DF0" w14:textId="77777777" w:rsidR="0012790E" w:rsidRPr="0012790E" w:rsidRDefault="0012790E">
            <w:pPr>
              <w:pStyle w:val="SummaryAgencyTitle-BP2"/>
              <w:rPr>
                <w:iCs/>
              </w:rPr>
            </w:pPr>
          </w:p>
        </w:tc>
      </w:tr>
      <w:tr w:rsidR="0012790E" w:rsidRPr="0012790E" w14:paraId="14AAC368" w14:textId="77777777" w:rsidTr="54937204">
        <w:tc>
          <w:tcPr>
            <w:tcW w:w="3470" w:type="dxa"/>
            <w:shd w:val="clear" w:color="auto" w:fill="auto"/>
            <w:vAlign w:val="bottom"/>
          </w:tcPr>
          <w:p w14:paraId="59F41DDE" w14:textId="77777777" w:rsidR="0012790E" w:rsidRPr="0012790E" w:rsidRDefault="0012790E">
            <w:pPr>
              <w:pStyle w:val="SummaryMeasureTitlewithTheme"/>
            </w:pPr>
            <w:r w:rsidRPr="0012790E">
              <w:t>Finance Portfolio – additional resourcing</w:t>
            </w:r>
          </w:p>
        </w:tc>
        <w:tc>
          <w:tcPr>
            <w:tcW w:w="851" w:type="dxa"/>
            <w:vAlign w:val="bottom"/>
          </w:tcPr>
          <w:p w14:paraId="052ABAF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3539675" w14:textId="77777777" w:rsidR="0012790E" w:rsidRPr="0012790E" w:rsidRDefault="0012790E">
            <w:pPr>
              <w:pStyle w:val="Summarytabletextrightaligned"/>
              <w:rPr>
                <w:szCs w:val="16"/>
              </w:rPr>
            </w:pPr>
            <w:r w:rsidRPr="0012790E">
              <w:rPr>
                <w:szCs w:val="16"/>
              </w:rPr>
              <w:t>1.5</w:t>
            </w:r>
          </w:p>
        </w:tc>
        <w:tc>
          <w:tcPr>
            <w:tcW w:w="851" w:type="dxa"/>
            <w:vAlign w:val="bottom"/>
          </w:tcPr>
          <w:p w14:paraId="48BFE29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4649DC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30512B1" w14:textId="77777777" w:rsidR="0012790E" w:rsidRPr="0012790E" w:rsidRDefault="0012790E">
            <w:pPr>
              <w:pStyle w:val="Summarytabletextrightaligned"/>
              <w:rPr>
                <w:szCs w:val="16"/>
              </w:rPr>
            </w:pPr>
            <w:r w:rsidRPr="0012790E">
              <w:rPr>
                <w:szCs w:val="16"/>
              </w:rPr>
              <w:noBreakHyphen/>
            </w:r>
          </w:p>
        </w:tc>
      </w:tr>
      <w:tr w:rsidR="0012790E" w:rsidRPr="0012790E" w14:paraId="0CDA9552" w14:textId="77777777" w:rsidTr="54937204">
        <w:tc>
          <w:tcPr>
            <w:tcW w:w="3470" w:type="dxa"/>
            <w:shd w:val="clear" w:color="auto" w:fill="auto"/>
            <w:vAlign w:val="bottom"/>
          </w:tcPr>
          <w:p w14:paraId="76171B9C" w14:textId="77777777" w:rsidR="0012790E" w:rsidRPr="0012790E" w:rsidRDefault="0012790E">
            <w:pPr>
              <w:pStyle w:val="SummaryAgencyTitle-BP2"/>
              <w:rPr>
                <w:iCs/>
              </w:rPr>
            </w:pPr>
            <w:r w:rsidRPr="0012790E">
              <w:rPr>
                <w:iCs/>
              </w:rPr>
              <w:t>Parliamentary Workplace Support Service</w:t>
            </w:r>
          </w:p>
        </w:tc>
        <w:tc>
          <w:tcPr>
            <w:tcW w:w="851" w:type="dxa"/>
            <w:vAlign w:val="bottom"/>
          </w:tcPr>
          <w:p w14:paraId="6F8B1DAA" w14:textId="77777777" w:rsidR="0012790E" w:rsidRPr="0012790E" w:rsidRDefault="0012790E">
            <w:pPr>
              <w:pStyle w:val="SummaryAgencyTitle-BP2"/>
              <w:rPr>
                <w:iCs/>
              </w:rPr>
            </w:pPr>
          </w:p>
        </w:tc>
        <w:tc>
          <w:tcPr>
            <w:tcW w:w="851" w:type="dxa"/>
            <w:shd w:val="clear" w:color="auto" w:fill="E6F2FF"/>
            <w:vAlign w:val="bottom"/>
          </w:tcPr>
          <w:p w14:paraId="46FDF579" w14:textId="77777777" w:rsidR="0012790E" w:rsidRPr="0012790E" w:rsidRDefault="0012790E">
            <w:pPr>
              <w:pStyle w:val="SummaryAgencyTitle-BP2"/>
              <w:rPr>
                <w:iCs/>
              </w:rPr>
            </w:pPr>
          </w:p>
        </w:tc>
        <w:tc>
          <w:tcPr>
            <w:tcW w:w="851" w:type="dxa"/>
            <w:vAlign w:val="bottom"/>
          </w:tcPr>
          <w:p w14:paraId="17BF0065" w14:textId="77777777" w:rsidR="0012790E" w:rsidRPr="0012790E" w:rsidRDefault="0012790E">
            <w:pPr>
              <w:pStyle w:val="SummaryAgencyTitle-BP2"/>
              <w:rPr>
                <w:iCs/>
              </w:rPr>
            </w:pPr>
          </w:p>
        </w:tc>
        <w:tc>
          <w:tcPr>
            <w:tcW w:w="851" w:type="dxa"/>
            <w:vAlign w:val="bottom"/>
          </w:tcPr>
          <w:p w14:paraId="157EE994" w14:textId="77777777" w:rsidR="0012790E" w:rsidRPr="0012790E" w:rsidRDefault="0012790E">
            <w:pPr>
              <w:pStyle w:val="SummaryAgencyTitle-BP2"/>
              <w:rPr>
                <w:iCs/>
              </w:rPr>
            </w:pPr>
          </w:p>
        </w:tc>
        <w:tc>
          <w:tcPr>
            <w:tcW w:w="851" w:type="dxa"/>
            <w:vAlign w:val="bottom"/>
          </w:tcPr>
          <w:p w14:paraId="40D37FCC" w14:textId="77777777" w:rsidR="0012790E" w:rsidRPr="0012790E" w:rsidRDefault="0012790E">
            <w:pPr>
              <w:pStyle w:val="SummaryAgencyTitle-BP2"/>
              <w:rPr>
                <w:iCs/>
              </w:rPr>
            </w:pPr>
          </w:p>
        </w:tc>
      </w:tr>
      <w:tr w:rsidR="0012790E" w:rsidRPr="0012790E" w14:paraId="2AAF4ECE" w14:textId="77777777" w:rsidTr="54937204">
        <w:tc>
          <w:tcPr>
            <w:tcW w:w="3470" w:type="dxa"/>
            <w:shd w:val="clear" w:color="auto" w:fill="auto"/>
            <w:vAlign w:val="bottom"/>
          </w:tcPr>
          <w:p w14:paraId="389F26F5" w14:textId="77777777" w:rsidR="0012790E" w:rsidRPr="0012790E" w:rsidRDefault="0012790E">
            <w:pPr>
              <w:pStyle w:val="SummaryMeasureTitlewithTheme"/>
            </w:pPr>
            <w:r w:rsidRPr="0012790E">
              <w:t>Initial funding for the Independent Parliamentary Standards Commission</w:t>
            </w:r>
          </w:p>
        </w:tc>
        <w:tc>
          <w:tcPr>
            <w:tcW w:w="851" w:type="dxa"/>
            <w:vAlign w:val="bottom"/>
          </w:tcPr>
          <w:p w14:paraId="4CA6595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4BF7F95" w14:textId="77777777" w:rsidR="0012790E" w:rsidRPr="0012790E" w:rsidRDefault="0012790E">
            <w:pPr>
              <w:pStyle w:val="Summarytabletextrightaligned"/>
              <w:rPr>
                <w:szCs w:val="16"/>
              </w:rPr>
            </w:pPr>
            <w:r w:rsidRPr="0012790E">
              <w:rPr>
                <w:szCs w:val="16"/>
              </w:rPr>
              <w:t>3.8</w:t>
            </w:r>
          </w:p>
        </w:tc>
        <w:tc>
          <w:tcPr>
            <w:tcW w:w="851" w:type="dxa"/>
            <w:vAlign w:val="bottom"/>
          </w:tcPr>
          <w:p w14:paraId="618E4A7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ACAF70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7733B1B" w14:textId="77777777" w:rsidR="0012790E" w:rsidRPr="0012790E" w:rsidRDefault="0012790E">
            <w:pPr>
              <w:pStyle w:val="Summarytabletextrightaligned"/>
              <w:rPr>
                <w:szCs w:val="16"/>
              </w:rPr>
            </w:pPr>
            <w:r w:rsidRPr="0012790E">
              <w:rPr>
                <w:szCs w:val="16"/>
              </w:rPr>
              <w:noBreakHyphen/>
            </w:r>
          </w:p>
        </w:tc>
      </w:tr>
      <w:tr w:rsidR="0012790E" w:rsidRPr="0012790E" w14:paraId="276373DD" w14:textId="77777777" w:rsidTr="54937204">
        <w:tc>
          <w:tcPr>
            <w:tcW w:w="3470" w:type="dxa"/>
            <w:shd w:val="clear" w:color="auto" w:fill="auto"/>
            <w:vAlign w:val="bottom"/>
          </w:tcPr>
          <w:p w14:paraId="0EDD4D0B" w14:textId="77777777" w:rsidR="0012790E" w:rsidRPr="0012790E" w:rsidRDefault="0012790E">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5AE14F66" w14:textId="77777777" w:rsidR="0012790E" w:rsidRPr="0012790E" w:rsidRDefault="0012790E">
            <w:pPr>
              <w:pStyle w:val="Summarytabletextrightalignedbold"/>
              <w:rPr>
                <w:bCs/>
                <w:szCs w:val="16"/>
              </w:rPr>
            </w:pPr>
            <w:r w:rsidRPr="0012790E">
              <w:rPr>
                <w:bCs/>
                <w:szCs w:val="16"/>
              </w:rPr>
              <w:t>0.9</w:t>
            </w:r>
          </w:p>
        </w:tc>
        <w:tc>
          <w:tcPr>
            <w:tcW w:w="851" w:type="dxa"/>
            <w:tcBorders>
              <w:top w:val="single" w:sz="4" w:space="0" w:color="293F5B"/>
              <w:bottom w:val="single" w:sz="4" w:space="0" w:color="293F5B"/>
            </w:tcBorders>
            <w:shd w:val="clear" w:color="auto" w:fill="E6F2FF"/>
            <w:vAlign w:val="bottom"/>
          </w:tcPr>
          <w:p w14:paraId="10AFE2EF" w14:textId="2D0E5B2A" w:rsidR="0012790E" w:rsidRPr="0012790E" w:rsidRDefault="00B97A1C">
            <w:pPr>
              <w:pStyle w:val="Summarytabletextrightalignedbold"/>
              <w:rPr>
                <w:bCs/>
                <w:szCs w:val="16"/>
              </w:rPr>
            </w:pPr>
            <w:r>
              <w:rPr>
                <w:bCs/>
                <w:szCs w:val="16"/>
              </w:rPr>
              <w:t>49.3</w:t>
            </w:r>
          </w:p>
        </w:tc>
        <w:tc>
          <w:tcPr>
            <w:tcW w:w="851" w:type="dxa"/>
            <w:tcBorders>
              <w:top w:val="single" w:sz="4" w:space="0" w:color="293F5B"/>
              <w:bottom w:val="single" w:sz="4" w:space="0" w:color="293F5B"/>
            </w:tcBorders>
            <w:vAlign w:val="bottom"/>
          </w:tcPr>
          <w:p w14:paraId="46A1AD5C" w14:textId="1ACC3838" w:rsidR="0012790E" w:rsidRPr="0012790E" w:rsidRDefault="00B97A1C">
            <w:pPr>
              <w:pStyle w:val="Summarytabletextrightalignedbold"/>
              <w:rPr>
                <w:bCs/>
                <w:szCs w:val="16"/>
              </w:rPr>
            </w:pPr>
            <w:r>
              <w:rPr>
                <w:bCs/>
                <w:szCs w:val="16"/>
              </w:rPr>
              <w:t>47.4</w:t>
            </w:r>
          </w:p>
        </w:tc>
        <w:tc>
          <w:tcPr>
            <w:tcW w:w="851" w:type="dxa"/>
            <w:tcBorders>
              <w:top w:val="single" w:sz="4" w:space="0" w:color="293F5B"/>
              <w:bottom w:val="single" w:sz="4" w:space="0" w:color="293F5B"/>
            </w:tcBorders>
            <w:vAlign w:val="bottom"/>
          </w:tcPr>
          <w:p w14:paraId="438487A6" w14:textId="2F67A97E" w:rsidR="0012790E" w:rsidRPr="0012790E" w:rsidRDefault="00B97A1C">
            <w:pPr>
              <w:pStyle w:val="Summarytabletextrightalignedbold"/>
              <w:rPr>
                <w:bCs/>
                <w:szCs w:val="16"/>
              </w:rPr>
            </w:pPr>
            <w:r>
              <w:rPr>
                <w:bCs/>
                <w:szCs w:val="16"/>
              </w:rPr>
              <w:t>5.0</w:t>
            </w:r>
          </w:p>
        </w:tc>
        <w:tc>
          <w:tcPr>
            <w:tcW w:w="851" w:type="dxa"/>
            <w:tcBorders>
              <w:top w:val="single" w:sz="4" w:space="0" w:color="293F5B"/>
              <w:bottom w:val="single" w:sz="4" w:space="0" w:color="293F5B"/>
            </w:tcBorders>
            <w:vAlign w:val="bottom"/>
          </w:tcPr>
          <w:p w14:paraId="4E54D45B" w14:textId="7E2F2B66" w:rsidR="0012790E" w:rsidRPr="0012790E" w:rsidRDefault="00B97A1C">
            <w:pPr>
              <w:pStyle w:val="Summarytabletextrightalignedbold"/>
              <w:rPr>
                <w:bCs/>
                <w:szCs w:val="16"/>
              </w:rPr>
            </w:pPr>
            <w:r>
              <w:rPr>
                <w:bCs/>
                <w:szCs w:val="16"/>
              </w:rPr>
              <w:t>5.0</w:t>
            </w:r>
          </w:p>
        </w:tc>
      </w:tr>
      <w:tr w:rsidR="0012790E" w:rsidRPr="0012790E" w14:paraId="14D791CE" w14:textId="77777777" w:rsidTr="54937204">
        <w:tc>
          <w:tcPr>
            <w:tcW w:w="3470" w:type="dxa"/>
            <w:shd w:val="clear" w:color="auto" w:fill="auto"/>
            <w:vAlign w:val="bottom"/>
          </w:tcPr>
          <w:p w14:paraId="2D609FBB" w14:textId="77777777" w:rsidR="0012790E" w:rsidRPr="0012790E" w:rsidRDefault="0012790E">
            <w:pPr>
              <w:pStyle w:val="SummaryPortfolioTitle-BP2"/>
            </w:pPr>
            <w:r w:rsidRPr="0012790E">
              <w:t>FOREIGN AFFAIRS AND TRADE</w:t>
            </w:r>
          </w:p>
        </w:tc>
        <w:tc>
          <w:tcPr>
            <w:tcW w:w="851" w:type="dxa"/>
            <w:tcBorders>
              <w:top w:val="single" w:sz="4" w:space="0" w:color="293F5B"/>
            </w:tcBorders>
            <w:vAlign w:val="bottom"/>
          </w:tcPr>
          <w:p w14:paraId="6EDC967B" w14:textId="77777777" w:rsidR="0012790E" w:rsidRPr="0012790E" w:rsidRDefault="0012790E">
            <w:pPr>
              <w:pStyle w:val="MeasureTableTextRightAlignedBefore6ptAfter1pt"/>
              <w:rPr>
                <w:b/>
                <w:bCs/>
              </w:rPr>
            </w:pPr>
          </w:p>
        </w:tc>
        <w:tc>
          <w:tcPr>
            <w:tcW w:w="851" w:type="dxa"/>
            <w:tcBorders>
              <w:top w:val="single" w:sz="4" w:space="0" w:color="293F5B"/>
            </w:tcBorders>
            <w:shd w:val="clear" w:color="auto" w:fill="E6F2FF"/>
            <w:vAlign w:val="bottom"/>
          </w:tcPr>
          <w:p w14:paraId="1F85ECD0"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6FDAB26A"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33FB77F5"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5135B7C3" w14:textId="77777777" w:rsidR="0012790E" w:rsidRPr="0012790E" w:rsidRDefault="0012790E">
            <w:pPr>
              <w:pStyle w:val="MeasureTableTextRightAlignedBefore6ptAfter1pt"/>
              <w:rPr>
                <w:b/>
                <w:bCs/>
              </w:rPr>
            </w:pPr>
          </w:p>
        </w:tc>
      </w:tr>
      <w:tr w:rsidR="0012790E" w:rsidRPr="0012790E" w14:paraId="69B5A573" w14:textId="77777777" w:rsidTr="54937204">
        <w:tc>
          <w:tcPr>
            <w:tcW w:w="3470" w:type="dxa"/>
            <w:shd w:val="clear" w:color="auto" w:fill="auto"/>
            <w:vAlign w:val="bottom"/>
          </w:tcPr>
          <w:p w14:paraId="2D0136C5" w14:textId="77777777" w:rsidR="0012790E" w:rsidRPr="0012790E" w:rsidRDefault="0012790E">
            <w:pPr>
              <w:pStyle w:val="SummaryAgencyTitle-BP2"/>
              <w:rPr>
                <w:iCs/>
              </w:rPr>
            </w:pPr>
            <w:r w:rsidRPr="0012790E">
              <w:rPr>
                <w:iCs/>
              </w:rPr>
              <w:t>Australian Trade and Investment Commission</w:t>
            </w:r>
          </w:p>
        </w:tc>
        <w:tc>
          <w:tcPr>
            <w:tcW w:w="851" w:type="dxa"/>
            <w:vAlign w:val="bottom"/>
          </w:tcPr>
          <w:p w14:paraId="229F007B" w14:textId="77777777" w:rsidR="0012790E" w:rsidRPr="0012790E" w:rsidRDefault="0012790E">
            <w:pPr>
              <w:pStyle w:val="SummaryAgencyTitle-BP2"/>
              <w:rPr>
                <w:iCs/>
              </w:rPr>
            </w:pPr>
          </w:p>
        </w:tc>
        <w:tc>
          <w:tcPr>
            <w:tcW w:w="851" w:type="dxa"/>
            <w:shd w:val="clear" w:color="auto" w:fill="E6F2FF"/>
            <w:vAlign w:val="bottom"/>
          </w:tcPr>
          <w:p w14:paraId="48E22B27" w14:textId="77777777" w:rsidR="0012790E" w:rsidRPr="0012790E" w:rsidRDefault="0012790E">
            <w:pPr>
              <w:pStyle w:val="SummaryAgencyTitle-BP2"/>
              <w:rPr>
                <w:iCs/>
              </w:rPr>
            </w:pPr>
          </w:p>
        </w:tc>
        <w:tc>
          <w:tcPr>
            <w:tcW w:w="851" w:type="dxa"/>
            <w:vAlign w:val="bottom"/>
          </w:tcPr>
          <w:p w14:paraId="279E410D" w14:textId="77777777" w:rsidR="0012790E" w:rsidRPr="0012790E" w:rsidRDefault="0012790E">
            <w:pPr>
              <w:pStyle w:val="SummaryAgencyTitle-BP2"/>
              <w:rPr>
                <w:iCs/>
              </w:rPr>
            </w:pPr>
          </w:p>
        </w:tc>
        <w:tc>
          <w:tcPr>
            <w:tcW w:w="851" w:type="dxa"/>
            <w:vAlign w:val="bottom"/>
          </w:tcPr>
          <w:p w14:paraId="7D3246F1" w14:textId="77777777" w:rsidR="0012790E" w:rsidRPr="0012790E" w:rsidRDefault="0012790E">
            <w:pPr>
              <w:pStyle w:val="SummaryAgencyTitle-BP2"/>
              <w:rPr>
                <w:iCs/>
              </w:rPr>
            </w:pPr>
          </w:p>
        </w:tc>
        <w:tc>
          <w:tcPr>
            <w:tcW w:w="851" w:type="dxa"/>
            <w:vAlign w:val="bottom"/>
          </w:tcPr>
          <w:p w14:paraId="0CD886BD" w14:textId="77777777" w:rsidR="0012790E" w:rsidRPr="0012790E" w:rsidRDefault="0012790E">
            <w:pPr>
              <w:pStyle w:val="SummaryAgencyTitle-BP2"/>
              <w:rPr>
                <w:iCs/>
              </w:rPr>
            </w:pPr>
          </w:p>
        </w:tc>
      </w:tr>
      <w:tr w:rsidR="0012790E" w:rsidRPr="0012790E" w14:paraId="538F33DE" w14:textId="77777777" w:rsidTr="54937204">
        <w:tc>
          <w:tcPr>
            <w:tcW w:w="3470" w:type="dxa"/>
            <w:shd w:val="clear" w:color="auto" w:fill="auto"/>
            <w:vAlign w:val="bottom"/>
          </w:tcPr>
          <w:p w14:paraId="78990DBB" w14:textId="77777777" w:rsidR="0012790E" w:rsidRPr="0012790E" w:rsidRDefault="0012790E">
            <w:pPr>
              <w:pStyle w:val="SummaryMeasureTitlewithTheme"/>
            </w:pPr>
            <w:r w:rsidRPr="0012790E">
              <w:t>Phase Out of Live Sheep Exports by Sea – transition support</w:t>
            </w:r>
          </w:p>
        </w:tc>
        <w:tc>
          <w:tcPr>
            <w:tcW w:w="851" w:type="dxa"/>
            <w:vAlign w:val="bottom"/>
          </w:tcPr>
          <w:p w14:paraId="22B0C0C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1E0B09D" w14:textId="77777777" w:rsidR="0012790E" w:rsidRPr="0012790E" w:rsidRDefault="0012790E">
            <w:pPr>
              <w:pStyle w:val="Summarytabletextrightaligned"/>
              <w:rPr>
                <w:szCs w:val="16"/>
              </w:rPr>
            </w:pPr>
            <w:r w:rsidRPr="0012790E">
              <w:rPr>
                <w:szCs w:val="16"/>
              </w:rPr>
              <w:t>3.0</w:t>
            </w:r>
          </w:p>
        </w:tc>
        <w:tc>
          <w:tcPr>
            <w:tcW w:w="851" w:type="dxa"/>
            <w:vAlign w:val="bottom"/>
          </w:tcPr>
          <w:p w14:paraId="53E46FD2" w14:textId="77777777" w:rsidR="0012790E" w:rsidRPr="0012790E" w:rsidRDefault="0012790E">
            <w:pPr>
              <w:pStyle w:val="Summarytabletextrightaligned"/>
              <w:rPr>
                <w:szCs w:val="16"/>
              </w:rPr>
            </w:pPr>
            <w:r w:rsidRPr="0012790E">
              <w:rPr>
                <w:szCs w:val="16"/>
              </w:rPr>
              <w:t>3.0</w:t>
            </w:r>
          </w:p>
        </w:tc>
        <w:tc>
          <w:tcPr>
            <w:tcW w:w="851" w:type="dxa"/>
            <w:vAlign w:val="bottom"/>
          </w:tcPr>
          <w:p w14:paraId="7DA29DA2" w14:textId="77777777" w:rsidR="0012790E" w:rsidRPr="0012790E" w:rsidRDefault="0012790E">
            <w:pPr>
              <w:pStyle w:val="Summarytabletextrightaligned"/>
              <w:rPr>
                <w:szCs w:val="16"/>
              </w:rPr>
            </w:pPr>
            <w:r w:rsidRPr="0012790E">
              <w:rPr>
                <w:szCs w:val="16"/>
              </w:rPr>
              <w:t>3.1</w:t>
            </w:r>
          </w:p>
        </w:tc>
        <w:tc>
          <w:tcPr>
            <w:tcW w:w="851" w:type="dxa"/>
            <w:vAlign w:val="bottom"/>
          </w:tcPr>
          <w:p w14:paraId="62864197" w14:textId="77777777" w:rsidR="0012790E" w:rsidRPr="0012790E" w:rsidRDefault="0012790E">
            <w:pPr>
              <w:pStyle w:val="Summarytabletextrightaligned"/>
              <w:rPr>
                <w:szCs w:val="16"/>
              </w:rPr>
            </w:pPr>
            <w:r w:rsidRPr="0012790E">
              <w:rPr>
                <w:szCs w:val="16"/>
              </w:rPr>
              <w:noBreakHyphen/>
            </w:r>
          </w:p>
        </w:tc>
      </w:tr>
      <w:tr w:rsidR="0012790E" w:rsidRPr="0012790E" w14:paraId="65497222" w14:textId="77777777" w:rsidTr="54937204">
        <w:tc>
          <w:tcPr>
            <w:tcW w:w="3470" w:type="dxa"/>
            <w:shd w:val="clear" w:color="auto" w:fill="auto"/>
            <w:vAlign w:val="bottom"/>
          </w:tcPr>
          <w:p w14:paraId="37C5A8B6" w14:textId="77777777" w:rsidR="0012790E" w:rsidRPr="0012790E" w:rsidRDefault="0012790E">
            <w:pPr>
              <w:pStyle w:val="SummaryMeasureTitlewithTheme"/>
            </w:pPr>
            <w:r w:rsidRPr="0012790E">
              <w:t>Southeast Asia Engagement – additional funding(b)</w:t>
            </w:r>
          </w:p>
        </w:tc>
        <w:tc>
          <w:tcPr>
            <w:tcW w:w="851" w:type="dxa"/>
            <w:vAlign w:val="bottom"/>
          </w:tcPr>
          <w:p w14:paraId="34E61886" w14:textId="77777777" w:rsidR="0012790E" w:rsidRPr="0012790E" w:rsidRDefault="0012790E">
            <w:pPr>
              <w:pStyle w:val="Summarytabletextrightaligned"/>
              <w:rPr>
                <w:szCs w:val="16"/>
              </w:rPr>
            </w:pPr>
            <w:r w:rsidRPr="0012790E">
              <w:rPr>
                <w:szCs w:val="16"/>
              </w:rPr>
              <w:t>0.5</w:t>
            </w:r>
          </w:p>
        </w:tc>
        <w:tc>
          <w:tcPr>
            <w:tcW w:w="851" w:type="dxa"/>
            <w:shd w:val="clear" w:color="auto" w:fill="E6F2FF"/>
            <w:vAlign w:val="bottom"/>
          </w:tcPr>
          <w:p w14:paraId="7A478E50" w14:textId="77777777" w:rsidR="0012790E" w:rsidRPr="0012790E" w:rsidRDefault="0012790E">
            <w:pPr>
              <w:pStyle w:val="Summarytabletextrightaligned"/>
              <w:rPr>
                <w:szCs w:val="16"/>
              </w:rPr>
            </w:pPr>
            <w:r w:rsidRPr="0012790E">
              <w:rPr>
                <w:szCs w:val="16"/>
              </w:rPr>
              <w:t>1.4</w:t>
            </w:r>
          </w:p>
        </w:tc>
        <w:tc>
          <w:tcPr>
            <w:tcW w:w="851" w:type="dxa"/>
            <w:vAlign w:val="bottom"/>
          </w:tcPr>
          <w:p w14:paraId="262B97C3" w14:textId="77777777" w:rsidR="0012790E" w:rsidRPr="0012790E" w:rsidRDefault="0012790E">
            <w:pPr>
              <w:pStyle w:val="Summarytabletextrightaligned"/>
              <w:rPr>
                <w:szCs w:val="16"/>
              </w:rPr>
            </w:pPr>
            <w:r w:rsidRPr="0012790E">
              <w:rPr>
                <w:szCs w:val="16"/>
              </w:rPr>
              <w:t>1.4</w:t>
            </w:r>
          </w:p>
        </w:tc>
        <w:tc>
          <w:tcPr>
            <w:tcW w:w="851" w:type="dxa"/>
            <w:vAlign w:val="bottom"/>
          </w:tcPr>
          <w:p w14:paraId="7169E1B0" w14:textId="77777777" w:rsidR="0012790E" w:rsidRPr="0012790E" w:rsidRDefault="0012790E">
            <w:pPr>
              <w:pStyle w:val="Summarytabletextrightaligned"/>
              <w:rPr>
                <w:szCs w:val="16"/>
              </w:rPr>
            </w:pPr>
            <w:r w:rsidRPr="0012790E">
              <w:rPr>
                <w:szCs w:val="16"/>
              </w:rPr>
              <w:t>1.5</w:t>
            </w:r>
          </w:p>
        </w:tc>
        <w:tc>
          <w:tcPr>
            <w:tcW w:w="851" w:type="dxa"/>
            <w:vAlign w:val="bottom"/>
          </w:tcPr>
          <w:p w14:paraId="06041294" w14:textId="77777777" w:rsidR="0012790E" w:rsidRPr="0012790E" w:rsidRDefault="0012790E">
            <w:pPr>
              <w:pStyle w:val="Summarytabletextrightaligned"/>
              <w:rPr>
                <w:szCs w:val="16"/>
              </w:rPr>
            </w:pPr>
            <w:r w:rsidRPr="0012790E">
              <w:rPr>
                <w:szCs w:val="16"/>
              </w:rPr>
              <w:noBreakHyphen/>
            </w:r>
          </w:p>
        </w:tc>
      </w:tr>
      <w:tr w:rsidR="0012790E" w:rsidRPr="0012790E" w14:paraId="57B0406B" w14:textId="77777777" w:rsidTr="54937204">
        <w:tc>
          <w:tcPr>
            <w:tcW w:w="3470" w:type="dxa"/>
            <w:shd w:val="clear" w:color="auto" w:fill="auto"/>
            <w:vAlign w:val="bottom"/>
          </w:tcPr>
          <w:p w14:paraId="4DAC6F4C" w14:textId="77777777" w:rsidR="0012790E" w:rsidRPr="0012790E" w:rsidRDefault="0012790E">
            <w:pPr>
              <w:pStyle w:val="SummaryMeasureTitlewithTheme"/>
            </w:pPr>
            <w:r w:rsidRPr="0012790E">
              <w:t>Trade and Tourism Strategies – additional funding</w:t>
            </w:r>
          </w:p>
        </w:tc>
        <w:tc>
          <w:tcPr>
            <w:tcW w:w="851" w:type="dxa"/>
            <w:vAlign w:val="bottom"/>
          </w:tcPr>
          <w:p w14:paraId="6B36947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7EB9678" w14:textId="77777777" w:rsidR="0012790E" w:rsidRPr="0012790E" w:rsidRDefault="0012790E">
            <w:pPr>
              <w:pStyle w:val="Summarytabletextrightaligned"/>
              <w:rPr>
                <w:szCs w:val="16"/>
              </w:rPr>
            </w:pPr>
            <w:r w:rsidRPr="0012790E">
              <w:rPr>
                <w:szCs w:val="16"/>
              </w:rPr>
              <w:t>17.4</w:t>
            </w:r>
          </w:p>
        </w:tc>
        <w:tc>
          <w:tcPr>
            <w:tcW w:w="851" w:type="dxa"/>
            <w:vAlign w:val="bottom"/>
          </w:tcPr>
          <w:p w14:paraId="13F83444" w14:textId="77777777" w:rsidR="0012790E" w:rsidRPr="0012790E" w:rsidRDefault="0012790E">
            <w:pPr>
              <w:pStyle w:val="Summarytabletextrightaligned"/>
              <w:rPr>
                <w:szCs w:val="16"/>
              </w:rPr>
            </w:pPr>
            <w:r w:rsidRPr="0012790E">
              <w:rPr>
                <w:szCs w:val="16"/>
              </w:rPr>
              <w:t>15.6</w:t>
            </w:r>
          </w:p>
        </w:tc>
        <w:tc>
          <w:tcPr>
            <w:tcW w:w="851" w:type="dxa"/>
            <w:vAlign w:val="bottom"/>
          </w:tcPr>
          <w:p w14:paraId="33F9D0CC" w14:textId="77777777" w:rsidR="0012790E" w:rsidRPr="0012790E" w:rsidRDefault="0012790E">
            <w:pPr>
              <w:pStyle w:val="Summarytabletextrightaligned"/>
              <w:rPr>
                <w:szCs w:val="16"/>
              </w:rPr>
            </w:pPr>
            <w:r w:rsidRPr="0012790E">
              <w:rPr>
                <w:szCs w:val="16"/>
              </w:rPr>
              <w:t>6.0</w:t>
            </w:r>
          </w:p>
        </w:tc>
        <w:tc>
          <w:tcPr>
            <w:tcW w:w="851" w:type="dxa"/>
            <w:vAlign w:val="bottom"/>
          </w:tcPr>
          <w:p w14:paraId="11CBEF83" w14:textId="77777777" w:rsidR="0012790E" w:rsidRPr="0012790E" w:rsidRDefault="0012790E">
            <w:pPr>
              <w:pStyle w:val="Summarytabletextrightaligned"/>
              <w:rPr>
                <w:szCs w:val="16"/>
              </w:rPr>
            </w:pPr>
            <w:r w:rsidRPr="0012790E">
              <w:rPr>
                <w:szCs w:val="16"/>
              </w:rPr>
              <w:t>5.8</w:t>
            </w:r>
          </w:p>
        </w:tc>
      </w:tr>
      <w:tr w:rsidR="0012790E" w:rsidRPr="0012790E" w14:paraId="77738E02" w14:textId="77777777" w:rsidTr="54937204">
        <w:tc>
          <w:tcPr>
            <w:tcW w:w="3470" w:type="dxa"/>
            <w:shd w:val="clear" w:color="auto" w:fill="auto"/>
            <w:vAlign w:val="bottom"/>
          </w:tcPr>
          <w:p w14:paraId="1FA41BD2" w14:textId="77777777" w:rsidR="0012790E" w:rsidRPr="0012790E" w:rsidRDefault="0012790E">
            <w:pPr>
              <w:pStyle w:val="SummaryAgencyTitle-BP2"/>
              <w:rPr>
                <w:iCs/>
              </w:rPr>
            </w:pPr>
            <w:r w:rsidRPr="0012790E">
              <w:rPr>
                <w:iCs/>
              </w:rPr>
              <w:t>Department of Foreign Affairs and Trade</w:t>
            </w:r>
          </w:p>
        </w:tc>
        <w:tc>
          <w:tcPr>
            <w:tcW w:w="851" w:type="dxa"/>
            <w:vAlign w:val="bottom"/>
          </w:tcPr>
          <w:p w14:paraId="75CBFDAF" w14:textId="77777777" w:rsidR="0012790E" w:rsidRPr="0012790E" w:rsidRDefault="0012790E">
            <w:pPr>
              <w:pStyle w:val="SummaryAgencyTitle-BP2"/>
              <w:rPr>
                <w:iCs/>
              </w:rPr>
            </w:pPr>
          </w:p>
        </w:tc>
        <w:tc>
          <w:tcPr>
            <w:tcW w:w="851" w:type="dxa"/>
            <w:shd w:val="clear" w:color="auto" w:fill="E6F2FF"/>
            <w:vAlign w:val="bottom"/>
          </w:tcPr>
          <w:p w14:paraId="2DD01DD5" w14:textId="77777777" w:rsidR="0012790E" w:rsidRPr="0012790E" w:rsidRDefault="0012790E">
            <w:pPr>
              <w:pStyle w:val="SummaryAgencyTitle-BP2"/>
              <w:rPr>
                <w:iCs/>
              </w:rPr>
            </w:pPr>
          </w:p>
        </w:tc>
        <w:tc>
          <w:tcPr>
            <w:tcW w:w="851" w:type="dxa"/>
            <w:vAlign w:val="bottom"/>
          </w:tcPr>
          <w:p w14:paraId="24154694" w14:textId="77777777" w:rsidR="0012790E" w:rsidRPr="0012790E" w:rsidRDefault="0012790E">
            <w:pPr>
              <w:pStyle w:val="SummaryAgencyTitle-BP2"/>
              <w:rPr>
                <w:iCs/>
              </w:rPr>
            </w:pPr>
          </w:p>
        </w:tc>
        <w:tc>
          <w:tcPr>
            <w:tcW w:w="851" w:type="dxa"/>
            <w:vAlign w:val="bottom"/>
          </w:tcPr>
          <w:p w14:paraId="5F415935" w14:textId="77777777" w:rsidR="0012790E" w:rsidRPr="0012790E" w:rsidRDefault="0012790E">
            <w:pPr>
              <w:pStyle w:val="SummaryAgencyTitle-BP2"/>
              <w:rPr>
                <w:iCs/>
              </w:rPr>
            </w:pPr>
          </w:p>
        </w:tc>
        <w:tc>
          <w:tcPr>
            <w:tcW w:w="851" w:type="dxa"/>
            <w:vAlign w:val="bottom"/>
          </w:tcPr>
          <w:p w14:paraId="69081DFE" w14:textId="77777777" w:rsidR="0012790E" w:rsidRPr="0012790E" w:rsidRDefault="0012790E">
            <w:pPr>
              <w:pStyle w:val="SummaryAgencyTitle-BP2"/>
              <w:rPr>
                <w:iCs/>
              </w:rPr>
            </w:pPr>
          </w:p>
        </w:tc>
      </w:tr>
      <w:tr w:rsidR="0012790E" w:rsidRPr="0012790E" w14:paraId="05D613D5" w14:textId="77777777" w:rsidTr="54937204">
        <w:tc>
          <w:tcPr>
            <w:tcW w:w="3470" w:type="dxa"/>
            <w:shd w:val="clear" w:color="auto" w:fill="auto"/>
            <w:vAlign w:val="bottom"/>
          </w:tcPr>
          <w:p w14:paraId="271BE2C8" w14:textId="77777777" w:rsidR="0012790E" w:rsidRPr="0012790E" w:rsidRDefault="0012790E">
            <w:pPr>
              <w:pStyle w:val="SummaryMeasureTitlewithTheme"/>
            </w:pPr>
            <w:r w:rsidRPr="0012790E">
              <w:t>Attorney</w:t>
            </w:r>
            <w:r w:rsidRPr="0012790E">
              <w:noBreakHyphen/>
              <w:t>General's Portfolio – additional resourcing</w:t>
            </w:r>
          </w:p>
        </w:tc>
        <w:tc>
          <w:tcPr>
            <w:tcW w:w="851" w:type="dxa"/>
            <w:vAlign w:val="bottom"/>
          </w:tcPr>
          <w:p w14:paraId="73D7D677"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A4B7BD5"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7CDA63BB"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6130F677"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2E6C250C" w14:textId="77777777" w:rsidR="0012790E" w:rsidRPr="0012790E" w:rsidRDefault="0012790E" w:rsidP="54937204">
            <w:pPr>
              <w:pStyle w:val="Summarytabletextrightaligned"/>
              <w:rPr>
                <w:lang w:val="en-US"/>
              </w:rPr>
            </w:pPr>
            <w:r w:rsidRPr="54937204">
              <w:rPr>
                <w:lang w:val="en-US"/>
              </w:rPr>
              <w:t>nfp</w:t>
            </w:r>
          </w:p>
        </w:tc>
      </w:tr>
      <w:tr w:rsidR="0012790E" w:rsidRPr="0012790E" w14:paraId="71035B25" w14:textId="77777777" w:rsidTr="54937204">
        <w:tc>
          <w:tcPr>
            <w:tcW w:w="3470" w:type="dxa"/>
            <w:shd w:val="clear" w:color="auto" w:fill="auto"/>
            <w:vAlign w:val="bottom"/>
          </w:tcPr>
          <w:p w14:paraId="00C37706" w14:textId="77777777" w:rsidR="0012790E" w:rsidRPr="0012790E" w:rsidRDefault="0012790E">
            <w:pPr>
              <w:pStyle w:val="SummaryMeasureTitlewithTheme"/>
            </w:pPr>
            <w:r w:rsidRPr="0012790E">
              <w:t>Australia</w:t>
            </w:r>
            <w:r w:rsidRPr="0012790E">
              <w:noBreakHyphen/>
              <w:t>France Enhanced Relations</w:t>
            </w:r>
          </w:p>
        </w:tc>
        <w:tc>
          <w:tcPr>
            <w:tcW w:w="851" w:type="dxa"/>
            <w:vAlign w:val="bottom"/>
          </w:tcPr>
          <w:p w14:paraId="65B9CDD6" w14:textId="72A0EC00" w:rsidR="0012790E" w:rsidRPr="0012790E" w:rsidRDefault="00BA617F">
            <w:pPr>
              <w:pStyle w:val="Summarytabletextrightaligned"/>
              <w:rPr>
                <w:szCs w:val="16"/>
              </w:rPr>
            </w:pPr>
            <w:r>
              <w:rPr>
                <w:szCs w:val="16"/>
              </w:rPr>
              <w:t>-</w:t>
            </w:r>
          </w:p>
        </w:tc>
        <w:tc>
          <w:tcPr>
            <w:tcW w:w="851" w:type="dxa"/>
            <w:shd w:val="clear" w:color="auto" w:fill="E6F2FF"/>
            <w:vAlign w:val="bottom"/>
          </w:tcPr>
          <w:p w14:paraId="241A6E7A" w14:textId="228AB742" w:rsidR="0012790E" w:rsidRPr="0012790E" w:rsidRDefault="00BA617F">
            <w:pPr>
              <w:pStyle w:val="Summarytabletextrightaligned"/>
              <w:rPr>
                <w:szCs w:val="16"/>
              </w:rPr>
            </w:pPr>
            <w:r>
              <w:rPr>
                <w:szCs w:val="16"/>
              </w:rPr>
              <w:t>-</w:t>
            </w:r>
          </w:p>
        </w:tc>
        <w:tc>
          <w:tcPr>
            <w:tcW w:w="851" w:type="dxa"/>
            <w:vAlign w:val="bottom"/>
          </w:tcPr>
          <w:p w14:paraId="250CF432" w14:textId="3EA5312C" w:rsidR="0012790E" w:rsidRPr="0012790E" w:rsidRDefault="00BA617F">
            <w:pPr>
              <w:pStyle w:val="Summarytabletextrightaligned"/>
              <w:rPr>
                <w:szCs w:val="16"/>
              </w:rPr>
            </w:pPr>
            <w:r>
              <w:rPr>
                <w:szCs w:val="16"/>
              </w:rPr>
              <w:t>-</w:t>
            </w:r>
          </w:p>
        </w:tc>
        <w:tc>
          <w:tcPr>
            <w:tcW w:w="851" w:type="dxa"/>
            <w:vAlign w:val="bottom"/>
          </w:tcPr>
          <w:p w14:paraId="7D00ECA4" w14:textId="625C48C9" w:rsidR="0012790E" w:rsidRPr="0012790E" w:rsidRDefault="00BA617F">
            <w:pPr>
              <w:pStyle w:val="Summarytabletextrightaligned"/>
              <w:rPr>
                <w:szCs w:val="16"/>
              </w:rPr>
            </w:pPr>
            <w:r>
              <w:rPr>
                <w:szCs w:val="16"/>
              </w:rPr>
              <w:t>-</w:t>
            </w:r>
          </w:p>
        </w:tc>
        <w:tc>
          <w:tcPr>
            <w:tcW w:w="851" w:type="dxa"/>
            <w:vAlign w:val="bottom"/>
          </w:tcPr>
          <w:p w14:paraId="27833E8C" w14:textId="09614521" w:rsidR="0012790E" w:rsidRPr="0012790E" w:rsidRDefault="00BA617F">
            <w:pPr>
              <w:pStyle w:val="Summarytabletextrightaligned"/>
              <w:rPr>
                <w:szCs w:val="16"/>
              </w:rPr>
            </w:pPr>
            <w:r>
              <w:rPr>
                <w:szCs w:val="16"/>
              </w:rPr>
              <w:t>-</w:t>
            </w:r>
          </w:p>
        </w:tc>
      </w:tr>
      <w:tr w:rsidR="0012790E" w:rsidRPr="0012790E" w14:paraId="6F11E8A0" w14:textId="77777777" w:rsidTr="54937204">
        <w:tc>
          <w:tcPr>
            <w:tcW w:w="3470" w:type="dxa"/>
            <w:shd w:val="clear" w:color="auto" w:fill="auto"/>
            <w:vAlign w:val="bottom"/>
          </w:tcPr>
          <w:p w14:paraId="28CC95ED" w14:textId="77777777" w:rsidR="0012790E" w:rsidRPr="0012790E" w:rsidRDefault="0012790E">
            <w:pPr>
              <w:pStyle w:val="SummaryMeasureTitlewithTheme"/>
            </w:pPr>
            <w:r w:rsidRPr="0012790E">
              <w:t>Australia's International Climate Change Engagement</w:t>
            </w:r>
          </w:p>
        </w:tc>
        <w:tc>
          <w:tcPr>
            <w:tcW w:w="851" w:type="dxa"/>
            <w:vAlign w:val="bottom"/>
          </w:tcPr>
          <w:p w14:paraId="4BA065C3"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36CBA50" w14:textId="77777777" w:rsidR="0012790E" w:rsidRPr="0012790E" w:rsidRDefault="0012790E">
            <w:pPr>
              <w:pStyle w:val="Summarytabletextrightaligned"/>
              <w:rPr>
                <w:szCs w:val="16"/>
              </w:rPr>
            </w:pPr>
            <w:r w:rsidRPr="0012790E">
              <w:rPr>
                <w:szCs w:val="16"/>
              </w:rPr>
              <w:t>4.6</w:t>
            </w:r>
          </w:p>
        </w:tc>
        <w:tc>
          <w:tcPr>
            <w:tcW w:w="851" w:type="dxa"/>
            <w:vAlign w:val="bottom"/>
          </w:tcPr>
          <w:p w14:paraId="5D346C0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F21F22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453D4A8" w14:textId="77777777" w:rsidR="0012790E" w:rsidRPr="0012790E" w:rsidRDefault="0012790E">
            <w:pPr>
              <w:pStyle w:val="Summarytabletextrightaligned"/>
              <w:rPr>
                <w:szCs w:val="16"/>
              </w:rPr>
            </w:pPr>
            <w:r w:rsidRPr="0012790E">
              <w:rPr>
                <w:szCs w:val="16"/>
              </w:rPr>
              <w:noBreakHyphen/>
            </w:r>
          </w:p>
        </w:tc>
      </w:tr>
      <w:tr w:rsidR="0012790E" w:rsidRPr="0012790E" w14:paraId="77B073BE" w14:textId="77777777" w:rsidTr="54937204">
        <w:tc>
          <w:tcPr>
            <w:tcW w:w="3470" w:type="dxa"/>
            <w:shd w:val="clear" w:color="auto" w:fill="auto"/>
            <w:vAlign w:val="bottom"/>
          </w:tcPr>
          <w:p w14:paraId="1D1639CA" w14:textId="77777777" w:rsidR="0012790E" w:rsidRPr="0012790E" w:rsidRDefault="0012790E">
            <w:pPr>
              <w:pStyle w:val="SummaryMeasureTitlewithTheme"/>
            </w:pPr>
            <w:r w:rsidRPr="0012790E">
              <w:t>Enhancing Pacific Infrastructure and Engagement(b)</w:t>
            </w:r>
          </w:p>
        </w:tc>
        <w:tc>
          <w:tcPr>
            <w:tcW w:w="851" w:type="dxa"/>
            <w:vAlign w:val="bottom"/>
          </w:tcPr>
          <w:p w14:paraId="78B3B101" w14:textId="77777777" w:rsidR="0012790E" w:rsidRPr="0012790E" w:rsidRDefault="0012790E" w:rsidP="54937204">
            <w:pPr>
              <w:pStyle w:val="Summarytabletextrightaligned"/>
              <w:rPr>
                <w:lang w:val="en-US"/>
              </w:rPr>
            </w:pPr>
            <w:r w:rsidRPr="54937204">
              <w:rPr>
                <w:lang w:val="en-US"/>
              </w:rPr>
              <w:t>nfp</w:t>
            </w:r>
          </w:p>
        </w:tc>
        <w:tc>
          <w:tcPr>
            <w:tcW w:w="851" w:type="dxa"/>
            <w:shd w:val="clear" w:color="auto" w:fill="E6F2FF"/>
            <w:vAlign w:val="bottom"/>
          </w:tcPr>
          <w:p w14:paraId="209A5D2A"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5CF4DA04"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385CA96A"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55DC18CE" w14:textId="77777777" w:rsidR="0012790E" w:rsidRPr="0012790E" w:rsidRDefault="0012790E" w:rsidP="54937204">
            <w:pPr>
              <w:pStyle w:val="Summarytabletextrightaligned"/>
              <w:rPr>
                <w:lang w:val="en-US"/>
              </w:rPr>
            </w:pPr>
            <w:r w:rsidRPr="54937204">
              <w:rPr>
                <w:lang w:val="en-US"/>
              </w:rPr>
              <w:t>nfp</w:t>
            </w:r>
          </w:p>
        </w:tc>
      </w:tr>
      <w:tr w:rsidR="0012790E" w:rsidRPr="0012790E" w14:paraId="7797C359" w14:textId="77777777" w:rsidTr="54937204">
        <w:tc>
          <w:tcPr>
            <w:tcW w:w="3470" w:type="dxa"/>
            <w:shd w:val="clear" w:color="auto" w:fill="auto"/>
            <w:vAlign w:val="bottom"/>
          </w:tcPr>
          <w:p w14:paraId="47554938" w14:textId="77777777" w:rsidR="0012790E" w:rsidRPr="0012790E" w:rsidRDefault="0012790E">
            <w:pPr>
              <w:pStyle w:val="SummaryMeasureTitlewithTheme"/>
            </w:pPr>
            <w:r w:rsidRPr="0012790E">
              <w:t>Fast</w:t>
            </w:r>
            <w:r w:rsidRPr="0012790E">
              <w:noBreakHyphen/>
              <w:t>Track Passport – establishment(b)</w:t>
            </w:r>
          </w:p>
        </w:tc>
        <w:tc>
          <w:tcPr>
            <w:tcW w:w="851" w:type="dxa"/>
            <w:vAlign w:val="bottom"/>
          </w:tcPr>
          <w:p w14:paraId="2DE6B34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6794F2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6DECEF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CB65888"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A6F36D7" w14:textId="77777777" w:rsidR="0012790E" w:rsidRPr="0012790E" w:rsidRDefault="0012790E">
            <w:pPr>
              <w:pStyle w:val="Summarytabletextrightaligned"/>
              <w:rPr>
                <w:szCs w:val="16"/>
              </w:rPr>
            </w:pPr>
            <w:r w:rsidRPr="0012790E">
              <w:rPr>
                <w:szCs w:val="16"/>
              </w:rPr>
              <w:noBreakHyphen/>
            </w:r>
          </w:p>
        </w:tc>
      </w:tr>
      <w:tr w:rsidR="0012790E" w:rsidRPr="0012790E" w14:paraId="6CEF803F" w14:textId="77777777" w:rsidTr="54937204">
        <w:tc>
          <w:tcPr>
            <w:tcW w:w="3470" w:type="dxa"/>
            <w:shd w:val="clear" w:color="auto" w:fill="auto"/>
            <w:vAlign w:val="bottom"/>
          </w:tcPr>
          <w:p w14:paraId="142E2718" w14:textId="77777777" w:rsidR="0012790E" w:rsidRPr="0012790E" w:rsidRDefault="0012790E">
            <w:pPr>
              <w:pStyle w:val="SummaryMeasureTitlewithTheme"/>
            </w:pPr>
            <w:r w:rsidRPr="0012790E">
              <w:t>Future Made in Australia – Attracting Investment in Key Industries</w:t>
            </w:r>
          </w:p>
        </w:tc>
        <w:tc>
          <w:tcPr>
            <w:tcW w:w="851" w:type="dxa"/>
            <w:vAlign w:val="bottom"/>
          </w:tcPr>
          <w:p w14:paraId="499E7DA3"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046BFB6" w14:textId="77777777" w:rsidR="0012790E" w:rsidRPr="0012790E" w:rsidRDefault="0012790E">
            <w:pPr>
              <w:pStyle w:val="Summarytabletextrightaligned"/>
              <w:rPr>
                <w:szCs w:val="16"/>
              </w:rPr>
            </w:pPr>
            <w:r w:rsidRPr="0012790E">
              <w:rPr>
                <w:szCs w:val="16"/>
              </w:rPr>
              <w:t>1.2</w:t>
            </w:r>
          </w:p>
        </w:tc>
        <w:tc>
          <w:tcPr>
            <w:tcW w:w="851" w:type="dxa"/>
            <w:vAlign w:val="bottom"/>
          </w:tcPr>
          <w:p w14:paraId="15359FBB" w14:textId="77777777" w:rsidR="0012790E" w:rsidRPr="0012790E" w:rsidRDefault="0012790E">
            <w:pPr>
              <w:pStyle w:val="Summarytabletextrightaligned"/>
              <w:rPr>
                <w:szCs w:val="16"/>
              </w:rPr>
            </w:pPr>
            <w:r w:rsidRPr="0012790E">
              <w:rPr>
                <w:szCs w:val="16"/>
              </w:rPr>
              <w:t>1.1</w:t>
            </w:r>
          </w:p>
        </w:tc>
        <w:tc>
          <w:tcPr>
            <w:tcW w:w="851" w:type="dxa"/>
            <w:vAlign w:val="bottom"/>
          </w:tcPr>
          <w:p w14:paraId="453D9104" w14:textId="77777777" w:rsidR="0012790E" w:rsidRPr="0012790E" w:rsidRDefault="0012790E">
            <w:pPr>
              <w:pStyle w:val="Summarytabletextrightaligned"/>
              <w:rPr>
                <w:szCs w:val="16"/>
              </w:rPr>
            </w:pPr>
            <w:r w:rsidRPr="0012790E">
              <w:rPr>
                <w:szCs w:val="16"/>
              </w:rPr>
              <w:t>1.1</w:t>
            </w:r>
          </w:p>
        </w:tc>
        <w:tc>
          <w:tcPr>
            <w:tcW w:w="851" w:type="dxa"/>
            <w:vAlign w:val="bottom"/>
          </w:tcPr>
          <w:p w14:paraId="65F11640" w14:textId="77777777" w:rsidR="0012790E" w:rsidRPr="0012790E" w:rsidRDefault="0012790E">
            <w:pPr>
              <w:pStyle w:val="Summarytabletextrightaligned"/>
              <w:rPr>
                <w:szCs w:val="16"/>
              </w:rPr>
            </w:pPr>
            <w:r w:rsidRPr="0012790E">
              <w:rPr>
                <w:szCs w:val="16"/>
              </w:rPr>
              <w:t>1.2</w:t>
            </w:r>
          </w:p>
        </w:tc>
      </w:tr>
      <w:tr w:rsidR="0012790E" w:rsidRPr="0012790E" w14:paraId="54C85597" w14:textId="77777777" w:rsidTr="54937204">
        <w:tc>
          <w:tcPr>
            <w:tcW w:w="3470" w:type="dxa"/>
            <w:shd w:val="clear" w:color="auto" w:fill="auto"/>
            <w:vAlign w:val="bottom"/>
          </w:tcPr>
          <w:p w14:paraId="3B17D96A" w14:textId="77777777" w:rsidR="0012790E" w:rsidRPr="0012790E" w:rsidRDefault="0012790E">
            <w:pPr>
              <w:pStyle w:val="SummaryMeasureTitlewithTheme"/>
            </w:pPr>
            <w:r w:rsidRPr="0012790E">
              <w:t>Future Made in Australia – Investing in Innovation, Science and Digital Capabilities(b)</w:t>
            </w:r>
          </w:p>
        </w:tc>
        <w:tc>
          <w:tcPr>
            <w:tcW w:w="851" w:type="dxa"/>
            <w:vAlign w:val="bottom"/>
          </w:tcPr>
          <w:p w14:paraId="1CFC79F9" w14:textId="77777777" w:rsidR="0012790E" w:rsidRPr="0012790E" w:rsidRDefault="0012790E">
            <w:pPr>
              <w:pStyle w:val="Summarytabletextrightaligned"/>
              <w:rPr>
                <w:szCs w:val="16"/>
              </w:rPr>
            </w:pPr>
            <w:r w:rsidRPr="0012790E">
              <w:rPr>
                <w:szCs w:val="16"/>
              </w:rPr>
              <w:t>0.1</w:t>
            </w:r>
          </w:p>
        </w:tc>
        <w:tc>
          <w:tcPr>
            <w:tcW w:w="851" w:type="dxa"/>
            <w:shd w:val="clear" w:color="auto" w:fill="E6F2FF"/>
            <w:vAlign w:val="bottom"/>
          </w:tcPr>
          <w:p w14:paraId="1CDFFD5B" w14:textId="77777777" w:rsidR="0012790E" w:rsidRPr="0012790E" w:rsidRDefault="0012790E">
            <w:pPr>
              <w:pStyle w:val="Summarytabletextrightaligned"/>
              <w:rPr>
                <w:szCs w:val="16"/>
              </w:rPr>
            </w:pPr>
            <w:r w:rsidRPr="0012790E">
              <w:rPr>
                <w:szCs w:val="16"/>
              </w:rPr>
              <w:t>0.3</w:t>
            </w:r>
          </w:p>
        </w:tc>
        <w:tc>
          <w:tcPr>
            <w:tcW w:w="851" w:type="dxa"/>
            <w:vAlign w:val="bottom"/>
          </w:tcPr>
          <w:p w14:paraId="580752DD" w14:textId="77777777" w:rsidR="0012790E" w:rsidRPr="0012790E" w:rsidRDefault="0012790E">
            <w:pPr>
              <w:pStyle w:val="Summarytabletextrightaligned"/>
              <w:rPr>
                <w:szCs w:val="16"/>
              </w:rPr>
            </w:pPr>
            <w:r w:rsidRPr="0012790E">
              <w:rPr>
                <w:szCs w:val="16"/>
              </w:rPr>
              <w:t>0.3</w:t>
            </w:r>
          </w:p>
        </w:tc>
        <w:tc>
          <w:tcPr>
            <w:tcW w:w="851" w:type="dxa"/>
            <w:vAlign w:val="bottom"/>
          </w:tcPr>
          <w:p w14:paraId="2C02DB14" w14:textId="77777777" w:rsidR="0012790E" w:rsidRPr="0012790E" w:rsidRDefault="0012790E">
            <w:pPr>
              <w:pStyle w:val="Summarytabletextrightaligned"/>
              <w:rPr>
                <w:szCs w:val="16"/>
              </w:rPr>
            </w:pPr>
            <w:r w:rsidRPr="0012790E">
              <w:rPr>
                <w:szCs w:val="16"/>
              </w:rPr>
              <w:t>0.3</w:t>
            </w:r>
          </w:p>
        </w:tc>
        <w:tc>
          <w:tcPr>
            <w:tcW w:w="851" w:type="dxa"/>
            <w:vAlign w:val="bottom"/>
          </w:tcPr>
          <w:p w14:paraId="049B4C3C" w14:textId="77777777" w:rsidR="0012790E" w:rsidRPr="0012790E" w:rsidRDefault="0012790E">
            <w:pPr>
              <w:pStyle w:val="Summarytabletextrightaligned"/>
              <w:rPr>
                <w:szCs w:val="16"/>
              </w:rPr>
            </w:pPr>
            <w:r w:rsidRPr="0012790E">
              <w:rPr>
                <w:szCs w:val="16"/>
              </w:rPr>
              <w:t>0.3</w:t>
            </w:r>
          </w:p>
        </w:tc>
      </w:tr>
      <w:tr w:rsidR="0012790E" w:rsidRPr="0012790E" w14:paraId="0303189E" w14:textId="77777777" w:rsidTr="54937204">
        <w:tc>
          <w:tcPr>
            <w:tcW w:w="3470" w:type="dxa"/>
            <w:shd w:val="clear" w:color="auto" w:fill="auto"/>
            <w:vAlign w:val="bottom"/>
          </w:tcPr>
          <w:p w14:paraId="248859C0" w14:textId="77777777" w:rsidR="0012790E" w:rsidRPr="0012790E" w:rsidRDefault="0012790E">
            <w:pPr>
              <w:pStyle w:val="SummaryMeasureTitlewithTheme"/>
            </w:pPr>
            <w:r w:rsidRPr="0012790E">
              <w:t>Future Made in Australia – Workforce and Trade Partnerships for Renewable Energy Superpower Industries</w:t>
            </w:r>
          </w:p>
        </w:tc>
        <w:tc>
          <w:tcPr>
            <w:tcW w:w="851" w:type="dxa"/>
            <w:vAlign w:val="bottom"/>
          </w:tcPr>
          <w:p w14:paraId="1DE7D0B3"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13E3479" w14:textId="77777777" w:rsidR="0012790E" w:rsidRPr="0012790E" w:rsidRDefault="0012790E">
            <w:pPr>
              <w:pStyle w:val="Summarytabletextrightaligned"/>
              <w:rPr>
                <w:szCs w:val="16"/>
              </w:rPr>
            </w:pPr>
            <w:r w:rsidRPr="0012790E">
              <w:rPr>
                <w:szCs w:val="16"/>
              </w:rPr>
              <w:t>3.6</w:t>
            </w:r>
          </w:p>
        </w:tc>
        <w:tc>
          <w:tcPr>
            <w:tcW w:w="851" w:type="dxa"/>
            <w:vAlign w:val="bottom"/>
          </w:tcPr>
          <w:p w14:paraId="2A6FF0CE" w14:textId="77777777" w:rsidR="0012790E" w:rsidRPr="0012790E" w:rsidRDefault="0012790E">
            <w:pPr>
              <w:pStyle w:val="Summarytabletextrightaligned"/>
              <w:rPr>
                <w:szCs w:val="16"/>
              </w:rPr>
            </w:pPr>
            <w:r w:rsidRPr="0012790E">
              <w:rPr>
                <w:szCs w:val="16"/>
              </w:rPr>
              <w:t>3.1</w:t>
            </w:r>
          </w:p>
        </w:tc>
        <w:tc>
          <w:tcPr>
            <w:tcW w:w="851" w:type="dxa"/>
            <w:vAlign w:val="bottom"/>
          </w:tcPr>
          <w:p w14:paraId="2375E96D" w14:textId="77777777" w:rsidR="0012790E" w:rsidRPr="0012790E" w:rsidRDefault="0012790E">
            <w:pPr>
              <w:pStyle w:val="Summarytabletextrightaligned"/>
              <w:rPr>
                <w:szCs w:val="16"/>
              </w:rPr>
            </w:pPr>
            <w:r w:rsidRPr="0012790E">
              <w:rPr>
                <w:szCs w:val="16"/>
              </w:rPr>
              <w:t>2.9</w:t>
            </w:r>
          </w:p>
        </w:tc>
        <w:tc>
          <w:tcPr>
            <w:tcW w:w="851" w:type="dxa"/>
            <w:vAlign w:val="bottom"/>
          </w:tcPr>
          <w:p w14:paraId="7D88C539" w14:textId="77777777" w:rsidR="0012790E" w:rsidRPr="0012790E" w:rsidRDefault="0012790E">
            <w:pPr>
              <w:pStyle w:val="Summarytabletextrightaligned"/>
              <w:rPr>
                <w:szCs w:val="16"/>
              </w:rPr>
            </w:pPr>
            <w:r w:rsidRPr="0012790E">
              <w:rPr>
                <w:szCs w:val="16"/>
              </w:rPr>
              <w:t>1.3</w:t>
            </w:r>
          </w:p>
        </w:tc>
      </w:tr>
      <w:tr w:rsidR="0012790E" w:rsidRPr="0012790E" w14:paraId="5B93C357" w14:textId="77777777" w:rsidTr="54937204">
        <w:tc>
          <w:tcPr>
            <w:tcW w:w="3470" w:type="dxa"/>
            <w:shd w:val="clear" w:color="auto" w:fill="auto"/>
            <w:vAlign w:val="bottom"/>
          </w:tcPr>
          <w:p w14:paraId="28D41115" w14:textId="77777777" w:rsidR="0012790E" w:rsidRPr="0012790E" w:rsidRDefault="0012790E">
            <w:pPr>
              <w:pStyle w:val="SummaryMeasureTitlewithTheme"/>
            </w:pPr>
            <w:r w:rsidRPr="0012790E">
              <w:t>International Climate Finance</w:t>
            </w:r>
          </w:p>
        </w:tc>
        <w:tc>
          <w:tcPr>
            <w:tcW w:w="851" w:type="dxa"/>
            <w:vAlign w:val="bottom"/>
          </w:tcPr>
          <w:p w14:paraId="6AA0287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D3E8720" w14:textId="77777777" w:rsidR="0012790E" w:rsidRPr="0012790E" w:rsidRDefault="0012790E">
            <w:pPr>
              <w:pStyle w:val="Summarytabletextrightaligned"/>
              <w:rPr>
                <w:szCs w:val="16"/>
              </w:rPr>
            </w:pPr>
            <w:r w:rsidRPr="0012790E">
              <w:rPr>
                <w:szCs w:val="16"/>
              </w:rPr>
              <w:t>15.0</w:t>
            </w:r>
          </w:p>
        </w:tc>
        <w:tc>
          <w:tcPr>
            <w:tcW w:w="851" w:type="dxa"/>
            <w:vAlign w:val="bottom"/>
          </w:tcPr>
          <w:p w14:paraId="02D29B3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4983BA1" w14:textId="77777777" w:rsidR="0012790E" w:rsidRPr="0012790E" w:rsidRDefault="0012790E">
            <w:pPr>
              <w:pStyle w:val="Summarytabletextrightaligned"/>
              <w:rPr>
                <w:szCs w:val="16"/>
              </w:rPr>
            </w:pPr>
            <w:r w:rsidRPr="0012790E">
              <w:rPr>
                <w:szCs w:val="16"/>
              </w:rPr>
              <w:t>25.0</w:t>
            </w:r>
          </w:p>
        </w:tc>
        <w:tc>
          <w:tcPr>
            <w:tcW w:w="851" w:type="dxa"/>
            <w:vAlign w:val="bottom"/>
          </w:tcPr>
          <w:p w14:paraId="3F347C5D" w14:textId="77777777" w:rsidR="0012790E" w:rsidRPr="0012790E" w:rsidRDefault="0012790E">
            <w:pPr>
              <w:pStyle w:val="Summarytabletextrightaligned"/>
              <w:rPr>
                <w:szCs w:val="16"/>
              </w:rPr>
            </w:pPr>
            <w:r w:rsidRPr="0012790E">
              <w:rPr>
                <w:szCs w:val="16"/>
              </w:rPr>
              <w:t>25.0</w:t>
            </w:r>
          </w:p>
        </w:tc>
      </w:tr>
      <w:tr w:rsidR="0012790E" w:rsidRPr="0012790E" w14:paraId="610C424B" w14:textId="77777777" w:rsidTr="54937204">
        <w:tc>
          <w:tcPr>
            <w:tcW w:w="3470" w:type="dxa"/>
            <w:shd w:val="clear" w:color="auto" w:fill="auto"/>
            <w:vAlign w:val="bottom"/>
          </w:tcPr>
          <w:p w14:paraId="4EB9CC5A" w14:textId="77777777" w:rsidR="0012790E" w:rsidRPr="0012790E" w:rsidRDefault="0012790E">
            <w:pPr>
              <w:pStyle w:val="SummaryMeasureTitlewithTheme"/>
            </w:pPr>
            <w:r w:rsidRPr="0012790E">
              <w:t>Maintaining Support for an Effective Foreign Service</w:t>
            </w:r>
          </w:p>
        </w:tc>
        <w:tc>
          <w:tcPr>
            <w:tcW w:w="851" w:type="dxa"/>
            <w:vAlign w:val="bottom"/>
          </w:tcPr>
          <w:p w14:paraId="48E17A2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D18F641" w14:textId="77777777" w:rsidR="0012790E" w:rsidRPr="0012790E" w:rsidRDefault="0012790E">
            <w:pPr>
              <w:pStyle w:val="Summarytabletextrightaligned"/>
              <w:rPr>
                <w:szCs w:val="16"/>
              </w:rPr>
            </w:pPr>
            <w:r w:rsidRPr="0012790E">
              <w:rPr>
                <w:szCs w:val="16"/>
              </w:rPr>
              <w:t>77.2</w:t>
            </w:r>
          </w:p>
        </w:tc>
        <w:tc>
          <w:tcPr>
            <w:tcW w:w="851" w:type="dxa"/>
            <w:vAlign w:val="bottom"/>
          </w:tcPr>
          <w:p w14:paraId="11ABD04B" w14:textId="77777777" w:rsidR="0012790E" w:rsidRPr="0012790E" w:rsidRDefault="0012790E">
            <w:pPr>
              <w:pStyle w:val="Summarytabletextrightaligned"/>
              <w:rPr>
                <w:szCs w:val="16"/>
              </w:rPr>
            </w:pPr>
            <w:r w:rsidRPr="0012790E">
              <w:rPr>
                <w:szCs w:val="16"/>
              </w:rPr>
              <w:t>74.9</w:t>
            </w:r>
          </w:p>
        </w:tc>
        <w:tc>
          <w:tcPr>
            <w:tcW w:w="851" w:type="dxa"/>
            <w:vAlign w:val="bottom"/>
          </w:tcPr>
          <w:p w14:paraId="076274F6" w14:textId="77777777" w:rsidR="0012790E" w:rsidRPr="0012790E" w:rsidRDefault="0012790E">
            <w:pPr>
              <w:pStyle w:val="Summarytabletextrightaligned"/>
              <w:rPr>
                <w:szCs w:val="16"/>
              </w:rPr>
            </w:pPr>
            <w:r w:rsidRPr="0012790E">
              <w:rPr>
                <w:szCs w:val="16"/>
              </w:rPr>
              <w:t>50.1</w:t>
            </w:r>
          </w:p>
        </w:tc>
        <w:tc>
          <w:tcPr>
            <w:tcW w:w="851" w:type="dxa"/>
            <w:vAlign w:val="bottom"/>
          </w:tcPr>
          <w:p w14:paraId="672DBF2E" w14:textId="77777777" w:rsidR="0012790E" w:rsidRPr="0012790E" w:rsidRDefault="0012790E">
            <w:pPr>
              <w:pStyle w:val="Summarytabletextrightaligned"/>
              <w:rPr>
                <w:szCs w:val="16"/>
              </w:rPr>
            </w:pPr>
            <w:r w:rsidRPr="0012790E">
              <w:rPr>
                <w:szCs w:val="16"/>
              </w:rPr>
              <w:t>48.4</w:t>
            </w:r>
          </w:p>
        </w:tc>
      </w:tr>
      <w:tr w:rsidR="0012790E" w:rsidRPr="0012790E" w14:paraId="0B8BA05F" w14:textId="77777777" w:rsidTr="54937204">
        <w:tc>
          <w:tcPr>
            <w:tcW w:w="3470" w:type="dxa"/>
            <w:shd w:val="clear" w:color="auto" w:fill="auto"/>
            <w:vAlign w:val="bottom"/>
          </w:tcPr>
          <w:p w14:paraId="2E581761" w14:textId="77777777" w:rsidR="0012790E" w:rsidRPr="0012790E" w:rsidRDefault="0012790E">
            <w:pPr>
              <w:pStyle w:val="SummaryMeasureTitlewithTheme"/>
            </w:pPr>
            <w:r w:rsidRPr="0012790E">
              <w:t>Middle East Crisis Response</w:t>
            </w:r>
          </w:p>
        </w:tc>
        <w:tc>
          <w:tcPr>
            <w:tcW w:w="851" w:type="dxa"/>
            <w:vAlign w:val="bottom"/>
          </w:tcPr>
          <w:p w14:paraId="0485BFCE" w14:textId="73A5AAFF" w:rsidR="0012790E" w:rsidRPr="0012790E" w:rsidRDefault="003C451D">
            <w:pPr>
              <w:pStyle w:val="Summarytabletextrightaligned"/>
              <w:rPr>
                <w:szCs w:val="16"/>
              </w:rPr>
            </w:pPr>
            <w:r>
              <w:rPr>
                <w:szCs w:val="16"/>
              </w:rPr>
              <w:t>-</w:t>
            </w:r>
          </w:p>
        </w:tc>
        <w:tc>
          <w:tcPr>
            <w:tcW w:w="851" w:type="dxa"/>
            <w:shd w:val="clear" w:color="auto" w:fill="E6F2FF"/>
            <w:vAlign w:val="bottom"/>
          </w:tcPr>
          <w:p w14:paraId="1A1BF3F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D6B121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FA0C6A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5F1E283" w14:textId="77777777" w:rsidR="0012790E" w:rsidRPr="0012790E" w:rsidRDefault="0012790E">
            <w:pPr>
              <w:pStyle w:val="Summarytabletextrightaligned"/>
              <w:rPr>
                <w:szCs w:val="16"/>
              </w:rPr>
            </w:pPr>
            <w:r w:rsidRPr="0012790E">
              <w:rPr>
                <w:szCs w:val="16"/>
              </w:rPr>
              <w:noBreakHyphen/>
            </w:r>
          </w:p>
        </w:tc>
      </w:tr>
      <w:tr w:rsidR="0012790E" w:rsidRPr="0012790E" w14:paraId="0A09A09D" w14:textId="77777777" w:rsidTr="54937204">
        <w:tc>
          <w:tcPr>
            <w:tcW w:w="3470" w:type="dxa"/>
            <w:shd w:val="clear" w:color="auto" w:fill="auto"/>
            <w:vAlign w:val="bottom"/>
          </w:tcPr>
          <w:p w14:paraId="06941BC1" w14:textId="77777777" w:rsidR="0012790E" w:rsidRPr="0012790E" w:rsidRDefault="0012790E">
            <w:pPr>
              <w:pStyle w:val="SummaryMeasureTitlewithTheme"/>
            </w:pPr>
            <w:r w:rsidRPr="0012790E">
              <w:t>Regional cooperation initiative on carbon sequestration</w:t>
            </w:r>
          </w:p>
        </w:tc>
        <w:tc>
          <w:tcPr>
            <w:tcW w:w="851" w:type="dxa"/>
            <w:vAlign w:val="bottom"/>
          </w:tcPr>
          <w:p w14:paraId="7AF97A4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FD4D45A" w14:textId="77777777" w:rsidR="0012790E" w:rsidRPr="0012790E" w:rsidRDefault="0012790E">
            <w:pPr>
              <w:pStyle w:val="Summarytabletextrightaligned"/>
              <w:rPr>
                <w:szCs w:val="16"/>
              </w:rPr>
            </w:pPr>
            <w:r w:rsidRPr="0012790E">
              <w:rPr>
                <w:szCs w:val="16"/>
              </w:rPr>
              <w:t>0.8</w:t>
            </w:r>
          </w:p>
        </w:tc>
        <w:tc>
          <w:tcPr>
            <w:tcW w:w="851" w:type="dxa"/>
            <w:vAlign w:val="bottom"/>
          </w:tcPr>
          <w:p w14:paraId="32E36387" w14:textId="77777777" w:rsidR="0012790E" w:rsidRPr="0012790E" w:rsidRDefault="0012790E">
            <w:pPr>
              <w:pStyle w:val="Summarytabletextrightaligned"/>
              <w:rPr>
                <w:szCs w:val="16"/>
              </w:rPr>
            </w:pPr>
            <w:r w:rsidRPr="0012790E">
              <w:rPr>
                <w:szCs w:val="16"/>
              </w:rPr>
              <w:t>0.9</w:t>
            </w:r>
          </w:p>
        </w:tc>
        <w:tc>
          <w:tcPr>
            <w:tcW w:w="851" w:type="dxa"/>
            <w:vAlign w:val="bottom"/>
          </w:tcPr>
          <w:p w14:paraId="586DFBEC" w14:textId="77777777" w:rsidR="0012790E" w:rsidRPr="0012790E" w:rsidRDefault="0012790E">
            <w:pPr>
              <w:pStyle w:val="Summarytabletextrightaligned"/>
              <w:rPr>
                <w:szCs w:val="16"/>
              </w:rPr>
            </w:pPr>
            <w:r w:rsidRPr="0012790E">
              <w:rPr>
                <w:szCs w:val="16"/>
              </w:rPr>
              <w:t>0.9</w:t>
            </w:r>
          </w:p>
        </w:tc>
        <w:tc>
          <w:tcPr>
            <w:tcW w:w="851" w:type="dxa"/>
            <w:vAlign w:val="bottom"/>
          </w:tcPr>
          <w:p w14:paraId="0E666A53" w14:textId="77777777" w:rsidR="0012790E" w:rsidRPr="0012790E" w:rsidRDefault="0012790E">
            <w:pPr>
              <w:pStyle w:val="Summarytabletextrightaligned"/>
              <w:rPr>
                <w:szCs w:val="16"/>
              </w:rPr>
            </w:pPr>
            <w:r w:rsidRPr="0012790E">
              <w:rPr>
                <w:szCs w:val="16"/>
              </w:rPr>
              <w:t>0.9</w:t>
            </w:r>
          </w:p>
        </w:tc>
      </w:tr>
      <w:tr w:rsidR="005D1C79" w:rsidRPr="0012790E" w14:paraId="1B3D30C4" w14:textId="77777777" w:rsidTr="54937204">
        <w:tc>
          <w:tcPr>
            <w:tcW w:w="3470" w:type="dxa"/>
            <w:shd w:val="clear" w:color="auto" w:fill="auto"/>
            <w:vAlign w:val="bottom"/>
          </w:tcPr>
          <w:p w14:paraId="2E634BD4" w14:textId="77777777" w:rsidR="005D1C79" w:rsidRPr="0012790E" w:rsidRDefault="005D1C79" w:rsidP="005D1C79">
            <w:pPr>
              <w:pStyle w:val="SummaryMeasureTitlewithTheme"/>
            </w:pPr>
            <w:r w:rsidRPr="0012790E">
              <w:t>Southeast Asia Engagement – additional funding(b)</w:t>
            </w:r>
          </w:p>
        </w:tc>
        <w:tc>
          <w:tcPr>
            <w:tcW w:w="851" w:type="dxa"/>
            <w:vAlign w:val="bottom"/>
          </w:tcPr>
          <w:p w14:paraId="3260BE9C" w14:textId="77777777" w:rsidR="005D1C79" w:rsidRPr="0012790E" w:rsidRDefault="005D1C79" w:rsidP="005D1C79">
            <w:pPr>
              <w:pStyle w:val="Summarytabletextrightaligned"/>
              <w:rPr>
                <w:szCs w:val="16"/>
              </w:rPr>
            </w:pPr>
            <w:r w:rsidRPr="0012790E">
              <w:rPr>
                <w:szCs w:val="16"/>
              </w:rPr>
              <w:t>0.3</w:t>
            </w:r>
          </w:p>
        </w:tc>
        <w:tc>
          <w:tcPr>
            <w:tcW w:w="851" w:type="dxa"/>
            <w:shd w:val="clear" w:color="auto" w:fill="E6F2FF"/>
            <w:vAlign w:val="bottom"/>
          </w:tcPr>
          <w:p w14:paraId="447D4229" w14:textId="359DF8B1" w:rsidR="005D1C79" w:rsidRPr="0012790E" w:rsidRDefault="005D1C79" w:rsidP="005D1C79">
            <w:pPr>
              <w:pStyle w:val="Summarytabletextrightaligned"/>
              <w:rPr>
                <w:szCs w:val="16"/>
              </w:rPr>
            </w:pPr>
            <w:r>
              <w:rPr>
                <w:szCs w:val="16"/>
              </w:rPr>
              <w:t>11.8</w:t>
            </w:r>
          </w:p>
        </w:tc>
        <w:tc>
          <w:tcPr>
            <w:tcW w:w="851" w:type="dxa"/>
            <w:vAlign w:val="bottom"/>
          </w:tcPr>
          <w:p w14:paraId="145FF06B" w14:textId="085A621D" w:rsidR="005D1C79" w:rsidRPr="0012790E" w:rsidRDefault="005D1C79" w:rsidP="005D1C79">
            <w:pPr>
              <w:pStyle w:val="Summarytabletextrightaligned"/>
              <w:rPr>
                <w:szCs w:val="16"/>
              </w:rPr>
            </w:pPr>
            <w:r>
              <w:rPr>
                <w:szCs w:val="16"/>
              </w:rPr>
              <w:t>14.4</w:t>
            </w:r>
          </w:p>
        </w:tc>
        <w:tc>
          <w:tcPr>
            <w:tcW w:w="851" w:type="dxa"/>
            <w:vAlign w:val="bottom"/>
          </w:tcPr>
          <w:p w14:paraId="3F970453" w14:textId="0E72B4C6" w:rsidR="005D1C79" w:rsidRPr="0012790E" w:rsidRDefault="005D1C79" w:rsidP="005D1C79">
            <w:pPr>
              <w:pStyle w:val="Summarytabletextrightaligned"/>
              <w:rPr>
                <w:szCs w:val="16"/>
              </w:rPr>
            </w:pPr>
            <w:r>
              <w:rPr>
                <w:szCs w:val="16"/>
              </w:rPr>
              <w:t>12.1</w:t>
            </w:r>
          </w:p>
        </w:tc>
        <w:tc>
          <w:tcPr>
            <w:tcW w:w="851" w:type="dxa"/>
            <w:vAlign w:val="bottom"/>
          </w:tcPr>
          <w:p w14:paraId="1F8DBA9F" w14:textId="618DD948" w:rsidR="005D1C79" w:rsidRPr="0012790E" w:rsidRDefault="005D1C79" w:rsidP="005D1C79">
            <w:pPr>
              <w:pStyle w:val="Summarytabletextrightaligned"/>
              <w:rPr>
                <w:szCs w:val="16"/>
              </w:rPr>
            </w:pPr>
            <w:r>
              <w:rPr>
                <w:szCs w:val="16"/>
              </w:rPr>
              <w:t>9.3</w:t>
            </w:r>
          </w:p>
        </w:tc>
      </w:tr>
      <w:tr w:rsidR="0012790E" w:rsidRPr="0012790E" w14:paraId="65772C43" w14:textId="77777777" w:rsidTr="54937204">
        <w:tc>
          <w:tcPr>
            <w:tcW w:w="3470" w:type="dxa"/>
            <w:tcBorders>
              <w:bottom w:val="single" w:sz="4" w:space="0" w:color="293F5B"/>
            </w:tcBorders>
            <w:shd w:val="clear" w:color="auto" w:fill="auto"/>
            <w:vAlign w:val="bottom"/>
          </w:tcPr>
          <w:p w14:paraId="1584A23A" w14:textId="77777777" w:rsidR="0012790E" w:rsidRPr="0012790E" w:rsidRDefault="0012790E">
            <w:pPr>
              <w:pStyle w:val="SummaryMeasureTitlewithTheme"/>
            </w:pPr>
            <w:r w:rsidRPr="0012790E">
              <w:t>Trade and Tourism Strategies – additional funding</w:t>
            </w:r>
          </w:p>
        </w:tc>
        <w:tc>
          <w:tcPr>
            <w:tcW w:w="851" w:type="dxa"/>
            <w:tcBorders>
              <w:bottom w:val="single" w:sz="4" w:space="0" w:color="293F5B"/>
            </w:tcBorders>
            <w:vAlign w:val="bottom"/>
          </w:tcPr>
          <w:p w14:paraId="1C504870"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4EF7C176" w14:textId="77777777" w:rsidR="0012790E" w:rsidRPr="0012790E" w:rsidRDefault="0012790E">
            <w:pPr>
              <w:pStyle w:val="Summarytabletextrightaligned"/>
              <w:rPr>
                <w:szCs w:val="16"/>
              </w:rPr>
            </w:pPr>
            <w:r w:rsidRPr="0012790E">
              <w:rPr>
                <w:szCs w:val="16"/>
              </w:rPr>
              <w:t>2.3</w:t>
            </w:r>
          </w:p>
        </w:tc>
        <w:tc>
          <w:tcPr>
            <w:tcW w:w="851" w:type="dxa"/>
            <w:tcBorders>
              <w:bottom w:val="single" w:sz="4" w:space="0" w:color="293F5B"/>
            </w:tcBorders>
            <w:vAlign w:val="bottom"/>
          </w:tcPr>
          <w:p w14:paraId="11C59E5E" w14:textId="77777777" w:rsidR="0012790E" w:rsidRPr="0012790E" w:rsidRDefault="0012790E">
            <w:pPr>
              <w:pStyle w:val="Summarytabletextrightaligned"/>
              <w:rPr>
                <w:szCs w:val="16"/>
              </w:rPr>
            </w:pPr>
            <w:r w:rsidRPr="0012790E">
              <w:rPr>
                <w:szCs w:val="16"/>
              </w:rPr>
              <w:t>2.1</w:t>
            </w:r>
          </w:p>
        </w:tc>
        <w:tc>
          <w:tcPr>
            <w:tcW w:w="851" w:type="dxa"/>
            <w:tcBorders>
              <w:bottom w:val="single" w:sz="4" w:space="0" w:color="293F5B"/>
            </w:tcBorders>
            <w:vAlign w:val="bottom"/>
          </w:tcPr>
          <w:p w14:paraId="65592F19"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2970BFB4" w14:textId="77777777" w:rsidR="0012790E" w:rsidRPr="0012790E" w:rsidRDefault="0012790E">
            <w:pPr>
              <w:pStyle w:val="Summarytabletextrightaligned"/>
              <w:rPr>
                <w:szCs w:val="16"/>
              </w:rPr>
            </w:pPr>
            <w:r w:rsidRPr="0012790E">
              <w:rPr>
                <w:szCs w:val="16"/>
              </w:rPr>
              <w:noBreakHyphen/>
            </w:r>
          </w:p>
        </w:tc>
      </w:tr>
    </w:tbl>
    <w:p w14:paraId="27E9F84F" w14:textId="77777777" w:rsidR="0012790E" w:rsidRPr="0012790E" w:rsidRDefault="0012790E" w:rsidP="0012790E">
      <w:pPr>
        <w:pStyle w:val="TableHeadingcontinued"/>
        <w:sectPr w:rsidR="0012790E" w:rsidRPr="0012790E" w:rsidSect="00EA5BFE">
          <w:headerReference w:type="even" r:id="rId61"/>
          <w:headerReference w:type="default" r:id="rId62"/>
          <w:footerReference w:type="even" r:id="rId63"/>
          <w:footerReference w:type="default" r:id="rId64"/>
          <w:footerReference w:type="first" r:id="rId65"/>
          <w:pgSz w:w="11905" w:h="16837"/>
          <w:pgMar w:top="2835" w:right="2098" w:bottom="2466" w:left="2098" w:header="1814" w:footer="1814" w:gutter="0"/>
          <w:cols w:space="720"/>
          <w:noEndnote/>
          <w:docGrid w:linePitch="272"/>
        </w:sectPr>
      </w:pPr>
    </w:p>
    <w:p w14:paraId="5B91A951" w14:textId="77777777" w:rsidR="0012790E" w:rsidRPr="0012790E" w:rsidRDefault="0012790E" w:rsidP="0012790E">
      <w:pPr>
        <w:pStyle w:val="TableHeadingcontinued"/>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6E576C50" w14:textId="77777777" w:rsidTr="54937204">
        <w:tc>
          <w:tcPr>
            <w:tcW w:w="3470" w:type="dxa"/>
            <w:tcBorders>
              <w:top w:val="single" w:sz="4" w:space="0" w:color="293F5B"/>
            </w:tcBorders>
            <w:shd w:val="clear" w:color="auto" w:fill="auto"/>
            <w:vAlign w:val="bottom"/>
          </w:tcPr>
          <w:p w14:paraId="7E197764"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320637E8"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339B8D6F"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718DA01B"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61442245"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0DE391A7"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630FED0A" w14:textId="77777777" w:rsidTr="54937204">
        <w:tc>
          <w:tcPr>
            <w:tcW w:w="3470" w:type="dxa"/>
            <w:shd w:val="clear" w:color="auto" w:fill="auto"/>
            <w:vAlign w:val="bottom"/>
          </w:tcPr>
          <w:p w14:paraId="2AE31F31" w14:textId="77777777" w:rsidR="0012790E" w:rsidRPr="0012790E" w:rsidRDefault="0012790E">
            <w:pPr>
              <w:pStyle w:val="Summarytabletextrightaligned"/>
            </w:pPr>
          </w:p>
        </w:tc>
        <w:tc>
          <w:tcPr>
            <w:tcW w:w="851" w:type="dxa"/>
            <w:tcBorders>
              <w:bottom w:val="single" w:sz="4" w:space="0" w:color="293F5B"/>
            </w:tcBorders>
            <w:vAlign w:val="bottom"/>
          </w:tcPr>
          <w:p w14:paraId="66306474"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698AA52F"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06EFDD43"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3B07F702"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3B9BCCE3" w14:textId="77777777" w:rsidR="0012790E" w:rsidRPr="0012790E" w:rsidRDefault="0012790E">
            <w:pPr>
              <w:pStyle w:val="Summarytabletextrightaligned"/>
            </w:pPr>
            <w:r w:rsidRPr="0012790E">
              <w:t>$m</w:t>
            </w:r>
          </w:p>
        </w:tc>
      </w:tr>
      <w:tr w:rsidR="0012790E" w:rsidRPr="0012790E" w14:paraId="1939F283" w14:textId="77777777" w:rsidTr="54937204">
        <w:tc>
          <w:tcPr>
            <w:tcW w:w="3470" w:type="dxa"/>
            <w:shd w:val="clear" w:color="auto" w:fill="auto"/>
            <w:vAlign w:val="bottom"/>
          </w:tcPr>
          <w:p w14:paraId="75058AE5" w14:textId="77777777" w:rsidR="0012790E" w:rsidRPr="0012790E" w:rsidRDefault="0012790E" w:rsidP="000D3386">
            <w:pPr>
              <w:pStyle w:val="SummaryAgencyTitle-BP2"/>
              <w:ind w:left="0" w:firstLine="0"/>
              <w:rPr>
                <w:b/>
                <w:i w:val="0"/>
                <w:iCs/>
              </w:rPr>
            </w:pPr>
            <w:r w:rsidRPr="0012790E">
              <w:rPr>
                <w:b/>
                <w:i w:val="0"/>
                <w:iCs/>
              </w:rPr>
              <w:t>FOREIGN AFFAIRS AND TRADE (continued)</w:t>
            </w:r>
          </w:p>
        </w:tc>
        <w:tc>
          <w:tcPr>
            <w:tcW w:w="851" w:type="dxa"/>
            <w:vAlign w:val="bottom"/>
          </w:tcPr>
          <w:p w14:paraId="70AE7377" w14:textId="77777777" w:rsidR="0012790E" w:rsidRPr="0012790E" w:rsidRDefault="0012790E">
            <w:pPr>
              <w:pStyle w:val="SummaryAgencyTitle-BP2"/>
              <w:rPr>
                <w:iCs/>
              </w:rPr>
            </w:pPr>
          </w:p>
        </w:tc>
        <w:tc>
          <w:tcPr>
            <w:tcW w:w="851" w:type="dxa"/>
            <w:shd w:val="clear" w:color="auto" w:fill="E6F2FF"/>
            <w:vAlign w:val="bottom"/>
          </w:tcPr>
          <w:p w14:paraId="6F909B3B" w14:textId="77777777" w:rsidR="0012790E" w:rsidRPr="0012790E" w:rsidRDefault="0012790E">
            <w:pPr>
              <w:pStyle w:val="SummaryAgencyTitle-BP2"/>
              <w:rPr>
                <w:iCs/>
              </w:rPr>
            </w:pPr>
          </w:p>
        </w:tc>
        <w:tc>
          <w:tcPr>
            <w:tcW w:w="851" w:type="dxa"/>
            <w:vAlign w:val="bottom"/>
          </w:tcPr>
          <w:p w14:paraId="19A02225" w14:textId="77777777" w:rsidR="0012790E" w:rsidRPr="0012790E" w:rsidRDefault="0012790E">
            <w:pPr>
              <w:pStyle w:val="SummaryAgencyTitle-BP2"/>
              <w:rPr>
                <w:iCs/>
              </w:rPr>
            </w:pPr>
          </w:p>
        </w:tc>
        <w:tc>
          <w:tcPr>
            <w:tcW w:w="851" w:type="dxa"/>
            <w:vAlign w:val="bottom"/>
          </w:tcPr>
          <w:p w14:paraId="2F4A94B9" w14:textId="77777777" w:rsidR="0012790E" w:rsidRPr="0012790E" w:rsidRDefault="0012790E">
            <w:pPr>
              <w:pStyle w:val="SummaryAgencyTitle-BP2"/>
              <w:rPr>
                <w:iCs/>
              </w:rPr>
            </w:pPr>
          </w:p>
        </w:tc>
        <w:tc>
          <w:tcPr>
            <w:tcW w:w="851" w:type="dxa"/>
            <w:vAlign w:val="bottom"/>
          </w:tcPr>
          <w:p w14:paraId="5B384849" w14:textId="77777777" w:rsidR="0012790E" w:rsidRPr="0012790E" w:rsidRDefault="0012790E">
            <w:pPr>
              <w:pStyle w:val="SummaryAgencyTitle-BP2"/>
              <w:rPr>
                <w:iCs/>
              </w:rPr>
            </w:pPr>
          </w:p>
        </w:tc>
      </w:tr>
      <w:tr w:rsidR="0012790E" w:rsidRPr="0012790E" w14:paraId="4D9ACCE0" w14:textId="77777777" w:rsidTr="54937204">
        <w:tc>
          <w:tcPr>
            <w:tcW w:w="3470" w:type="dxa"/>
            <w:shd w:val="clear" w:color="auto" w:fill="auto"/>
            <w:vAlign w:val="bottom"/>
          </w:tcPr>
          <w:p w14:paraId="5F1944D5" w14:textId="77777777" w:rsidR="0012790E" w:rsidRPr="0012790E" w:rsidRDefault="0012790E">
            <w:pPr>
              <w:pStyle w:val="SummaryAgencyTitle-BP2"/>
              <w:rPr>
                <w:iCs/>
              </w:rPr>
            </w:pPr>
            <w:r w:rsidRPr="0012790E">
              <w:rPr>
                <w:iCs/>
              </w:rPr>
              <w:t>Export Finance and Insurance Corporation (National Interest component)</w:t>
            </w:r>
          </w:p>
        </w:tc>
        <w:tc>
          <w:tcPr>
            <w:tcW w:w="851" w:type="dxa"/>
            <w:vAlign w:val="bottom"/>
          </w:tcPr>
          <w:p w14:paraId="677296E3" w14:textId="77777777" w:rsidR="0012790E" w:rsidRPr="0012790E" w:rsidRDefault="0012790E">
            <w:pPr>
              <w:pStyle w:val="SummaryAgencyTitle-BP2"/>
              <w:rPr>
                <w:iCs/>
              </w:rPr>
            </w:pPr>
          </w:p>
        </w:tc>
        <w:tc>
          <w:tcPr>
            <w:tcW w:w="851" w:type="dxa"/>
            <w:shd w:val="clear" w:color="auto" w:fill="E6F2FF"/>
            <w:vAlign w:val="bottom"/>
          </w:tcPr>
          <w:p w14:paraId="321377CE" w14:textId="77777777" w:rsidR="0012790E" w:rsidRPr="0012790E" w:rsidRDefault="0012790E">
            <w:pPr>
              <w:pStyle w:val="SummaryAgencyTitle-BP2"/>
              <w:rPr>
                <w:iCs/>
              </w:rPr>
            </w:pPr>
          </w:p>
        </w:tc>
        <w:tc>
          <w:tcPr>
            <w:tcW w:w="851" w:type="dxa"/>
            <w:vAlign w:val="bottom"/>
          </w:tcPr>
          <w:p w14:paraId="2FE7DE8C" w14:textId="77777777" w:rsidR="0012790E" w:rsidRPr="0012790E" w:rsidRDefault="0012790E">
            <w:pPr>
              <w:pStyle w:val="SummaryAgencyTitle-BP2"/>
              <w:rPr>
                <w:iCs/>
              </w:rPr>
            </w:pPr>
          </w:p>
        </w:tc>
        <w:tc>
          <w:tcPr>
            <w:tcW w:w="851" w:type="dxa"/>
            <w:vAlign w:val="bottom"/>
          </w:tcPr>
          <w:p w14:paraId="6D5169FD" w14:textId="77777777" w:rsidR="0012790E" w:rsidRPr="0012790E" w:rsidRDefault="0012790E">
            <w:pPr>
              <w:pStyle w:val="SummaryAgencyTitle-BP2"/>
              <w:rPr>
                <w:iCs/>
              </w:rPr>
            </w:pPr>
          </w:p>
        </w:tc>
        <w:tc>
          <w:tcPr>
            <w:tcW w:w="851" w:type="dxa"/>
            <w:vAlign w:val="bottom"/>
          </w:tcPr>
          <w:p w14:paraId="675BF389" w14:textId="77777777" w:rsidR="0012790E" w:rsidRPr="0012790E" w:rsidRDefault="0012790E">
            <w:pPr>
              <w:pStyle w:val="SummaryAgencyTitle-BP2"/>
              <w:rPr>
                <w:iCs/>
              </w:rPr>
            </w:pPr>
          </w:p>
        </w:tc>
      </w:tr>
      <w:tr w:rsidR="0012790E" w:rsidRPr="0012790E" w14:paraId="254B14FD" w14:textId="77777777" w:rsidTr="54937204">
        <w:tc>
          <w:tcPr>
            <w:tcW w:w="3470" w:type="dxa"/>
            <w:shd w:val="clear" w:color="auto" w:fill="auto"/>
            <w:vAlign w:val="bottom"/>
          </w:tcPr>
          <w:p w14:paraId="46B27BC0" w14:textId="77777777" w:rsidR="0012790E" w:rsidRPr="0012790E" w:rsidRDefault="0012790E">
            <w:pPr>
              <w:pStyle w:val="SummaryMeasureTitlewithTheme"/>
            </w:pPr>
            <w:r w:rsidRPr="0012790E">
              <w:t>Enhancing Pacific Infrastructure and Engagement(b)</w:t>
            </w:r>
          </w:p>
        </w:tc>
        <w:tc>
          <w:tcPr>
            <w:tcW w:w="851" w:type="dxa"/>
            <w:vAlign w:val="bottom"/>
          </w:tcPr>
          <w:p w14:paraId="48424E70" w14:textId="77777777" w:rsidR="0012790E" w:rsidRPr="0012790E" w:rsidRDefault="0012790E" w:rsidP="54937204">
            <w:pPr>
              <w:pStyle w:val="Summarytabletextrightaligned"/>
              <w:rPr>
                <w:lang w:val="en-US"/>
              </w:rPr>
            </w:pPr>
            <w:r w:rsidRPr="54937204">
              <w:rPr>
                <w:lang w:val="en-US"/>
              </w:rPr>
              <w:t>nfp</w:t>
            </w:r>
          </w:p>
        </w:tc>
        <w:tc>
          <w:tcPr>
            <w:tcW w:w="851" w:type="dxa"/>
            <w:shd w:val="clear" w:color="auto" w:fill="E6F2FF"/>
            <w:vAlign w:val="bottom"/>
          </w:tcPr>
          <w:p w14:paraId="32C808C9"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3F05E8A7"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60BB1C24"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05338A3E" w14:textId="77777777" w:rsidR="0012790E" w:rsidRPr="0012790E" w:rsidRDefault="0012790E" w:rsidP="54937204">
            <w:pPr>
              <w:pStyle w:val="Summarytabletextrightaligned"/>
              <w:rPr>
                <w:lang w:val="en-US"/>
              </w:rPr>
            </w:pPr>
            <w:r w:rsidRPr="54937204">
              <w:rPr>
                <w:lang w:val="en-US"/>
              </w:rPr>
              <w:t>nfp</w:t>
            </w:r>
          </w:p>
        </w:tc>
      </w:tr>
      <w:tr w:rsidR="00327441" w:rsidRPr="0012790E" w14:paraId="7DFC6194" w14:textId="77777777" w:rsidTr="54937204">
        <w:tc>
          <w:tcPr>
            <w:tcW w:w="3470" w:type="dxa"/>
            <w:shd w:val="clear" w:color="auto" w:fill="auto"/>
            <w:vAlign w:val="bottom"/>
          </w:tcPr>
          <w:p w14:paraId="4C70E4AF" w14:textId="77777777" w:rsidR="00327441" w:rsidRPr="0012790E" w:rsidRDefault="00327441" w:rsidP="00327441">
            <w:pPr>
              <w:pStyle w:val="SummaryMeasureTitlewithTheme"/>
            </w:pPr>
            <w:r w:rsidRPr="0012790E">
              <w:t>Future Made in Australia – Investing in Innovation, Science and Digital Capabilities(b)</w:t>
            </w:r>
          </w:p>
        </w:tc>
        <w:tc>
          <w:tcPr>
            <w:tcW w:w="851" w:type="dxa"/>
            <w:vAlign w:val="bottom"/>
          </w:tcPr>
          <w:p w14:paraId="2201DEF3" w14:textId="19D598B1" w:rsidR="00327441" w:rsidRPr="0012790E" w:rsidRDefault="00327441" w:rsidP="00327441">
            <w:pPr>
              <w:pStyle w:val="Summarytabletextrightaligned"/>
            </w:pPr>
            <w:r w:rsidRPr="6F38BAFE">
              <w:rPr>
                <w:lang w:val="en-US"/>
              </w:rPr>
              <w:t>nfp</w:t>
            </w:r>
          </w:p>
        </w:tc>
        <w:tc>
          <w:tcPr>
            <w:tcW w:w="851" w:type="dxa"/>
            <w:shd w:val="clear" w:color="auto" w:fill="E6F2FF"/>
            <w:vAlign w:val="bottom"/>
          </w:tcPr>
          <w:p w14:paraId="3CD2CDCB" w14:textId="324F899B" w:rsidR="00327441" w:rsidRPr="0012790E" w:rsidRDefault="00327441" w:rsidP="00327441">
            <w:pPr>
              <w:pStyle w:val="Summarytabletextrightaligned"/>
            </w:pPr>
            <w:r w:rsidRPr="6F38BAFE">
              <w:rPr>
                <w:lang w:val="en-US"/>
              </w:rPr>
              <w:t>nfp</w:t>
            </w:r>
          </w:p>
        </w:tc>
        <w:tc>
          <w:tcPr>
            <w:tcW w:w="851" w:type="dxa"/>
            <w:vAlign w:val="bottom"/>
          </w:tcPr>
          <w:p w14:paraId="7E2DC374" w14:textId="305EC7D7" w:rsidR="00327441" w:rsidRPr="0012790E" w:rsidRDefault="00327441" w:rsidP="00327441">
            <w:pPr>
              <w:pStyle w:val="Summarytabletextrightaligned"/>
            </w:pPr>
            <w:r w:rsidRPr="6F38BAFE">
              <w:rPr>
                <w:lang w:val="en-US"/>
              </w:rPr>
              <w:t>nfp</w:t>
            </w:r>
          </w:p>
        </w:tc>
        <w:tc>
          <w:tcPr>
            <w:tcW w:w="851" w:type="dxa"/>
            <w:vAlign w:val="bottom"/>
          </w:tcPr>
          <w:p w14:paraId="3CB029C2" w14:textId="3F25565A" w:rsidR="00327441" w:rsidRPr="0012790E" w:rsidRDefault="00327441" w:rsidP="00327441">
            <w:pPr>
              <w:pStyle w:val="Summarytabletextrightaligned"/>
            </w:pPr>
            <w:r w:rsidRPr="6F38BAFE">
              <w:rPr>
                <w:lang w:val="en-US"/>
              </w:rPr>
              <w:t>nfp</w:t>
            </w:r>
          </w:p>
        </w:tc>
        <w:tc>
          <w:tcPr>
            <w:tcW w:w="851" w:type="dxa"/>
            <w:vAlign w:val="bottom"/>
          </w:tcPr>
          <w:p w14:paraId="4D3ED19D" w14:textId="166E8CF8" w:rsidR="00327441" w:rsidRPr="0012790E" w:rsidRDefault="00327441" w:rsidP="00327441">
            <w:pPr>
              <w:pStyle w:val="Summarytabletextrightaligned"/>
            </w:pPr>
            <w:r w:rsidRPr="6F38BAFE">
              <w:rPr>
                <w:lang w:val="en-US"/>
              </w:rPr>
              <w:t>nfp</w:t>
            </w:r>
          </w:p>
        </w:tc>
      </w:tr>
      <w:tr w:rsidR="0012790E" w:rsidRPr="0012790E" w14:paraId="2F720481" w14:textId="77777777" w:rsidTr="54937204">
        <w:tc>
          <w:tcPr>
            <w:tcW w:w="3470" w:type="dxa"/>
            <w:shd w:val="clear" w:color="auto" w:fill="auto"/>
            <w:vAlign w:val="bottom"/>
          </w:tcPr>
          <w:p w14:paraId="56385A08" w14:textId="77777777" w:rsidR="0012790E" w:rsidRPr="0012790E" w:rsidRDefault="0012790E">
            <w:pPr>
              <w:pStyle w:val="SummaryMeasureTitlewithTheme"/>
            </w:pPr>
            <w:r w:rsidRPr="0012790E">
              <w:t>Future Made in Australia – Making Australia a Renewable Energy Superpower(b)</w:t>
            </w:r>
          </w:p>
        </w:tc>
        <w:tc>
          <w:tcPr>
            <w:tcW w:w="851" w:type="dxa"/>
            <w:tcBorders>
              <w:bottom w:val="single" w:sz="4" w:space="0" w:color="293F5B"/>
            </w:tcBorders>
            <w:vAlign w:val="bottom"/>
          </w:tcPr>
          <w:p w14:paraId="4AE2DB11" w14:textId="77777777" w:rsidR="0012790E" w:rsidRPr="0012790E" w:rsidRDefault="0012790E" w:rsidP="54937204">
            <w:pPr>
              <w:pStyle w:val="Summarytabletextrightaligned"/>
              <w:rPr>
                <w:lang w:val="en-US"/>
              </w:rPr>
            </w:pPr>
            <w:r w:rsidRPr="54937204">
              <w:rPr>
                <w:lang w:val="en-US"/>
              </w:rPr>
              <w:t>nfp</w:t>
            </w:r>
          </w:p>
        </w:tc>
        <w:tc>
          <w:tcPr>
            <w:tcW w:w="851" w:type="dxa"/>
            <w:tcBorders>
              <w:bottom w:val="single" w:sz="4" w:space="0" w:color="293F5B"/>
            </w:tcBorders>
            <w:shd w:val="clear" w:color="auto" w:fill="E6F2FF"/>
            <w:vAlign w:val="bottom"/>
          </w:tcPr>
          <w:p w14:paraId="7BFB062C" w14:textId="77777777" w:rsidR="0012790E" w:rsidRPr="0012790E" w:rsidRDefault="0012790E" w:rsidP="54937204">
            <w:pPr>
              <w:pStyle w:val="Summarytabletextrightaligned"/>
              <w:rPr>
                <w:lang w:val="en-US"/>
              </w:rPr>
            </w:pPr>
            <w:r w:rsidRPr="54937204">
              <w:rPr>
                <w:lang w:val="en-US"/>
              </w:rPr>
              <w:t>nfp</w:t>
            </w:r>
          </w:p>
        </w:tc>
        <w:tc>
          <w:tcPr>
            <w:tcW w:w="851" w:type="dxa"/>
            <w:tcBorders>
              <w:bottom w:val="single" w:sz="4" w:space="0" w:color="293F5B"/>
            </w:tcBorders>
            <w:vAlign w:val="bottom"/>
          </w:tcPr>
          <w:p w14:paraId="6828AE82" w14:textId="77777777" w:rsidR="0012790E" w:rsidRPr="0012790E" w:rsidRDefault="0012790E" w:rsidP="54937204">
            <w:pPr>
              <w:pStyle w:val="Summarytabletextrightaligned"/>
              <w:rPr>
                <w:lang w:val="en-US"/>
              </w:rPr>
            </w:pPr>
            <w:r w:rsidRPr="54937204">
              <w:rPr>
                <w:lang w:val="en-US"/>
              </w:rPr>
              <w:t>nfp</w:t>
            </w:r>
          </w:p>
        </w:tc>
        <w:tc>
          <w:tcPr>
            <w:tcW w:w="851" w:type="dxa"/>
            <w:tcBorders>
              <w:bottom w:val="single" w:sz="4" w:space="0" w:color="293F5B"/>
            </w:tcBorders>
            <w:vAlign w:val="bottom"/>
          </w:tcPr>
          <w:p w14:paraId="7BBB9A0C" w14:textId="77777777" w:rsidR="0012790E" w:rsidRPr="0012790E" w:rsidRDefault="0012790E" w:rsidP="54937204">
            <w:pPr>
              <w:pStyle w:val="Summarytabletextrightaligned"/>
              <w:rPr>
                <w:lang w:val="en-US"/>
              </w:rPr>
            </w:pPr>
            <w:r w:rsidRPr="54937204">
              <w:rPr>
                <w:lang w:val="en-US"/>
              </w:rPr>
              <w:t>nfp</w:t>
            </w:r>
          </w:p>
        </w:tc>
        <w:tc>
          <w:tcPr>
            <w:tcW w:w="851" w:type="dxa"/>
            <w:tcBorders>
              <w:bottom w:val="single" w:sz="4" w:space="0" w:color="293F5B"/>
            </w:tcBorders>
            <w:vAlign w:val="bottom"/>
          </w:tcPr>
          <w:p w14:paraId="6711C2FB" w14:textId="77777777" w:rsidR="0012790E" w:rsidRPr="0012790E" w:rsidRDefault="0012790E" w:rsidP="54937204">
            <w:pPr>
              <w:pStyle w:val="Summarytabletextrightaligned"/>
              <w:rPr>
                <w:lang w:val="en-US"/>
              </w:rPr>
            </w:pPr>
            <w:r w:rsidRPr="54937204">
              <w:rPr>
                <w:lang w:val="en-US"/>
              </w:rPr>
              <w:t>nfp</w:t>
            </w:r>
          </w:p>
        </w:tc>
      </w:tr>
      <w:tr w:rsidR="00C42418" w:rsidRPr="0012790E" w14:paraId="1C956CE8" w14:textId="77777777" w:rsidTr="54937204">
        <w:tc>
          <w:tcPr>
            <w:tcW w:w="3470" w:type="dxa"/>
            <w:shd w:val="clear" w:color="auto" w:fill="auto"/>
            <w:vAlign w:val="bottom"/>
          </w:tcPr>
          <w:p w14:paraId="4423A33A" w14:textId="77777777" w:rsidR="00C42418" w:rsidRPr="0012790E" w:rsidRDefault="00C42418" w:rsidP="00C42418">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2639C429" w14:textId="2A22CA81" w:rsidR="00C42418" w:rsidRPr="0012790E" w:rsidRDefault="0052254D" w:rsidP="00C42418">
            <w:pPr>
              <w:pStyle w:val="Summarytabletextrightalignedbold"/>
              <w:rPr>
                <w:bCs/>
                <w:szCs w:val="16"/>
              </w:rPr>
            </w:pPr>
            <w:r>
              <w:rPr>
                <w:bCs/>
                <w:szCs w:val="16"/>
              </w:rPr>
              <w:t>0.9</w:t>
            </w:r>
          </w:p>
        </w:tc>
        <w:tc>
          <w:tcPr>
            <w:tcW w:w="851" w:type="dxa"/>
            <w:tcBorders>
              <w:top w:val="single" w:sz="4" w:space="0" w:color="293F5B"/>
              <w:bottom w:val="single" w:sz="4" w:space="0" w:color="293F5B"/>
            </w:tcBorders>
            <w:shd w:val="clear" w:color="auto" w:fill="E6F2FF"/>
            <w:vAlign w:val="bottom"/>
          </w:tcPr>
          <w:p w14:paraId="11271571" w14:textId="13BF8A7C" w:rsidR="00C42418" w:rsidRPr="0012790E" w:rsidRDefault="00C42418" w:rsidP="00C42418">
            <w:pPr>
              <w:pStyle w:val="Summarytabletextrightalignedbold"/>
              <w:rPr>
                <w:bCs/>
                <w:szCs w:val="16"/>
              </w:rPr>
            </w:pPr>
            <w:r>
              <w:rPr>
                <w:bCs/>
                <w:szCs w:val="16"/>
              </w:rPr>
              <w:t>138.6</w:t>
            </w:r>
          </w:p>
        </w:tc>
        <w:tc>
          <w:tcPr>
            <w:tcW w:w="851" w:type="dxa"/>
            <w:tcBorders>
              <w:top w:val="single" w:sz="4" w:space="0" w:color="293F5B"/>
              <w:bottom w:val="single" w:sz="4" w:space="0" w:color="293F5B"/>
            </w:tcBorders>
            <w:vAlign w:val="bottom"/>
          </w:tcPr>
          <w:p w14:paraId="236E3A8A" w14:textId="363085CC" w:rsidR="00C42418" w:rsidRPr="0012790E" w:rsidRDefault="00C42418" w:rsidP="00C42418">
            <w:pPr>
              <w:pStyle w:val="Summarytabletextrightalignedbold"/>
              <w:rPr>
                <w:bCs/>
                <w:szCs w:val="16"/>
              </w:rPr>
            </w:pPr>
            <w:r>
              <w:rPr>
                <w:bCs/>
                <w:szCs w:val="16"/>
              </w:rPr>
              <w:t>116.</w:t>
            </w:r>
            <w:r w:rsidR="005C5576">
              <w:rPr>
                <w:bCs/>
                <w:szCs w:val="16"/>
              </w:rPr>
              <w:t>8</w:t>
            </w:r>
          </w:p>
        </w:tc>
        <w:tc>
          <w:tcPr>
            <w:tcW w:w="851" w:type="dxa"/>
            <w:tcBorders>
              <w:top w:val="single" w:sz="4" w:space="0" w:color="293F5B"/>
              <w:bottom w:val="single" w:sz="4" w:space="0" w:color="293F5B"/>
            </w:tcBorders>
            <w:vAlign w:val="bottom"/>
          </w:tcPr>
          <w:p w14:paraId="56C8733C" w14:textId="7E89B946" w:rsidR="00C42418" w:rsidRPr="0012790E" w:rsidRDefault="005C5576" w:rsidP="00C42418">
            <w:pPr>
              <w:pStyle w:val="Summarytabletextrightalignedbold"/>
              <w:rPr>
                <w:bCs/>
                <w:szCs w:val="16"/>
              </w:rPr>
            </w:pPr>
            <w:r>
              <w:rPr>
                <w:bCs/>
                <w:szCs w:val="16"/>
              </w:rPr>
              <w:t>103.0</w:t>
            </w:r>
          </w:p>
        </w:tc>
        <w:tc>
          <w:tcPr>
            <w:tcW w:w="851" w:type="dxa"/>
            <w:tcBorders>
              <w:top w:val="single" w:sz="4" w:space="0" w:color="293F5B"/>
              <w:bottom w:val="single" w:sz="4" w:space="0" w:color="293F5B"/>
            </w:tcBorders>
            <w:vAlign w:val="bottom"/>
          </w:tcPr>
          <w:p w14:paraId="62F999FD" w14:textId="0495AE4A" w:rsidR="00C42418" w:rsidRPr="0012790E" w:rsidRDefault="00C42418" w:rsidP="00C42418">
            <w:pPr>
              <w:pStyle w:val="Summarytabletextrightalignedbold"/>
              <w:rPr>
                <w:bCs/>
                <w:szCs w:val="16"/>
              </w:rPr>
            </w:pPr>
            <w:r>
              <w:rPr>
                <w:bCs/>
                <w:szCs w:val="16"/>
              </w:rPr>
              <w:t>92.2</w:t>
            </w:r>
          </w:p>
        </w:tc>
      </w:tr>
      <w:tr w:rsidR="0012790E" w:rsidRPr="0012790E" w14:paraId="480F4957" w14:textId="77777777" w:rsidTr="54937204">
        <w:tc>
          <w:tcPr>
            <w:tcW w:w="3470" w:type="dxa"/>
            <w:shd w:val="clear" w:color="auto" w:fill="auto"/>
            <w:vAlign w:val="bottom"/>
          </w:tcPr>
          <w:p w14:paraId="2B7FCCA2" w14:textId="77777777" w:rsidR="0012790E" w:rsidRPr="0012790E" w:rsidRDefault="0012790E">
            <w:pPr>
              <w:pStyle w:val="SummaryPortfolioTitle-BP2"/>
            </w:pPr>
            <w:r w:rsidRPr="0012790E">
              <w:t>HEALTH AND AGED CARE</w:t>
            </w:r>
          </w:p>
        </w:tc>
        <w:tc>
          <w:tcPr>
            <w:tcW w:w="851" w:type="dxa"/>
            <w:tcBorders>
              <w:top w:val="single" w:sz="4" w:space="0" w:color="293F5B"/>
            </w:tcBorders>
            <w:vAlign w:val="bottom"/>
          </w:tcPr>
          <w:p w14:paraId="60DA4036" w14:textId="77777777" w:rsidR="0012790E" w:rsidRPr="0012790E" w:rsidRDefault="0012790E">
            <w:pPr>
              <w:pStyle w:val="MeasureTableTextRightAlignedBefore6ptAfter1pt"/>
              <w:rPr>
                <w:b/>
                <w:bCs/>
              </w:rPr>
            </w:pPr>
          </w:p>
        </w:tc>
        <w:tc>
          <w:tcPr>
            <w:tcW w:w="851" w:type="dxa"/>
            <w:tcBorders>
              <w:top w:val="single" w:sz="4" w:space="0" w:color="293F5B"/>
            </w:tcBorders>
            <w:shd w:val="clear" w:color="auto" w:fill="E6F2FF"/>
            <w:vAlign w:val="bottom"/>
          </w:tcPr>
          <w:p w14:paraId="2FDE3DE5"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7BF951B4"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26C06C97"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3F129C9F" w14:textId="77777777" w:rsidR="0012790E" w:rsidRPr="0012790E" w:rsidRDefault="0012790E">
            <w:pPr>
              <w:pStyle w:val="MeasureTableTextRightAlignedBefore6ptAfter1pt"/>
              <w:rPr>
                <w:b/>
                <w:bCs/>
              </w:rPr>
            </w:pPr>
          </w:p>
        </w:tc>
      </w:tr>
      <w:tr w:rsidR="0012790E" w:rsidRPr="0012790E" w14:paraId="5A01F119" w14:textId="77777777" w:rsidTr="54937204">
        <w:tc>
          <w:tcPr>
            <w:tcW w:w="3470" w:type="dxa"/>
            <w:shd w:val="clear" w:color="auto" w:fill="auto"/>
            <w:vAlign w:val="bottom"/>
          </w:tcPr>
          <w:p w14:paraId="0D7D76AF" w14:textId="77777777" w:rsidR="0012790E" w:rsidRPr="0012790E" w:rsidRDefault="0012790E">
            <w:pPr>
              <w:pStyle w:val="SummaryAgencyTitle-BP2"/>
              <w:rPr>
                <w:iCs/>
              </w:rPr>
            </w:pPr>
            <w:r w:rsidRPr="0012790E">
              <w:rPr>
                <w:iCs/>
              </w:rPr>
              <w:t>Aged Care Quality and Safety Commission</w:t>
            </w:r>
          </w:p>
        </w:tc>
        <w:tc>
          <w:tcPr>
            <w:tcW w:w="851" w:type="dxa"/>
            <w:vAlign w:val="bottom"/>
          </w:tcPr>
          <w:p w14:paraId="213ED684" w14:textId="77777777" w:rsidR="0012790E" w:rsidRPr="0012790E" w:rsidRDefault="0012790E">
            <w:pPr>
              <w:pStyle w:val="SummaryAgencyTitle-BP2"/>
              <w:rPr>
                <w:iCs/>
              </w:rPr>
            </w:pPr>
          </w:p>
        </w:tc>
        <w:tc>
          <w:tcPr>
            <w:tcW w:w="851" w:type="dxa"/>
            <w:shd w:val="clear" w:color="auto" w:fill="E6F2FF"/>
            <w:vAlign w:val="bottom"/>
          </w:tcPr>
          <w:p w14:paraId="02B84F9D" w14:textId="77777777" w:rsidR="0012790E" w:rsidRPr="0012790E" w:rsidRDefault="0012790E">
            <w:pPr>
              <w:pStyle w:val="SummaryAgencyTitle-BP2"/>
              <w:rPr>
                <w:iCs/>
              </w:rPr>
            </w:pPr>
          </w:p>
        </w:tc>
        <w:tc>
          <w:tcPr>
            <w:tcW w:w="851" w:type="dxa"/>
            <w:vAlign w:val="bottom"/>
          </w:tcPr>
          <w:p w14:paraId="73D2DC59" w14:textId="77777777" w:rsidR="0012790E" w:rsidRPr="0012790E" w:rsidRDefault="0012790E">
            <w:pPr>
              <w:pStyle w:val="SummaryAgencyTitle-BP2"/>
              <w:rPr>
                <w:iCs/>
              </w:rPr>
            </w:pPr>
          </w:p>
        </w:tc>
        <w:tc>
          <w:tcPr>
            <w:tcW w:w="851" w:type="dxa"/>
            <w:vAlign w:val="bottom"/>
          </w:tcPr>
          <w:p w14:paraId="7B5C49E0" w14:textId="77777777" w:rsidR="0012790E" w:rsidRPr="0012790E" w:rsidRDefault="0012790E">
            <w:pPr>
              <w:pStyle w:val="SummaryAgencyTitle-BP2"/>
              <w:rPr>
                <w:iCs/>
              </w:rPr>
            </w:pPr>
          </w:p>
        </w:tc>
        <w:tc>
          <w:tcPr>
            <w:tcW w:w="851" w:type="dxa"/>
            <w:vAlign w:val="bottom"/>
          </w:tcPr>
          <w:p w14:paraId="1E8B1DC6" w14:textId="77777777" w:rsidR="0012790E" w:rsidRPr="0012790E" w:rsidRDefault="0012790E">
            <w:pPr>
              <w:pStyle w:val="SummaryAgencyTitle-BP2"/>
              <w:rPr>
                <w:iCs/>
              </w:rPr>
            </w:pPr>
          </w:p>
        </w:tc>
      </w:tr>
      <w:tr w:rsidR="0012790E" w:rsidRPr="0012790E" w14:paraId="355D2951" w14:textId="77777777" w:rsidTr="54937204">
        <w:tc>
          <w:tcPr>
            <w:tcW w:w="3470" w:type="dxa"/>
            <w:shd w:val="clear" w:color="auto" w:fill="auto"/>
            <w:vAlign w:val="bottom"/>
          </w:tcPr>
          <w:p w14:paraId="178B2074" w14:textId="77777777" w:rsidR="0012790E" w:rsidRPr="0012790E" w:rsidRDefault="0012790E">
            <w:pPr>
              <w:pStyle w:val="SummaryMeasureTitlewithTheme"/>
            </w:pPr>
            <w:r w:rsidRPr="0012790E">
              <w:t>Improving Aged Care Support</w:t>
            </w:r>
          </w:p>
        </w:tc>
        <w:tc>
          <w:tcPr>
            <w:tcW w:w="851" w:type="dxa"/>
            <w:vAlign w:val="bottom"/>
          </w:tcPr>
          <w:p w14:paraId="4F68C9D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2145D28" w14:textId="77777777" w:rsidR="0012790E" w:rsidRPr="0012790E" w:rsidRDefault="0012790E">
            <w:pPr>
              <w:pStyle w:val="Summarytabletextrightaligned"/>
              <w:rPr>
                <w:szCs w:val="16"/>
              </w:rPr>
            </w:pPr>
            <w:r w:rsidRPr="0012790E">
              <w:rPr>
                <w:szCs w:val="16"/>
              </w:rPr>
              <w:t>97.5</w:t>
            </w:r>
          </w:p>
        </w:tc>
        <w:tc>
          <w:tcPr>
            <w:tcW w:w="851" w:type="dxa"/>
            <w:vAlign w:val="bottom"/>
          </w:tcPr>
          <w:p w14:paraId="62467A68" w14:textId="77777777" w:rsidR="0012790E" w:rsidRPr="0012790E" w:rsidRDefault="0012790E">
            <w:pPr>
              <w:pStyle w:val="Summarytabletextrightaligned"/>
              <w:rPr>
                <w:szCs w:val="16"/>
              </w:rPr>
            </w:pPr>
            <w:r w:rsidRPr="0012790E">
              <w:rPr>
                <w:szCs w:val="16"/>
              </w:rPr>
              <w:t>3.5</w:t>
            </w:r>
          </w:p>
        </w:tc>
        <w:tc>
          <w:tcPr>
            <w:tcW w:w="851" w:type="dxa"/>
            <w:vAlign w:val="bottom"/>
          </w:tcPr>
          <w:p w14:paraId="44D2CE6F"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6466352" w14:textId="77777777" w:rsidR="0012790E" w:rsidRPr="0012790E" w:rsidRDefault="0012790E">
            <w:pPr>
              <w:pStyle w:val="Summarytabletextrightaligned"/>
              <w:rPr>
                <w:szCs w:val="16"/>
              </w:rPr>
            </w:pPr>
            <w:r w:rsidRPr="0012790E">
              <w:rPr>
                <w:szCs w:val="16"/>
              </w:rPr>
              <w:noBreakHyphen/>
            </w:r>
          </w:p>
        </w:tc>
      </w:tr>
      <w:tr w:rsidR="0012790E" w:rsidRPr="0012790E" w14:paraId="07513049" w14:textId="77777777" w:rsidTr="54937204">
        <w:tc>
          <w:tcPr>
            <w:tcW w:w="3470" w:type="dxa"/>
            <w:shd w:val="clear" w:color="auto" w:fill="auto"/>
            <w:vAlign w:val="bottom"/>
          </w:tcPr>
          <w:p w14:paraId="5206CAD0" w14:textId="77777777" w:rsidR="0012790E" w:rsidRPr="0012790E" w:rsidRDefault="0012790E">
            <w:pPr>
              <w:pStyle w:val="SummaryAgencyTitle-BP2"/>
              <w:rPr>
                <w:iCs/>
              </w:rPr>
            </w:pPr>
            <w:r w:rsidRPr="0012790E">
              <w:rPr>
                <w:iCs/>
              </w:rPr>
              <w:t>Australian Digital Health Agency</w:t>
            </w:r>
          </w:p>
        </w:tc>
        <w:tc>
          <w:tcPr>
            <w:tcW w:w="851" w:type="dxa"/>
            <w:vAlign w:val="bottom"/>
          </w:tcPr>
          <w:p w14:paraId="699F64DA" w14:textId="77777777" w:rsidR="0012790E" w:rsidRPr="0012790E" w:rsidRDefault="0012790E">
            <w:pPr>
              <w:pStyle w:val="SummaryAgencyTitle-BP2"/>
              <w:rPr>
                <w:iCs/>
              </w:rPr>
            </w:pPr>
          </w:p>
        </w:tc>
        <w:tc>
          <w:tcPr>
            <w:tcW w:w="851" w:type="dxa"/>
            <w:shd w:val="clear" w:color="auto" w:fill="E6F2FF"/>
            <w:vAlign w:val="bottom"/>
          </w:tcPr>
          <w:p w14:paraId="22ECF07D" w14:textId="77777777" w:rsidR="0012790E" w:rsidRPr="0012790E" w:rsidRDefault="0012790E">
            <w:pPr>
              <w:pStyle w:val="SummaryAgencyTitle-BP2"/>
              <w:rPr>
                <w:iCs/>
              </w:rPr>
            </w:pPr>
          </w:p>
        </w:tc>
        <w:tc>
          <w:tcPr>
            <w:tcW w:w="851" w:type="dxa"/>
            <w:vAlign w:val="bottom"/>
          </w:tcPr>
          <w:p w14:paraId="76D2B776" w14:textId="77777777" w:rsidR="0012790E" w:rsidRPr="0012790E" w:rsidRDefault="0012790E">
            <w:pPr>
              <w:pStyle w:val="SummaryAgencyTitle-BP2"/>
              <w:rPr>
                <w:iCs/>
              </w:rPr>
            </w:pPr>
          </w:p>
        </w:tc>
        <w:tc>
          <w:tcPr>
            <w:tcW w:w="851" w:type="dxa"/>
            <w:vAlign w:val="bottom"/>
          </w:tcPr>
          <w:p w14:paraId="0CD511B9" w14:textId="77777777" w:rsidR="0012790E" w:rsidRPr="0012790E" w:rsidRDefault="0012790E">
            <w:pPr>
              <w:pStyle w:val="SummaryAgencyTitle-BP2"/>
              <w:rPr>
                <w:iCs/>
              </w:rPr>
            </w:pPr>
          </w:p>
        </w:tc>
        <w:tc>
          <w:tcPr>
            <w:tcW w:w="851" w:type="dxa"/>
            <w:vAlign w:val="bottom"/>
          </w:tcPr>
          <w:p w14:paraId="65159064" w14:textId="77777777" w:rsidR="0012790E" w:rsidRPr="0012790E" w:rsidRDefault="0012790E">
            <w:pPr>
              <w:pStyle w:val="SummaryAgencyTitle-BP2"/>
              <w:rPr>
                <w:iCs/>
              </w:rPr>
            </w:pPr>
          </w:p>
        </w:tc>
      </w:tr>
      <w:tr w:rsidR="0012790E" w:rsidRPr="0012790E" w14:paraId="0F7014C2" w14:textId="77777777" w:rsidTr="54937204">
        <w:tc>
          <w:tcPr>
            <w:tcW w:w="3470" w:type="dxa"/>
            <w:shd w:val="clear" w:color="auto" w:fill="auto"/>
            <w:vAlign w:val="bottom"/>
          </w:tcPr>
          <w:p w14:paraId="50B61FD5" w14:textId="77777777" w:rsidR="0012790E" w:rsidRPr="0012790E" w:rsidRDefault="0012790E">
            <w:pPr>
              <w:pStyle w:val="SummaryMeasureTitlewithTheme"/>
            </w:pPr>
            <w:r w:rsidRPr="0012790E">
              <w:t>Improving Aged Care Support</w:t>
            </w:r>
          </w:p>
        </w:tc>
        <w:tc>
          <w:tcPr>
            <w:tcW w:w="851" w:type="dxa"/>
            <w:vAlign w:val="bottom"/>
          </w:tcPr>
          <w:p w14:paraId="75F01AD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743DDD1" w14:textId="77777777" w:rsidR="0012790E" w:rsidRPr="0012790E" w:rsidRDefault="0012790E">
            <w:pPr>
              <w:pStyle w:val="Summarytabletextrightaligned"/>
              <w:rPr>
                <w:szCs w:val="16"/>
              </w:rPr>
            </w:pPr>
            <w:r w:rsidRPr="0012790E">
              <w:rPr>
                <w:szCs w:val="16"/>
              </w:rPr>
              <w:t>7.5</w:t>
            </w:r>
          </w:p>
        </w:tc>
        <w:tc>
          <w:tcPr>
            <w:tcW w:w="851" w:type="dxa"/>
            <w:vAlign w:val="bottom"/>
          </w:tcPr>
          <w:p w14:paraId="21A157B2" w14:textId="77777777" w:rsidR="0012790E" w:rsidRPr="0012790E" w:rsidRDefault="0012790E">
            <w:pPr>
              <w:pStyle w:val="Summarytabletextrightaligned"/>
              <w:rPr>
                <w:szCs w:val="16"/>
              </w:rPr>
            </w:pPr>
            <w:r w:rsidRPr="0012790E">
              <w:rPr>
                <w:szCs w:val="16"/>
              </w:rPr>
              <w:t>6.0</w:t>
            </w:r>
          </w:p>
        </w:tc>
        <w:tc>
          <w:tcPr>
            <w:tcW w:w="851" w:type="dxa"/>
            <w:vAlign w:val="bottom"/>
          </w:tcPr>
          <w:p w14:paraId="45AE070E"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0517130" w14:textId="77777777" w:rsidR="0012790E" w:rsidRPr="0012790E" w:rsidRDefault="0012790E">
            <w:pPr>
              <w:pStyle w:val="Summarytabletextrightaligned"/>
              <w:rPr>
                <w:szCs w:val="16"/>
              </w:rPr>
            </w:pPr>
            <w:r w:rsidRPr="0012790E">
              <w:rPr>
                <w:szCs w:val="16"/>
              </w:rPr>
              <w:noBreakHyphen/>
            </w:r>
          </w:p>
        </w:tc>
      </w:tr>
      <w:tr w:rsidR="0012790E" w:rsidRPr="0012790E" w14:paraId="61D4EECE" w14:textId="77777777" w:rsidTr="54937204">
        <w:tc>
          <w:tcPr>
            <w:tcW w:w="3470" w:type="dxa"/>
            <w:shd w:val="clear" w:color="auto" w:fill="auto"/>
            <w:vAlign w:val="bottom"/>
          </w:tcPr>
          <w:p w14:paraId="59D9138B" w14:textId="77777777" w:rsidR="0012790E" w:rsidRPr="0012790E" w:rsidRDefault="0012790E">
            <w:pPr>
              <w:pStyle w:val="SummaryMeasureTitlewithTheme"/>
            </w:pPr>
            <w:r w:rsidRPr="0012790E">
              <w:t>Strengthening Medicare(b)</w:t>
            </w:r>
          </w:p>
        </w:tc>
        <w:tc>
          <w:tcPr>
            <w:tcW w:w="851" w:type="dxa"/>
            <w:vAlign w:val="bottom"/>
          </w:tcPr>
          <w:p w14:paraId="77CF96C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1D77374" w14:textId="77777777" w:rsidR="0012790E" w:rsidRPr="0012790E" w:rsidRDefault="0012790E">
            <w:pPr>
              <w:pStyle w:val="Summarytabletextrightaligned"/>
              <w:rPr>
                <w:szCs w:val="16"/>
              </w:rPr>
            </w:pPr>
            <w:r w:rsidRPr="0012790E">
              <w:rPr>
                <w:szCs w:val="16"/>
              </w:rPr>
              <w:t>9.0</w:t>
            </w:r>
          </w:p>
        </w:tc>
        <w:tc>
          <w:tcPr>
            <w:tcW w:w="851" w:type="dxa"/>
            <w:vAlign w:val="bottom"/>
          </w:tcPr>
          <w:p w14:paraId="7175276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6752A1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7DC19C1" w14:textId="77777777" w:rsidR="0012790E" w:rsidRPr="0012790E" w:rsidRDefault="0012790E">
            <w:pPr>
              <w:pStyle w:val="Summarytabletextrightaligned"/>
              <w:rPr>
                <w:szCs w:val="16"/>
              </w:rPr>
            </w:pPr>
            <w:r w:rsidRPr="0012790E">
              <w:rPr>
                <w:szCs w:val="16"/>
              </w:rPr>
              <w:noBreakHyphen/>
            </w:r>
          </w:p>
        </w:tc>
      </w:tr>
      <w:tr w:rsidR="0012790E" w:rsidRPr="0012790E" w14:paraId="51317031" w14:textId="77777777" w:rsidTr="54937204">
        <w:tc>
          <w:tcPr>
            <w:tcW w:w="3470" w:type="dxa"/>
            <w:shd w:val="clear" w:color="auto" w:fill="auto"/>
            <w:vAlign w:val="bottom"/>
          </w:tcPr>
          <w:p w14:paraId="40DA520B" w14:textId="77777777" w:rsidR="0012790E" w:rsidRPr="0012790E" w:rsidRDefault="0012790E">
            <w:pPr>
              <w:pStyle w:val="SummaryAgencyTitle-BP2"/>
              <w:rPr>
                <w:iCs/>
              </w:rPr>
            </w:pPr>
            <w:r w:rsidRPr="0012790E">
              <w:rPr>
                <w:iCs/>
              </w:rPr>
              <w:t>Australian Sports Commission</w:t>
            </w:r>
          </w:p>
        </w:tc>
        <w:tc>
          <w:tcPr>
            <w:tcW w:w="851" w:type="dxa"/>
            <w:vAlign w:val="bottom"/>
          </w:tcPr>
          <w:p w14:paraId="128A377B" w14:textId="77777777" w:rsidR="0012790E" w:rsidRPr="0012790E" w:rsidRDefault="0012790E">
            <w:pPr>
              <w:pStyle w:val="SummaryAgencyTitle-BP2"/>
              <w:rPr>
                <w:iCs/>
              </w:rPr>
            </w:pPr>
          </w:p>
        </w:tc>
        <w:tc>
          <w:tcPr>
            <w:tcW w:w="851" w:type="dxa"/>
            <w:shd w:val="clear" w:color="auto" w:fill="E6F2FF"/>
            <w:vAlign w:val="bottom"/>
          </w:tcPr>
          <w:p w14:paraId="5B7F2819" w14:textId="77777777" w:rsidR="0012790E" w:rsidRPr="0012790E" w:rsidRDefault="0012790E">
            <w:pPr>
              <w:pStyle w:val="SummaryAgencyTitle-BP2"/>
              <w:rPr>
                <w:iCs/>
              </w:rPr>
            </w:pPr>
          </w:p>
        </w:tc>
        <w:tc>
          <w:tcPr>
            <w:tcW w:w="851" w:type="dxa"/>
            <w:vAlign w:val="bottom"/>
          </w:tcPr>
          <w:p w14:paraId="38322CB0" w14:textId="77777777" w:rsidR="0012790E" w:rsidRPr="0012790E" w:rsidRDefault="0012790E">
            <w:pPr>
              <w:pStyle w:val="SummaryAgencyTitle-BP2"/>
              <w:rPr>
                <w:iCs/>
              </w:rPr>
            </w:pPr>
          </w:p>
        </w:tc>
        <w:tc>
          <w:tcPr>
            <w:tcW w:w="851" w:type="dxa"/>
            <w:vAlign w:val="bottom"/>
          </w:tcPr>
          <w:p w14:paraId="77E91B19" w14:textId="77777777" w:rsidR="0012790E" w:rsidRPr="0012790E" w:rsidRDefault="0012790E">
            <w:pPr>
              <w:pStyle w:val="SummaryAgencyTitle-BP2"/>
              <w:rPr>
                <w:iCs/>
              </w:rPr>
            </w:pPr>
          </w:p>
        </w:tc>
        <w:tc>
          <w:tcPr>
            <w:tcW w:w="851" w:type="dxa"/>
            <w:vAlign w:val="bottom"/>
          </w:tcPr>
          <w:p w14:paraId="44C19301" w14:textId="77777777" w:rsidR="0012790E" w:rsidRPr="0012790E" w:rsidRDefault="0012790E">
            <w:pPr>
              <w:pStyle w:val="SummaryAgencyTitle-BP2"/>
              <w:rPr>
                <w:iCs/>
              </w:rPr>
            </w:pPr>
          </w:p>
        </w:tc>
      </w:tr>
      <w:tr w:rsidR="0012790E" w:rsidRPr="0012790E" w14:paraId="65D096D0" w14:textId="77777777" w:rsidTr="54937204">
        <w:tc>
          <w:tcPr>
            <w:tcW w:w="3470" w:type="dxa"/>
            <w:shd w:val="clear" w:color="auto" w:fill="auto"/>
            <w:vAlign w:val="bottom"/>
          </w:tcPr>
          <w:p w14:paraId="70A9F80A" w14:textId="77777777" w:rsidR="0012790E" w:rsidRPr="0012790E" w:rsidRDefault="0012790E">
            <w:pPr>
              <w:pStyle w:val="SummaryMeasureTitlewithTheme"/>
            </w:pPr>
            <w:r w:rsidRPr="0012790E">
              <w:t>Australian Institute of Sport Site Redevelopment</w:t>
            </w:r>
          </w:p>
        </w:tc>
        <w:tc>
          <w:tcPr>
            <w:tcW w:w="851" w:type="dxa"/>
            <w:vAlign w:val="bottom"/>
          </w:tcPr>
          <w:p w14:paraId="439D9B9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0667807" w14:textId="77777777" w:rsidR="0012790E" w:rsidRPr="0012790E" w:rsidRDefault="0012790E">
            <w:pPr>
              <w:pStyle w:val="Summarytabletextrightaligned"/>
              <w:rPr>
                <w:szCs w:val="16"/>
              </w:rPr>
            </w:pPr>
            <w:r w:rsidRPr="0012790E">
              <w:rPr>
                <w:szCs w:val="16"/>
              </w:rPr>
              <w:t>30.1</w:t>
            </w:r>
          </w:p>
        </w:tc>
        <w:tc>
          <w:tcPr>
            <w:tcW w:w="851" w:type="dxa"/>
            <w:vAlign w:val="bottom"/>
          </w:tcPr>
          <w:p w14:paraId="4617504D" w14:textId="77777777" w:rsidR="0012790E" w:rsidRPr="0012790E" w:rsidRDefault="0012790E">
            <w:pPr>
              <w:pStyle w:val="Summarytabletextrightaligned"/>
              <w:rPr>
                <w:szCs w:val="16"/>
              </w:rPr>
            </w:pPr>
            <w:r w:rsidRPr="0012790E">
              <w:rPr>
                <w:szCs w:val="16"/>
              </w:rPr>
              <w:t>164.1</w:t>
            </w:r>
          </w:p>
        </w:tc>
        <w:tc>
          <w:tcPr>
            <w:tcW w:w="851" w:type="dxa"/>
            <w:vAlign w:val="bottom"/>
          </w:tcPr>
          <w:p w14:paraId="077076D0" w14:textId="77777777" w:rsidR="0012790E" w:rsidRPr="0012790E" w:rsidRDefault="0012790E">
            <w:pPr>
              <w:pStyle w:val="Summarytabletextrightaligned"/>
              <w:rPr>
                <w:szCs w:val="16"/>
              </w:rPr>
            </w:pPr>
            <w:r w:rsidRPr="0012790E">
              <w:rPr>
                <w:szCs w:val="16"/>
              </w:rPr>
              <w:t>55.5</w:t>
            </w:r>
          </w:p>
        </w:tc>
        <w:tc>
          <w:tcPr>
            <w:tcW w:w="851" w:type="dxa"/>
            <w:vAlign w:val="bottom"/>
          </w:tcPr>
          <w:p w14:paraId="008ABF11" w14:textId="77777777" w:rsidR="0012790E" w:rsidRPr="0012790E" w:rsidRDefault="0012790E">
            <w:pPr>
              <w:pStyle w:val="Summarytabletextrightaligned"/>
              <w:rPr>
                <w:szCs w:val="16"/>
              </w:rPr>
            </w:pPr>
            <w:r w:rsidRPr="0012790E">
              <w:rPr>
                <w:szCs w:val="16"/>
              </w:rPr>
              <w:noBreakHyphen/>
            </w:r>
          </w:p>
        </w:tc>
      </w:tr>
      <w:tr w:rsidR="0012790E" w:rsidRPr="0012790E" w14:paraId="1A3050F1" w14:textId="77777777" w:rsidTr="54937204">
        <w:tc>
          <w:tcPr>
            <w:tcW w:w="3470" w:type="dxa"/>
            <w:shd w:val="clear" w:color="auto" w:fill="auto"/>
            <w:vAlign w:val="bottom"/>
          </w:tcPr>
          <w:p w14:paraId="0E3686C7" w14:textId="77777777" w:rsidR="0012790E" w:rsidRPr="0012790E" w:rsidRDefault="0012790E">
            <w:pPr>
              <w:pStyle w:val="SummaryMeasureTitlewithTheme"/>
            </w:pPr>
            <w:r w:rsidRPr="0012790E">
              <w:t>Supporting Sports Participation</w:t>
            </w:r>
          </w:p>
        </w:tc>
        <w:tc>
          <w:tcPr>
            <w:tcW w:w="851" w:type="dxa"/>
            <w:vAlign w:val="bottom"/>
          </w:tcPr>
          <w:p w14:paraId="5CDD3DB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E962D0A" w14:textId="77777777" w:rsidR="0012790E" w:rsidRPr="0012790E" w:rsidRDefault="0012790E">
            <w:pPr>
              <w:pStyle w:val="Summarytabletextrightaligned"/>
              <w:rPr>
                <w:szCs w:val="16"/>
              </w:rPr>
            </w:pPr>
            <w:r w:rsidRPr="0012790E">
              <w:rPr>
                <w:szCs w:val="16"/>
              </w:rPr>
              <w:t>38.6</w:t>
            </w:r>
          </w:p>
        </w:tc>
        <w:tc>
          <w:tcPr>
            <w:tcW w:w="851" w:type="dxa"/>
            <w:vAlign w:val="bottom"/>
          </w:tcPr>
          <w:p w14:paraId="524AA702" w14:textId="77777777" w:rsidR="0012790E" w:rsidRPr="0012790E" w:rsidRDefault="0012790E">
            <w:pPr>
              <w:pStyle w:val="Summarytabletextrightaligned"/>
              <w:rPr>
                <w:szCs w:val="16"/>
              </w:rPr>
            </w:pPr>
            <w:r w:rsidRPr="0012790E">
              <w:rPr>
                <w:szCs w:val="16"/>
              </w:rPr>
              <w:t>59.9</w:t>
            </w:r>
          </w:p>
        </w:tc>
        <w:tc>
          <w:tcPr>
            <w:tcW w:w="851" w:type="dxa"/>
            <w:vAlign w:val="bottom"/>
          </w:tcPr>
          <w:p w14:paraId="14F5D16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56FB99B" w14:textId="77777777" w:rsidR="0012790E" w:rsidRPr="0012790E" w:rsidRDefault="0012790E">
            <w:pPr>
              <w:pStyle w:val="Summarytabletextrightaligned"/>
              <w:rPr>
                <w:szCs w:val="16"/>
              </w:rPr>
            </w:pPr>
            <w:r w:rsidRPr="0012790E">
              <w:rPr>
                <w:szCs w:val="16"/>
              </w:rPr>
              <w:noBreakHyphen/>
            </w:r>
          </w:p>
        </w:tc>
      </w:tr>
      <w:tr w:rsidR="0012790E" w:rsidRPr="0012790E" w14:paraId="7C1D916A" w14:textId="77777777" w:rsidTr="54937204">
        <w:tc>
          <w:tcPr>
            <w:tcW w:w="3470" w:type="dxa"/>
            <w:shd w:val="clear" w:color="auto" w:fill="auto"/>
            <w:vAlign w:val="bottom"/>
          </w:tcPr>
          <w:p w14:paraId="4A9DFB07" w14:textId="77777777" w:rsidR="0012790E" w:rsidRPr="0012790E" w:rsidRDefault="0012790E">
            <w:pPr>
              <w:pStyle w:val="SummaryAgencyTitle-BP2"/>
              <w:rPr>
                <w:iCs/>
              </w:rPr>
            </w:pPr>
            <w:r w:rsidRPr="0012790E">
              <w:rPr>
                <w:iCs/>
              </w:rPr>
              <w:t>Department of Health and Aged Care</w:t>
            </w:r>
          </w:p>
        </w:tc>
        <w:tc>
          <w:tcPr>
            <w:tcW w:w="851" w:type="dxa"/>
            <w:vAlign w:val="bottom"/>
          </w:tcPr>
          <w:p w14:paraId="29B40E57" w14:textId="77777777" w:rsidR="0012790E" w:rsidRPr="0012790E" w:rsidRDefault="0012790E">
            <w:pPr>
              <w:pStyle w:val="SummaryAgencyTitle-BP2"/>
              <w:rPr>
                <w:iCs/>
              </w:rPr>
            </w:pPr>
          </w:p>
        </w:tc>
        <w:tc>
          <w:tcPr>
            <w:tcW w:w="851" w:type="dxa"/>
            <w:shd w:val="clear" w:color="auto" w:fill="E6F2FF"/>
            <w:vAlign w:val="bottom"/>
          </w:tcPr>
          <w:p w14:paraId="7B96EE6D" w14:textId="77777777" w:rsidR="0012790E" w:rsidRPr="0012790E" w:rsidRDefault="0012790E">
            <w:pPr>
              <w:pStyle w:val="SummaryAgencyTitle-BP2"/>
              <w:rPr>
                <w:iCs/>
              </w:rPr>
            </w:pPr>
          </w:p>
        </w:tc>
        <w:tc>
          <w:tcPr>
            <w:tcW w:w="851" w:type="dxa"/>
            <w:vAlign w:val="bottom"/>
          </w:tcPr>
          <w:p w14:paraId="6845CF18" w14:textId="77777777" w:rsidR="0012790E" w:rsidRPr="0012790E" w:rsidRDefault="0012790E">
            <w:pPr>
              <w:pStyle w:val="SummaryAgencyTitle-BP2"/>
              <w:rPr>
                <w:iCs/>
              </w:rPr>
            </w:pPr>
          </w:p>
        </w:tc>
        <w:tc>
          <w:tcPr>
            <w:tcW w:w="851" w:type="dxa"/>
            <w:vAlign w:val="bottom"/>
          </w:tcPr>
          <w:p w14:paraId="5926C387" w14:textId="77777777" w:rsidR="0012790E" w:rsidRPr="0012790E" w:rsidRDefault="0012790E">
            <w:pPr>
              <w:pStyle w:val="SummaryAgencyTitle-BP2"/>
              <w:rPr>
                <w:iCs/>
              </w:rPr>
            </w:pPr>
          </w:p>
        </w:tc>
        <w:tc>
          <w:tcPr>
            <w:tcW w:w="851" w:type="dxa"/>
            <w:vAlign w:val="bottom"/>
          </w:tcPr>
          <w:p w14:paraId="3F27FCE4" w14:textId="77777777" w:rsidR="0012790E" w:rsidRPr="0012790E" w:rsidRDefault="0012790E">
            <w:pPr>
              <w:pStyle w:val="SummaryAgencyTitle-BP2"/>
              <w:rPr>
                <w:iCs/>
              </w:rPr>
            </w:pPr>
          </w:p>
        </w:tc>
      </w:tr>
      <w:tr w:rsidR="0012790E" w:rsidRPr="0012790E" w14:paraId="4F1E91AA" w14:textId="77777777" w:rsidTr="54937204">
        <w:tc>
          <w:tcPr>
            <w:tcW w:w="3470" w:type="dxa"/>
            <w:shd w:val="clear" w:color="auto" w:fill="auto"/>
            <w:vAlign w:val="bottom"/>
          </w:tcPr>
          <w:p w14:paraId="15608081" w14:textId="77777777" w:rsidR="0012790E" w:rsidRPr="0012790E" w:rsidRDefault="0012790E">
            <w:pPr>
              <w:pStyle w:val="SummaryMeasureTitlewithTheme"/>
            </w:pPr>
            <w:r w:rsidRPr="0012790E">
              <w:t>2024 Channel Nine Brisbane Telethon</w:t>
            </w:r>
          </w:p>
        </w:tc>
        <w:tc>
          <w:tcPr>
            <w:tcW w:w="851" w:type="dxa"/>
            <w:vAlign w:val="bottom"/>
          </w:tcPr>
          <w:p w14:paraId="322E850B"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DB2C8F8"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ED4A0FF"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E31146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BE79A7E" w14:textId="77777777" w:rsidR="0012790E" w:rsidRPr="0012790E" w:rsidRDefault="0012790E">
            <w:pPr>
              <w:pStyle w:val="Summarytabletextrightaligned"/>
              <w:rPr>
                <w:szCs w:val="16"/>
              </w:rPr>
            </w:pPr>
            <w:r w:rsidRPr="0012790E">
              <w:rPr>
                <w:szCs w:val="16"/>
              </w:rPr>
              <w:noBreakHyphen/>
            </w:r>
          </w:p>
        </w:tc>
      </w:tr>
      <w:tr w:rsidR="0012790E" w:rsidRPr="0012790E" w14:paraId="413DBDC0" w14:textId="77777777" w:rsidTr="54937204">
        <w:tc>
          <w:tcPr>
            <w:tcW w:w="3470" w:type="dxa"/>
            <w:shd w:val="clear" w:color="auto" w:fill="auto"/>
            <w:vAlign w:val="bottom"/>
          </w:tcPr>
          <w:p w14:paraId="62C701F2" w14:textId="77777777" w:rsidR="0012790E" w:rsidRPr="0012790E" w:rsidRDefault="0012790E">
            <w:pPr>
              <w:pStyle w:val="SummaryMeasureTitlewithTheme"/>
            </w:pPr>
            <w:r w:rsidRPr="0012790E">
              <w:t>APS Capability Reinvestment Fund: 2024</w:t>
            </w:r>
            <w:r w:rsidRPr="0012790E">
              <w:noBreakHyphen/>
              <w:t>25 projects funded under round two</w:t>
            </w:r>
          </w:p>
        </w:tc>
        <w:tc>
          <w:tcPr>
            <w:tcW w:w="851" w:type="dxa"/>
            <w:vAlign w:val="bottom"/>
          </w:tcPr>
          <w:p w14:paraId="07A27CE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F9F6C08" w14:textId="7D4C0A19" w:rsidR="0012790E" w:rsidRPr="0012790E" w:rsidRDefault="00B92B04">
            <w:pPr>
              <w:pStyle w:val="Summarytabletextrightaligned"/>
              <w:rPr>
                <w:szCs w:val="16"/>
              </w:rPr>
            </w:pPr>
            <w:r>
              <w:rPr>
                <w:szCs w:val="16"/>
              </w:rPr>
              <w:t>-</w:t>
            </w:r>
          </w:p>
        </w:tc>
        <w:tc>
          <w:tcPr>
            <w:tcW w:w="851" w:type="dxa"/>
            <w:vAlign w:val="bottom"/>
          </w:tcPr>
          <w:p w14:paraId="22006A3E"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4F87F6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C3C52B5" w14:textId="77777777" w:rsidR="0012790E" w:rsidRPr="0012790E" w:rsidRDefault="0012790E">
            <w:pPr>
              <w:pStyle w:val="Summarytabletextrightaligned"/>
              <w:rPr>
                <w:szCs w:val="16"/>
              </w:rPr>
            </w:pPr>
            <w:r w:rsidRPr="0012790E">
              <w:rPr>
                <w:szCs w:val="16"/>
              </w:rPr>
              <w:noBreakHyphen/>
            </w:r>
          </w:p>
        </w:tc>
      </w:tr>
      <w:tr w:rsidR="00184BCE" w:rsidRPr="0012790E" w14:paraId="7A99BAC6" w14:textId="77777777" w:rsidTr="54937204">
        <w:tc>
          <w:tcPr>
            <w:tcW w:w="3470" w:type="dxa"/>
            <w:shd w:val="clear" w:color="auto" w:fill="auto"/>
            <w:vAlign w:val="bottom"/>
          </w:tcPr>
          <w:p w14:paraId="30C3152F" w14:textId="36A6D354" w:rsidR="00184BCE" w:rsidRPr="00184BCE" w:rsidRDefault="00184BCE" w:rsidP="00184BCE">
            <w:pPr>
              <w:pStyle w:val="SummaryMeasureTitlewithTheme"/>
            </w:pPr>
            <w:r w:rsidRPr="00AC2FA9">
              <w:rPr>
                <w:color w:val="auto"/>
              </w:rPr>
              <w:t>Australian Universities Accord – tertiary education system reforms</w:t>
            </w:r>
            <w:r w:rsidR="00DA5740">
              <w:rPr>
                <w:color w:val="auto"/>
              </w:rPr>
              <w:t>(b)</w:t>
            </w:r>
          </w:p>
        </w:tc>
        <w:tc>
          <w:tcPr>
            <w:tcW w:w="851" w:type="dxa"/>
            <w:vAlign w:val="bottom"/>
          </w:tcPr>
          <w:p w14:paraId="47108C35" w14:textId="5D839D2C" w:rsidR="00184BCE" w:rsidRPr="00184BCE" w:rsidRDefault="00184BCE" w:rsidP="00184BCE">
            <w:pPr>
              <w:pStyle w:val="Summarytabletextrightaligned"/>
              <w:rPr>
                <w:szCs w:val="16"/>
              </w:rPr>
            </w:pPr>
            <w:r w:rsidRPr="00AC2FA9">
              <w:rPr>
                <w:szCs w:val="16"/>
              </w:rPr>
              <w:noBreakHyphen/>
            </w:r>
          </w:p>
        </w:tc>
        <w:tc>
          <w:tcPr>
            <w:tcW w:w="851" w:type="dxa"/>
            <w:shd w:val="clear" w:color="auto" w:fill="E6F2FF"/>
            <w:vAlign w:val="bottom"/>
          </w:tcPr>
          <w:p w14:paraId="60DFA8D1" w14:textId="1D31768E" w:rsidR="00184BCE" w:rsidRPr="00184BCE" w:rsidRDefault="00184BCE" w:rsidP="00184BCE">
            <w:pPr>
              <w:pStyle w:val="Summarytabletextrightaligned"/>
              <w:rPr>
                <w:szCs w:val="16"/>
              </w:rPr>
            </w:pPr>
            <w:r w:rsidRPr="00AC2FA9">
              <w:rPr>
                <w:szCs w:val="16"/>
              </w:rPr>
              <w:t>9.6</w:t>
            </w:r>
          </w:p>
        </w:tc>
        <w:tc>
          <w:tcPr>
            <w:tcW w:w="851" w:type="dxa"/>
            <w:vAlign w:val="bottom"/>
          </w:tcPr>
          <w:p w14:paraId="7F5C326A" w14:textId="0D9DE9B3" w:rsidR="00184BCE" w:rsidRPr="00184BCE" w:rsidRDefault="00184BCE" w:rsidP="00184BCE">
            <w:pPr>
              <w:pStyle w:val="Summarytabletextrightaligned"/>
              <w:rPr>
                <w:szCs w:val="16"/>
              </w:rPr>
            </w:pPr>
            <w:r w:rsidRPr="00AC2FA9">
              <w:rPr>
                <w:szCs w:val="16"/>
              </w:rPr>
              <w:t>5.2</w:t>
            </w:r>
          </w:p>
        </w:tc>
        <w:tc>
          <w:tcPr>
            <w:tcW w:w="851" w:type="dxa"/>
            <w:vAlign w:val="bottom"/>
          </w:tcPr>
          <w:p w14:paraId="0F06FA35" w14:textId="23D825F2" w:rsidR="00184BCE" w:rsidRPr="00184BCE" w:rsidRDefault="007F03CD" w:rsidP="00184BCE">
            <w:pPr>
              <w:pStyle w:val="Summarytabletextrightaligned"/>
              <w:rPr>
                <w:szCs w:val="16"/>
              </w:rPr>
            </w:pPr>
            <w:r>
              <w:rPr>
                <w:szCs w:val="16"/>
              </w:rPr>
              <w:t>1.5</w:t>
            </w:r>
          </w:p>
        </w:tc>
        <w:tc>
          <w:tcPr>
            <w:tcW w:w="851" w:type="dxa"/>
            <w:vAlign w:val="bottom"/>
          </w:tcPr>
          <w:p w14:paraId="19B973BC" w14:textId="4534B96E" w:rsidR="00184BCE" w:rsidRPr="00184BCE" w:rsidRDefault="007F03CD" w:rsidP="00184BCE">
            <w:pPr>
              <w:pStyle w:val="Summarytabletextrightaligned"/>
              <w:rPr>
                <w:szCs w:val="16"/>
              </w:rPr>
            </w:pPr>
            <w:r>
              <w:rPr>
                <w:szCs w:val="16"/>
              </w:rPr>
              <w:t>2.1</w:t>
            </w:r>
          </w:p>
        </w:tc>
      </w:tr>
      <w:tr w:rsidR="0012790E" w:rsidRPr="0012790E" w14:paraId="12839873" w14:textId="77777777" w:rsidTr="54937204">
        <w:tc>
          <w:tcPr>
            <w:tcW w:w="3470" w:type="dxa"/>
            <w:shd w:val="clear" w:color="auto" w:fill="auto"/>
            <w:vAlign w:val="bottom"/>
          </w:tcPr>
          <w:p w14:paraId="78A539FA" w14:textId="77777777" w:rsidR="0012790E" w:rsidRPr="0012790E" w:rsidRDefault="0012790E">
            <w:pPr>
              <w:pStyle w:val="SummaryMeasureTitlewithTheme"/>
            </w:pPr>
            <w:r w:rsidRPr="0012790E">
              <w:t>Carer Payment – increased flexibility</w:t>
            </w:r>
          </w:p>
        </w:tc>
        <w:tc>
          <w:tcPr>
            <w:tcW w:w="851" w:type="dxa"/>
            <w:vAlign w:val="bottom"/>
          </w:tcPr>
          <w:p w14:paraId="75AE13B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2385DD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77466F5" w14:textId="77777777" w:rsidR="0012790E" w:rsidRPr="0012790E" w:rsidRDefault="0012790E">
            <w:pPr>
              <w:pStyle w:val="Summarytabletextrightaligned"/>
              <w:rPr>
                <w:szCs w:val="16"/>
              </w:rPr>
            </w:pPr>
            <w:r w:rsidRPr="0012790E">
              <w:rPr>
                <w:szCs w:val="16"/>
              </w:rPr>
              <w:t>..</w:t>
            </w:r>
          </w:p>
        </w:tc>
        <w:tc>
          <w:tcPr>
            <w:tcW w:w="851" w:type="dxa"/>
            <w:vAlign w:val="bottom"/>
          </w:tcPr>
          <w:p w14:paraId="079E8FC9" w14:textId="77777777" w:rsidR="0012790E" w:rsidRPr="0012790E" w:rsidRDefault="0012790E">
            <w:pPr>
              <w:pStyle w:val="Summarytabletextrightaligned"/>
              <w:rPr>
                <w:szCs w:val="16"/>
              </w:rPr>
            </w:pPr>
            <w:r w:rsidRPr="0012790E">
              <w:rPr>
                <w:szCs w:val="16"/>
              </w:rPr>
              <w:t>..</w:t>
            </w:r>
          </w:p>
        </w:tc>
        <w:tc>
          <w:tcPr>
            <w:tcW w:w="851" w:type="dxa"/>
            <w:vAlign w:val="bottom"/>
          </w:tcPr>
          <w:p w14:paraId="68FED022" w14:textId="77777777" w:rsidR="0012790E" w:rsidRPr="0012790E" w:rsidRDefault="0012790E">
            <w:pPr>
              <w:pStyle w:val="Summarytabletextrightaligned"/>
              <w:rPr>
                <w:szCs w:val="16"/>
              </w:rPr>
            </w:pPr>
            <w:r w:rsidRPr="0012790E">
              <w:rPr>
                <w:szCs w:val="16"/>
              </w:rPr>
              <w:t>..</w:t>
            </w:r>
          </w:p>
        </w:tc>
      </w:tr>
      <w:tr w:rsidR="0012790E" w:rsidRPr="0012790E" w14:paraId="7DE2E8CA" w14:textId="77777777" w:rsidTr="54937204">
        <w:tc>
          <w:tcPr>
            <w:tcW w:w="3470" w:type="dxa"/>
            <w:shd w:val="clear" w:color="auto" w:fill="auto"/>
            <w:vAlign w:val="bottom"/>
          </w:tcPr>
          <w:p w14:paraId="5D7C1D10" w14:textId="77777777" w:rsidR="0012790E" w:rsidRPr="0012790E" w:rsidRDefault="0012790E">
            <w:pPr>
              <w:pStyle w:val="SummaryMeasureTitlewithTheme"/>
            </w:pPr>
            <w:r w:rsidRPr="0012790E">
              <w:t>Commonwealth Rent Assistance – increase the maximum rates</w:t>
            </w:r>
          </w:p>
        </w:tc>
        <w:tc>
          <w:tcPr>
            <w:tcW w:w="851" w:type="dxa"/>
            <w:vAlign w:val="bottom"/>
          </w:tcPr>
          <w:p w14:paraId="7D73CBD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E611AC7" w14:textId="77777777" w:rsidR="0012790E" w:rsidRPr="0012790E" w:rsidRDefault="0012790E">
            <w:pPr>
              <w:pStyle w:val="Summarytabletextrightaligned"/>
              <w:rPr>
                <w:szCs w:val="16"/>
              </w:rPr>
            </w:pPr>
            <w:r w:rsidRPr="0012790E">
              <w:rPr>
                <w:szCs w:val="16"/>
              </w:rPr>
              <w:t>0.1</w:t>
            </w:r>
          </w:p>
        </w:tc>
        <w:tc>
          <w:tcPr>
            <w:tcW w:w="851" w:type="dxa"/>
            <w:vAlign w:val="bottom"/>
          </w:tcPr>
          <w:p w14:paraId="4E4D2C5E" w14:textId="77777777" w:rsidR="0012790E" w:rsidRPr="0012790E" w:rsidRDefault="0012790E">
            <w:pPr>
              <w:pStyle w:val="Summarytabletextrightaligned"/>
              <w:rPr>
                <w:szCs w:val="16"/>
              </w:rPr>
            </w:pPr>
            <w:r w:rsidRPr="0012790E">
              <w:rPr>
                <w:szCs w:val="16"/>
              </w:rPr>
              <w:t>0.2</w:t>
            </w:r>
          </w:p>
        </w:tc>
        <w:tc>
          <w:tcPr>
            <w:tcW w:w="851" w:type="dxa"/>
            <w:vAlign w:val="bottom"/>
          </w:tcPr>
          <w:p w14:paraId="01ABF775" w14:textId="77777777" w:rsidR="0012790E" w:rsidRPr="0012790E" w:rsidRDefault="0012790E">
            <w:pPr>
              <w:pStyle w:val="Summarytabletextrightaligned"/>
              <w:rPr>
                <w:szCs w:val="16"/>
              </w:rPr>
            </w:pPr>
            <w:r w:rsidRPr="0012790E">
              <w:rPr>
                <w:szCs w:val="16"/>
              </w:rPr>
              <w:t>0.2</w:t>
            </w:r>
          </w:p>
        </w:tc>
        <w:tc>
          <w:tcPr>
            <w:tcW w:w="851" w:type="dxa"/>
            <w:vAlign w:val="bottom"/>
          </w:tcPr>
          <w:p w14:paraId="3D40E6CC" w14:textId="77777777" w:rsidR="0012790E" w:rsidRPr="0012790E" w:rsidRDefault="0012790E">
            <w:pPr>
              <w:pStyle w:val="Summarytabletextrightaligned"/>
              <w:rPr>
                <w:szCs w:val="16"/>
              </w:rPr>
            </w:pPr>
            <w:r w:rsidRPr="0012790E">
              <w:rPr>
                <w:szCs w:val="16"/>
              </w:rPr>
              <w:t>0.3</w:t>
            </w:r>
          </w:p>
        </w:tc>
      </w:tr>
      <w:tr w:rsidR="0012790E" w:rsidRPr="0012790E" w14:paraId="120D6B5F" w14:textId="77777777" w:rsidTr="54937204">
        <w:tc>
          <w:tcPr>
            <w:tcW w:w="3470" w:type="dxa"/>
            <w:shd w:val="clear" w:color="auto" w:fill="auto"/>
            <w:vAlign w:val="bottom"/>
          </w:tcPr>
          <w:p w14:paraId="05098592" w14:textId="77777777" w:rsidR="0012790E" w:rsidRPr="0012790E" w:rsidRDefault="0012790E">
            <w:pPr>
              <w:pStyle w:val="SummaryMeasureTitlewithTheme"/>
            </w:pPr>
            <w:r w:rsidRPr="0012790E">
              <w:t>Continuing Veterans' Access to Health and Support Programs</w:t>
            </w:r>
          </w:p>
        </w:tc>
        <w:tc>
          <w:tcPr>
            <w:tcW w:w="851" w:type="dxa"/>
            <w:vAlign w:val="bottom"/>
          </w:tcPr>
          <w:p w14:paraId="5955F30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1583358" w14:textId="77777777" w:rsidR="0012790E" w:rsidRPr="0012790E" w:rsidRDefault="0012790E">
            <w:pPr>
              <w:pStyle w:val="Summarytabletextrightaligned"/>
              <w:rPr>
                <w:szCs w:val="16"/>
              </w:rPr>
            </w:pPr>
            <w:r w:rsidRPr="0012790E">
              <w:rPr>
                <w:szCs w:val="16"/>
              </w:rPr>
              <w:noBreakHyphen/>
              <w:t>0.5</w:t>
            </w:r>
          </w:p>
        </w:tc>
        <w:tc>
          <w:tcPr>
            <w:tcW w:w="851" w:type="dxa"/>
            <w:vAlign w:val="bottom"/>
          </w:tcPr>
          <w:p w14:paraId="3FB6A9D6" w14:textId="77777777" w:rsidR="0012790E" w:rsidRPr="0012790E" w:rsidRDefault="0012790E">
            <w:pPr>
              <w:pStyle w:val="Summarytabletextrightaligned"/>
              <w:rPr>
                <w:szCs w:val="16"/>
              </w:rPr>
            </w:pPr>
            <w:r w:rsidRPr="0012790E">
              <w:rPr>
                <w:szCs w:val="16"/>
              </w:rPr>
              <w:noBreakHyphen/>
              <w:t>0.5</w:t>
            </w:r>
          </w:p>
        </w:tc>
        <w:tc>
          <w:tcPr>
            <w:tcW w:w="851" w:type="dxa"/>
            <w:vAlign w:val="bottom"/>
          </w:tcPr>
          <w:p w14:paraId="5D9E3BAD" w14:textId="77777777" w:rsidR="0012790E" w:rsidRPr="0012790E" w:rsidRDefault="0012790E">
            <w:pPr>
              <w:pStyle w:val="Summarytabletextrightaligned"/>
              <w:rPr>
                <w:szCs w:val="16"/>
              </w:rPr>
            </w:pPr>
            <w:r w:rsidRPr="0012790E">
              <w:rPr>
                <w:szCs w:val="16"/>
              </w:rPr>
              <w:noBreakHyphen/>
              <w:t>0.3</w:t>
            </w:r>
          </w:p>
        </w:tc>
        <w:tc>
          <w:tcPr>
            <w:tcW w:w="851" w:type="dxa"/>
            <w:vAlign w:val="bottom"/>
          </w:tcPr>
          <w:p w14:paraId="1A6439E3" w14:textId="77777777" w:rsidR="0012790E" w:rsidRPr="0012790E" w:rsidRDefault="0012790E">
            <w:pPr>
              <w:pStyle w:val="Summarytabletextrightaligned"/>
              <w:rPr>
                <w:szCs w:val="16"/>
              </w:rPr>
            </w:pPr>
            <w:r w:rsidRPr="0012790E">
              <w:rPr>
                <w:szCs w:val="16"/>
              </w:rPr>
              <w:noBreakHyphen/>
            </w:r>
          </w:p>
        </w:tc>
      </w:tr>
      <w:tr w:rsidR="0012790E" w:rsidRPr="0012790E" w14:paraId="3F6C2092" w14:textId="77777777" w:rsidTr="54937204">
        <w:tc>
          <w:tcPr>
            <w:tcW w:w="3470" w:type="dxa"/>
            <w:shd w:val="clear" w:color="auto" w:fill="auto"/>
            <w:vAlign w:val="bottom"/>
          </w:tcPr>
          <w:p w14:paraId="27DCCDF1" w14:textId="77777777" w:rsidR="0012790E" w:rsidRPr="0012790E" w:rsidRDefault="0012790E">
            <w:pPr>
              <w:pStyle w:val="SummaryMeasureTitlewithTheme"/>
            </w:pPr>
            <w:r w:rsidRPr="0012790E">
              <w:t>Ensuring Service Delivery at Hummingbird House</w:t>
            </w:r>
          </w:p>
        </w:tc>
        <w:tc>
          <w:tcPr>
            <w:tcW w:w="851" w:type="dxa"/>
            <w:vAlign w:val="bottom"/>
          </w:tcPr>
          <w:p w14:paraId="5CD5536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EED100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78D8BB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C354F3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42D7847" w14:textId="77777777" w:rsidR="0012790E" w:rsidRPr="0012790E" w:rsidRDefault="0012790E">
            <w:pPr>
              <w:pStyle w:val="Summarytabletextrightaligned"/>
              <w:rPr>
                <w:szCs w:val="16"/>
              </w:rPr>
            </w:pPr>
            <w:r w:rsidRPr="0012790E">
              <w:rPr>
                <w:szCs w:val="16"/>
              </w:rPr>
              <w:noBreakHyphen/>
            </w:r>
          </w:p>
        </w:tc>
      </w:tr>
      <w:tr w:rsidR="0012790E" w:rsidRPr="0012790E" w14:paraId="7A6B9077" w14:textId="77777777" w:rsidTr="54937204">
        <w:tc>
          <w:tcPr>
            <w:tcW w:w="3470" w:type="dxa"/>
            <w:shd w:val="clear" w:color="auto" w:fill="auto"/>
            <w:vAlign w:val="bottom"/>
          </w:tcPr>
          <w:p w14:paraId="322A66A5" w14:textId="77777777" w:rsidR="0012790E" w:rsidRPr="0012790E" w:rsidRDefault="0012790E">
            <w:pPr>
              <w:pStyle w:val="SummaryMeasureTitlewithTheme"/>
            </w:pPr>
            <w:r w:rsidRPr="0012790E">
              <w:t>Funding for the Alfred Hospital</w:t>
            </w:r>
          </w:p>
        </w:tc>
        <w:tc>
          <w:tcPr>
            <w:tcW w:w="851" w:type="dxa"/>
            <w:vAlign w:val="bottom"/>
          </w:tcPr>
          <w:p w14:paraId="1FB0871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23BF55E" w14:textId="77777777" w:rsidR="0012790E" w:rsidRPr="0012790E" w:rsidRDefault="0012790E">
            <w:pPr>
              <w:pStyle w:val="Summarytabletextrightaligned"/>
              <w:rPr>
                <w:szCs w:val="16"/>
              </w:rPr>
            </w:pPr>
            <w:r w:rsidRPr="0012790E">
              <w:rPr>
                <w:szCs w:val="16"/>
              </w:rPr>
              <w:t>12.0</w:t>
            </w:r>
          </w:p>
        </w:tc>
        <w:tc>
          <w:tcPr>
            <w:tcW w:w="851" w:type="dxa"/>
            <w:vAlign w:val="bottom"/>
          </w:tcPr>
          <w:p w14:paraId="6140F9D4" w14:textId="77777777" w:rsidR="0012790E" w:rsidRPr="0012790E" w:rsidRDefault="0012790E">
            <w:pPr>
              <w:pStyle w:val="Summarytabletextrightaligned"/>
              <w:rPr>
                <w:szCs w:val="16"/>
              </w:rPr>
            </w:pPr>
            <w:r w:rsidRPr="0012790E">
              <w:rPr>
                <w:szCs w:val="16"/>
              </w:rPr>
              <w:t>2.4</w:t>
            </w:r>
          </w:p>
        </w:tc>
        <w:tc>
          <w:tcPr>
            <w:tcW w:w="851" w:type="dxa"/>
            <w:vAlign w:val="bottom"/>
          </w:tcPr>
          <w:p w14:paraId="14BD1C53" w14:textId="77777777" w:rsidR="0012790E" w:rsidRPr="0012790E" w:rsidRDefault="0012790E">
            <w:pPr>
              <w:pStyle w:val="Summarytabletextrightaligned"/>
              <w:rPr>
                <w:szCs w:val="16"/>
              </w:rPr>
            </w:pPr>
            <w:r w:rsidRPr="0012790E">
              <w:rPr>
                <w:szCs w:val="16"/>
              </w:rPr>
              <w:t>2.6</w:t>
            </w:r>
          </w:p>
        </w:tc>
        <w:tc>
          <w:tcPr>
            <w:tcW w:w="851" w:type="dxa"/>
            <w:vAlign w:val="bottom"/>
          </w:tcPr>
          <w:p w14:paraId="35F45B9E" w14:textId="77777777" w:rsidR="0012790E" w:rsidRPr="0012790E" w:rsidRDefault="0012790E">
            <w:pPr>
              <w:pStyle w:val="Summarytabletextrightaligned"/>
              <w:rPr>
                <w:szCs w:val="16"/>
              </w:rPr>
            </w:pPr>
            <w:r w:rsidRPr="0012790E">
              <w:rPr>
                <w:szCs w:val="16"/>
              </w:rPr>
              <w:t>2.6</w:t>
            </w:r>
          </w:p>
        </w:tc>
      </w:tr>
      <w:tr w:rsidR="0012790E" w:rsidRPr="0012790E" w14:paraId="1E95FD21" w14:textId="77777777" w:rsidTr="54937204">
        <w:tc>
          <w:tcPr>
            <w:tcW w:w="3470" w:type="dxa"/>
            <w:shd w:val="clear" w:color="auto" w:fill="auto"/>
            <w:vAlign w:val="bottom"/>
          </w:tcPr>
          <w:p w14:paraId="0B921DCB" w14:textId="77777777" w:rsidR="0012790E" w:rsidRPr="0012790E" w:rsidRDefault="0012790E">
            <w:pPr>
              <w:pStyle w:val="SummaryMeasureTitlewithTheme"/>
            </w:pPr>
            <w:r w:rsidRPr="0012790E">
              <w:t>Further Investment to Closing the Gap</w:t>
            </w:r>
          </w:p>
        </w:tc>
        <w:tc>
          <w:tcPr>
            <w:tcW w:w="851" w:type="dxa"/>
            <w:vAlign w:val="bottom"/>
          </w:tcPr>
          <w:p w14:paraId="7F8DB242"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9FC930C" w14:textId="692C4A47" w:rsidR="0012790E" w:rsidRPr="0012790E" w:rsidRDefault="00740428">
            <w:pPr>
              <w:pStyle w:val="Summarytabletextrightaligned"/>
              <w:rPr>
                <w:szCs w:val="16"/>
              </w:rPr>
            </w:pPr>
            <w:r>
              <w:rPr>
                <w:szCs w:val="16"/>
              </w:rPr>
              <w:t>-</w:t>
            </w:r>
          </w:p>
        </w:tc>
        <w:tc>
          <w:tcPr>
            <w:tcW w:w="851" w:type="dxa"/>
            <w:vAlign w:val="bottom"/>
          </w:tcPr>
          <w:p w14:paraId="69A223F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C4B07F6"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57D2F8D" w14:textId="77777777" w:rsidR="0012790E" w:rsidRPr="0012790E" w:rsidRDefault="0012790E">
            <w:pPr>
              <w:pStyle w:val="Summarytabletextrightaligned"/>
              <w:rPr>
                <w:szCs w:val="16"/>
              </w:rPr>
            </w:pPr>
            <w:r w:rsidRPr="0012790E">
              <w:rPr>
                <w:szCs w:val="16"/>
              </w:rPr>
              <w:noBreakHyphen/>
            </w:r>
          </w:p>
        </w:tc>
      </w:tr>
      <w:tr w:rsidR="0012790E" w:rsidRPr="0012790E" w14:paraId="05607378" w14:textId="77777777" w:rsidTr="54937204">
        <w:tc>
          <w:tcPr>
            <w:tcW w:w="3470" w:type="dxa"/>
            <w:shd w:val="clear" w:color="auto" w:fill="auto"/>
            <w:vAlign w:val="bottom"/>
          </w:tcPr>
          <w:p w14:paraId="7B1CAAB5" w14:textId="77777777" w:rsidR="0012790E" w:rsidRPr="0012790E" w:rsidRDefault="0012790E">
            <w:pPr>
              <w:pStyle w:val="SummaryMeasureTitlewithTheme"/>
            </w:pPr>
            <w:r w:rsidRPr="0012790E">
              <w:t>Health Workforce</w:t>
            </w:r>
          </w:p>
        </w:tc>
        <w:tc>
          <w:tcPr>
            <w:tcW w:w="851" w:type="dxa"/>
            <w:vAlign w:val="bottom"/>
          </w:tcPr>
          <w:p w14:paraId="15CDEC26" w14:textId="77777777" w:rsidR="0012790E" w:rsidRPr="0012790E" w:rsidRDefault="0012790E">
            <w:pPr>
              <w:pStyle w:val="Summarytabletextrightaligned"/>
              <w:rPr>
                <w:szCs w:val="16"/>
              </w:rPr>
            </w:pPr>
            <w:r w:rsidRPr="0012790E">
              <w:rPr>
                <w:szCs w:val="16"/>
              </w:rPr>
              <w:t>5.1</w:t>
            </w:r>
          </w:p>
        </w:tc>
        <w:tc>
          <w:tcPr>
            <w:tcW w:w="851" w:type="dxa"/>
            <w:shd w:val="clear" w:color="auto" w:fill="E6F2FF"/>
            <w:vAlign w:val="bottom"/>
          </w:tcPr>
          <w:p w14:paraId="17E9342A" w14:textId="77777777" w:rsidR="0012790E" w:rsidRPr="0012790E" w:rsidRDefault="0012790E">
            <w:pPr>
              <w:pStyle w:val="Summarytabletextrightaligned"/>
              <w:rPr>
                <w:szCs w:val="16"/>
              </w:rPr>
            </w:pPr>
            <w:r w:rsidRPr="0012790E">
              <w:rPr>
                <w:szCs w:val="16"/>
              </w:rPr>
              <w:t>77.0</w:t>
            </w:r>
          </w:p>
        </w:tc>
        <w:tc>
          <w:tcPr>
            <w:tcW w:w="851" w:type="dxa"/>
            <w:vAlign w:val="bottom"/>
          </w:tcPr>
          <w:p w14:paraId="6882F83C" w14:textId="77777777" w:rsidR="0012790E" w:rsidRPr="0012790E" w:rsidRDefault="0012790E">
            <w:pPr>
              <w:pStyle w:val="Summarytabletextrightaligned"/>
              <w:rPr>
                <w:szCs w:val="16"/>
              </w:rPr>
            </w:pPr>
            <w:r w:rsidRPr="0012790E">
              <w:rPr>
                <w:szCs w:val="16"/>
              </w:rPr>
              <w:t>2.8</w:t>
            </w:r>
          </w:p>
        </w:tc>
        <w:tc>
          <w:tcPr>
            <w:tcW w:w="851" w:type="dxa"/>
            <w:vAlign w:val="bottom"/>
          </w:tcPr>
          <w:p w14:paraId="037A12DB" w14:textId="77777777" w:rsidR="0012790E" w:rsidRPr="0012790E" w:rsidRDefault="0012790E">
            <w:pPr>
              <w:pStyle w:val="Summarytabletextrightaligned"/>
              <w:rPr>
                <w:szCs w:val="16"/>
              </w:rPr>
            </w:pPr>
            <w:r w:rsidRPr="0012790E">
              <w:rPr>
                <w:szCs w:val="16"/>
              </w:rPr>
              <w:t>1.0</w:t>
            </w:r>
          </w:p>
        </w:tc>
        <w:tc>
          <w:tcPr>
            <w:tcW w:w="851" w:type="dxa"/>
            <w:vAlign w:val="bottom"/>
          </w:tcPr>
          <w:p w14:paraId="7D32151A" w14:textId="77777777" w:rsidR="0012790E" w:rsidRPr="0012790E" w:rsidRDefault="0012790E">
            <w:pPr>
              <w:pStyle w:val="Summarytabletextrightaligned"/>
              <w:rPr>
                <w:szCs w:val="16"/>
              </w:rPr>
            </w:pPr>
            <w:r w:rsidRPr="0012790E">
              <w:rPr>
                <w:szCs w:val="16"/>
              </w:rPr>
              <w:t>1.1</w:t>
            </w:r>
          </w:p>
        </w:tc>
      </w:tr>
      <w:tr w:rsidR="0012790E" w:rsidRPr="0012790E" w14:paraId="68D326BB" w14:textId="77777777" w:rsidTr="54937204">
        <w:tc>
          <w:tcPr>
            <w:tcW w:w="3470" w:type="dxa"/>
            <w:shd w:val="clear" w:color="auto" w:fill="auto"/>
            <w:vAlign w:val="bottom"/>
          </w:tcPr>
          <w:p w14:paraId="603A8128" w14:textId="77777777" w:rsidR="0012790E" w:rsidRPr="0012790E" w:rsidRDefault="0012790E">
            <w:pPr>
              <w:pStyle w:val="SummaryMeasureTitlewithTheme"/>
            </w:pPr>
            <w:r w:rsidRPr="0012790E">
              <w:t>Improving Aged Care Support</w:t>
            </w:r>
          </w:p>
        </w:tc>
        <w:tc>
          <w:tcPr>
            <w:tcW w:w="851" w:type="dxa"/>
            <w:vAlign w:val="bottom"/>
          </w:tcPr>
          <w:p w14:paraId="3F79CF12" w14:textId="77777777" w:rsidR="0012790E" w:rsidRPr="0012790E" w:rsidRDefault="0012790E">
            <w:pPr>
              <w:pStyle w:val="Summarytabletextrightaligned"/>
              <w:rPr>
                <w:szCs w:val="16"/>
              </w:rPr>
            </w:pPr>
            <w:r w:rsidRPr="0012790E">
              <w:rPr>
                <w:szCs w:val="16"/>
              </w:rPr>
              <w:noBreakHyphen/>
              <w:t>16.0</w:t>
            </w:r>
          </w:p>
        </w:tc>
        <w:tc>
          <w:tcPr>
            <w:tcW w:w="851" w:type="dxa"/>
            <w:shd w:val="clear" w:color="auto" w:fill="E6F2FF"/>
            <w:vAlign w:val="bottom"/>
          </w:tcPr>
          <w:p w14:paraId="3F09C2D3" w14:textId="77777777" w:rsidR="0012790E" w:rsidRPr="0012790E" w:rsidRDefault="0012790E">
            <w:pPr>
              <w:pStyle w:val="Summarytabletextrightaligned"/>
              <w:rPr>
                <w:szCs w:val="16"/>
              </w:rPr>
            </w:pPr>
            <w:r w:rsidRPr="0012790E">
              <w:rPr>
                <w:szCs w:val="16"/>
              </w:rPr>
              <w:t>1,277.3</w:t>
            </w:r>
          </w:p>
        </w:tc>
        <w:tc>
          <w:tcPr>
            <w:tcW w:w="851" w:type="dxa"/>
            <w:vAlign w:val="bottom"/>
          </w:tcPr>
          <w:p w14:paraId="7483F7F5" w14:textId="77777777" w:rsidR="0012790E" w:rsidRPr="0012790E" w:rsidRDefault="0012790E">
            <w:pPr>
              <w:pStyle w:val="Summarytabletextrightaligned"/>
              <w:rPr>
                <w:szCs w:val="16"/>
              </w:rPr>
            </w:pPr>
            <w:r w:rsidRPr="0012790E">
              <w:rPr>
                <w:szCs w:val="16"/>
              </w:rPr>
              <w:t>596.8</w:t>
            </w:r>
          </w:p>
        </w:tc>
        <w:tc>
          <w:tcPr>
            <w:tcW w:w="851" w:type="dxa"/>
            <w:vAlign w:val="bottom"/>
          </w:tcPr>
          <w:p w14:paraId="05CC7402" w14:textId="77777777" w:rsidR="0012790E" w:rsidRPr="0012790E" w:rsidRDefault="0012790E">
            <w:pPr>
              <w:pStyle w:val="Summarytabletextrightaligned"/>
              <w:rPr>
                <w:szCs w:val="16"/>
              </w:rPr>
            </w:pPr>
            <w:r w:rsidRPr="0012790E">
              <w:rPr>
                <w:szCs w:val="16"/>
              </w:rPr>
              <w:t>37.6</w:t>
            </w:r>
          </w:p>
        </w:tc>
        <w:tc>
          <w:tcPr>
            <w:tcW w:w="851" w:type="dxa"/>
            <w:vAlign w:val="bottom"/>
          </w:tcPr>
          <w:p w14:paraId="0F8B29E6" w14:textId="77777777" w:rsidR="0012790E" w:rsidRPr="0012790E" w:rsidRDefault="0012790E">
            <w:pPr>
              <w:pStyle w:val="Summarytabletextrightaligned"/>
              <w:rPr>
                <w:szCs w:val="16"/>
              </w:rPr>
            </w:pPr>
            <w:r w:rsidRPr="0012790E">
              <w:rPr>
                <w:szCs w:val="16"/>
              </w:rPr>
              <w:t>7.3</w:t>
            </w:r>
          </w:p>
        </w:tc>
      </w:tr>
      <w:tr w:rsidR="0012790E" w:rsidRPr="0012790E" w14:paraId="38C0A1C3" w14:textId="77777777" w:rsidTr="54937204">
        <w:tc>
          <w:tcPr>
            <w:tcW w:w="3470" w:type="dxa"/>
            <w:shd w:val="clear" w:color="auto" w:fill="auto"/>
            <w:vAlign w:val="bottom"/>
          </w:tcPr>
          <w:p w14:paraId="0781CD65" w14:textId="77777777" w:rsidR="0012790E" w:rsidRPr="0012790E" w:rsidRDefault="0012790E">
            <w:pPr>
              <w:pStyle w:val="SummaryMeasureTitlewithTheme"/>
            </w:pPr>
            <w:r w:rsidRPr="0012790E">
              <w:t>Improving Cancer Outcomes</w:t>
            </w:r>
          </w:p>
        </w:tc>
        <w:tc>
          <w:tcPr>
            <w:tcW w:w="851" w:type="dxa"/>
            <w:vAlign w:val="bottom"/>
          </w:tcPr>
          <w:p w14:paraId="19B16007"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4BDB932" w14:textId="77777777" w:rsidR="0012790E" w:rsidRPr="0012790E" w:rsidRDefault="0012790E">
            <w:pPr>
              <w:pStyle w:val="Summarytabletextrightaligned"/>
              <w:rPr>
                <w:szCs w:val="16"/>
              </w:rPr>
            </w:pPr>
            <w:r w:rsidRPr="0012790E">
              <w:rPr>
                <w:szCs w:val="16"/>
              </w:rPr>
              <w:t>11.6</w:t>
            </w:r>
          </w:p>
        </w:tc>
        <w:tc>
          <w:tcPr>
            <w:tcW w:w="851" w:type="dxa"/>
            <w:vAlign w:val="bottom"/>
          </w:tcPr>
          <w:p w14:paraId="3D768609" w14:textId="77777777" w:rsidR="0012790E" w:rsidRPr="0012790E" w:rsidRDefault="0012790E">
            <w:pPr>
              <w:pStyle w:val="Summarytabletextrightaligned"/>
              <w:rPr>
                <w:szCs w:val="16"/>
              </w:rPr>
            </w:pPr>
            <w:r w:rsidRPr="0012790E">
              <w:rPr>
                <w:szCs w:val="16"/>
              </w:rPr>
              <w:t>12.7</w:t>
            </w:r>
          </w:p>
        </w:tc>
        <w:tc>
          <w:tcPr>
            <w:tcW w:w="851" w:type="dxa"/>
            <w:vAlign w:val="bottom"/>
          </w:tcPr>
          <w:p w14:paraId="0700DD11" w14:textId="77777777" w:rsidR="0012790E" w:rsidRPr="0012790E" w:rsidRDefault="0012790E">
            <w:pPr>
              <w:pStyle w:val="Summarytabletextrightaligned"/>
              <w:rPr>
                <w:szCs w:val="16"/>
              </w:rPr>
            </w:pPr>
            <w:r w:rsidRPr="0012790E">
              <w:rPr>
                <w:szCs w:val="16"/>
              </w:rPr>
              <w:t>4.5</w:t>
            </w:r>
          </w:p>
        </w:tc>
        <w:tc>
          <w:tcPr>
            <w:tcW w:w="851" w:type="dxa"/>
            <w:vAlign w:val="bottom"/>
          </w:tcPr>
          <w:p w14:paraId="472D87D4" w14:textId="77777777" w:rsidR="0012790E" w:rsidRPr="0012790E" w:rsidRDefault="0012790E">
            <w:pPr>
              <w:pStyle w:val="Summarytabletextrightaligned"/>
              <w:rPr>
                <w:szCs w:val="16"/>
              </w:rPr>
            </w:pPr>
            <w:r w:rsidRPr="0012790E">
              <w:rPr>
                <w:szCs w:val="16"/>
              </w:rPr>
              <w:t>3.4</w:t>
            </w:r>
          </w:p>
        </w:tc>
      </w:tr>
      <w:tr w:rsidR="0012790E" w:rsidRPr="0012790E" w14:paraId="4C0BBDAD" w14:textId="77777777" w:rsidTr="54937204">
        <w:tc>
          <w:tcPr>
            <w:tcW w:w="3470" w:type="dxa"/>
            <w:shd w:val="clear" w:color="auto" w:fill="auto"/>
            <w:vAlign w:val="bottom"/>
          </w:tcPr>
          <w:p w14:paraId="510A9632" w14:textId="77777777" w:rsidR="0012790E" w:rsidRPr="0012790E" w:rsidRDefault="0012790E">
            <w:pPr>
              <w:pStyle w:val="SummaryMeasureTitlewithTheme"/>
            </w:pPr>
            <w:r w:rsidRPr="0012790E">
              <w:t>Management of Torres Strait and Papua New Guinea Cross Border Health Issues</w:t>
            </w:r>
          </w:p>
        </w:tc>
        <w:tc>
          <w:tcPr>
            <w:tcW w:w="851" w:type="dxa"/>
            <w:vAlign w:val="bottom"/>
          </w:tcPr>
          <w:p w14:paraId="1E30ECA2"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5F2CEF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EFB3BA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72BCED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6AB7DF4" w14:textId="77777777" w:rsidR="0012790E" w:rsidRPr="0012790E" w:rsidRDefault="0012790E">
            <w:pPr>
              <w:pStyle w:val="Summarytabletextrightaligned"/>
              <w:rPr>
                <w:szCs w:val="16"/>
              </w:rPr>
            </w:pPr>
            <w:r w:rsidRPr="0012790E">
              <w:rPr>
                <w:szCs w:val="16"/>
              </w:rPr>
              <w:noBreakHyphen/>
            </w:r>
          </w:p>
        </w:tc>
      </w:tr>
      <w:tr w:rsidR="0012790E" w:rsidRPr="0012790E" w14:paraId="681B999C" w14:textId="77777777" w:rsidTr="54937204">
        <w:tc>
          <w:tcPr>
            <w:tcW w:w="3470" w:type="dxa"/>
            <w:shd w:val="clear" w:color="auto" w:fill="auto"/>
            <w:vAlign w:val="bottom"/>
          </w:tcPr>
          <w:p w14:paraId="79786CFC" w14:textId="77777777" w:rsidR="0012790E" w:rsidRPr="0012790E" w:rsidRDefault="0012790E">
            <w:pPr>
              <w:pStyle w:val="SummaryMeasureTitlewithTheme"/>
            </w:pPr>
            <w:r w:rsidRPr="0012790E">
              <w:t>Medical Research</w:t>
            </w:r>
          </w:p>
        </w:tc>
        <w:tc>
          <w:tcPr>
            <w:tcW w:w="851" w:type="dxa"/>
            <w:vAlign w:val="bottom"/>
          </w:tcPr>
          <w:p w14:paraId="1BFA094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2424A25" w14:textId="77777777" w:rsidR="0012790E" w:rsidRPr="0012790E" w:rsidRDefault="0012790E">
            <w:pPr>
              <w:pStyle w:val="Summarytabletextrightaligned"/>
              <w:rPr>
                <w:szCs w:val="16"/>
              </w:rPr>
            </w:pPr>
            <w:r w:rsidRPr="0012790E">
              <w:rPr>
                <w:szCs w:val="16"/>
              </w:rPr>
              <w:t>18.0</w:t>
            </w:r>
          </w:p>
        </w:tc>
        <w:tc>
          <w:tcPr>
            <w:tcW w:w="851" w:type="dxa"/>
            <w:vAlign w:val="bottom"/>
          </w:tcPr>
          <w:p w14:paraId="2423627B" w14:textId="77777777" w:rsidR="0012790E" w:rsidRPr="0012790E" w:rsidRDefault="0012790E">
            <w:pPr>
              <w:pStyle w:val="Summarytabletextrightaligned"/>
              <w:rPr>
                <w:szCs w:val="16"/>
              </w:rPr>
            </w:pPr>
            <w:r w:rsidRPr="0012790E">
              <w:rPr>
                <w:szCs w:val="16"/>
              </w:rPr>
              <w:t>0.8</w:t>
            </w:r>
          </w:p>
        </w:tc>
        <w:tc>
          <w:tcPr>
            <w:tcW w:w="851" w:type="dxa"/>
            <w:vAlign w:val="bottom"/>
          </w:tcPr>
          <w:p w14:paraId="7C85D7E1"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5B7D2B7" w14:textId="77777777" w:rsidR="0012790E" w:rsidRPr="0012790E" w:rsidRDefault="0012790E">
            <w:pPr>
              <w:pStyle w:val="Summarytabletextrightaligned"/>
              <w:rPr>
                <w:szCs w:val="16"/>
              </w:rPr>
            </w:pPr>
            <w:r w:rsidRPr="0012790E">
              <w:rPr>
                <w:szCs w:val="16"/>
              </w:rPr>
              <w:noBreakHyphen/>
            </w:r>
          </w:p>
        </w:tc>
      </w:tr>
      <w:tr w:rsidR="0038400E" w:rsidRPr="0012790E" w14:paraId="0C5414AD" w14:textId="77777777" w:rsidTr="54937204">
        <w:tc>
          <w:tcPr>
            <w:tcW w:w="3470" w:type="dxa"/>
            <w:shd w:val="clear" w:color="auto" w:fill="auto"/>
            <w:vAlign w:val="bottom"/>
          </w:tcPr>
          <w:p w14:paraId="05E0DB6E" w14:textId="77777777" w:rsidR="0038400E" w:rsidRPr="0012790E" w:rsidRDefault="0038400E" w:rsidP="0038400E">
            <w:pPr>
              <w:pStyle w:val="SummaryMeasureTitlewithTheme"/>
            </w:pPr>
            <w:r w:rsidRPr="0012790E">
              <w:t>Mental Health</w:t>
            </w:r>
          </w:p>
        </w:tc>
        <w:tc>
          <w:tcPr>
            <w:tcW w:w="851" w:type="dxa"/>
            <w:vAlign w:val="bottom"/>
          </w:tcPr>
          <w:p w14:paraId="1E4EB1B4" w14:textId="77777777" w:rsidR="0038400E" w:rsidRPr="0012790E" w:rsidRDefault="0038400E" w:rsidP="0038400E">
            <w:pPr>
              <w:pStyle w:val="Summarytabletextrightaligned"/>
              <w:rPr>
                <w:szCs w:val="16"/>
              </w:rPr>
            </w:pPr>
            <w:r w:rsidRPr="0012790E">
              <w:rPr>
                <w:szCs w:val="16"/>
              </w:rPr>
              <w:noBreakHyphen/>
            </w:r>
          </w:p>
        </w:tc>
        <w:tc>
          <w:tcPr>
            <w:tcW w:w="851" w:type="dxa"/>
            <w:shd w:val="clear" w:color="auto" w:fill="E6F2FF"/>
            <w:vAlign w:val="bottom"/>
          </w:tcPr>
          <w:p w14:paraId="4C03F658" w14:textId="632A86E5" w:rsidR="0038400E" w:rsidRPr="0012790E" w:rsidRDefault="0038400E" w:rsidP="0038400E">
            <w:pPr>
              <w:pStyle w:val="Summarytabletextrightaligned"/>
              <w:rPr>
                <w:szCs w:val="16"/>
              </w:rPr>
            </w:pPr>
            <w:r w:rsidRPr="0012790E">
              <w:rPr>
                <w:szCs w:val="16"/>
              </w:rPr>
              <w:t>30.</w:t>
            </w:r>
            <w:r>
              <w:rPr>
                <w:szCs w:val="16"/>
              </w:rPr>
              <w:t>3</w:t>
            </w:r>
          </w:p>
        </w:tc>
        <w:tc>
          <w:tcPr>
            <w:tcW w:w="851" w:type="dxa"/>
            <w:vAlign w:val="bottom"/>
          </w:tcPr>
          <w:p w14:paraId="4F0E7166" w14:textId="7185D7C1" w:rsidR="0038400E" w:rsidRPr="0012790E" w:rsidRDefault="00EB3AF1" w:rsidP="0038400E">
            <w:pPr>
              <w:pStyle w:val="Summarytabletextrightaligned"/>
              <w:rPr>
                <w:szCs w:val="16"/>
              </w:rPr>
            </w:pPr>
            <w:r>
              <w:rPr>
                <w:szCs w:val="16"/>
              </w:rPr>
              <w:t>43.9</w:t>
            </w:r>
          </w:p>
        </w:tc>
        <w:tc>
          <w:tcPr>
            <w:tcW w:w="851" w:type="dxa"/>
            <w:vAlign w:val="bottom"/>
          </w:tcPr>
          <w:p w14:paraId="78213150" w14:textId="36B2FBC7" w:rsidR="0038400E" w:rsidRPr="0012790E" w:rsidRDefault="00EB3AF1" w:rsidP="0038400E">
            <w:pPr>
              <w:pStyle w:val="Summarytabletextrightaligned"/>
              <w:rPr>
                <w:szCs w:val="16"/>
              </w:rPr>
            </w:pPr>
            <w:r>
              <w:rPr>
                <w:szCs w:val="16"/>
              </w:rPr>
              <w:t>10.2</w:t>
            </w:r>
          </w:p>
        </w:tc>
        <w:tc>
          <w:tcPr>
            <w:tcW w:w="851" w:type="dxa"/>
            <w:vAlign w:val="bottom"/>
          </w:tcPr>
          <w:p w14:paraId="2C6DD368" w14:textId="0B71D418" w:rsidR="0038400E" w:rsidRPr="0012790E" w:rsidRDefault="005B4D8C" w:rsidP="0038400E">
            <w:pPr>
              <w:pStyle w:val="Summarytabletextrightaligned"/>
              <w:rPr>
                <w:szCs w:val="16"/>
              </w:rPr>
            </w:pPr>
            <w:r>
              <w:rPr>
                <w:szCs w:val="16"/>
              </w:rPr>
              <w:t>15.2</w:t>
            </w:r>
          </w:p>
        </w:tc>
      </w:tr>
      <w:tr w:rsidR="0012790E" w:rsidRPr="0012790E" w14:paraId="76B98985" w14:textId="77777777" w:rsidTr="54937204">
        <w:tc>
          <w:tcPr>
            <w:tcW w:w="3470" w:type="dxa"/>
            <w:shd w:val="clear" w:color="auto" w:fill="auto"/>
            <w:vAlign w:val="bottom"/>
          </w:tcPr>
          <w:p w14:paraId="10A9E6CD" w14:textId="77777777" w:rsidR="0012790E" w:rsidRPr="0012790E" w:rsidRDefault="0012790E">
            <w:pPr>
              <w:pStyle w:val="SummaryMeasureTitlewithTheme"/>
            </w:pPr>
            <w:r w:rsidRPr="0012790E">
              <w:t>National Disability Insurance Scheme – getting the NDIS back on track</w:t>
            </w:r>
          </w:p>
        </w:tc>
        <w:tc>
          <w:tcPr>
            <w:tcW w:w="851" w:type="dxa"/>
            <w:vAlign w:val="bottom"/>
          </w:tcPr>
          <w:p w14:paraId="6107F18E" w14:textId="77777777" w:rsidR="0012790E" w:rsidRPr="0012790E" w:rsidRDefault="0012790E">
            <w:pPr>
              <w:pStyle w:val="Summarytabletextrightaligned"/>
              <w:rPr>
                <w:szCs w:val="16"/>
              </w:rPr>
            </w:pPr>
            <w:r w:rsidRPr="0012790E">
              <w:rPr>
                <w:szCs w:val="16"/>
              </w:rPr>
              <w:t>0.5</w:t>
            </w:r>
          </w:p>
        </w:tc>
        <w:tc>
          <w:tcPr>
            <w:tcW w:w="851" w:type="dxa"/>
            <w:shd w:val="clear" w:color="auto" w:fill="E6F2FF"/>
            <w:vAlign w:val="bottom"/>
          </w:tcPr>
          <w:p w14:paraId="08CABF70" w14:textId="77777777" w:rsidR="0012790E" w:rsidRPr="0012790E" w:rsidRDefault="0012790E">
            <w:pPr>
              <w:pStyle w:val="Summarytabletextrightaligned"/>
              <w:rPr>
                <w:szCs w:val="16"/>
              </w:rPr>
            </w:pPr>
            <w:r w:rsidRPr="0012790E">
              <w:rPr>
                <w:szCs w:val="16"/>
              </w:rPr>
              <w:t>4.7</w:t>
            </w:r>
          </w:p>
        </w:tc>
        <w:tc>
          <w:tcPr>
            <w:tcW w:w="851" w:type="dxa"/>
            <w:vAlign w:val="bottom"/>
          </w:tcPr>
          <w:p w14:paraId="651EDFE9" w14:textId="77777777" w:rsidR="0012790E" w:rsidRPr="0012790E" w:rsidRDefault="0012790E">
            <w:pPr>
              <w:pStyle w:val="Summarytabletextrightaligned"/>
              <w:rPr>
                <w:szCs w:val="16"/>
              </w:rPr>
            </w:pPr>
            <w:r w:rsidRPr="0012790E">
              <w:rPr>
                <w:szCs w:val="16"/>
              </w:rPr>
              <w:t>0.3</w:t>
            </w:r>
          </w:p>
        </w:tc>
        <w:tc>
          <w:tcPr>
            <w:tcW w:w="851" w:type="dxa"/>
            <w:vAlign w:val="bottom"/>
          </w:tcPr>
          <w:p w14:paraId="6C80DEA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6E9E9C2" w14:textId="77777777" w:rsidR="0012790E" w:rsidRPr="0012790E" w:rsidRDefault="0012790E">
            <w:pPr>
              <w:pStyle w:val="Summarytabletextrightaligned"/>
              <w:rPr>
                <w:szCs w:val="16"/>
              </w:rPr>
            </w:pPr>
            <w:r w:rsidRPr="0012790E">
              <w:rPr>
                <w:szCs w:val="16"/>
              </w:rPr>
              <w:noBreakHyphen/>
            </w:r>
          </w:p>
        </w:tc>
      </w:tr>
      <w:tr w:rsidR="0012790E" w:rsidRPr="0012790E" w14:paraId="0EEF5DDD" w14:textId="77777777" w:rsidTr="54937204">
        <w:tc>
          <w:tcPr>
            <w:tcW w:w="3470" w:type="dxa"/>
            <w:tcBorders>
              <w:bottom w:val="single" w:sz="4" w:space="0" w:color="293F5B"/>
            </w:tcBorders>
            <w:shd w:val="clear" w:color="auto" w:fill="auto"/>
            <w:vAlign w:val="bottom"/>
          </w:tcPr>
          <w:p w14:paraId="46DDAF8C" w14:textId="77777777" w:rsidR="0012790E" w:rsidRPr="0012790E" w:rsidRDefault="0012790E">
            <w:pPr>
              <w:pStyle w:val="SummaryMeasureTitlewithTheme"/>
            </w:pPr>
            <w:r w:rsidRPr="0012790E">
              <w:t>National Joint Replacement Registry – additional funding(b)</w:t>
            </w:r>
          </w:p>
        </w:tc>
        <w:tc>
          <w:tcPr>
            <w:tcW w:w="851" w:type="dxa"/>
            <w:tcBorders>
              <w:bottom w:val="single" w:sz="4" w:space="0" w:color="293F5B"/>
            </w:tcBorders>
            <w:vAlign w:val="bottom"/>
          </w:tcPr>
          <w:p w14:paraId="41A46DFE" w14:textId="77777777" w:rsidR="0012790E" w:rsidRPr="0012790E" w:rsidRDefault="0012790E">
            <w:pPr>
              <w:pStyle w:val="Summarytabletextrightaligned"/>
              <w:rPr>
                <w:szCs w:val="16"/>
              </w:rPr>
            </w:pPr>
            <w:r w:rsidRPr="0012790E">
              <w:rPr>
                <w:szCs w:val="16"/>
              </w:rPr>
              <w:t>1.2</w:t>
            </w:r>
          </w:p>
        </w:tc>
        <w:tc>
          <w:tcPr>
            <w:tcW w:w="851" w:type="dxa"/>
            <w:tcBorders>
              <w:bottom w:val="single" w:sz="4" w:space="0" w:color="293F5B"/>
            </w:tcBorders>
            <w:shd w:val="clear" w:color="auto" w:fill="E6F2FF"/>
            <w:vAlign w:val="bottom"/>
          </w:tcPr>
          <w:p w14:paraId="5C1C84D6" w14:textId="77777777" w:rsidR="0012790E" w:rsidRPr="0012790E" w:rsidRDefault="0012790E">
            <w:pPr>
              <w:pStyle w:val="Summarytabletextrightaligned"/>
              <w:rPr>
                <w:szCs w:val="16"/>
              </w:rPr>
            </w:pPr>
            <w:r w:rsidRPr="0012790E">
              <w:rPr>
                <w:szCs w:val="16"/>
              </w:rPr>
              <w:t>1.6</w:t>
            </w:r>
          </w:p>
        </w:tc>
        <w:tc>
          <w:tcPr>
            <w:tcW w:w="851" w:type="dxa"/>
            <w:tcBorders>
              <w:bottom w:val="single" w:sz="4" w:space="0" w:color="293F5B"/>
            </w:tcBorders>
            <w:vAlign w:val="bottom"/>
          </w:tcPr>
          <w:p w14:paraId="4D20DE3B"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00FA6B22"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21ECA7D5" w14:textId="77777777" w:rsidR="0012790E" w:rsidRPr="0012790E" w:rsidRDefault="0012790E">
            <w:pPr>
              <w:pStyle w:val="Summarytabletextrightaligned"/>
              <w:rPr>
                <w:szCs w:val="16"/>
              </w:rPr>
            </w:pPr>
            <w:r w:rsidRPr="0012790E">
              <w:rPr>
                <w:szCs w:val="16"/>
              </w:rPr>
              <w:noBreakHyphen/>
            </w:r>
          </w:p>
        </w:tc>
      </w:tr>
    </w:tbl>
    <w:p w14:paraId="0FF0B135" w14:textId="77777777" w:rsidR="0012790E" w:rsidRPr="0012790E" w:rsidRDefault="0012790E" w:rsidP="0012790E">
      <w:pPr>
        <w:pStyle w:val="TableHeadingcontinued"/>
        <w:sectPr w:rsidR="0012790E" w:rsidRPr="0012790E" w:rsidSect="00EA5BFE">
          <w:headerReference w:type="even" r:id="rId66"/>
          <w:headerReference w:type="default" r:id="rId67"/>
          <w:footerReference w:type="even" r:id="rId68"/>
          <w:footerReference w:type="default" r:id="rId69"/>
          <w:footerReference w:type="first" r:id="rId70"/>
          <w:pgSz w:w="11905" w:h="16837"/>
          <w:pgMar w:top="2835" w:right="2098" w:bottom="2466" w:left="2098" w:header="1814" w:footer="1814" w:gutter="0"/>
          <w:cols w:space="720"/>
          <w:noEndnote/>
          <w:docGrid w:linePitch="272"/>
        </w:sectPr>
      </w:pPr>
    </w:p>
    <w:p w14:paraId="2CFE32ED" w14:textId="77777777" w:rsidR="0012790E" w:rsidRPr="0012790E" w:rsidRDefault="0012790E" w:rsidP="0012790E">
      <w:pPr>
        <w:pStyle w:val="TableHeadingcontinued"/>
        <w:rPr>
          <w:szCs w:val="16"/>
        </w:rPr>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045C1091" w14:textId="77777777" w:rsidTr="54937204">
        <w:tc>
          <w:tcPr>
            <w:tcW w:w="3470" w:type="dxa"/>
            <w:tcBorders>
              <w:top w:val="single" w:sz="4" w:space="0" w:color="293F5B"/>
            </w:tcBorders>
            <w:shd w:val="clear" w:color="auto" w:fill="auto"/>
            <w:vAlign w:val="bottom"/>
          </w:tcPr>
          <w:p w14:paraId="2EF469E4"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718F27B7"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1BF39A28"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6B6DC1FA"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6CB77EAA"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568340DC"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78C46A85" w14:textId="77777777" w:rsidTr="54937204">
        <w:tc>
          <w:tcPr>
            <w:tcW w:w="3470" w:type="dxa"/>
            <w:shd w:val="clear" w:color="auto" w:fill="auto"/>
            <w:vAlign w:val="bottom"/>
          </w:tcPr>
          <w:p w14:paraId="5AF43994" w14:textId="77777777" w:rsidR="0012790E" w:rsidRPr="0012790E" w:rsidRDefault="0012790E">
            <w:pPr>
              <w:pStyle w:val="Summarytabletextrightaligned"/>
            </w:pPr>
          </w:p>
        </w:tc>
        <w:tc>
          <w:tcPr>
            <w:tcW w:w="851" w:type="dxa"/>
            <w:tcBorders>
              <w:bottom w:val="single" w:sz="4" w:space="0" w:color="293F5B"/>
            </w:tcBorders>
            <w:vAlign w:val="bottom"/>
          </w:tcPr>
          <w:p w14:paraId="6651D7BA"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6CCDE929"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3276CDFF"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12C96C1B"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544511B0" w14:textId="77777777" w:rsidR="0012790E" w:rsidRPr="0012790E" w:rsidRDefault="0012790E">
            <w:pPr>
              <w:pStyle w:val="Summarytabletextrightaligned"/>
            </w:pPr>
            <w:r w:rsidRPr="0012790E">
              <w:t>$m</w:t>
            </w:r>
          </w:p>
        </w:tc>
      </w:tr>
      <w:tr w:rsidR="0012790E" w:rsidRPr="0012790E" w14:paraId="4953CAF6" w14:textId="77777777" w:rsidTr="54937204">
        <w:tc>
          <w:tcPr>
            <w:tcW w:w="3470" w:type="dxa"/>
            <w:shd w:val="clear" w:color="auto" w:fill="auto"/>
            <w:vAlign w:val="bottom"/>
          </w:tcPr>
          <w:p w14:paraId="22376B80" w14:textId="77777777" w:rsidR="0012790E" w:rsidRPr="0012790E" w:rsidRDefault="0012790E" w:rsidP="000D3386">
            <w:pPr>
              <w:pStyle w:val="SummaryMeasureTitlewithTheme"/>
              <w:ind w:hanging="340"/>
              <w:rPr>
                <w:rFonts w:cs="Arial"/>
                <w:b/>
              </w:rPr>
            </w:pPr>
            <w:r w:rsidRPr="0012790E">
              <w:rPr>
                <w:rFonts w:cs="Arial"/>
                <w:b/>
              </w:rPr>
              <w:t>HEALTH AND AGED CARE (continued)</w:t>
            </w:r>
          </w:p>
        </w:tc>
        <w:tc>
          <w:tcPr>
            <w:tcW w:w="851" w:type="dxa"/>
            <w:vAlign w:val="bottom"/>
          </w:tcPr>
          <w:p w14:paraId="4323D8A7" w14:textId="77777777" w:rsidR="0012790E" w:rsidRPr="0012790E" w:rsidRDefault="0012790E">
            <w:pPr>
              <w:pStyle w:val="Summarytabletextrightaligned"/>
              <w:rPr>
                <w:szCs w:val="16"/>
              </w:rPr>
            </w:pPr>
          </w:p>
        </w:tc>
        <w:tc>
          <w:tcPr>
            <w:tcW w:w="851" w:type="dxa"/>
            <w:shd w:val="clear" w:color="auto" w:fill="E6F2FF"/>
            <w:vAlign w:val="bottom"/>
          </w:tcPr>
          <w:p w14:paraId="513B5FA0" w14:textId="77777777" w:rsidR="0012790E" w:rsidRPr="0012790E" w:rsidRDefault="0012790E">
            <w:pPr>
              <w:pStyle w:val="Summarytabletextrightaligned"/>
              <w:rPr>
                <w:szCs w:val="16"/>
              </w:rPr>
            </w:pPr>
          </w:p>
        </w:tc>
        <w:tc>
          <w:tcPr>
            <w:tcW w:w="851" w:type="dxa"/>
            <w:vAlign w:val="bottom"/>
          </w:tcPr>
          <w:p w14:paraId="6DD0589C" w14:textId="77777777" w:rsidR="0012790E" w:rsidRPr="0012790E" w:rsidRDefault="0012790E">
            <w:pPr>
              <w:pStyle w:val="Summarytabletextrightaligned"/>
              <w:rPr>
                <w:szCs w:val="16"/>
              </w:rPr>
            </w:pPr>
          </w:p>
        </w:tc>
        <w:tc>
          <w:tcPr>
            <w:tcW w:w="851" w:type="dxa"/>
            <w:vAlign w:val="bottom"/>
          </w:tcPr>
          <w:p w14:paraId="6CE4508E" w14:textId="77777777" w:rsidR="0012790E" w:rsidRPr="0012790E" w:rsidRDefault="0012790E">
            <w:pPr>
              <w:pStyle w:val="Summarytabletextrightaligned"/>
              <w:rPr>
                <w:szCs w:val="16"/>
              </w:rPr>
            </w:pPr>
          </w:p>
        </w:tc>
        <w:tc>
          <w:tcPr>
            <w:tcW w:w="851" w:type="dxa"/>
            <w:vAlign w:val="bottom"/>
          </w:tcPr>
          <w:p w14:paraId="0DF34968" w14:textId="77777777" w:rsidR="0012790E" w:rsidRPr="0012790E" w:rsidRDefault="0012790E">
            <w:pPr>
              <w:pStyle w:val="Summarytabletextrightaligned"/>
              <w:rPr>
                <w:szCs w:val="16"/>
              </w:rPr>
            </w:pPr>
          </w:p>
        </w:tc>
      </w:tr>
      <w:tr w:rsidR="0012790E" w:rsidRPr="0012790E" w14:paraId="6EDA0779" w14:textId="77777777" w:rsidTr="54937204">
        <w:tc>
          <w:tcPr>
            <w:tcW w:w="3470" w:type="dxa"/>
            <w:shd w:val="clear" w:color="auto" w:fill="auto"/>
            <w:vAlign w:val="bottom"/>
          </w:tcPr>
          <w:p w14:paraId="2E9E1157" w14:textId="77777777" w:rsidR="0012790E" w:rsidRPr="0012790E" w:rsidRDefault="0012790E">
            <w:pPr>
              <w:pStyle w:val="SummaryMeasureTitlewithTheme"/>
            </w:pPr>
            <w:r w:rsidRPr="0012790E">
              <w:t>National Strategies for Bloodborne Viruses and Sexually Transmissible Infections – continuation and expansion</w:t>
            </w:r>
          </w:p>
        </w:tc>
        <w:tc>
          <w:tcPr>
            <w:tcW w:w="851" w:type="dxa"/>
            <w:vAlign w:val="bottom"/>
          </w:tcPr>
          <w:p w14:paraId="010C0582"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53C09F8" w14:textId="77777777" w:rsidR="0012790E" w:rsidRPr="0012790E" w:rsidRDefault="0012790E">
            <w:pPr>
              <w:pStyle w:val="Summarytabletextrightaligned"/>
              <w:rPr>
                <w:szCs w:val="16"/>
              </w:rPr>
            </w:pPr>
            <w:r w:rsidRPr="0012790E">
              <w:rPr>
                <w:szCs w:val="16"/>
              </w:rPr>
              <w:t>66.2</w:t>
            </w:r>
          </w:p>
        </w:tc>
        <w:tc>
          <w:tcPr>
            <w:tcW w:w="851" w:type="dxa"/>
            <w:vAlign w:val="bottom"/>
          </w:tcPr>
          <w:p w14:paraId="2B573C59" w14:textId="77777777" w:rsidR="0012790E" w:rsidRPr="0012790E" w:rsidRDefault="0012790E">
            <w:pPr>
              <w:pStyle w:val="Summarytabletextrightaligned"/>
              <w:rPr>
                <w:szCs w:val="16"/>
              </w:rPr>
            </w:pPr>
            <w:r w:rsidRPr="0012790E">
              <w:rPr>
                <w:szCs w:val="16"/>
              </w:rPr>
              <w:t>60.3</w:t>
            </w:r>
          </w:p>
        </w:tc>
        <w:tc>
          <w:tcPr>
            <w:tcW w:w="851" w:type="dxa"/>
            <w:vAlign w:val="bottom"/>
          </w:tcPr>
          <w:p w14:paraId="4CB2EBB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708921D" w14:textId="77777777" w:rsidR="0012790E" w:rsidRPr="0012790E" w:rsidRDefault="0012790E">
            <w:pPr>
              <w:pStyle w:val="Summarytabletextrightaligned"/>
              <w:rPr>
                <w:szCs w:val="16"/>
              </w:rPr>
            </w:pPr>
            <w:r w:rsidRPr="0012790E">
              <w:rPr>
                <w:szCs w:val="16"/>
              </w:rPr>
              <w:noBreakHyphen/>
            </w:r>
          </w:p>
        </w:tc>
      </w:tr>
      <w:tr w:rsidR="0012790E" w:rsidRPr="0012790E" w14:paraId="593DDD92" w14:textId="77777777" w:rsidTr="54937204">
        <w:tc>
          <w:tcPr>
            <w:tcW w:w="3470" w:type="dxa"/>
            <w:shd w:val="clear" w:color="auto" w:fill="auto"/>
            <w:vAlign w:val="bottom"/>
          </w:tcPr>
          <w:p w14:paraId="3D5D9BDA" w14:textId="77777777" w:rsidR="0012790E" w:rsidRPr="0012790E" w:rsidRDefault="0012790E">
            <w:pPr>
              <w:pStyle w:val="SummaryMeasureTitlewithTheme"/>
            </w:pPr>
            <w:r w:rsidRPr="0012790E">
              <w:t>Permanent Migration Program – 2024</w:t>
            </w:r>
            <w:r w:rsidRPr="0012790E">
              <w:noBreakHyphen/>
              <w:t>25 planning levels and multi</w:t>
            </w:r>
            <w:r w:rsidRPr="0012790E">
              <w:noBreakHyphen/>
              <w:t>year planning(b)</w:t>
            </w:r>
          </w:p>
        </w:tc>
        <w:tc>
          <w:tcPr>
            <w:tcW w:w="851" w:type="dxa"/>
            <w:vAlign w:val="bottom"/>
          </w:tcPr>
          <w:p w14:paraId="4B30CD7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A463A53" w14:textId="77777777" w:rsidR="0012790E" w:rsidRPr="0012790E" w:rsidRDefault="0012790E">
            <w:pPr>
              <w:pStyle w:val="Summarytabletextrightaligned"/>
              <w:rPr>
                <w:szCs w:val="16"/>
              </w:rPr>
            </w:pPr>
            <w:r w:rsidRPr="0012790E">
              <w:rPr>
                <w:szCs w:val="16"/>
              </w:rPr>
              <w:noBreakHyphen/>
              <w:t>3.2</w:t>
            </w:r>
          </w:p>
        </w:tc>
        <w:tc>
          <w:tcPr>
            <w:tcW w:w="851" w:type="dxa"/>
            <w:vAlign w:val="bottom"/>
          </w:tcPr>
          <w:p w14:paraId="6338468F" w14:textId="77777777" w:rsidR="0012790E" w:rsidRPr="0012790E" w:rsidRDefault="0012790E">
            <w:pPr>
              <w:pStyle w:val="Summarytabletextrightaligned"/>
              <w:rPr>
                <w:szCs w:val="16"/>
              </w:rPr>
            </w:pPr>
            <w:r w:rsidRPr="0012790E">
              <w:rPr>
                <w:szCs w:val="16"/>
              </w:rPr>
              <w:noBreakHyphen/>
              <w:t>6.3</w:t>
            </w:r>
          </w:p>
        </w:tc>
        <w:tc>
          <w:tcPr>
            <w:tcW w:w="851" w:type="dxa"/>
            <w:vAlign w:val="bottom"/>
          </w:tcPr>
          <w:p w14:paraId="00F7D5F0" w14:textId="77777777" w:rsidR="0012790E" w:rsidRPr="0012790E" w:rsidRDefault="0012790E">
            <w:pPr>
              <w:pStyle w:val="Summarytabletextrightaligned"/>
              <w:rPr>
                <w:szCs w:val="16"/>
              </w:rPr>
            </w:pPr>
            <w:r w:rsidRPr="0012790E">
              <w:rPr>
                <w:szCs w:val="16"/>
              </w:rPr>
              <w:noBreakHyphen/>
              <w:t>6.6</w:t>
            </w:r>
          </w:p>
        </w:tc>
        <w:tc>
          <w:tcPr>
            <w:tcW w:w="851" w:type="dxa"/>
            <w:vAlign w:val="bottom"/>
          </w:tcPr>
          <w:p w14:paraId="3ED70093" w14:textId="77777777" w:rsidR="0012790E" w:rsidRPr="0012790E" w:rsidRDefault="0012790E">
            <w:pPr>
              <w:pStyle w:val="Summarytabletextrightaligned"/>
              <w:rPr>
                <w:szCs w:val="16"/>
              </w:rPr>
            </w:pPr>
            <w:r w:rsidRPr="0012790E">
              <w:rPr>
                <w:szCs w:val="16"/>
              </w:rPr>
              <w:noBreakHyphen/>
              <w:t>6.8</w:t>
            </w:r>
          </w:p>
        </w:tc>
      </w:tr>
      <w:tr w:rsidR="0012790E" w:rsidRPr="0012790E" w14:paraId="02EC87E5" w14:textId="77777777" w:rsidTr="54937204">
        <w:tc>
          <w:tcPr>
            <w:tcW w:w="3470" w:type="dxa"/>
            <w:shd w:val="clear" w:color="auto" w:fill="auto"/>
            <w:vAlign w:val="bottom"/>
          </w:tcPr>
          <w:p w14:paraId="356A0AFF" w14:textId="77777777" w:rsidR="0012790E" w:rsidRPr="0012790E" w:rsidRDefault="0012790E">
            <w:pPr>
              <w:pStyle w:val="SummaryMeasureTitlewithTheme"/>
            </w:pPr>
            <w:r w:rsidRPr="0012790E">
              <w:t>Pharmaceutical Benefits Scheme (PBS) – new and amended listings(b)</w:t>
            </w:r>
          </w:p>
        </w:tc>
        <w:tc>
          <w:tcPr>
            <w:tcW w:w="851" w:type="dxa"/>
            <w:vAlign w:val="bottom"/>
          </w:tcPr>
          <w:p w14:paraId="4034B420" w14:textId="77777777" w:rsidR="0012790E" w:rsidRPr="0012790E" w:rsidRDefault="0012790E">
            <w:pPr>
              <w:pStyle w:val="Summarytabletextrightaligned"/>
              <w:rPr>
                <w:szCs w:val="16"/>
              </w:rPr>
            </w:pPr>
            <w:r w:rsidRPr="0012790E">
              <w:rPr>
                <w:szCs w:val="16"/>
              </w:rPr>
              <w:t>324.1</w:t>
            </w:r>
          </w:p>
        </w:tc>
        <w:tc>
          <w:tcPr>
            <w:tcW w:w="851" w:type="dxa"/>
            <w:shd w:val="clear" w:color="auto" w:fill="E6F2FF"/>
            <w:vAlign w:val="bottom"/>
          </w:tcPr>
          <w:p w14:paraId="40EF0126" w14:textId="77777777" w:rsidR="0012790E" w:rsidRPr="0012790E" w:rsidRDefault="0012790E">
            <w:pPr>
              <w:pStyle w:val="Summarytabletextrightaligned"/>
              <w:rPr>
                <w:szCs w:val="16"/>
              </w:rPr>
            </w:pPr>
            <w:r w:rsidRPr="0012790E">
              <w:rPr>
                <w:szCs w:val="16"/>
              </w:rPr>
              <w:t>1,023.1</w:t>
            </w:r>
          </w:p>
        </w:tc>
        <w:tc>
          <w:tcPr>
            <w:tcW w:w="851" w:type="dxa"/>
            <w:vAlign w:val="bottom"/>
          </w:tcPr>
          <w:p w14:paraId="2C0BDA42" w14:textId="77777777" w:rsidR="0012790E" w:rsidRPr="0012790E" w:rsidRDefault="0012790E">
            <w:pPr>
              <w:pStyle w:val="Summarytabletextrightaligned"/>
              <w:rPr>
                <w:szCs w:val="16"/>
              </w:rPr>
            </w:pPr>
            <w:r w:rsidRPr="0012790E">
              <w:rPr>
                <w:szCs w:val="16"/>
              </w:rPr>
              <w:t>872.2</w:t>
            </w:r>
          </w:p>
        </w:tc>
        <w:tc>
          <w:tcPr>
            <w:tcW w:w="851" w:type="dxa"/>
            <w:vAlign w:val="bottom"/>
          </w:tcPr>
          <w:p w14:paraId="5DC0EC71" w14:textId="77777777" w:rsidR="0012790E" w:rsidRPr="0012790E" w:rsidRDefault="0012790E">
            <w:pPr>
              <w:pStyle w:val="Summarytabletextrightaligned"/>
              <w:rPr>
                <w:szCs w:val="16"/>
              </w:rPr>
            </w:pPr>
            <w:r w:rsidRPr="0012790E">
              <w:rPr>
                <w:szCs w:val="16"/>
              </w:rPr>
              <w:t>534.3</w:t>
            </w:r>
          </w:p>
        </w:tc>
        <w:tc>
          <w:tcPr>
            <w:tcW w:w="851" w:type="dxa"/>
            <w:vAlign w:val="bottom"/>
          </w:tcPr>
          <w:p w14:paraId="4D3B9C6B" w14:textId="77777777" w:rsidR="0012790E" w:rsidRPr="0012790E" w:rsidRDefault="0012790E">
            <w:pPr>
              <w:pStyle w:val="Summarytabletextrightaligned"/>
              <w:rPr>
                <w:szCs w:val="16"/>
              </w:rPr>
            </w:pPr>
            <w:r w:rsidRPr="0012790E">
              <w:rPr>
                <w:szCs w:val="16"/>
              </w:rPr>
              <w:t>556.5</w:t>
            </w:r>
          </w:p>
        </w:tc>
      </w:tr>
      <w:tr w:rsidR="0012790E" w:rsidRPr="0012790E" w14:paraId="5CB1DA9E" w14:textId="77777777" w:rsidTr="54937204">
        <w:tc>
          <w:tcPr>
            <w:tcW w:w="3470" w:type="dxa"/>
            <w:shd w:val="clear" w:color="auto" w:fill="auto"/>
            <w:vAlign w:val="bottom"/>
          </w:tcPr>
          <w:p w14:paraId="4726198F" w14:textId="77777777" w:rsidR="0012790E" w:rsidRPr="0012790E" w:rsidRDefault="0012790E">
            <w:pPr>
              <w:pStyle w:val="SummaryMeasureTitlewithTheme"/>
            </w:pPr>
            <w:r w:rsidRPr="0012790E">
              <w:t>Portfolio Administrative Matters</w:t>
            </w:r>
          </w:p>
        </w:tc>
        <w:tc>
          <w:tcPr>
            <w:tcW w:w="851" w:type="dxa"/>
            <w:vAlign w:val="bottom"/>
          </w:tcPr>
          <w:p w14:paraId="1BAF53BA" w14:textId="77777777" w:rsidR="0012790E" w:rsidRPr="0012790E" w:rsidRDefault="0012790E">
            <w:pPr>
              <w:pStyle w:val="Summarytabletextrightaligned"/>
              <w:rPr>
                <w:szCs w:val="16"/>
              </w:rPr>
            </w:pPr>
            <w:r w:rsidRPr="0012790E">
              <w:rPr>
                <w:szCs w:val="16"/>
              </w:rPr>
              <w:t>7.0</w:t>
            </w:r>
          </w:p>
        </w:tc>
        <w:tc>
          <w:tcPr>
            <w:tcW w:w="851" w:type="dxa"/>
            <w:shd w:val="clear" w:color="auto" w:fill="E6F2FF"/>
            <w:vAlign w:val="bottom"/>
          </w:tcPr>
          <w:p w14:paraId="302BC9B5" w14:textId="77777777" w:rsidR="0012790E" w:rsidRPr="0012790E" w:rsidRDefault="0012790E">
            <w:pPr>
              <w:pStyle w:val="Summarytabletextrightaligned"/>
              <w:rPr>
                <w:szCs w:val="16"/>
              </w:rPr>
            </w:pPr>
            <w:r w:rsidRPr="0012790E">
              <w:rPr>
                <w:szCs w:val="16"/>
              </w:rPr>
              <w:t>24.2</w:t>
            </w:r>
          </w:p>
        </w:tc>
        <w:tc>
          <w:tcPr>
            <w:tcW w:w="851" w:type="dxa"/>
            <w:vAlign w:val="bottom"/>
          </w:tcPr>
          <w:p w14:paraId="1AE5F501" w14:textId="77777777" w:rsidR="0012790E" w:rsidRPr="0012790E" w:rsidRDefault="0012790E">
            <w:pPr>
              <w:pStyle w:val="Summarytabletextrightaligned"/>
              <w:rPr>
                <w:szCs w:val="16"/>
              </w:rPr>
            </w:pPr>
            <w:r w:rsidRPr="0012790E">
              <w:rPr>
                <w:szCs w:val="16"/>
              </w:rPr>
              <w:t>22.7</w:t>
            </w:r>
          </w:p>
        </w:tc>
        <w:tc>
          <w:tcPr>
            <w:tcW w:w="851" w:type="dxa"/>
            <w:vAlign w:val="bottom"/>
          </w:tcPr>
          <w:p w14:paraId="02F4EF73" w14:textId="77777777" w:rsidR="0012790E" w:rsidRPr="0012790E" w:rsidRDefault="0012790E">
            <w:pPr>
              <w:pStyle w:val="Summarytabletextrightaligned"/>
              <w:rPr>
                <w:szCs w:val="16"/>
              </w:rPr>
            </w:pPr>
            <w:r w:rsidRPr="0012790E">
              <w:rPr>
                <w:szCs w:val="16"/>
              </w:rPr>
              <w:t>10.6</w:t>
            </w:r>
          </w:p>
        </w:tc>
        <w:tc>
          <w:tcPr>
            <w:tcW w:w="851" w:type="dxa"/>
            <w:vAlign w:val="bottom"/>
          </w:tcPr>
          <w:p w14:paraId="0992B837" w14:textId="77777777" w:rsidR="0012790E" w:rsidRPr="0012790E" w:rsidRDefault="0012790E">
            <w:pPr>
              <w:pStyle w:val="Summarytabletextrightaligned"/>
              <w:rPr>
                <w:szCs w:val="16"/>
              </w:rPr>
            </w:pPr>
            <w:r w:rsidRPr="0012790E">
              <w:rPr>
                <w:szCs w:val="16"/>
              </w:rPr>
              <w:t>8.8</w:t>
            </w:r>
          </w:p>
        </w:tc>
      </w:tr>
      <w:tr w:rsidR="00D42B10" w:rsidRPr="0012790E" w14:paraId="3D8FFCB4" w14:textId="77777777" w:rsidTr="54937204">
        <w:tc>
          <w:tcPr>
            <w:tcW w:w="3470" w:type="dxa"/>
            <w:shd w:val="clear" w:color="auto" w:fill="auto"/>
            <w:vAlign w:val="bottom"/>
          </w:tcPr>
          <w:p w14:paraId="2E1CB88E" w14:textId="77777777" w:rsidR="00D42B10" w:rsidRPr="0012790E" w:rsidRDefault="00D42B10" w:rsidP="00D42B10">
            <w:pPr>
              <w:pStyle w:val="SummaryMeasureTitlewithTheme"/>
            </w:pPr>
            <w:r w:rsidRPr="0012790E">
              <w:t>Preventive Health</w:t>
            </w:r>
          </w:p>
        </w:tc>
        <w:tc>
          <w:tcPr>
            <w:tcW w:w="851" w:type="dxa"/>
            <w:vAlign w:val="bottom"/>
          </w:tcPr>
          <w:p w14:paraId="1EE0EFFD" w14:textId="77777777" w:rsidR="00D42B10" w:rsidRPr="0012790E" w:rsidRDefault="00D42B10" w:rsidP="00D42B10">
            <w:pPr>
              <w:pStyle w:val="Summarytabletextrightaligned"/>
              <w:rPr>
                <w:szCs w:val="16"/>
              </w:rPr>
            </w:pPr>
            <w:r w:rsidRPr="0012790E">
              <w:rPr>
                <w:szCs w:val="16"/>
              </w:rPr>
              <w:noBreakHyphen/>
            </w:r>
          </w:p>
        </w:tc>
        <w:tc>
          <w:tcPr>
            <w:tcW w:w="851" w:type="dxa"/>
            <w:shd w:val="clear" w:color="auto" w:fill="E6F2FF"/>
            <w:vAlign w:val="bottom"/>
          </w:tcPr>
          <w:p w14:paraId="36636C91" w14:textId="28E2452F" w:rsidR="00D42B10" w:rsidRPr="0012790E" w:rsidRDefault="000E41E9" w:rsidP="00D42B10">
            <w:pPr>
              <w:pStyle w:val="Summarytabletextrightaligned"/>
              <w:rPr>
                <w:szCs w:val="16"/>
              </w:rPr>
            </w:pPr>
            <w:r>
              <w:rPr>
                <w:szCs w:val="16"/>
              </w:rPr>
              <w:t>205.2</w:t>
            </w:r>
          </w:p>
        </w:tc>
        <w:tc>
          <w:tcPr>
            <w:tcW w:w="851" w:type="dxa"/>
            <w:vAlign w:val="bottom"/>
          </w:tcPr>
          <w:p w14:paraId="1F48BE3C" w14:textId="0B84D2DA" w:rsidR="00D42B10" w:rsidRPr="0012790E" w:rsidRDefault="000E41E9" w:rsidP="00D42B10">
            <w:pPr>
              <w:pStyle w:val="Summarytabletextrightaligned"/>
              <w:rPr>
                <w:szCs w:val="16"/>
              </w:rPr>
            </w:pPr>
            <w:r>
              <w:rPr>
                <w:szCs w:val="16"/>
              </w:rPr>
              <w:t>203.2</w:t>
            </w:r>
          </w:p>
        </w:tc>
        <w:tc>
          <w:tcPr>
            <w:tcW w:w="851" w:type="dxa"/>
            <w:vAlign w:val="bottom"/>
          </w:tcPr>
          <w:p w14:paraId="44B6C92E" w14:textId="77777777" w:rsidR="00D42B10" w:rsidRPr="0012790E" w:rsidRDefault="00D42B10" w:rsidP="00D42B10">
            <w:pPr>
              <w:pStyle w:val="Summarytabletextrightaligned"/>
              <w:rPr>
                <w:szCs w:val="16"/>
              </w:rPr>
            </w:pPr>
            <w:r w:rsidRPr="0012790E">
              <w:rPr>
                <w:szCs w:val="16"/>
              </w:rPr>
              <w:t>12.3</w:t>
            </w:r>
          </w:p>
        </w:tc>
        <w:tc>
          <w:tcPr>
            <w:tcW w:w="851" w:type="dxa"/>
            <w:vAlign w:val="bottom"/>
          </w:tcPr>
          <w:p w14:paraId="3350CB32" w14:textId="77777777" w:rsidR="00D42B10" w:rsidRPr="0012790E" w:rsidRDefault="00D42B10" w:rsidP="00D42B10">
            <w:pPr>
              <w:pStyle w:val="Summarytabletextrightaligned"/>
              <w:rPr>
                <w:szCs w:val="16"/>
              </w:rPr>
            </w:pPr>
            <w:r w:rsidRPr="0012790E">
              <w:rPr>
                <w:szCs w:val="16"/>
              </w:rPr>
              <w:t>12.4</w:t>
            </w:r>
          </w:p>
        </w:tc>
      </w:tr>
      <w:tr w:rsidR="0012790E" w:rsidRPr="0012790E" w14:paraId="1CDD477B" w14:textId="77777777" w:rsidTr="54937204">
        <w:tc>
          <w:tcPr>
            <w:tcW w:w="3470" w:type="dxa"/>
            <w:shd w:val="clear" w:color="auto" w:fill="auto"/>
            <w:vAlign w:val="bottom"/>
          </w:tcPr>
          <w:p w14:paraId="57DE606D" w14:textId="77777777" w:rsidR="0012790E" w:rsidRPr="0012790E" w:rsidRDefault="0012790E">
            <w:pPr>
              <w:pStyle w:val="SummaryMeasureTitlewithTheme"/>
            </w:pPr>
            <w:r w:rsidRPr="0012790E">
              <w:t>Reform of Veterans' Compensation Legislation</w:t>
            </w:r>
          </w:p>
        </w:tc>
        <w:tc>
          <w:tcPr>
            <w:tcW w:w="851" w:type="dxa"/>
            <w:vAlign w:val="bottom"/>
          </w:tcPr>
          <w:p w14:paraId="09262A0A"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8277F7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E5132FF"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C1E40C5" w14:textId="0199A035" w:rsidR="0012790E" w:rsidRPr="0012790E" w:rsidRDefault="00EA4D44">
            <w:pPr>
              <w:pStyle w:val="Summarytabletextrightaligned"/>
              <w:rPr>
                <w:szCs w:val="16"/>
              </w:rPr>
            </w:pPr>
            <w:r>
              <w:rPr>
                <w:szCs w:val="16"/>
              </w:rPr>
              <w:t>-</w:t>
            </w:r>
          </w:p>
        </w:tc>
        <w:tc>
          <w:tcPr>
            <w:tcW w:w="851" w:type="dxa"/>
            <w:vAlign w:val="bottom"/>
          </w:tcPr>
          <w:p w14:paraId="3FA7A121" w14:textId="7DA3CEC4" w:rsidR="0012790E" w:rsidRPr="0012790E" w:rsidRDefault="00EA4D44">
            <w:pPr>
              <w:pStyle w:val="Summarytabletextrightaligned"/>
              <w:rPr>
                <w:szCs w:val="16"/>
              </w:rPr>
            </w:pPr>
            <w:r>
              <w:rPr>
                <w:szCs w:val="16"/>
              </w:rPr>
              <w:t>-</w:t>
            </w:r>
          </w:p>
        </w:tc>
      </w:tr>
      <w:tr w:rsidR="0012790E" w:rsidRPr="0012790E" w14:paraId="2289B9D9" w14:textId="77777777" w:rsidTr="54937204">
        <w:tc>
          <w:tcPr>
            <w:tcW w:w="3470" w:type="dxa"/>
            <w:shd w:val="clear" w:color="auto" w:fill="auto"/>
            <w:vAlign w:val="bottom"/>
          </w:tcPr>
          <w:p w14:paraId="700C0103" w14:textId="77777777" w:rsidR="0012790E" w:rsidRPr="0012790E" w:rsidRDefault="0012790E">
            <w:pPr>
              <w:pStyle w:val="SummaryMeasureTitlewithTheme"/>
            </w:pPr>
            <w:r w:rsidRPr="0012790E">
              <w:t>Reforms to Migrant and Refugee Settlement Services</w:t>
            </w:r>
          </w:p>
        </w:tc>
        <w:tc>
          <w:tcPr>
            <w:tcW w:w="851" w:type="dxa"/>
            <w:vAlign w:val="bottom"/>
          </w:tcPr>
          <w:p w14:paraId="178FCD4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2C3A42C" w14:textId="77777777" w:rsidR="0012790E" w:rsidRPr="0012790E" w:rsidRDefault="0012790E">
            <w:pPr>
              <w:pStyle w:val="Summarytabletextrightaligned"/>
              <w:rPr>
                <w:szCs w:val="16"/>
              </w:rPr>
            </w:pPr>
            <w:r w:rsidRPr="0012790E">
              <w:rPr>
                <w:szCs w:val="16"/>
              </w:rPr>
              <w:t>0.4</w:t>
            </w:r>
          </w:p>
        </w:tc>
        <w:tc>
          <w:tcPr>
            <w:tcW w:w="851" w:type="dxa"/>
            <w:vAlign w:val="bottom"/>
          </w:tcPr>
          <w:p w14:paraId="267DCB02" w14:textId="77777777" w:rsidR="0012790E" w:rsidRPr="0012790E" w:rsidRDefault="0012790E">
            <w:pPr>
              <w:pStyle w:val="Summarytabletextrightaligned"/>
              <w:rPr>
                <w:szCs w:val="16"/>
              </w:rPr>
            </w:pPr>
            <w:r w:rsidRPr="0012790E">
              <w:rPr>
                <w:szCs w:val="16"/>
              </w:rPr>
              <w:t>0.6</w:t>
            </w:r>
          </w:p>
        </w:tc>
        <w:tc>
          <w:tcPr>
            <w:tcW w:w="851" w:type="dxa"/>
            <w:vAlign w:val="bottom"/>
          </w:tcPr>
          <w:p w14:paraId="42E1C6D9" w14:textId="77777777" w:rsidR="0012790E" w:rsidRPr="0012790E" w:rsidRDefault="0012790E">
            <w:pPr>
              <w:pStyle w:val="Summarytabletextrightaligned"/>
              <w:rPr>
                <w:szCs w:val="16"/>
              </w:rPr>
            </w:pPr>
            <w:r w:rsidRPr="0012790E">
              <w:rPr>
                <w:szCs w:val="16"/>
              </w:rPr>
              <w:t>0.7</w:t>
            </w:r>
          </w:p>
        </w:tc>
        <w:tc>
          <w:tcPr>
            <w:tcW w:w="851" w:type="dxa"/>
            <w:vAlign w:val="bottom"/>
          </w:tcPr>
          <w:p w14:paraId="6A96495F" w14:textId="77777777" w:rsidR="0012790E" w:rsidRPr="0012790E" w:rsidRDefault="0012790E">
            <w:pPr>
              <w:pStyle w:val="Summarytabletextrightaligned"/>
              <w:rPr>
                <w:szCs w:val="16"/>
              </w:rPr>
            </w:pPr>
            <w:r w:rsidRPr="0012790E">
              <w:rPr>
                <w:szCs w:val="16"/>
              </w:rPr>
              <w:t>..</w:t>
            </w:r>
          </w:p>
        </w:tc>
      </w:tr>
      <w:tr w:rsidR="0012790E" w:rsidRPr="0012790E" w14:paraId="13169D7F" w14:textId="77777777" w:rsidTr="54937204">
        <w:tc>
          <w:tcPr>
            <w:tcW w:w="3470" w:type="dxa"/>
            <w:shd w:val="clear" w:color="auto" w:fill="auto"/>
            <w:vAlign w:val="bottom"/>
          </w:tcPr>
          <w:p w14:paraId="18AB88BC" w14:textId="77777777" w:rsidR="0012790E" w:rsidRPr="0012790E" w:rsidRDefault="0012790E">
            <w:pPr>
              <w:pStyle w:val="SummaryMeasureTitlewithTheme"/>
            </w:pPr>
            <w:r w:rsidRPr="0012790E">
              <w:t>Response to HIV Taskforce Recommendations – eliminating HIV in Australia</w:t>
            </w:r>
          </w:p>
        </w:tc>
        <w:tc>
          <w:tcPr>
            <w:tcW w:w="851" w:type="dxa"/>
            <w:vAlign w:val="bottom"/>
          </w:tcPr>
          <w:p w14:paraId="07A9520B"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5BD16E3" w14:textId="77777777" w:rsidR="0012790E" w:rsidRPr="0012790E" w:rsidRDefault="0012790E">
            <w:pPr>
              <w:pStyle w:val="Summarytabletextrightaligned"/>
              <w:rPr>
                <w:szCs w:val="16"/>
              </w:rPr>
            </w:pPr>
            <w:r w:rsidRPr="0012790E">
              <w:rPr>
                <w:szCs w:val="16"/>
              </w:rPr>
              <w:t>9.8</w:t>
            </w:r>
          </w:p>
        </w:tc>
        <w:tc>
          <w:tcPr>
            <w:tcW w:w="851" w:type="dxa"/>
            <w:vAlign w:val="bottom"/>
          </w:tcPr>
          <w:p w14:paraId="4223C05B" w14:textId="77777777" w:rsidR="0012790E" w:rsidRPr="0012790E" w:rsidRDefault="0012790E">
            <w:pPr>
              <w:pStyle w:val="Summarytabletextrightaligned"/>
              <w:rPr>
                <w:szCs w:val="16"/>
              </w:rPr>
            </w:pPr>
            <w:r w:rsidRPr="0012790E">
              <w:rPr>
                <w:szCs w:val="16"/>
              </w:rPr>
              <w:t>8.0</w:t>
            </w:r>
          </w:p>
        </w:tc>
        <w:tc>
          <w:tcPr>
            <w:tcW w:w="851" w:type="dxa"/>
            <w:vAlign w:val="bottom"/>
          </w:tcPr>
          <w:p w14:paraId="70973E3E"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53BD2E5" w14:textId="77777777" w:rsidR="0012790E" w:rsidRPr="0012790E" w:rsidRDefault="0012790E">
            <w:pPr>
              <w:pStyle w:val="Summarytabletextrightaligned"/>
              <w:rPr>
                <w:szCs w:val="16"/>
              </w:rPr>
            </w:pPr>
            <w:r w:rsidRPr="0012790E">
              <w:rPr>
                <w:szCs w:val="16"/>
              </w:rPr>
              <w:noBreakHyphen/>
            </w:r>
          </w:p>
        </w:tc>
      </w:tr>
      <w:tr w:rsidR="0012790E" w:rsidRPr="0012790E" w14:paraId="669D7BC9" w14:textId="77777777" w:rsidTr="54937204">
        <w:tc>
          <w:tcPr>
            <w:tcW w:w="3470" w:type="dxa"/>
            <w:shd w:val="clear" w:color="auto" w:fill="auto"/>
            <w:vAlign w:val="bottom"/>
          </w:tcPr>
          <w:p w14:paraId="65A4BFD1" w14:textId="77777777" w:rsidR="0012790E" w:rsidRPr="0012790E" w:rsidRDefault="0012790E">
            <w:pPr>
              <w:pStyle w:val="SummaryMeasureTitlewithTheme"/>
            </w:pPr>
            <w:r w:rsidRPr="0012790E">
              <w:t>Securing Cheaper Medicines(b)</w:t>
            </w:r>
          </w:p>
        </w:tc>
        <w:tc>
          <w:tcPr>
            <w:tcW w:w="851" w:type="dxa"/>
            <w:vAlign w:val="bottom"/>
          </w:tcPr>
          <w:p w14:paraId="7C5F94FB" w14:textId="77777777" w:rsidR="0012790E" w:rsidRPr="0012790E" w:rsidRDefault="0012790E">
            <w:pPr>
              <w:pStyle w:val="Summarytabletextrightaligned"/>
              <w:rPr>
                <w:szCs w:val="16"/>
              </w:rPr>
            </w:pPr>
            <w:r w:rsidRPr="0012790E">
              <w:rPr>
                <w:szCs w:val="16"/>
              </w:rPr>
              <w:t>..</w:t>
            </w:r>
          </w:p>
        </w:tc>
        <w:tc>
          <w:tcPr>
            <w:tcW w:w="851" w:type="dxa"/>
            <w:shd w:val="clear" w:color="auto" w:fill="E6F2FF"/>
            <w:vAlign w:val="bottom"/>
          </w:tcPr>
          <w:p w14:paraId="79E35C23"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2252ADC4" w14:textId="77777777" w:rsidR="0012790E" w:rsidRPr="0012790E" w:rsidRDefault="0012790E">
            <w:pPr>
              <w:pStyle w:val="Summarytabletextrightaligned"/>
              <w:rPr>
                <w:szCs w:val="16"/>
              </w:rPr>
            </w:pPr>
            <w:r w:rsidRPr="0012790E">
              <w:rPr>
                <w:szCs w:val="16"/>
              </w:rPr>
              <w:t>103.3</w:t>
            </w:r>
          </w:p>
        </w:tc>
        <w:tc>
          <w:tcPr>
            <w:tcW w:w="851" w:type="dxa"/>
            <w:vAlign w:val="bottom"/>
          </w:tcPr>
          <w:p w14:paraId="58E10634" w14:textId="77777777" w:rsidR="0012790E" w:rsidRPr="0012790E" w:rsidRDefault="0012790E">
            <w:pPr>
              <w:pStyle w:val="Summarytabletextrightaligned"/>
              <w:rPr>
                <w:szCs w:val="16"/>
              </w:rPr>
            </w:pPr>
            <w:r w:rsidRPr="0012790E">
              <w:rPr>
                <w:szCs w:val="16"/>
              </w:rPr>
              <w:t>143.6</w:t>
            </w:r>
          </w:p>
        </w:tc>
        <w:tc>
          <w:tcPr>
            <w:tcW w:w="851" w:type="dxa"/>
            <w:vAlign w:val="bottom"/>
          </w:tcPr>
          <w:p w14:paraId="4BB7D61A" w14:textId="77777777" w:rsidR="0012790E" w:rsidRPr="0012790E" w:rsidRDefault="0012790E">
            <w:pPr>
              <w:pStyle w:val="Summarytabletextrightaligned"/>
              <w:rPr>
                <w:szCs w:val="16"/>
              </w:rPr>
            </w:pPr>
            <w:r w:rsidRPr="0012790E">
              <w:rPr>
                <w:szCs w:val="16"/>
              </w:rPr>
              <w:t>177.8</w:t>
            </w:r>
          </w:p>
        </w:tc>
      </w:tr>
      <w:tr w:rsidR="0012790E" w:rsidRPr="0012790E" w14:paraId="56CB78EE" w14:textId="77777777" w:rsidTr="54937204">
        <w:tc>
          <w:tcPr>
            <w:tcW w:w="3470" w:type="dxa"/>
            <w:shd w:val="clear" w:color="auto" w:fill="auto"/>
            <w:vAlign w:val="bottom"/>
          </w:tcPr>
          <w:p w14:paraId="42A2ADC7" w14:textId="77777777" w:rsidR="0012790E" w:rsidRPr="0012790E" w:rsidRDefault="0012790E">
            <w:pPr>
              <w:pStyle w:val="SummaryMeasureTitlewithTheme"/>
            </w:pPr>
            <w:r w:rsidRPr="0012790E">
              <w:t>Strengthening Medicare(b)</w:t>
            </w:r>
          </w:p>
        </w:tc>
        <w:tc>
          <w:tcPr>
            <w:tcW w:w="851" w:type="dxa"/>
            <w:vAlign w:val="bottom"/>
          </w:tcPr>
          <w:p w14:paraId="75F18A60" w14:textId="77777777" w:rsidR="0012790E" w:rsidRPr="0012790E" w:rsidRDefault="0012790E">
            <w:pPr>
              <w:pStyle w:val="Summarytabletextrightaligned"/>
              <w:rPr>
                <w:szCs w:val="16"/>
              </w:rPr>
            </w:pPr>
            <w:r w:rsidRPr="0012790E">
              <w:rPr>
                <w:szCs w:val="16"/>
              </w:rPr>
              <w:t>0.2</w:t>
            </w:r>
          </w:p>
        </w:tc>
        <w:tc>
          <w:tcPr>
            <w:tcW w:w="851" w:type="dxa"/>
            <w:shd w:val="clear" w:color="auto" w:fill="E6F2FF"/>
            <w:vAlign w:val="bottom"/>
          </w:tcPr>
          <w:p w14:paraId="4E5671F8" w14:textId="77777777" w:rsidR="0012790E" w:rsidRPr="0012790E" w:rsidRDefault="0012790E">
            <w:pPr>
              <w:pStyle w:val="Summarytabletextrightaligned"/>
              <w:rPr>
                <w:szCs w:val="16"/>
              </w:rPr>
            </w:pPr>
            <w:r w:rsidRPr="0012790E">
              <w:rPr>
                <w:szCs w:val="16"/>
              </w:rPr>
              <w:t>118.0</w:t>
            </w:r>
          </w:p>
        </w:tc>
        <w:tc>
          <w:tcPr>
            <w:tcW w:w="851" w:type="dxa"/>
            <w:vAlign w:val="bottom"/>
          </w:tcPr>
          <w:p w14:paraId="655F22EA" w14:textId="77777777" w:rsidR="0012790E" w:rsidRPr="0012790E" w:rsidRDefault="0012790E">
            <w:pPr>
              <w:pStyle w:val="Summarytabletextrightaligned"/>
              <w:rPr>
                <w:szCs w:val="16"/>
              </w:rPr>
            </w:pPr>
            <w:r w:rsidRPr="0012790E">
              <w:rPr>
                <w:szCs w:val="16"/>
              </w:rPr>
              <w:t>78.5</w:t>
            </w:r>
          </w:p>
        </w:tc>
        <w:tc>
          <w:tcPr>
            <w:tcW w:w="851" w:type="dxa"/>
            <w:vAlign w:val="bottom"/>
          </w:tcPr>
          <w:p w14:paraId="0DCB5376" w14:textId="77777777" w:rsidR="0012790E" w:rsidRPr="0012790E" w:rsidRDefault="0012790E">
            <w:pPr>
              <w:pStyle w:val="Summarytabletextrightaligned"/>
              <w:rPr>
                <w:szCs w:val="16"/>
              </w:rPr>
            </w:pPr>
            <w:r w:rsidRPr="0012790E">
              <w:rPr>
                <w:szCs w:val="16"/>
              </w:rPr>
              <w:t>120.0</w:t>
            </w:r>
          </w:p>
        </w:tc>
        <w:tc>
          <w:tcPr>
            <w:tcW w:w="851" w:type="dxa"/>
            <w:vAlign w:val="bottom"/>
          </w:tcPr>
          <w:p w14:paraId="4C4D9149" w14:textId="77777777" w:rsidR="0012790E" w:rsidRPr="0012790E" w:rsidRDefault="0012790E">
            <w:pPr>
              <w:pStyle w:val="Summarytabletextrightaligned"/>
              <w:rPr>
                <w:szCs w:val="16"/>
              </w:rPr>
            </w:pPr>
            <w:r w:rsidRPr="0012790E">
              <w:rPr>
                <w:szCs w:val="16"/>
              </w:rPr>
              <w:t>104.3</w:t>
            </w:r>
          </w:p>
        </w:tc>
      </w:tr>
      <w:tr w:rsidR="0012790E" w:rsidRPr="0012790E" w14:paraId="54BF8B56" w14:textId="77777777" w:rsidTr="54937204">
        <w:tc>
          <w:tcPr>
            <w:tcW w:w="3470" w:type="dxa"/>
            <w:shd w:val="clear" w:color="auto" w:fill="auto"/>
            <w:vAlign w:val="bottom"/>
          </w:tcPr>
          <w:p w14:paraId="56EB3360" w14:textId="77777777" w:rsidR="0012790E" w:rsidRPr="0012790E" w:rsidRDefault="0012790E">
            <w:pPr>
              <w:pStyle w:val="SummaryMeasureTitlewithTheme"/>
            </w:pPr>
            <w:r w:rsidRPr="0012790E">
              <w:t>Strengthening Medicare – Medicare Urgent Care Clinics – additional funding</w:t>
            </w:r>
          </w:p>
        </w:tc>
        <w:tc>
          <w:tcPr>
            <w:tcW w:w="851" w:type="dxa"/>
            <w:vAlign w:val="bottom"/>
          </w:tcPr>
          <w:p w14:paraId="181EDFD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37D04A7" w14:textId="77777777" w:rsidR="0012790E" w:rsidRPr="0012790E" w:rsidRDefault="0012790E">
            <w:pPr>
              <w:pStyle w:val="Summarytabletextrightaligned"/>
              <w:rPr>
                <w:szCs w:val="16"/>
              </w:rPr>
            </w:pPr>
            <w:r w:rsidRPr="0012790E">
              <w:rPr>
                <w:szCs w:val="16"/>
              </w:rPr>
              <w:t>84.1</w:t>
            </w:r>
          </w:p>
        </w:tc>
        <w:tc>
          <w:tcPr>
            <w:tcW w:w="851" w:type="dxa"/>
            <w:vAlign w:val="bottom"/>
          </w:tcPr>
          <w:p w14:paraId="1E286F8F" w14:textId="77777777" w:rsidR="0012790E" w:rsidRPr="0012790E" w:rsidRDefault="0012790E">
            <w:pPr>
              <w:pStyle w:val="Summarytabletextrightaligned"/>
              <w:rPr>
                <w:szCs w:val="16"/>
              </w:rPr>
            </w:pPr>
            <w:r w:rsidRPr="0012790E">
              <w:rPr>
                <w:szCs w:val="16"/>
              </w:rPr>
              <w:t>73.8</w:t>
            </w:r>
          </w:p>
        </w:tc>
        <w:tc>
          <w:tcPr>
            <w:tcW w:w="851" w:type="dxa"/>
            <w:vAlign w:val="bottom"/>
          </w:tcPr>
          <w:p w14:paraId="104C823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22C3379" w14:textId="77777777" w:rsidR="0012790E" w:rsidRPr="0012790E" w:rsidRDefault="0012790E">
            <w:pPr>
              <w:pStyle w:val="Summarytabletextrightaligned"/>
              <w:rPr>
                <w:szCs w:val="16"/>
              </w:rPr>
            </w:pPr>
            <w:r w:rsidRPr="0012790E">
              <w:rPr>
                <w:szCs w:val="16"/>
              </w:rPr>
              <w:noBreakHyphen/>
            </w:r>
          </w:p>
        </w:tc>
      </w:tr>
      <w:tr w:rsidR="006B5137" w:rsidRPr="0012790E" w14:paraId="5ADCE7AB" w14:textId="77777777" w:rsidTr="54937204">
        <w:tc>
          <w:tcPr>
            <w:tcW w:w="3470" w:type="dxa"/>
            <w:shd w:val="clear" w:color="auto" w:fill="auto"/>
            <w:vAlign w:val="bottom"/>
          </w:tcPr>
          <w:p w14:paraId="53514F0A" w14:textId="77777777" w:rsidR="006B5137" w:rsidRPr="0012790E" w:rsidRDefault="006B5137" w:rsidP="006B5137">
            <w:pPr>
              <w:pStyle w:val="SummaryMeasureTitlewithTheme"/>
            </w:pPr>
            <w:r w:rsidRPr="0012790E">
              <w:t>Strengthening Medicare – an effective and clinically appropriate Medicare Benefits Schedule (MBS)</w:t>
            </w:r>
          </w:p>
        </w:tc>
        <w:tc>
          <w:tcPr>
            <w:tcW w:w="851" w:type="dxa"/>
            <w:vAlign w:val="bottom"/>
          </w:tcPr>
          <w:p w14:paraId="71520294" w14:textId="77777777" w:rsidR="006B5137" w:rsidRPr="0012790E" w:rsidRDefault="006B5137" w:rsidP="006B5137">
            <w:pPr>
              <w:pStyle w:val="Summarytabletextrightaligned"/>
              <w:rPr>
                <w:szCs w:val="16"/>
              </w:rPr>
            </w:pPr>
            <w:r w:rsidRPr="0012790E">
              <w:rPr>
                <w:szCs w:val="16"/>
              </w:rPr>
              <w:noBreakHyphen/>
            </w:r>
          </w:p>
        </w:tc>
        <w:tc>
          <w:tcPr>
            <w:tcW w:w="851" w:type="dxa"/>
            <w:shd w:val="clear" w:color="auto" w:fill="E6F2FF"/>
            <w:vAlign w:val="bottom"/>
          </w:tcPr>
          <w:p w14:paraId="7239E0B2" w14:textId="10403A48" w:rsidR="006B5137" w:rsidRPr="0012790E" w:rsidRDefault="006B5137" w:rsidP="006B5137">
            <w:pPr>
              <w:pStyle w:val="Summarytabletextrightaligned"/>
              <w:rPr>
                <w:szCs w:val="16"/>
              </w:rPr>
            </w:pPr>
            <w:r>
              <w:rPr>
                <w:szCs w:val="16"/>
              </w:rPr>
              <w:t>78.9</w:t>
            </w:r>
          </w:p>
        </w:tc>
        <w:tc>
          <w:tcPr>
            <w:tcW w:w="851" w:type="dxa"/>
            <w:vAlign w:val="bottom"/>
          </w:tcPr>
          <w:p w14:paraId="316E1376" w14:textId="0B088B97" w:rsidR="006B5137" w:rsidRPr="0012790E" w:rsidRDefault="006B5137" w:rsidP="006B5137">
            <w:pPr>
              <w:pStyle w:val="Summarytabletextrightaligned"/>
              <w:rPr>
                <w:szCs w:val="16"/>
              </w:rPr>
            </w:pPr>
            <w:r>
              <w:rPr>
                <w:szCs w:val="16"/>
              </w:rPr>
              <w:t>28.8</w:t>
            </w:r>
          </w:p>
        </w:tc>
        <w:tc>
          <w:tcPr>
            <w:tcW w:w="851" w:type="dxa"/>
            <w:vAlign w:val="bottom"/>
          </w:tcPr>
          <w:p w14:paraId="66ED6703" w14:textId="61DFD281" w:rsidR="006B5137" w:rsidRPr="0012790E" w:rsidRDefault="006B5137" w:rsidP="006B5137">
            <w:pPr>
              <w:pStyle w:val="Summarytabletextrightaligned"/>
              <w:rPr>
                <w:szCs w:val="16"/>
              </w:rPr>
            </w:pPr>
            <w:r>
              <w:rPr>
                <w:szCs w:val="16"/>
              </w:rPr>
              <w:t>51.2</w:t>
            </w:r>
          </w:p>
        </w:tc>
        <w:tc>
          <w:tcPr>
            <w:tcW w:w="851" w:type="dxa"/>
            <w:vAlign w:val="bottom"/>
          </w:tcPr>
          <w:p w14:paraId="3C95D36E" w14:textId="629B96F9" w:rsidR="006B5137" w:rsidRPr="0012790E" w:rsidRDefault="006B5137" w:rsidP="006B5137">
            <w:pPr>
              <w:pStyle w:val="Summarytabletextrightaligned"/>
              <w:rPr>
                <w:szCs w:val="16"/>
              </w:rPr>
            </w:pPr>
            <w:r>
              <w:rPr>
                <w:szCs w:val="16"/>
              </w:rPr>
              <w:t>114.9</w:t>
            </w:r>
          </w:p>
        </w:tc>
      </w:tr>
      <w:tr w:rsidR="0012790E" w:rsidRPr="0012790E" w14:paraId="12E85151" w14:textId="77777777" w:rsidTr="54937204">
        <w:tc>
          <w:tcPr>
            <w:tcW w:w="3470" w:type="dxa"/>
            <w:shd w:val="clear" w:color="auto" w:fill="auto"/>
            <w:vAlign w:val="bottom"/>
          </w:tcPr>
          <w:p w14:paraId="67B07A9D" w14:textId="77777777" w:rsidR="0012790E" w:rsidRPr="0012790E" w:rsidRDefault="0012790E">
            <w:pPr>
              <w:pStyle w:val="SummaryMeasureTitlewithTheme"/>
            </w:pPr>
            <w:r w:rsidRPr="0012790E">
              <w:t>Support to Individuals from Israel and Occupied Palestinian Territories affected by the Hamas</w:t>
            </w:r>
            <w:r w:rsidRPr="0012790E">
              <w:noBreakHyphen/>
              <w:t>Israel conflict</w:t>
            </w:r>
          </w:p>
        </w:tc>
        <w:tc>
          <w:tcPr>
            <w:tcW w:w="851" w:type="dxa"/>
            <w:vAlign w:val="bottom"/>
          </w:tcPr>
          <w:p w14:paraId="785CBDA9" w14:textId="77777777" w:rsidR="0012790E" w:rsidRPr="0012790E" w:rsidRDefault="0012790E">
            <w:pPr>
              <w:pStyle w:val="Summarytabletextrightaligned"/>
              <w:rPr>
                <w:szCs w:val="16"/>
              </w:rPr>
            </w:pPr>
            <w:r w:rsidRPr="0012790E">
              <w:rPr>
                <w:szCs w:val="16"/>
              </w:rPr>
              <w:t>..</w:t>
            </w:r>
          </w:p>
        </w:tc>
        <w:tc>
          <w:tcPr>
            <w:tcW w:w="851" w:type="dxa"/>
            <w:shd w:val="clear" w:color="auto" w:fill="E6F2FF"/>
            <w:vAlign w:val="bottom"/>
          </w:tcPr>
          <w:p w14:paraId="18E4FA6D" w14:textId="77777777" w:rsidR="0012790E" w:rsidRPr="0012790E" w:rsidRDefault="0012790E">
            <w:pPr>
              <w:pStyle w:val="Summarytabletextrightaligned"/>
              <w:rPr>
                <w:szCs w:val="16"/>
              </w:rPr>
            </w:pPr>
            <w:r w:rsidRPr="0012790E">
              <w:rPr>
                <w:szCs w:val="16"/>
              </w:rPr>
              <w:t>0.2</w:t>
            </w:r>
          </w:p>
        </w:tc>
        <w:tc>
          <w:tcPr>
            <w:tcW w:w="851" w:type="dxa"/>
            <w:vAlign w:val="bottom"/>
          </w:tcPr>
          <w:p w14:paraId="2367EF28" w14:textId="77777777" w:rsidR="0012790E" w:rsidRPr="0012790E" w:rsidRDefault="0012790E">
            <w:pPr>
              <w:pStyle w:val="Summarytabletextrightaligned"/>
              <w:rPr>
                <w:szCs w:val="16"/>
              </w:rPr>
            </w:pPr>
            <w:r w:rsidRPr="0012790E">
              <w:rPr>
                <w:szCs w:val="16"/>
              </w:rPr>
              <w:t>..</w:t>
            </w:r>
          </w:p>
        </w:tc>
        <w:tc>
          <w:tcPr>
            <w:tcW w:w="851" w:type="dxa"/>
            <w:vAlign w:val="bottom"/>
          </w:tcPr>
          <w:p w14:paraId="654E96E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300707E" w14:textId="77777777" w:rsidR="0012790E" w:rsidRPr="0012790E" w:rsidRDefault="0012790E">
            <w:pPr>
              <w:pStyle w:val="Summarytabletextrightaligned"/>
              <w:rPr>
                <w:szCs w:val="16"/>
              </w:rPr>
            </w:pPr>
            <w:r w:rsidRPr="0012790E">
              <w:rPr>
                <w:szCs w:val="16"/>
              </w:rPr>
              <w:noBreakHyphen/>
            </w:r>
          </w:p>
        </w:tc>
      </w:tr>
      <w:tr w:rsidR="0012790E" w:rsidRPr="0012790E" w14:paraId="39CC1AF5" w14:textId="77777777" w:rsidTr="54937204">
        <w:tc>
          <w:tcPr>
            <w:tcW w:w="3470" w:type="dxa"/>
            <w:shd w:val="clear" w:color="auto" w:fill="auto"/>
            <w:vAlign w:val="bottom"/>
          </w:tcPr>
          <w:p w14:paraId="75844519" w14:textId="77777777" w:rsidR="0012790E" w:rsidRPr="0012790E" w:rsidRDefault="0012790E">
            <w:pPr>
              <w:pStyle w:val="SummaryMeasureTitlewithTheme"/>
            </w:pPr>
            <w:r w:rsidRPr="0012790E">
              <w:t>Supporting Ongoing Access to Vaccines</w:t>
            </w:r>
          </w:p>
        </w:tc>
        <w:tc>
          <w:tcPr>
            <w:tcW w:w="851" w:type="dxa"/>
            <w:vAlign w:val="bottom"/>
          </w:tcPr>
          <w:p w14:paraId="6E5BC48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18F06A5" w14:textId="77777777" w:rsidR="0012790E" w:rsidRPr="0012790E" w:rsidRDefault="0012790E">
            <w:pPr>
              <w:pStyle w:val="Summarytabletextrightaligned"/>
              <w:rPr>
                <w:szCs w:val="16"/>
              </w:rPr>
            </w:pPr>
            <w:r w:rsidRPr="0012790E">
              <w:rPr>
                <w:szCs w:val="16"/>
              </w:rPr>
              <w:t>111.2</w:t>
            </w:r>
          </w:p>
        </w:tc>
        <w:tc>
          <w:tcPr>
            <w:tcW w:w="851" w:type="dxa"/>
            <w:vAlign w:val="bottom"/>
          </w:tcPr>
          <w:p w14:paraId="76FECA2B" w14:textId="77777777" w:rsidR="0012790E" w:rsidRPr="0012790E" w:rsidRDefault="0012790E">
            <w:pPr>
              <w:pStyle w:val="Summarytabletextrightaligned"/>
              <w:rPr>
                <w:szCs w:val="16"/>
              </w:rPr>
            </w:pPr>
            <w:r w:rsidRPr="0012790E">
              <w:rPr>
                <w:szCs w:val="16"/>
              </w:rPr>
              <w:t>205.9</w:t>
            </w:r>
          </w:p>
        </w:tc>
        <w:tc>
          <w:tcPr>
            <w:tcW w:w="851" w:type="dxa"/>
            <w:vAlign w:val="bottom"/>
          </w:tcPr>
          <w:p w14:paraId="279ED8D8" w14:textId="77777777" w:rsidR="0012790E" w:rsidRPr="0012790E" w:rsidRDefault="0012790E">
            <w:pPr>
              <w:pStyle w:val="Summarytabletextrightaligned"/>
              <w:rPr>
                <w:szCs w:val="16"/>
              </w:rPr>
            </w:pPr>
            <w:r w:rsidRPr="0012790E">
              <w:rPr>
                <w:szCs w:val="16"/>
              </w:rPr>
              <w:t>103.1</w:t>
            </w:r>
          </w:p>
        </w:tc>
        <w:tc>
          <w:tcPr>
            <w:tcW w:w="851" w:type="dxa"/>
            <w:vAlign w:val="bottom"/>
          </w:tcPr>
          <w:p w14:paraId="13F1AED0" w14:textId="77777777" w:rsidR="0012790E" w:rsidRPr="0012790E" w:rsidRDefault="0012790E">
            <w:pPr>
              <w:pStyle w:val="Summarytabletextrightaligned"/>
              <w:rPr>
                <w:szCs w:val="16"/>
              </w:rPr>
            </w:pPr>
            <w:r w:rsidRPr="0012790E">
              <w:rPr>
                <w:szCs w:val="16"/>
              </w:rPr>
              <w:t>107.8</w:t>
            </w:r>
          </w:p>
        </w:tc>
      </w:tr>
      <w:tr w:rsidR="0012790E" w:rsidRPr="0012790E" w14:paraId="5B025A26" w14:textId="77777777" w:rsidTr="54937204">
        <w:tc>
          <w:tcPr>
            <w:tcW w:w="3470" w:type="dxa"/>
            <w:shd w:val="clear" w:color="auto" w:fill="auto"/>
            <w:vAlign w:val="bottom"/>
          </w:tcPr>
          <w:p w14:paraId="66330816" w14:textId="77777777" w:rsidR="0012790E" w:rsidRPr="0012790E" w:rsidRDefault="0012790E">
            <w:pPr>
              <w:pStyle w:val="SummaryMeasureTitlewithTheme"/>
            </w:pPr>
            <w:r w:rsidRPr="0012790E">
              <w:t>Supporting Safe and Responsible AI</w:t>
            </w:r>
          </w:p>
        </w:tc>
        <w:tc>
          <w:tcPr>
            <w:tcW w:w="851" w:type="dxa"/>
            <w:vAlign w:val="bottom"/>
          </w:tcPr>
          <w:p w14:paraId="4ECA211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B6434D1" w14:textId="77777777" w:rsidR="0012790E" w:rsidRPr="0012790E" w:rsidRDefault="0012790E">
            <w:pPr>
              <w:pStyle w:val="Summarytabletextrightaligned"/>
              <w:rPr>
                <w:szCs w:val="16"/>
              </w:rPr>
            </w:pPr>
            <w:r w:rsidRPr="0012790E">
              <w:rPr>
                <w:szCs w:val="16"/>
              </w:rPr>
              <w:t>1.5</w:t>
            </w:r>
          </w:p>
        </w:tc>
        <w:tc>
          <w:tcPr>
            <w:tcW w:w="851" w:type="dxa"/>
            <w:vAlign w:val="bottom"/>
          </w:tcPr>
          <w:p w14:paraId="0E4AF80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D196CDE"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372826E" w14:textId="77777777" w:rsidR="0012790E" w:rsidRPr="0012790E" w:rsidRDefault="0012790E">
            <w:pPr>
              <w:pStyle w:val="Summarytabletextrightaligned"/>
              <w:rPr>
                <w:szCs w:val="16"/>
              </w:rPr>
            </w:pPr>
            <w:r w:rsidRPr="0012790E">
              <w:rPr>
                <w:szCs w:val="16"/>
              </w:rPr>
              <w:noBreakHyphen/>
            </w:r>
          </w:p>
        </w:tc>
      </w:tr>
      <w:tr w:rsidR="0012790E" w:rsidRPr="0012790E" w14:paraId="672E9747" w14:textId="77777777" w:rsidTr="54937204">
        <w:tc>
          <w:tcPr>
            <w:tcW w:w="3470" w:type="dxa"/>
            <w:shd w:val="clear" w:color="auto" w:fill="auto"/>
            <w:vAlign w:val="bottom"/>
          </w:tcPr>
          <w:p w14:paraId="044959BF" w14:textId="77777777" w:rsidR="0012790E" w:rsidRPr="0012790E" w:rsidRDefault="0012790E">
            <w:pPr>
              <w:pStyle w:val="SummaryMeasureTitlewithTheme"/>
            </w:pPr>
            <w:r w:rsidRPr="0012790E">
              <w:t>Supporting Sports Participation</w:t>
            </w:r>
          </w:p>
        </w:tc>
        <w:tc>
          <w:tcPr>
            <w:tcW w:w="851" w:type="dxa"/>
            <w:vAlign w:val="bottom"/>
          </w:tcPr>
          <w:p w14:paraId="0D04A41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618E16D" w14:textId="77777777" w:rsidR="0012790E" w:rsidRPr="0012790E" w:rsidRDefault="0012790E">
            <w:pPr>
              <w:pStyle w:val="Summarytabletextrightaligned"/>
              <w:rPr>
                <w:szCs w:val="16"/>
              </w:rPr>
            </w:pPr>
            <w:r w:rsidRPr="0012790E">
              <w:rPr>
                <w:szCs w:val="16"/>
              </w:rPr>
              <w:t>17.2</w:t>
            </w:r>
          </w:p>
        </w:tc>
        <w:tc>
          <w:tcPr>
            <w:tcW w:w="851" w:type="dxa"/>
            <w:vAlign w:val="bottom"/>
          </w:tcPr>
          <w:p w14:paraId="038CD3DD" w14:textId="77777777" w:rsidR="0012790E" w:rsidRPr="0012790E" w:rsidRDefault="0012790E">
            <w:pPr>
              <w:pStyle w:val="Summarytabletextrightaligned"/>
              <w:rPr>
                <w:szCs w:val="16"/>
              </w:rPr>
            </w:pPr>
            <w:r w:rsidRPr="0012790E">
              <w:rPr>
                <w:szCs w:val="16"/>
              </w:rPr>
              <w:t>19.4</w:t>
            </w:r>
          </w:p>
        </w:tc>
        <w:tc>
          <w:tcPr>
            <w:tcW w:w="851" w:type="dxa"/>
            <w:vAlign w:val="bottom"/>
          </w:tcPr>
          <w:p w14:paraId="4CA880C7" w14:textId="77777777" w:rsidR="0012790E" w:rsidRPr="0012790E" w:rsidRDefault="0012790E">
            <w:pPr>
              <w:pStyle w:val="Summarytabletextrightaligned"/>
              <w:rPr>
                <w:szCs w:val="16"/>
              </w:rPr>
            </w:pPr>
            <w:r w:rsidRPr="0012790E">
              <w:rPr>
                <w:szCs w:val="16"/>
              </w:rPr>
              <w:t>2.7</w:t>
            </w:r>
          </w:p>
        </w:tc>
        <w:tc>
          <w:tcPr>
            <w:tcW w:w="851" w:type="dxa"/>
            <w:vAlign w:val="bottom"/>
          </w:tcPr>
          <w:p w14:paraId="776134AC" w14:textId="77777777" w:rsidR="0012790E" w:rsidRPr="0012790E" w:rsidRDefault="0012790E">
            <w:pPr>
              <w:pStyle w:val="Summarytabletextrightaligned"/>
              <w:rPr>
                <w:szCs w:val="16"/>
              </w:rPr>
            </w:pPr>
            <w:r w:rsidRPr="0012790E">
              <w:rPr>
                <w:szCs w:val="16"/>
              </w:rPr>
              <w:t>0.8</w:t>
            </w:r>
          </w:p>
        </w:tc>
      </w:tr>
      <w:tr w:rsidR="0012790E" w:rsidRPr="0012790E" w14:paraId="4317DDF6" w14:textId="77777777" w:rsidTr="54937204">
        <w:tc>
          <w:tcPr>
            <w:tcW w:w="3470" w:type="dxa"/>
            <w:shd w:val="clear" w:color="auto" w:fill="auto"/>
            <w:vAlign w:val="bottom"/>
          </w:tcPr>
          <w:p w14:paraId="016E751C" w14:textId="77777777" w:rsidR="0012790E" w:rsidRPr="0012790E" w:rsidRDefault="0012790E">
            <w:pPr>
              <w:pStyle w:val="SummaryMeasureTitlewithTheme"/>
            </w:pPr>
            <w:r w:rsidRPr="0012790E">
              <w:t>Women's Health</w:t>
            </w:r>
          </w:p>
        </w:tc>
        <w:tc>
          <w:tcPr>
            <w:tcW w:w="851" w:type="dxa"/>
            <w:vAlign w:val="bottom"/>
          </w:tcPr>
          <w:p w14:paraId="058F5F62"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84AEC85" w14:textId="77777777" w:rsidR="0012790E" w:rsidRPr="0012790E" w:rsidRDefault="0012790E">
            <w:pPr>
              <w:pStyle w:val="Summarytabletextrightaligned"/>
              <w:rPr>
                <w:szCs w:val="16"/>
              </w:rPr>
            </w:pPr>
            <w:r w:rsidRPr="0012790E">
              <w:rPr>
                <w:szCs w:val="16"/>
              </w:rPr>
              <w:t>21.3</w:t>
            </w:r>
          </w:p>
        </w:tc>
        <w:tc>
          <w:tcPr>
            <w:tcW w:w="851" w:type="dxa"/>
            <w:vAlign w:val="bottom"/>
          </w:tcPr>
          <w:p w14:paraId="1D609F51" w14:textId="77777777" w:rsidR="0012790E" w:rsidRPr="0012790E" w:rsidRDefault="0012790E">
            <w:pPr>
              <w:pStyle w:val="Summarytabletextrightaligned"/>
              <w:rPr>
                <w:szCs w:val="16"/>
              </w:rPr>
            </w:pPr>
            <w:r w:rsidRPr="0012790E">
              <w:rPr>
                <w:szCs w:val="16"/>
              </w:rPr>
              <w:t>18.1</w:t>
            </w:r>
          </w:p>
        </w:tc>
        <w:tc>
          <w:tcPr>
            <w:tcW w:w="851" w:type="dxa"/>
            <w:vAlign w:val="bottom"/>
          </w:tcPr>
          <w:p w14:paraId="1ECC975B" w14:textId="77777777" w:rsidR="0012790E" w:rsidRPr="0012790E" w:rsidRDefault="0012790E">
            <w:pPr>
              <w:pStyle w:val="Summarytabletextrightaligned"/>
              <w:rPr>
                <w:szCs w:val="16"/>
              </w:rPr>
            </w:pPr>
            <w:r w:rsidRPr="0012790E">
              <w:rPr>
                <w:szCs w:val="16"/>
              </w:rPr>
              <w:t>8.8</w:t>
            </w:r>
          </w:p>
        </w:tc>
        <w:tc>
          <w:tcPr>
            <w:tcW w:w="851" w:type="dxa"/>
            <w:vAlign w:val="bottom"/>
          </w:tcPr>
          <w:p w14:paraId="29D748FD" w14:textId="77777777" w:rsidR="0012790E" w:rsidRPr="0012790E" w:rsidRDefault="0012790E">
            <w:pPr>
              <w:pStyle w:val="Summarytabletextrightaligned"/>
              <w:rPr>
                <w:szCs w:val="16"/>
              </w:rPr>
            </w:pPr>
            <w:r w:rsidRPr="0012790E">
              <w:rPr>
                <w:szCs w:val="16"/>
              </w:rPr>
              <w:t>5.1</w:t>
            </w:r>
          </w:p>
        </w:tc>
      </w:tr>
      <w:tr w:rsidR="0012790E" w:rsidRPr="0012790E" w14:paraId="1DCEB697" w14:textId="77777777" w:rsidTr="54937204">
        <w:tc>
          <w:tcPr>
            <w:tcW w:w="3470" w:type="dxa"/>
            <w:shd w:val="clear" w:color="auto" w:fill="auto"/>
            <w:vAlign w:val="bottom"/>
          </w:tcPr>
          <w:p w14:paraId="7BD0F250" w14:textId="77777777" w:rsidR="0012790E" w:rsidRPr="0012790E" w:rsidRDefault="0012790E">
            <w:pPr>
              <w:pStyle w:val="SummaryAgencyTitle-BP2"/>
              <w:rPr>
                <w:iCs/>
              </w:rPr>
            </w:pPr>
            <w:r w:rsidRPr="0012790E">
              <w:rPr>
                <w:iCs/>
              </w:rPr>
              <w:t>National Blood Authority</w:t>
            </w:r>
          </w:p>
        </w:tc>
        <w:tc>
          <w:tcPr>
            <w:tcW w:w="851" w:type="dxa"/>
            <w:vAlign w:val="bottom"/>
          </w:tcPr>
          <w:p w14:paraId="19ECDD27" w14:textId="77777777" w:rsidR="0012790E" w:rsidRPr="0012790E" w:rsidRDefault="0012790E">
            <w:pPr>
              <w:pStyle w:val="SummaryAgencyTitle-BP2"/>
              <w:rPr>
                <w:iCs/>
              </w:rPr>
            </w:pPr>
          </w:p>
        </w:tc>
        <w:tc>
          <w:tcPr>
            <w:tcW w:w="851" w:type="dxa"/>
            <w:shd w:val="clear" w:color="auto" w:fill="E6F2FF"/>
            <w:vAlign w:val="bottom"/>
          </w:tcPr>
          <w:p w14:paraId="2EECDED6" w14:textId="77777777" w:rsidR="0012790E" w:rsidRPr="0012790E" w:rsidRDefault="0012790E">
            <w:pPr>
              <w:pStyle w:val="SummaryAgencyTitle-BP2"/>
              <w:rPr>
                <w:iCs/>
              </w:rPr>
            </w:pPr>
          </w:p>
        </w:tc>
        <w:tc>
          <w:tcPr>
            <w:tcW w:w="851" w:type="dxa"/>
            <w:vAlign w:val="bottom"/>
          </w:tcPr>
          <w:p w14:paraId="502D7E06" w14:textId="77777777" w:rsidR="0012790E" w:rsidRPr="0012790E" w:rsidRDefault="0012790E">
            <w:pPr>
              <w:pStyle w:val="SummaryAgencyTitle-BP2"/>
              <w:rPr>
                <w:iCs/>
              </w:rPr>
            </w:pPr>
          </w:p>
        </w:tc>
        <w:tc>
          <w:tcPr>
            <w:tcW w:w="851" w:type="dxa"/>
            <w:vAlign w:val="bottom"/>
          </w:tcPr>
          <w:p w14:paraId="7C48948D" w14:textId="77777777" w:rsidR="0012790E" w:rsidRPr="0012790E" w:rsidRDefault="0012790E">
            <w:pPr>
              <w:pStyle w:val="SummaryAgencyTitle-BP2"/>
              <w:rPr>
                <w:iCs/>
              </w:rPr>
            </w:pPr>
          </w:p>
        </w:tc>
        <w:tc>
          <w:tcPr>
            <w:tcW w:w="851" w:type="dxa"/>
            <w:vAlign w:val="bottom"/>
          </w:tcPr>
          <w:p w14:paraId="0777E667" w14:textId="77777777" w:rsidR="0012790E" w:rsidRPr="0012790E" w:rsidRDefault="0012790E">
            <w:pPr>
              <w:pStyle w:val="SummaryAgencyTitle-BP2"/>
              <w:rPr>
                <w:iCs/>
              </w:rPr>
            </w:pPr>
          </w:p>
        </w:tc>
      </w:tr>
      <w:tr w:rsidR="0012790E" w:rsidRPr="0012790E" w14:paraId="7CA2B158" w14:textId="77777777" w:rsidTr="54937204">
        <w:tc>
          <w:tcPr>
            <w:tcW w:w="3470" w:type="dxa"/>
            <w:shd w:val="clear" w:color="auto" w:fill="auto"/>
            <w:vAlign w:val="bottom"/>
          </w:tcPr>
          <w:p w14:paraId="1E3F8909" w14:textId="77777777" w:rsidR="0012790E" w:rsidRPr="0012790E" w:rsidRDefault="0012790E">
            <w:pPr>
              <w:pStyle w:val="SummaryMeasureTitlewithTheme"/>
            </w:pPr>
            <w:r w:rsidRPr="0012790E">
              <w:t>Portfolio Administrative Matters</w:t>
            </w:r>
          </w:p>
        </w:tc>
        <w:tc>
          <w:tcPr>
            <w:tcW w:w="851" w:type="dxa"/>
            <w:vAlign w:val="bottom"/>
          </w:tcPr>
          <w:p w14:paraId="0678F15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8D0677B" w14:textId="77777777" w:rsidR="0012790E" w:rsidRPr="0012790E" w:rsidRDefault="0012790E">
            <w:pPr>
              <w:pStyle w:val="Summarytabletextrightaligned"/>
              <w:rPr>
                <w:szCs w:val="16"/>
              </w:rPr>
            </w:pPr>
            <w:r w:rsidRPr="0012790E">
              <w:rPr>
                <w:szCs w:val="16"/>
              </w:rPr>
              <w:t>2.6</w:t>
            </w:r>
          </w:p>
        </w:tc>
        <w:tc>
          <w:tcPr>
            <w:tcW w:w="851" w:type="dxa"/>
            <w:vAlign w:val="bottom"/>
          </w:tcPr>
          <w:p w14:paraId="1E1ECCB3" w14:textId="77777777" w:rsidR="0012790E" w:rsidRPr="0012790E" w:rsidRDefault="0012790E">
            <w:pPr>
              <w:pStyle w:val="Summarytabletextrightaligned"/>
              <w:rPr>
                <w:szCs w:val="16"/>
              </w:rPr>
            </w:pPr>
            <w:r w:rsidRPr="0012790E">
              <w:rPr>
                <w:szCs w:val="16"/>
              </w:rPr>
              <w:t>2.7</w:t>
            </w:r>
          </w:p>
        </w:tc>
        <w:tc>
          <w:tcPr>
            <w:tcW w:w="851" w:type="dxa"/>
            <w:vAlign w:val="bottom"/>
          </w:tcPr>
          <w:p w14:paraId="1E9FC1E7" w14:textId="77777777" w:rsidR="0012790E" w:rsidRPr="0012790E" w:rsidRDefault="0012790E">
            <w:pPr>
              <w:pStyle w:val="Summarytabletextrightaligned"/>
              <w:rPr>
                <w:szCs w:val="16"/>
              </w:rPr>
            </w:pPr>
            <w:r w:rsidRPr="0012790E">
              <w:rPr>
                <w:szCs w:val="16"/>
              </w:rPr>
              <w:t>2.8</w:t>
            </w:r>
          </w:p>
        </w:tc>
        <w:tc>
          <w:tcPr>
            <w:tcW w:w="851" w:type="dxa"/>
            <w:vAlign w:val="bottom"/>
          </w:tcPr>
          <w:p w14:paraId="71DE6A58" w14:textId="77777777" w:rsidR="0012790E" w:rsidRPr="0012790E" w:rsidRDefault="0012790E">
            <w:pPr>
              <w:pStyle w:val="Summarytabletextrightaligned"/>
              <w:rPr>
                <w:szCs w:val="16"/>
              </w:rPr>
            </w:pPr>
            <w:r w:rsidRPr="0012790E">
              <w:rPr>
                <w:szCs w:val="16"/>
              </w:rPr>
              <w:t>2.8</w:t>
            </w:r>
          </w:p>
        </w:tc>
      </w:tr>
      <w:tr w:rsidR="0012790E" w:rsidRPr="0012790E" w14:paraId="78FE33C4" w14:textId="77777777" w:rsidTr="54937204">
        <w:tc>
          <w:tcPr>
            <w:tcW w:w="3470" w:type="dxa"/>
            <w:shd w:val="clear" w:color="auto" w:fill="auto"/>
            <w:vAlign w:val="bottom"/>
          </w:tcPr>
          <w:p w14:paraId="087A7515" w14:textId="77777777" w:rsidR="0012790E" w:rsidRPr="0012790E" w:rsidRDefault="0012790E">
            <w:pPr>
              <w:pStyle w:val="SummaryAgencyTitle-BP2"/>
              <w:rPr>
                <w:iCs/>
              </w:rPr>
            </w:pPr>
            <w:r w:rsidRPr="0012790E">
              <w:rPr>
                <w:iCs/>
              </w:rPr>
              <w:t>National Health and Medical Research Council</w:t>
            </w:r>
          </w:p>
        </w:tc>
        <w:tc>
          <w:tcPr>
            <w:tcW w:w="851" w:type="dxa"/>
            <w:vAlign w:val="bottom"/>
          </w:tcPr>
          <w:p w14:paraId="5CEA60B2" w14:textId="77777777" w:rsidR="0012790E" w:rsidRPr="0012790E" w:rsidRDefault="0012790E">
            <w:pPr>
              <w:pStyle w:val="SummaryAgencyTitle-BP2"/>
              <w:rPr>
                <w:iCs/>
              </w:rPr>
            </w:pPr>
          </w:p>
        </w:tc>
        <w:tc>
          <w:tcPr>
            <w:tcW w:w="851" w:type="dxa"/>
            <w:shd w:val="clear" w:color="auto" w:fill="E6F2FF"/>
            <w:vAlign w:val="bottom"/>
          </w:tcPr>
          <w:p w14:paraId="268C841A" w14:textId="77777777" w:rsidR="0012790E" w:rsidRPr="0012790E" w:rsidRDefault="0012790E">
            <w:pPr>
              <w:pStyle w:val="SummaryAgencyTitle-BP2"/>
              <w:rPr>
                <w:iCs/>
              </w:rPr>
            </w:pPr>
          </w:p>
        </w:tc>
        <w:tc>
          <w:tcPr>
            <w:tcW w:w="851" w:type="dxa"/>
            <w:vAlign w:val="bottom"/>
          </w:tcPr>
          <w:p w14:paraId="77B4A173" w14:textId="77777777" w:rsidR="0012790E" w:rsidRPr="0012790E" w:rsidRDefault="0012790E">
            <w:pPr>
              <w:pStyle w:val="SummaryAgencyTitle-BP2"/>
              <w:rPr>
                <w:iCs/>
              </w:rPr>
            </w:pPr>
          </w:p>
        </w:tc>
        <w:tc>
          <w:tcPr>
            <w:tcW w:w="851" w:type="dxa"/>
            <w:vAlign w:val="bottom"/>
          </w:tcPr>
          <w:p w14:paraId="67A2A7F8" w14:textId="77777777" w:rsidR="0012790E" w:rsidRPr="0012790E" w:rsidRDefault="0012790E">
            <w:pPr>
              <w:pStyle w:val="SummaryAgencyTitle-BP2"/>
              <w:rPr>
                <w:iCs/>
              </w:rPr>
            </w:pPr>
          </w:p>
        </w:tc>
        <w:tc>
          <w:tcPr>
            <w:tcW w:w="851" w:type="dxa"/>
            <w:vAlign w:val="bottom"/>
          </w:tcPr>
          <w:p w14:paraId="6612C436" w14:textId="77777777" w:rsidR="0012790E" w:rsidRPr="0012790E" w:rsidRDefault="0012790E">
            <w:pPr>
              <w:pStyle w:val="SummaryAgencyTitle-BP2"/>
              <w:rPr>
                <w:iCs/>
              </w:rPr>
            </w:pPr>
          </w:p>
        </w:tc>
      </w:tr>
      <w:tr w:rsidR="0012790E" w:rsidRPr="0012790E" w14:paraId="74F0A238" w14:textId="77777777" w:rsidTr="54937204">
        <w:tc>
          <w:tcPr>
            <w:tcW w:w="3470" w:type="dxa"/>
            <w:shd w:val="clear" w:color="auto" w:fill="auto"/>
            <w:vAlign w:val="bottom"/>
          </w:tcPr>
          <w:p w14:paraId="4B14D279" w14:textId="77777777" w:rsidR="0012790E" w:rsidRPr="0012790E" w:rsidRDefault="0012790E">
            <w:pPr>
              <w:pStyle w:val="SummaryMeasureTitlewithTheme"/>
            </w:pPr>
            <w:r w:rsidRPr="0012790E">
              <w:t>Portfolio Administrative Matters</w:t>
            </w:r>
          </w:p>
        </w:tc>
        <w:tc>
          <w:tcPr>
            <w:tcW w:w="851" w:type="dxa"/>
            <w:vAlign w:val="bottom"/>
          </w:tcPr>
          <w:p w14:paraId="78DB57ED" w14:textId="77777777" w:rsidR="0012790E" w:rsidRPr="0012790E" w:rsidRDefault="0012790E">
            <w:pPr>
              <w:pStyle w:val="Summarytabletextrightaligned"/>
              <w:rPr>
                <w:szCs w:val="16"/>
              </w:rPr>
            </w:pPr>
            <w:r w:rsidRPr="0012790E">
              <w:rPr>
                <w:szCs w:val="16"/>
              </w:rPr>
              <w:t>9.0</w:t>
            </w:r>
          </w:p>
        </w:tc>
        <w:tc>
          <w:tcPr>
            <w:tcW w:w="851" w:type="dxa"/>
            <w:shd w:val="clear" w:color="auto" w:fill="E6F2FF"/>
            <w:vAlign w:val="bottom"/>
          </w:tcPr>
          <w:p w14:paraId="11C9157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A4A0F9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644C9A8"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7F8F58C" w14:textId="77777777" w:rsidR="0012790E" w:rsidRPr="0012790E" w:rsidRDefault="0012790E">
            <w:pPr>
              <w:pStyle w:val="Summarytabletextrightaligned"/>
              <w:rPr>
                <w:szCs w:val="16"/>
              </w:rPr>
            </w:pPr>
            <w:r w:rsidRPr="0012790E">
              <w:rPr>
                <w:szCs w:val="16"/>
              </w:rPr>
              <w:noBreakHyphen/>
            </w:r>
          </w:p>
        </w:tc>
      </w:tr>
      <w:tr w:rsidR="0012790E" w:rsidRPr="0012790E" w14:paraId="165B10FE" w14:textId="77777777" w:rsidTr="54937204">
        <w:tc>
          <w:tcPr>
            <w:tcW w:w="3470" w:type="dxa"/>
            <w:shd w:val="clear" w:color="auto" w:fill="auto"/>
            <w:vAlign w:val="bottom"/>
          </w:tcPr>
          <w:p w14:paraId="4E8C3E8C" w14:textId="77777777" w:rsidR="0012790E" w:rsidRPr="0012790E" w:rsidRDefault="0012790E">
            <w:pPr>
              <w:pStyle w:val="SummaryAgencyTitle-BP2"/>
              <w:rPr>
                <w:iCs/>
              </w:rPr>
            </w:pPr>
            <w:r w:rsidRPr="0012790E">
              <w:rPr>
                <w:iCs/>
              </w:rPr>
              <w:t>National Mental Health Commission</w:t>
            </w:r>
          </w:p>
        </w:tc>
        <w:tc>
          <w:tcPr>
            <w:tcW w:w="851" w:type="dxa"/>
            <w:vAlign w:val="bottom"/>
          </w:tcPr>
          <w:p w14:paraId="7548529A" w14:textId="77777777" w:rsidR="0012790E" w:rsidRPr="0012790E" w:rsidRDefault="0012790E">
            <w:pPr>
              <w:pStyle w:val="SummaryAgencyTitle-BP2"/>
              <w:rPr>
                <w:iCs/>
              </w:rPr>
            </w:pPr>
          </w:p>
        </w:tc>
        <w:tc>
          <w:tcPr>
            <w:tcW w:w="851" w:type="dxa"/>
            <w:shd w:val="clear" w:color="auto" w:fill="E6F2FF"/>
            <w:vAlign w:val="bottom"/>
          </w:tcPr>
          <w:p w14:paraId="7295E4AA" w14:textId="77777777" w:rsidR="0012790E" w:rsidRPr="0012790E" w:rsidRDefault="0012790E">
            <w:pPr>
              <w:pStyle w:val="SummaryAgencyTitle-BP2"/>
              <w:rPr>
                <w:iCs/>
              </w:rPr>
            </w:pPr>
          </w:p>
        </w:tc>
        <w:tc>
          <w:tcPr>
            <w:tcW w:w="851" w:type="dxa"/>
            <w:vAlign w:val="bottom"/>
          </w:tcPr>
          <w:p w14:paraId="7B723E5F" w14:textId="77777777" w:rsidR="0012790E" w:rsidRPr="0012790E" w:rsidRDefault="0012790E">
            <w:pPr>
              <w:pStyle w:val="SummaryAgencyTitle-BP2"/>
              <w:rPr>
                <w:iCs/>
              </w:rPr>
            </w:pPr>
          </w:p>
        </w:tc>
        <w:tc>
          <w:tcPr>
            <w:tcW w:w="851" w:type="dxa"/>
            <w:vAlign w:val="bottom"/>
          </w:tcPr>
          <w:p w14:paraId="68CFC303" w14:textId="77777777" w:rsidR="0012790E" w:rsidRPr="0012790E" w:rsidRDefault="0012790E">
            <w:pPr>
              <w:pStyle w:val="SummaryAgencyTitle-BP2"/>
              <w:rPr>
                <w:iCs/>
              </w:rPr>
            </w:pPr>
          </w:p>
        </w:tc>
        <w:tc>
          <w:tcPr>
            <w:tcW w:w="851" w:type="dxa"/>
            <w:vAlign w:val="bottom"/>
          </w:tcPr>
          <w:p w14:paraId="057937B7" w14:textId="77777777" w:rsidR="0012790E" w:rsidRPr="0012790E" w:rsidRDefault="0012790E">
            <w:pPr>
              <w:pStyle w:val="SummaryAgencyTitle-BP2"/>
              <w:rPr>
                <w:iCs/>
              </w:rPr>
            </w:pPr>
          </w:p>
        </w:tc>
      </w:tr>
      <w:tr w:rsidR="0012790E" w:rsidRPr="0012790E" w14:paraId="61A2FB83" w14:textId="77777777" w:rsidTr="54937204">
        <w:tc>
          <w:tcPr>
            <w:tcW w:w="3470" w:type="dxa"/>
            <w:shd w:val="clear" w:color="auto" w:fill="auto"/>
            <w:vAlign w:val="bottom"/>
          </w:tcPr>
          <w:p w14:paraId="3EA7ABE0" w14:textId="77777777" w:rsidR="0012790E" w:rsidRPr="0012790E" w:rsidRDefault="0012790E">
            <w:pPr>
              <w:pStyle w:val="SummaryMeasureTitlewithTheme"/>
            </w:pPr>
            <w:r w:rsidRPr="0012790E">
              <w:t>Portfolio Administrative Matters</w:t>
            </w:r>
          </w:p>
        </w:tc>
        <w:tc>
          <w:tcPr>
            <w:tcW w:w="851" w:type="dxa"/>
            <w:vAlign w:val="bottom"/>
          </w:tcPr>
          <w:p w14:paraId="417994C7"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04D7F6A" w14:textId="77777777" w:rsidR="0012790E" w:rsidRPr="0012790E" w:rsidRDefault="0012790E">
            <w:pPr>
              <w:pStyle w:val="Summarytabletextrightaligned"/>
              <w:rPr>
                <w:szCs w:val="16"/>
              </w:rPr>
            </w:pPr>
            <w:r w:rsidRPr="0012790E">
              <w:rPr>
                <w:szCs w:val="16"/>
              </w:rPr>
              <w:noBreakHyphen/>
              <w:t>12.7</w:t>
            </w:r>
          </w:p>
        </w:tc>
        <w:tc>
          <w:tcPr>
            <w:tcW w:w="851" w:type="dxa"/>
            <w:vAlign w:val="bottom"/>
          </w:tcPr>
          <w:p w14:paraId="681DFFA4" w14:textId="77777777" w:rsidR="0012790E" w:rsidRPr="0012790E" w:rsidRDefault="0012790E">
            <w:pPr>
              <w:pStyle w:val="Summarytabletextrightaligned"/>
              <w:rPr>
                <w:szCs w:val="16"/>
              </w:rPr>
            </w:pPr>
            <w:r w:rsidRPr="0012790E">
              <w:rPr>
                <w:szCs w:val="16"/>
              </w:rPr>
              <w:noBreakHyphen/>
              <w:t>17.2</w:t>
            </w:r>
          </w:p>
        </w:tc>
        <w:tc>
          <w:tcPr>
            <w:tcW w:w="851" w:type="dxa"/>
            <w:vAlign w:val="bottom"/>
          </w:tcPr>
          <w:p w14:paraId="61E5136A" w14:textId="77777777" w:rsidR="0012790E" w:rsidRPr="0012790E" w:rsidRDefault="0012790E">
            <w:pPr>
              <w:pStyle w:val="Summarytabletextrightaligned"/>
              <w:rPr>
                <w:szCs w:val="16"/>
              </w:rPr>
            </w:pPr>
            <w:r w:rsidRPr="0012790E">
              <w:rPr>
                <w:szCs w:val="16"/>
              </w:rPr>
              <w:noBreakHyphen/>
              <w:t>17.6</w:t>
            </w:r>
          </w:p>
        </w:tc>
        <w:tc>
          <w:tcPr>
            <w:tcW w:w="851" w:type="dxa"/>
            <w:vAlign w:val="bottom"/>
          </w:tcPr>
          <w:p w14:paraId="2C26A55F" w14:textId="77777777" w:rsidR="0012790E" w:rsidRPr="0012790E" w:rsidRDefault="0012790E">
            <w:pPr>
              <w:pStyle w:val="Summarytabletextrightaligned"/>
              <w:rPr>
                <w:szCs w:val="16"/>
              </w:rPr>
            </w:pPr>
            <w:r w:rsidRPr="0012790E">
              <w:rPr>
                <w:szCs w:val="16"/>
              </w:rPr>
              <w:noBreakHyphen/>
              <w:t>17.8</w:t>
            </w:r>
          </w:p>
        </w:tc>
      </w:tr>
      <w:tr w:rsidR="0012790E" w:rsidRPr="0012790E" w14:paraId="6EE7D3F0" w14:textId="77777777" w:rsidTr="54937204">
        <w:tc>
          <w:tcPr>
            <w:tcW w:w="3470" w:type="dxa"/>
            <w:shd w:val="clear" w:color="auto" w:fill="auto"/>
            <w:vAlign w:val="bottom"/>
          </w:tcPr>
          <w:p w14:paraId="4497ADCD" w14:textId="77777777" w:rsidR="0012790E" w:rsidRPr="0012790E" w:rsidRDefault="0012790E">
            <w:pPr>
              <w:pStyle w:val="SummaryAgencyTitle-BP2"/>
              <w:rPr>
                <w:iCs/>
              </w:rPr>
            </w:pPr>
            <w:r w:rsidRPr="0012790E">
              <w:rPr>
                <w:iCs/>
              </w:rPr>
              <w:t>Sport Integrity Australia</w:t>
            </w:r>
          </w:p>
        </w:tc>
        <w:tc>
          <w:tcPr>
            <w:tcW w:w="851" w:type="dxa"/>
            <w:vAlign w:val="bottom"/>
          </w:tcPr>
          <w:p w14:paraId="09F369D1" w14:textId="77777777" w:rsidR="0012790E" w:rsidRPr="0012790E" w:rsidRDefault="0012790E">
            <w:pPr>
              <w:pStyle w:val="SummaryAgencyTitle-BP2"/>
              <w:rPr>
                <w:iCs/>
              </w:rPr>
            </w:pPr>
          </w:p>
        </w:tc>
        <w:tc>
          <w:tcPr>
            <w:tcW w:w="851" w:type="dxa"/>
            <w:shd w:val="clear" w:color="auto" w:fill="E6F2FF"/>
            <w:vAlign w:val="bottom"/>
          </w:tcPr>
          <w:p w14:paraId="5A2F3052" w14:textId="77777777" w:rsidR="0012790E" w:rsidRPr="0012790E" w:rsidRDefault="0012790E">
            <w:pPr>
              <w:pStyle w:val="SummaryAgencyTitle-BP2"/>
              <w:rPr>
                <w:iCs/>
              </w:rPr>
            </w:pPr>
          </w:p>
        </w:tc>
        <w:tc>
          <w:tcPr>
            <w:tcW w:w="851" w:type="dxa"/>
            <w:vAlign w:val="bottom"/>
          </w:tcPr>
          <w:p w14:paraId="5F5D98DF" w14:textId="77777777" w:rsidR="0012790E" w:rsidRPr="0012790E" w:rsidRDefault="0012790E">
            <w:pPr>
              <w:pStyle w:val="SummaryAgencyTitle-BP2"/>
              <w:rPr>
                <w:iCs/>
              </w:rPr>
            </w:pPr>
          </w:p>
        </w:tc>
        <w:tc>
          <w:tcPr>
            <w:tcW w:w="851" w:type="dxa"/>
            <w:vAlign w:val="bottom"/>
          </w:tcPr>
          <w:p w14:paraId="24BE901C" w14:textId="77777777" w:rsidR="0012790E" w:rsidRPr="0012790E" w:rsidRDefault="0012790E">
            <w:pPr>
              <w:pStyle w:val="SummaryAgencyTitle-BP2"/>
              <w:rPr>
                <w:iCs/>
              </w:rPr>
            </w:pPr>
          </w:p>
        </w:tc>
        <w:tc>
          <w:tcPr>
            <w:tcW w:w="851" w:type="dxa"/>
            <w:vAlign w:val="bottom"/>
          </w:tcPr>
          <w:p w14:paraId="3DAB47A2" w14:textId="77777777" w:rsidR="0012790E" w:rsidRPr="0012790E" w:rsidRDefault="0012790E">
            <w:pPr>
              <w:pStyle w:val="SummaryAgencyTitle-BP2"/>
              <w:rPr>
                <w:iCs/>
              </w:rPr>
            </w:pPr>
          </w:p>
        </w:tc>
      </w:tr>
      <w:tr w:rsidR="002F223A" w:rsidRPr="0012790E" w14:paraId="0C2F4436" w14:textId="77777777" w:rsidTr="00AC2FA9">
        <w:tc>
          <w:tcPr>
            <w:tcW w:w="3470" w:type="dxa"/>
            <w:shd w:val="clear" w:color="auto" w:fill="auto"/>
            <w:vAlign w:val="bottom"/>
          </w:tcPr>
          <w:p w14:paraId="4EBA7FF8" w14:textId="77777777" w:rsidR="002F223A" w:rsidRPr="0012790E" w:rsidRDefault="002F223A" w:rsidP="002F223A">
            <w:pPr>
              <w:pStyle w:val="SummaryMeasureTitlewithTheme"/>
            </w:pPr>
            <w:r w:rsidRPr="0012790E">
              <w:t>Sport Integrity Australia – funding support(b)</w:t>
            </w:r>
          </w:p>
        </w:tc>
        <w:tc>
          <w:tcPr>
            <w:tcW w:w="851" w:type="dxa"/>
            <w:tcBorders>
              <w:bottom w:val="single" w:sz="4" w:space="0" w:color="293F5B"/>
            </w:tcBorders>
          </w:tcPr>
          <w:p w14:paraId="63CC2894" w14:textId="340A4201" w:rsidR="002F223A" w:rsidRPr="0012790E" w:rsidRDefault="002F223A" w:rsidP="002F223A">
            <w:pPr>
              <w:pStyle w:val="Summarytabletextrightaligned"/>
              <w:rPr>
                <w:szCs w:val="16"/>
              </w:rPr>
            </w:pPr>
            <w:r>
              <w:t>-</w:t>
            </w:r>
          </w:p>
        </w:tc>
        <w:tc>
          <w:tcPr>
            <w:tcW w:w="851" w:type="dxa"/>
            <w:tcBorders>
              <w:bottom w:val="single" w:sz="4" w:space="0" w:color="293F5B"/>
            </w:tcBorders>
            <w:shd w:val="clear" w:color="auto" w:fill="E6F2FF"/>
          </w:tcPr>
          <w:p w14:paraId="2A3DADA7" w14:textId="0892F0B1" w:rsidR="002F223A" w:rsidRPr="0012790E" w:rsidRDefault="002F223A" w:rsidP="002F223A">
            <w:pPr>
              <w:pStyle w:val="Summarytabletextrightaligned"/>
              <w:rPr>
                <w:szCs w:val="16"/>
              </w:rPr>
            </w:pPr>
            <w:r>
              <w:t>19.1</w:t>
            </w:r>
          </w:p>
        </w:tc>
        <w:tc>
          <w:tcPr>
            <w:tcW w:w="851" w:type="dxa"/>
            <w:tcBorders>
              <w:bottom w:val="single" w:sz="4" w:space="0" w:color="293F5B"/>
            </w:tcBorders>
          </w:tcPr>
          <w:p w14:paraId="1B3BAB20" w14:textId="08285EFE" w:rsidR="002F223A" w:rsidRPr="0012790E" w:rsidRDefault="002F223A" w:rsidP="002F223A">
            <w:pPr>
              <w:pStyle w:val="Summarytabletextrightaligned"/>
              <w:rPr>
                <w:szCs w:val="16"/>
              </w:rPr>
            </w:pPr>
            <w:r>
              <w:t>19.1</w:t>
            </w:r>
          </w:p>
        </w:tc>
        <w:tc>
          <w:tcPr>
            <w:tcW w:w="851" w:type="dxa"/>
            <w:tcBorders>
              <w:bottom w:val="single" w:sz="4" w:space="0" w:color="293F5B"/>
            </w:tcBorders>
          </w:tcPr>
          <w:p w14:paraId="5B209ABA" w14:textId="0FD0DB97" w:rsidR="002F223A" w:rsidRPr="0012790E" w:rsidRDefault="002F223A" w:rsidP="002F223A">
            <w:pPr>
              <w:pStyle w:val="Summarytabletextrightaligned"/>
              <w:rPr>
                <w:szCs w:val="16"/>
              </w:rPr>
            </w:pPr>
            <w:r>
              <w:t>-</w:t>
            </w:r>
          </w:p>
        </w:tc>
        <w:tc>
          <w:tcPr>
            <w:tcW w:w="851" w:type="dxa"/>
            <w:tcBorders>
              <w:bottom w:val="single" w:sz="4" w:space="0" w:color="293F5B"/>
            </w:tcBorders>
          </w:tcPr>
          <w:p w14:paraId="0CDCC2F1" w14:textId="5A84F4DD" w:rsidR="002F223A" w:rsidRPr="0012790E" w:rsidRDefault="002F223A" w:rsidP="002F223A">
            <w:pPr>
              <w:pStyle w:val="Summarytabletextrightaligned"/>
              <w:rPr>
                <w:szCs w:val="16"/>
              </w:rPr>
            </w:pPr>
            <w:r>
              <w:t>-</w:t>
            </w:r>
          </w:p>
        </w:tc>
      </w:tr>
      <w:tr w:rsidR="00EF15D2" w:rsidRPr="0012790E" w14:paraId="65E605FA" w14:textId="77777777" w:rsidTr="54937204">
        <w:tc>
          <w:tcPr>
            <w:tcW w:w="3470" w:type="dxa"/>
            <w:tcBorders>
              <w:bottom w:val="single" w:sz="4" w:space="0" w:color="293F5B"/>
            </w:tcBorders>
            <w:shd w:val="clear" w:color="auto" w:fill="auto"/>
            <w:vAlign w:val="bottom"/>
          </w:tcPr>
          <w:p w14:paraId="0C5888FD" w14:textId="77777777" w:rsidR="00EF15D2" w:rsidRPr="0012790E" w:rsidRDefault="00EF15D2" w:rsidP="00EF15D2">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3B8BFC52" w14:textId="39B2A74A" w:rsidR="00EF15D2" w:rsidRPr="00EF15D2" w:rsidRDefault="00E100C1" w:rsidP="00EF15D2">
            <w:pPr>
              <w:pStyle w:val="Summarytabletextrightalignedbold"/>
              <w:rPr>
                <w:bCs/>
                <w:szCs w:val="16"/>
              </w:rPr>
            </w:pPr>
            <w:r>
              <w:rPr>
                <w:bCs/>
                <w:szCs w:val="16"/>
              </w:rPr>
              <w:t>331.1</w:t>
            </w:r>
          </w:p>
        </w:tc>
        <w:tc>
          <w:tcPr>
            <w:tcW w:w="851" w:type="dxa"/>
            <w:tcBorders>
              <w:top w:val="single" w:sz="4" w:space="0" w:color="293F5B"/>
              <w:bottom w:val="single" w:sz="4" w:space="0" w:color="293F5B"/>
            </w:tcBorders>
            <w:shd w:val="clear" w:color="auto" w:fill="E6F2FF"/>
            <w:vAlign w:val="bottom"/>
          </w:tcPr>
          <w:p w14:paraId="045BA84A" w14:textId="15C89608" w:rsidR="00EF15D2" w:rsidRPr="00EF15D2" w:rsidRDefault="00E100C1" w:rsidP="00EF15D2">
            <w:pPr>
              <w:pStyle w:val="Summarytabletextrightalignedbold"/>
              <w:rPr>
                <w:bCs/>
                <w:szCs w:val="16"/>
              </w:rPr>
            </w:pPr>
            <w:r>
              <w:rPr>
                <w:bCs/>
                <w:szCs w:val="16"/>
              </w:rPr>
              <w:t>3,391.5</w:t>
            </w:r>
          </w:p>
        </w:tc>
        <w:tc>
          <w:tcPr>
            <w:tcW w:w="851" w:type="dxa"/>
            <w:tcBorders>
              <w:top w:val="single" w:sz="4" w:space="0" w:color="293F5B"/>
              <w:bottom w:val="single" w:sz="4" w:space="0" w:color="293F5B"/>
            </w:tcBorders>
            <w:vAlign w:val="bottom"/>
          </w:tcPr>
          <w:p w14:paraId="4B53D1D5" w14:textId="1707E430" w:rsidR="00EF15D2" w:rsidRPr="00EF15D2" w:rsidRDefault="00E100C1" w:rsidP="00EF15D2">
            <w:pPr>
              <w:pStyle w:val="Summarytabletextrightalignedbold"/>
              <w:rPr>
                <w:bCs/>
                <w:szCs w:val="16"/>
              </w:rPr>
            </w:pPr>
            <w:r>
              <w:rPr>
                <w:bCs/>
                <w:szCs w:val="16"/>
              </w:rPr>
              <w:t>2</w:t>
            </w:r>
            <w:r w:rsidR="004503C9">
              <w:rPr>
                <w:bCs/>
                <w:szCs w:val="16"/>
              </w:rPr>
              <w:t>,</w:t>
            </w:r>
            <w:r>
              <w:rPr>
                <w:bCs/>
                <w:szCs w:val="16"/>
              </w:rPr>
              <w:t>591.2</w:t>
            </w:r>
          </w:p>
        </w:tc>
        <w:tc>
          <w:tcPr>
            <w:tcW w:w="851" w:type="dxa"/>
            <w:tcBorders>
              <w:top w:val="single" w:sz="4" w:space="0" w:color="293F5B"/>
              <w:bottom w:val="single" w:sz="4" w:space="0" w:color="293F5B"/>
            </w:tcBorders>
            <w:vAlign w:val="bottom"/>
          </w:tcPr>
          <w:p w14:paraId="69A5C5FF" w14:textId="1A6DF671" w:rsidR="00EF15D2" w:rsidRPr="00EF15D2" w:rsidRDefault="00E100C1" w:rsidP="00EF15D2">
            <w:pPr>
              <w:pStyle w:val="Summarytabletextrightalignedbold"/>
              <w:rPr>
                <w:bCs/>
                <w:szCs w:val="16"/>
              </w:rPr>
            </w:pPr>
            <w:r>
              <w:rPr>
                <w:bCs/>
                <w:szCs w:val="16"/>
              </w:rPr>
              <w:t>1,078.7</w:t>
            </w:r>
          </w:p>
        </w:tc>
        <w:tc>
          <w:tcPr>
            <w:tcW w:w="851" w:type="dxa"/>
            <w:tcBorders>
              <w:top w:val="single" w:sz="4" w:space="0" w:color="293F5B"/>
              <w:bottom w:val="single" w:sz="4" w:space="0" w:color="293F5B"/>
            </w:tcBorders>
            <w:vAlign w:val="bottom"/>
          </w:tcPr>
          <w:p w14:paraId="17A9BDE0" w14:textId="0793FECF" w:rsidR="00EF15D2" w:rsidRPr="00EF15D2" w:rsidRDefault="00E100C1" w:rsidP="00EF15D2">
            <w:pPr>
              <w:pStyle w:val="Summarytabletextrightalignedbold"/>
              <w:rPr>
                <w:bCs/>
                <w:szCs w:val="16"/>
              </w:rPr>
            </w:pPr>
            <w:r>
              <w:rPr>
                <w:bCs/>
                <w:szCs w:val="16"/>
              </w:rPr>
              <w:t>1,09</w:t>
            </w:r>
            <w:r w:rsidR="00C9074A">
              <w:rPr>
                <w:bCs/>
                <w:szCs w:val="16"/>
              </w:rPr>
              <w:t>8.6</w:t>
            </w:r>
          </w:p>
        </w:tc>
      </w:tr>
    </w:tbl>
    <w:p w14:paraId="44802C39" w14:textId="77777777" w:rsidR="0012790E" w:rsidRPr="0012790E" w:rsidRDefault="0012790E" w:rsidP="0012790E">
      <w:pPr>
        <w:pStyle w:val="TableHeadingcontinued"/>
        <w:sectPr w:rsidR="0012790E" w:rsidRPr="0012790E" w:rsidSect="00EA5BFE">
          <w:headerReference w:type="even" r:id="rId71"/>
          <w:headerReference w:type="default" r:id="rId72"/>
          <w:footerReference w:type="even" r:id="rId73"/>
          <w:footerReference w:type="default" r:id="rId74"/>
          <w:footerReference w:type="first" r:id="rId75"/>
          <w:pgSz w:w="11905" w:h="16837"/>
          <w:pgMar w:top="2835" w:right="2098" w:bottom="2466" w:left="2098" w:header="1814" w:footer="1814" w:gutter="0"/>
          <w:cols w:space="720"/>
          <w:noEndnote/>
          <w:docGrid w:linePitch="272"/>
        </w:sectPr>
      </w:pPr>
    </w:p>
    <w:p w14:paraId="0A7DD756" w14:textId="77777777" w:rsidR="0012790E" w:rsidRPr="0012790E" w:rsidRDefault="0012790E" w:rsidP="004C3E87">
      <w:pPr>
        <w:pStyle w:val="TableHeadingcontinued"/>
        <w:rPr>
          <w:bCs/>
        </w:rPr>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0542B0F7" w14:textId="77777777" w:rsidTr="54937204">
        <w:tc>
          <w:tcPr>
            <w:tcW w:w="3470" w:type="dxa"/>
            <w:tcBorders>
              <w:top w:val="single" w:sz="4" w:space="0" w:color="293F5B"/>
            </w:tcBorders>
            <w:shd w:val="clear" w:color="auto" w:fill="auto"/>
            <w:vAlign w:val="bottom"/>
          </w:tcPr>
          <w:p w14:paraId="18BAB864"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4E408601"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1C61BE9D"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6CDA563D"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0F2B4DC3"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0B52DF06"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64E3C147" w14:textId="77777777" w:rsidTr="54937204">
        <w:tc>
          <w:tcPr>
            <w:tcW w:w="3470" w:type="dxa"/>
            <w:shd w:val="clear" w:color="auto" w:fill="auto"/>
            <w:vAlign w:val="bottom"/>
          </w:tcPr>
          <w:p w14:paraId="6A8BA7A7" w14:textId="77777777" w:rsidR="0012790E" w:rsidRPr="0012790E" w:rsidRDefault="0012790E">
            <w:pPr>
              <w:pStyle w:val="Summarytabletextrightaligned"/>
            </w:pPr>
          </w:p>
        </w:tc>
        <w:tc>
          <w:tcPr>
            <w:tcW w:w="851" w:type="dxa"/>
            <w:tcBorders>
              <w:bottom w:val="single" w:sz="4" w:space="0" w:color="293F5B"/>
            </w:tcBorders>
            <w:vAlign w:val="bottom"/>
          </w:tcPr>
          <w:p w14:paraId="0AABAD27"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771E71D4"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6601C8DA"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6D833054"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5CE1FE40" w14:textId="77777777" w:rsidR="0012790E" w:rsidRPr="0012790E" w:rsidRDefault="0012790E">
            <w:pPr>
              <w:pStyle w:val="Summarytabletextrightaligned"/>
            </w:pPr>
            <w:r w:rsidRPr="0012790E">
              <w:t>$m</w:t>
            </w:r>
          </w:p>
        </w:tc>
      </w:tr>
      <w:tr w:rsidR="0012790E" w:rsidRPr="0012790E" w14:paraId="6F3892B9" w14:textId="77777777" w:rsidTr="54937204">
        <w:tc>
          <w:tcPr>
            <w:tcW w:w="3470" w:type="dxa"/>
            <w:shd w:val="clear" w:color="auto" w:fill="auto"/>
            <w:vAlign w:val="bottom"/>
          </w:tcPr>
          <w:p w14:paraId="107AAD71" w14:textId="77777777" w:rsidR="0012790E" w:rsidRPr="0012790E" w:rsidRDefault="0012790E">
            <w:pPr>
              <w:pStyle w:val="SummaryPortfolioTitle-BP2"/>
            </w:pPr>
            <w:r w:rsidRPr="0012790E">
              <w:t>HOME AFFAIRS</w:t>
            </w:r>
          </w:p>
        </w:tc>
        <w:tc>
          <w:tcPr>
            <w:tcW w:w="851" w:type="dxa"/>
            <w:tcBorders>
              <w:top w:val="single" w:sz="4" w:space="0" w:color="293F5B"/>
            </w:tcBorders>
            <w:vAlign w:val="bottom"/>
          </w:tcPr>
          <w:p w14:paraId="4D5C8A10" w14:textId="77777777" w:rsidR="0012790E" w:rsidRPr="0012790E" w:rsidRDefault="0012790E">
            <w:pPr>
              <w:pStyle w:val="MeasureTableTextRightAlignedBefore6ptAfter1pt"/>
              <w:rPr>
                <w:b/>
                <w:bCs/>
              </w:rPr>
            </w:pPr>
          </w:p>
        </w:tc>
        <w:tc>
          <w:tcPr>
            <w:tcW w:w="851" w:type="dxa"/>
            <w:tcBorders>
              <w:top w:val="single" w:sz="4" w:space="0" w:color="293F5B"/>
            </w:tcBorders>
            <w:shd w:val="clear" w:color="auto" w:fill="E6F2FF"/>
            <w:vAlign w:val="bottom"/>
          </w:tcPr>
          <w:p w14:paraId="7229629F"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38B973A9"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3D96E4A6"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60CE8E5E" w14:textId="77777777" w:rsidR="0012790E" w:rsidRPr="0012790E" w:rsidRDefault="0012790E">
            <w:pPr>
              <w:pStyle w:val="MeasureTableTextRightAlignedBefore6ptAfter1pt"/>
              <w:rPr>
                <w:b/>
                <w:bCs/>
              </w:rPr>
            </w:pPr>
          </w:p>
        </w:tc>
      </w:tr>
      <w:tr w:rsidR="0012790E" w:rsidRPr="0012790E" w14:paraId="46D51316" w14:textId="77777777" w:rsidTr="54937204">
        <w:tc>
          <w:tcPr>
            <w:tcW w:w="3470" w:type="dxa"/>
            <w:shd w:val="clear" w:color="auto" w:fill="auto"/>
            <w:vAlign w:val="bottom"/>
          </w:tcPr>
          <w:p w14:paraId="6861B698" w14:textId="77777777" w:rsidR="0012790E" w:rsidRPr="0012790E" w:rsidRDefault="0012790E">
            <w:pPr>
              <w:pStyle w:val="SummaryAgencyTitle-BP2"/>
              <w:rPr>
                <w:iCs/>
              </w:rPr>
            </w:pPr>
            <w:r w:rsidRPr="0012790E">
              <w:rPr>
                <w:iCs/>
              </w:rPr>
              <w:t>Australian Security Intelligence Organisation</w:t>
            </w:r>
          </w:p>
        </w:tc>
        <w:tc>
          <w:tcPr>
            <w:tcW w:w="851" w:type="dxa"/>
            <w:vAlign w:val="bottom"/>
          </w:tcPr>
          <w:p w14:paraId="07A6DAEF" w14:textId="77777777" w:rsidR="0012790E" w:rsidRPr="0012790E" w:rsidRDefault="0012790E">
            <w:pPr>
              <w:pStyle w:val="SummaryAgencyTitle-BP2"/>
              <w:rPr>
                <w:iCs/>
              </w:rPr>
            </w:pPr>
          </w:p>
        </w:tc>
        <w:tc>
          <w:tcPr>
            <w:tcW w:w="851" w:type="dxa"/>
            <w:shd w:val="clear" w:color="auto" w:fill="E6F2FF"/>
            <w:vAlign w:val="bottom"/>
          </w:tcPr>
          <w:p w14:paraId="2729C404" w14:textId="77777777" w:rsidR="0012790E" w:rsidRPr="0012790E" w:rsidRDefault="0012790E">
            <w:pPr>
              <w:pStyle w:val="SummaryAgencyTitle-BP2"/>
              <w:rPr>
                <w:iCs/>
              </w:rPr>
            </w:pPr>
          </w:p>
        </w:tc>
        <w:tc>
          <w:tcPr>
            <w:tcW w:w="851" w:type="dxa"/>
            <w:vAlign w:val="bottom"/>
          </w:tcPr>
          <w:p w14:paraId="085181FB" w14:textId="77777777" w:rsidR="0012790E" w:rsidRPr="0012790E" w:rsidRDefault="0012790E">
            <w:pPr>
              <w:pStyle w:val="SummaryAgencyTitle-BP2"/>
              <w:rPr>
                <w:iCs/>
              </w:rPr>
            </w:pPr>
          </w:p>
        </w:tc>
        <w:tc>
          <w:tcPr>
            <w:tcW w:w="851" w:type="dxa"/>
            <w:vAlign w:val="bottom"/>
          </w:tcPr>
          <w:p w14:paraId="39F43A53" w14:textId="77777777" w:rsidR="0012790E" w:rsidRPr="0012790E" w:rsidRDefault="0012790E">
            <w:pPr>
              <w:pStyle w:val="SummaryAgencyTitle-BP2"/>
              <w:rPr>
                <w:iCs/>
              </w:rPr>
            </w:pPr>
          </w:p>
        </w:tc>
        <w:tc>
          <w:tcPr>
            <w:tcW w:w="851" w:type="dxa"/>
            <w:vAlign w:val="bottom"/>
          </w:tcPr>
          <w:p w14:paraId="696E4835" w14:textId="77777777" w:rsidR="0012790E" w:rsidRPr="0012790E" w:rsidRDefault="0012790E">
            <w:pPr>
              <w:pStyle w:val="SummaryAgencyTitle-BP2"/>
              <w:rPr>
                <w:iCs/>
              </w:rPr>
            </w:pPr>
          </w:p>
        </w:tc>
      </w:tr>
      <w:tr w:rsidR="0012790E" w:rsidRPr="0012790E" w14:paraId="7ADE44BD" w14:textId="77777777" w:rsidTr="54937204">
        <w:tc>
          <w:tcPr>
            <w:tcW w:w="3470" w:type="dxa"/>
            <w:shd w:val="clear" w:color="auto" w:fill="auto"/>
            <w:vAlign w:val="bottom"/>
          </w:tcPr>
          <w:p w14:paraId="774A1A2A" w14:textId="77777777" w:rsidR="0012790E" w:rsidRPr="0012790E" w:rsidRDefault="0012790E">
            <w:pPr>
              <w:pStyle w:val="SummaryMeasureTitlewithTheme"/>
            </w:pPr>
            <w:r w:rsidRPr="0012790E">
              <w:t>Digital ID</w:t>
            </w:r>
          </w:p>
        </w:tc>
        <w:tc>
          <w:tcPr>
            <w:tcW w:w="851" w:type="dxa"/>
            <w:vAlign w:val="bottom"/>
          </w:tcPr>
          <w:p w14:paraId="70DAC207"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35281A7" w14:textId="77777777" w:rsidR="0012790E" w:rsidRPr="0012790E" w:rsidRDefault="0012790E">
            <w:pPr>
              <w:pStyle w:val="Summarytabletextrightaligned"/>
              <w:rPr>
                <w:szCs w:val="16"/>
              </w:rPr>
            </w:pPr>
            <w:r w:rsidRPr="0012790E">
              <w:rPr>
                <w:szCs w:val="16"/>
              </w:rPr>
              <w:t>1.9</w:t>
            </w:r>
          </w:p>
        </w:tc>
        <w:tc>
          <w:tcPr>
            <w:tcW w:w="851" w:type="dxa"/>
            <w:vAlign w:val="bottom"/>
          </w:tcPr>
          <w:p w14:paraId="5F44A7ED" w14:textId="77777777" w:rsidR="0012790E" w:rsidRPr="0012790E" w:rsidRDefault="0012790E">
            <w:pPr>
              <w:pStyle w:val="Summarytabletextrightaligned"/>
              <w:rPr>
                <w:szCs w:val="16"/>
              </w:rPr>
            </w:pPr>
            <w:r w:rsidRPr="0012790E">
              <w:rPr>
                <w:szCs w:val="16"/>
              </w:rPr>
              <w:t>1.6</w:t>
            </w:r>
          </w:p>
        </w:tc>
        <w:tc>
          <w:tcPr>
            <w:tcW w:w="851" w:type="dxa"/>
            <w:vAlign w:val="bottom"/>
          </w:tcPr>
          <w:p w14:paraId="67EB1B2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17D316F" w14:textId="77777777" w:rsidR="0012790E" w:rsidRPr="0012790E" w:rsidRDefault="0012790E">
            <w:pPr>
              <w:pStyle w:val="Summarytabletextrightaligned"/>
              <w:rPr>
                <w:szCs w:val="16"/>
              </w:rPr>
            </w:pPr>
            <w:r w:rsidRPr="0012790E">
              <w:rPr>
                <w:szCs w:val="16"/>
              </w:rPr>
              <w:noBreakHyphen/>
            </w:r>
          </w:p>
        </w:tc>
      </w:tr>
      <w:tr w:rsidR="0012790E" w:rsidRPr="0012790E" w14:paraId="51898C4B" w14:textId="77777777" w:rsidTr="54937204">
        <w:tc>
          <w:tcPr>
            <w:tcW w:w="3470" w:type="dxa"/>
            <w:shd w:val="clear" w:color="auto" w:fill="auto"/>
            <w:vAlign w:val="bottom"/>
          </w:tcPr>
          <w:p w14:paraId="3C00098F" w14:textId="77777777" w:rsidR="0012790E" w:rsidRPr="0012790E" w:rsidRDefault="0012790E">
            <w:pPr>
              <w:pStyle w:val="SummaryAgencyTitle-BP2"/>
              <w:rPr>
                <w:iCs/>
              </w:rPr>
            </w:pPr>
            <w:r w:rsidRPr="0012790E">
              <w:rPr>
                <w:iCs/>
              </w:rPr>
              <w:t>Department of Home Affairs</w:t>
            </w:r>
          </w:p>
        </w:tc>
        <w:tc>
          <w:tcPr>
            <w:tcW w:w="851" w:type="dxa"/>
            <w:vAlign w:val="bottom"/>
          </w:tcPr>
          <w:p w14:paraId="687B9960" w14:textId="77777777" w:rsidR="0012790E" w:rsidRPr="0012790E" w:rsidRDefault="0012790E">
            <w:pPr>
              <w:pStyle w:val="SummaryAgencyTitle-BP2"/>
              <w:rPr>
                <w:iCs/>
              </w:rPr>
            </w:pPr>
          </w:p>
        </w:tc>
        <w:tc>
          <w:tcPr>
            <w:tcW w:w="851" w:type="dxa"/>
            <w:shd w:val="clear" w:color="auto" w:fill="E6F2FF"/>
            <w:vAlign w:val="bottom"/>
          </w:tcPr>
          <w:p w14:paraId="68B7DD53" w14:textId="77777777" w:rsidR="0012790E" w:rsidRPr="0012790E" w:rsidRDefault="0012790E">
            <w:pPr>
              <w:pStyle w:val="SummaryAgencyTitle-BP2"/>
              <w:rPr>
                <w:iCs/>
              </w:rPr>
            </w:pPr>
          </w:p>
        </w:tc>
        <w:tc>
          <w:tcPr>
            <w:tcW w:w="851" w:type="dxa"/>
            <w:vAlign w:val="bottom"/>
          </w:tcPr>
          <w:p w14:paraId="70B2B71B" w14:textId="77777777" w:rsidR="0012790E" w:rsidRPr="0012790E" w:rsidRDefault="0012790E">
            <w:pPr>
              <w:pStyle w:val="SummaryAgencyTitle-BP2"/>
              <w:rPr>
                <w:iCs/>
              </w:rPr>
            </w:pPr>
          </w:p>
        </w:tc>
        <w:tc>
          <w:tcPr>
            <w:tcW w:w="851" w:type="dxa"/>
            <w:vAlign w:val="bottom"/>
          </w:tcPr>
          <w:p w14:paraId="13276D9D" w14:textId="77777777" w:rsidR="0012790E" w:rsidRPr="0012790E" w:rsidRDefault="0012790E">
            <w:pPr>
              <w:pStyle w:val="SummaryAgencyTitle-BP2"/>
              <w:rPr>
                <w:iCs/>
              </w:rPr>
            </w:pPr>
          </w:p>
        </w:tc>
        <w:tc>
          <w:tcPr>
            <w:tcW w:w="851" w:type="dxa"/>
            <w:vAlign w:val="bottom"/>
          </w:tcPr>
          <w:p w14:paraId="6AA4DB9A" w14:textId="77777777" w:rsidR="0012790E" w:rsidRPr="0012790E" w:rsidRDefault="0012790E">
            <w:pPr>
              <w:pStyle w:val="SummaryAgencyTitle-BP2"/>
              <w:rPr>
                <w:iCs/>
              </w:rPr>
            </w:pPr>
          </w:p>
        </w:tc>
      </w:tr>
      <w:tr w:rsidR="0012790E" w:rsidRPr="0012790E" w14:paraId="3EE643FA" w14:textId="77777777" w:rsidTr="54937204">
        <w:tc>
          <w:tcPr>
            <w:tcW w:w="3470" w:type="dxa"/>
            <w:shd w:val="clear" w:color="auto" w:fill="auto"/>
            <w:vAlign w:val="bottom"/>
          </w:tcPr>
          <w:p w14:paraId="24D801EC" w14:textId="77777777" w:rsidR="0012790E" w:rsidRPr="0012790E" w:rsidRDefault="0012790E">
            <w:pPr>
              <w:pStyle w:val="SummaryMeasureTitlewithTheme"/>
            </w:pPr>
            <w:r w:rsidRPr="0012790E">
              <w:t>APS Capability Reinvestment Fund: 2024</w:t>
            </w:r>
            <w:r w:rsidRPr="0012790E">
              <w:noBreakHyphen/>
              <w:t>25 projects funded under round two</w:t>
            </w:r>
          </w:p>
        </w:tc>
        <w:tc>
          <w:tcPr>
            <w:tcW w:w="851" w:type="dxa"/>
            <w:vAlign w:val="bottom"/>
          </w:tcPr>
          <w:p w14:paraId="0DCE8B1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7B98D80" w14:textId="53A2EFB0" w:rsidR="0012790E" w:rsidRPr="0012790E" w:rsidRDefault="00B92B04">
            <w:pPr>
              <w:pStyle w:val="Summarytabletextrightaligned"/>
              <w:rPr>
                <w:szCs w:val="16"/>
              </w:rPr>
            </w:pPr>
            <w:r>
              <w:rPr>
                <w:szCs w:val="16"/>
              </w:rPr>
              <w:t>-</w:t>
            </w:r>
          </w:p>
        </w:tc>
        <w:tc>
          <w:tcPr>
            <w:tcW w:w="851" w:type="dxa"/>
            <w:vAlign w:val="bottom"/>
          </w:tcPr>
          <w:p w14:paraId="3476332E"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59630B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DD7E7D8" w14:textId="77777777" w:rsidR="0012790E" w:rsidRPr="0012790E" w:rsidRDefault="0012790E">
            <w:pPr>
              <w:pStyle w:val="Summarytabletextrightaligned"/>
              <w:rPr>
                <w:szCs w:val="16"/>
              </w:rPr>
            </w:pPr>
            <w:r w:rsidRPr="0012790E">
              <w:rPr>
                <w:szCs w:val="16"/>
              </w:rPr>
              <w:noBreakHyphen/>
            </w:r>
          </w:p>
        </w:tc>
      </w:tr>
      <w:tr w:rsidR="0012790E" w:rsidRPr="0012790E" w14:paraId="2CE8F670" w14:textId="77777777" w:rsidTr="54937204">
        <w:tc>
          <w:tcPr>
            <w:tcW w:w="3470" w:type="dxa"/>
            <w:shd w:val="clear" w:color="auto" w:fill="auto"/>
            <w:vAlign w:val="bottom"/>
          </w:tcPr>
          <w:p w14:paraId="22CAA6FD" w14:textId="77777777" w:rsidR="0012790E" w:rsidRPr="0012790E" w:rsidRDefault="0012790E">
            <w:pPr>
              <w:pStyle w:val="SummaryMeasureTitlewithTheme"/>
            </w:pPr>
            <w:r w:rsidRPr="0012790E">
              <w:t>Civil Maritime Critical Security Capabilities</w:t>
            </w:r>
          </w:p>
        </w:tc>
        <w:tc>
          <w:tcPr>
            <w:tcW w:w="851" w:type="dxa"/>
            <w:vAlign w:val="bottom"/>
          </w:tcPr>
          <w:p w14:paraId="5374F13B" w14:textId="77777777" w:rsidR="0012790E" w:rsidRPr="0012790E" w:rsidRDefault="0012790E">
            <w:pPr>
              <w:pStyle w:val="Summarytabletextrightaligned"/>
              <w:rPr>
                <w:szCs w:val="16"/>
              </w:rPr>
            </w:pPr>
            <w:r w:rsidRPr="0012790E">
              <w:rPr>
                <w:szCs w:val="16"/>
              </w:rPr>
              <w:t>3.6</w:t>
            </w:r>
          </w:p>
        </w:tc>
        <w:tc>
          <w:tcPr>
            <w:tcW w:w="851" w:type="dxa"/>
            <w:shd w:val="clear" w:color="auto" w:fill="E6F2FF"/>
            <w:vAlign w:val="bottom"/>
          </w:tcPr>
          <w:p w14:paraId="48573C8D" w14:textId="77777777" w:rsidR="0012790E" w:rsidRPr="0012790E" w:rsidRDefault="0012790E">
            <w:pPr>
              <w:pStyle w:val="Summarytabletextrightaligned"/>
              <w:rPr>
                <w:szCs w:val="16"/>
              </w:rPr>
            </w:pPr>
            <w:r w:rsidRPr="0012790E">
              <w:rPr>
                <w:szCs w:val="16"/>
              </w:rPr>
              <w:t>116.3</w:t>
            </w:r>
          </w:p>
        </w:tc>
        <w:tc>
          <w:tcPr>
            <w:tcW w:w="851" w:type="dxa"/>
            <w:vAlign w:val="bottom"/>
          </w:tcPr>
          <w:p w14:paraId="55BAB81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7349C5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85EEE4E" w14:textId="77777777" w:rsidR="0012790E" w:rsidRPr="0012790E" w:rsidRDefault="0012790E">
            <w:pPr>
              <w:pStyle w:val="Summarytabletextrightaligned"/>
              <w:rPr>
                <w:szCs w:val="16"/>
              </w:rPr>
            </w:pPr>
            <w:r w:rsidRPr="0012790E">
              <w:rPr>
                <w:szCs w:val="16"/>
              </w:rPr>
              <w:noBreakHyphen/>
            </w:r>
          </w:p>
        </w:tc>
      </w:tr>
      <w:tr w:rsidR="0012790E" w:rsidRPr="0012790E" w14:paraId="3A7C2E52" w14:textId="77777777" w:rsidTr="54937204">
        <w:tc>
          <w:tcPr>
            <w:tcW w:w="3470" w:type="dxa"/>
            <w:shd w:val="clear" w:color="auto" w:fill="auto"/>
            <w:vAlign w:val="bottom"/>
          </w:tcPr>
          <w:p w14:paraId="62DED651" w14:textId="77777777" w:rsidR="0012790E" w:rsidRPr="0012790E" w:rsidRDefault="0012790E">
            <w:pPr>
              <w:pStyle w:val="SummaryMeasureTitlewithTheme"/>
            </w:pPr>
            <w:r w:rsidRPr="0012790E">
              <w:t>Department of Home Affairs – supplementation</w:t>
            </w:r>
          </w:p>
        </w:tc>
        <w:tc>
          <w:tcPr>
            <w:tcW w:w="851" w:type="dxa"/>
            <w:vAlign w:val="bottom"/>
          </w:tcPr>
          <w:p w14:paraId="19D0C2F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8D5040D" w14:textId="77777777" w:rsidR="0012790E" w:rsidRPr="0012790E" w:rsidRDefault="0012790E">
            <w:pPr>
              <w:pStyle w:val="Summarytabletextrightaligned"/>
              <w:rPr>
                <w:szCs w:val="16"/>
              </w:rPr>
            </w:pPr>
            <w:r w:rsidRPr="0012790E">
              <w:rPr>
                <w:szCs w:val="16"/>
              </w:rPr>
              <w:t>100.0</w:t>
            </w:r>
          </w:p>
        </w:tc>
        <w:tc>
          <w:tcPr>
            <w:tcW w:w="851" w:type="dxa"/>
            <w:vAlign w:val="bottom"/>
          </w:tcPr>
          <w:p w14:paraId="1F096401"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64E48D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44C3438" w14:textId="77777777" w:rsidR="0012790E" w:rsidRPr="0012790E" w:rsidRDefault="0012790E">
            <w:pPr>
              <w:pStyle w:val="Summarytabletextrightaligned"/>
              <w:rPr>
                <w:szCs w:val="16"/>
              </w:rPr>
            </w:pPr>
            <w:r w:rsidRPr="0012790E">
              <w:rPr>
                <w:szCs w:val="16"/>
              </w:rPr>
              <w:noBreakHyphen/>
            </w:r>
          </w:p>
        </w:tc>
      </w:tr>
      <w:tr w:rsidR="0012790E" w:rsidRPr="0012790E" w14:paraId="015D53B3" w14:textId="77777777" w:rsidTr="54937204">
        <w:tc>
          <w:tcPr>
            <w:tcW w:w="3470" w:type="dxa"/>
            <w:shd w:val="clear" w:color="auto" w:fill="auto"/>
            <w:vAlign w:val="bottom"/>
          </w:tcPr>
          <w:p w14:paraId="4909E1CC" w14:textId="77777777" w:rsidR="0012790E" w:rsidRPr="0012790E" w:rsidRDefault="0012790E">
            <w:pPr>
              <w:pStyle w:val="SummaryMeasureTitlewithTheme"/>
            </w:pPr>
            <w:r w:rsidRPr="0012790E">
              <w:t>Enabling Western Sydney International Airport</w:t>
            </w:r>
          </w:p>
        </w:tc>
        <w:tc>
          <w:tcPr>
            <w:tcW w:w="851" w:type="dxa"/>
            <w:vAlign w:val="bottom"/>
          </w:tcPr>
          <w:p w14:paraId="1B28191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C565F5D" w14:textId="77777777" w:rsidR="0012790E" w:rsidRPr="0012790E" w:rsidRDefault="0012790E">
            <w:pPr>
              <w:pStyle w:val="Summarytabletextrightaligned"/>
              <w:rPr>
                <w:szCs w:val="16"/>
              </w:rPr>
            </w:pPr>
            <w:r w:rsidRPr="0012790E">
              <w:rPr>
                <w:szCs w:val="16"/>
              </w:rPr>
              <w:t>60.3</w:t>
            </w:r>
          </w:p>
        </w:tc>
        <w:tc>
          <w:tcPr>
            <w:tcW w:w="851" w:type="dxa"/>
            <w:vAlign w:val="bottom"/>
          </w:tcPr>
          <w:p w14:paraId="489569D9" w14:textId="77777777" w:rsidR="0012790E" w:rsidRPr="0012790E" w:rsidRDefault="0012790E">
            <w:pPr>
              <w:pStyle w:val="Summarytabletextrightaligned"/>
              <w:rPr>
                <w:szCs w:val="16"/>
              </w:rPr>
            </w:pPr>
            <w:r w:rsidRPr="0012790E">
              <w:rPr>
                <w:szCs w:val="16"/>
              </w:rPr>
              <w:t>19.4</w:t>
            </w:r>
          </w:p>
        </w:tc>
        <w:tc>
          <w:tcPr>
            <w:tcW w:w="851" w:type="dxa"/>
            <w:vAlign w:val="bottom"/>
          </w:tcPr>
          <w:p w14:paraId="270A7570" w14:textId="77777777" w:rsidR="0012790E" w:rsidRPr="0012790E" w:rsidRDefault="0012790E">
            <w:pPr>
              <w:pStyle w:val="Summarytabletextrightaligned"/>
              <w:rPr>
                <w:szCs w:val="16"/>
              </w:rPr>
            </w:pPr>
            <w:r w:rsidRPr="0012790E">
              <w:rPr>
                <w:szCs w:val="16"/>
              </w:rPr>
              <w:t>19.8</w:t>
            </w:r>
          </w:p>
        </w:tc>
        <w:tc>
          <w:tcPr>
            <w:tcW w:w="851" w:type="dxa"/>
            <w:vAlign w:val="bottom"/>
          </w:tcPr>
          <w:p w14:paraId="574807BA" w14:textId="77777777" w:rsidR="0012790E" w:rsidRPr="0012790E" w:rsidRDefault="0012790E">
            <w:pPr>
              <w:pStyle w:val="Summarytabletextrightaligned"/>
              <w:rPr>
                <w:szCs w:val="16"/>
              </w:rPr>
            </w:pPr>
            <w:r w:rsidRPr="0012790E">
              <w:rPr>
                <w:szCs w:val="16"/>
              </w:rPr>
              <w:t>20.5</w:t>
            </w:r>
          </w:p>
        </w:tc>
      </w:tr>
      <w:tr w:rsidR="0012790E" w:rsidRPr="0012790E" w14:paraId="18136387" w14:textId="77777777" w:rsidTr="54937204">
        <w:tc>
          <w:tcPr>
            <w:tcW w:w="3470" w:type="dxa"/>
            <w:shd w:val="clear" w:color="auto" w:fill="auto"/>
            <w:vAlign w:val="bottom"/>
          </w:tcPr>
          <w:p w14:paraId="7460A76E" w14:textId="77777777" w:rsidR="0012790E" w:rsidRPr="0012790E" w:rsidRDefault="0012790E">
            <w:pPr>
              <w:pStyle w:val="SummaryMeasureTitlewithTheme"/>
            </w:pPr>
            <w:r w:rsidRPr="0012790E">
              <w:t>Engineered Stone Import Prohibition(b)</w:t>
            </w:r>
          </w:p>
        </w:tc>
        <w:tc>
          <w:tcPr>
            <w:tcW w:w="851" w:type="dxa"/>
            <w:vAlign w:val="bottom"/>
          </w:tcPr>
          <w:p w14:paraId="3B042A03"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9CC8EA1" w14:textId="77777777" w:rsidR="0012790E" w:rsidRPr="0012790E" w:rsidRDefault="0012790E">
            <w:pPr>
              <w:pStyle w:val="Summarytabletextrightaligned"/>
              <w:rPr>
                <w:szCs w:val="16"/>
              </w:rPr>
            </w:pPr>
            <w:r w:rsidRPr="0012790E">
              <w:rPr>
                <w:szCs w:val="16"/>
              </w:rPr>
              <w:t>20.0</w:t>
            </w:r>
          </w:p>
        </w:tc>
        <w:tc>
          <w:tcPr>
            <w:tcW w:w="851" w:type="dxa"/>
            <w:vAlign w:val="bottom"/>
          </w:tcPr>
          <w:p w14:paraId="278892A7" w14:textId="77777777" w:rsidR="0012790E" w:rsidRPr="0012790E" w:rsidRDefault="0012790E">
            <w:pPr>
              <w:pStyle w:val="Summarytabletextrightaligned"/>
              <w:rPr>
                <w:szCs w:val="16"/>
              </w:rPr>
            </w:pPr>
            <w:r w:rsidRPr="0012790E">
              <w:rPr>
                <w:szCs w:val="16"/>
              </w:rPr>
              <w:t>12.1</w:t>
            </w:r>
          </w:p>
        </w:tc>
        <w:tc>
          <w:tcPr>
            <w:tcW w:w="851" w:type="dxa"/>
            <w:vAlign w:val="bottom"/>
          </w:tcPr>
          <w:p w14:paraId="3D6ED42E"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FCEB570" w14:textId="77777777" w:rsidR="0012790E" w:rsidRPr="0012790E" w:rsidRDefault="0012790E">
            <w:pPr>
              <w:pStyle w:val="Summarytabletextrightaligned"/>
              <w:rPr>
                <w:szCs w:val="16"/>
              </w:rPr>
            </w:pPr>
            <w:r w:rsidRPr="0012790E">
              <w:rPr>
                <w:szCs w:val="16"/>
              </w:rPr>
              <w:noBreakHyphen/>
            </w:r>
          </w:p>
        </w:tc>
      </w:tr>
      <w:tr w:rsidR="0012790E" w:rsidRPr="0012790E" w14:paraId="31C3C039" w14:textId="77777777" w:rsidTr="54937204">
        <w:tc>
          <w:tcPr>
            <w:tcW w:w="3470" w:type="dxa"/>
            <w:shd w:val="clear" w:color="auto" w:fill="auto"/>
            <w:vAlign w:val="bottom"/>
          </w:tcPr>
          <w:p w14:paraId="3ADE03B7" w14:textId="77777777" w:rsidR="0012790E" w:rsidRPr="0012790E" w:rsidRDefault="0012790E">
            <w:pPr>
              <w:pStyle w:val="SummaryMeasureTitlewithTheme"/>
            </w:pPr>
            <w:r w:rsidRPr="0012790E">
              <w:t>Establishment of the Administrative Review Tribunal and Addressing Extremely High Migration Backlogs in the Courts(b)</w:t>
            </w:r>
          </w:p>
        </w:tc>
        <w:tc>
          <w:tcPr>
            <w:tcW w:w="851" w:type="dxa"/>
            <w:vAlign w:val="bottom"/>
          </w:tcPr>
          <w:p w14:paraId="72415CDE" w14:textId="77777777" w:rsidR="0012790E" w:rsidRPr="0012790E" w:rsidRDefault="0012790E">
            <w:pPr>
              <w:pStyle w:val="Summarytabletextrightaligned"/>
              <w:rPr>
                <w:szCs w:val="16"/>
              </w:rPr>
            </w:pPr>
            <w:r w:rsidRPr="0012790E">
              <w:rPr>
                <w:szCs w:val="16"/>
              </w:rPr>
              <w:t>0.2</w:t>
            </w:r>
          </w:p>
        </w:tc>
        <w:tc>
          <w:tcPr>
            <w:tcW w:w="851" w:type="dxa"/>
            <w:shd w:val="clear" w:color="auto" w:fill="E6F2FF"/>
            <w:vAlign w:val="bottom"/>
          </w:tcPr>
          <w:p w14:paraId="5094A53C" w14:textId="77777777" w:rsidR="0012790E" w:rsidRPr="0012790E" w:rsidRDefault="0012790E">
            <w:pPr>
              <w:pStyle w:val="Summarytabletextrightaligned"/>
              <w:rPr>
                <w:szCs w:val="16"/>
              </w:rPr>
            </w:pPr>
            <w:r w:rsidRPr="0012790E">
              <w:rPr>
                <w:szCs w:val="16"/>
              </w:rPr>
              <w:t>20.2</w:t>
            </w:r>
          </w:p>
        </w:tc>
        <w:tc>
          <w:tcPr>
            <w:tcW w:w="851" w:type="dxa"/>
            <w:vAlign w:val="bottom"/>
          </w:tcPr>
          <w:p w14:paraId="7193E0E9" w14:textId="77777777" w:rsidR="0012790E" w:rsidRPr="0012790E" w:rsidRDefault="0012790E">
            <w:pPr>
              <w:pStyle w:val="Summarytabletextrightaligned"/>
              <w:rPr>
                <w:szCs w:val="16"/>
              </w:rPr>
            </w:pPr>
            <w:r w:rsidRPr="0012790E">
              <w:rPr>
                <w:szCs w:val="16"/>
              </w:rPr>
              <w:t>6.7</w:t>
            </w:r>
          </w:p>
        </w:tc>
        <w:tc>
          <w:tcPr>
            <w:tcW w:w="851" w:type="dxa"/>
            <w:vAlign w:val="bottom"/>
          </w:tcPr>
          <w:p w14:paraId="51283CFC" w14:textId="77777777" w:rsidR="0012790E" w:rsidRPr="0012790E" w:rsidRDefault="0012790E">
            <w:pPr>
              <w:pStyle w:val="Summarytabletextrightaligned"/>
              <w:rPr>
                <w:szCs w:val="16"/>
              </w:rPr>
            </w:pPr>
            <w:r w:rsidRPr="0012790E">
              <w:rPr>
                <w:szCs w:val="16"/>
              </w:rPr>
              <w:t>3.5</w:t>
            </w:r>
          </w:p>
        </w:tc>
        <w:tc>
          <w:tcPr>
            <w:tcW w:w="851" w:type="dxa"/>
            <w:vAlign w:val="bottom"/>
          </w:tcPr>
          <w:p w14:paraId="0FB87095" w14:textId="77777777" w:rsidR="0012790E" w:rsidRPr="0012790E" w:rsidRDefault="0012790E">
            <w:pPr>
              <w:pStyle w:val="Summarytabletextrightaligned"/>
              <w:rPr>
                <w:szCs w:val="16"/>
              </w:rPr>
            </w:pPr>
            <w:r w:rsidRPr="0012790E">
              <w:rPr>
                <w:szCs w:val="16"/>
              </w:rPr>
              <w:t>3.5</w:t>
            </w:r>
          </w:p>
        </w:tc>
      </w:tr>
      <w:tr w:rsidR="0012790E" w:rsidRPr="0012790E" w14:paraId="307E107B" w14:textId="77777777" w:rsidTr="54937204">
        <w:tc>
          <w:tcPr>
            <w:tcW w:w="3470" w:type="dxa"/>
            <w:shd w:val="clear" w:color="auto" w:fill="auto"/>
            <w:vAlign w:val="bottom"/>
          </w:tcPr>
          <w:p w14:paraId="3DB2181C" w14:textId="77777777" w:rsidR="0012790E" w:rsidRPr="0012790E" w:rsidRDefault="0012790E">
            <w:pPr>
              <w:pStyle w:val="SummaryMeasureTitlewithTheme"/>
            </w:pPr>
            <w:r w:rsidRPr="0012790E">
              <w:t>Infrastructure Upgrades at Yongah Hill Immigration Detention Centre</w:t>
            </w:r>
          </w:p>
        </w:tc>
        <w:tc>
          <w:tcPr>
            <w:tcW w:w="851" w:type="dxa"/>
            <w:vAlign w:val="bottom"/>
          </w:tcPr>
          <w:p w14:paraId="7453B5F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A79F0F2"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431D50C0"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56AFB19C"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2D3DA209" w14:textId="77777777" w:rsidR="0012790E" w:rsidRPr="0012790E" w:rsidRDefault="0012790E">
            <w:pPr>
              <w:pStyle w:val="Summarytabletextrightaligned"/>
              <w:rPr>
                <w:szCs w:val="16"/>
              </w:rPr>
            </w:pPr>
            <w:r w:rsidRPr="0012790E">
              <w:rPr>
                <w:szCs w:val="16"/>
              </w:rPr>
              <w:noBreakHyphen/>
            </w:r>
          </w:p>
        </w:tc>
      </w:tr>
      <w:tr w:rsidR="0012790E" w:rsidRPr="0012790E" w14:paraId="5FE2CCE9" w14:textId="77777777" w:rsidTr="54937204">
        <w:tc>
          <w:tcPr>
            <w:tcW w:w="3470" w:type="dxa"/>
            <w:shd w:val="clear" w:color="auto" w:fill="auto"/>
            <w:vAlign w:val="bottom"/>
          </w:tcPr>
          <w:p w14:paraId="6F4B1706" w14:textId="77777777" w:rsidR="0012790E" w:rsidRPr="0012790E" w:rsidRDefault="0012790E">
            <w:pPr>
              <w:pStyle w:val="SummaryMeasureTitlewithTheme"/>
            </w:pPr>
            <w:r w:rsidRPr="0012790E">
              <w:t>Maintaining Support for an Effective Foreign Service</w:t>
            </w:r>
          </w:p>
        </w:tc>
        <w:tc>
          <w:tcPr>
            <w:tcW w:w="851" w:type="dxa"/>
            <w:vAlign w:val="bottom"/>
          </w:tcPr>
          <w:p w14:paraId="2EBF20F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55F766B" w14:textId="77777777" w:rsidR="0012790E" w:rsidRPr="0012790E" w:rsidRDefault="0012790E">
            <w:pPr>
              <w:pStyle w:val="Summarytabletextrightaligned"/>
              <w:rPr>
                <w:szCs w:val="16"/>
              </w:rPr>
            </w:pPr>
            <w:r w:rsidRPr="0012790E">
              <w:rPr>
                <w:szCs w:val="16"/>
              </w:rPr>
              <w:t>0.3</w:t>
            </w:r>
          </w:p>
        </w:tc>
        <w:tc>
          <w:tcPr>
            <w:tcW w:w="851" w:type="dxa"/>
            <w:vAlign w:val="bottom"/>
          </w:tcPr>
          <w:p w14:paraId="6A4EE1E7" w14:textId="77777777" w:rsidR="0012790E" w:rsidRPr="0012790E" w:rsidRDefault="0012790E">
            <w:pPr>
              <w:pStyle w:val="Summarytabletextrightaligned"/>
              <w:rPr>
                <w:szCs w:val="16"/>
              </w:rPr>
            </w:pPr>
            <w:r w:rsidRPr="0012790E">
              <w:rPr>
                <w:szCs w:val="16"/>
              </w:rPr>
              <w:t>0.3</w:t>
            </w:r>
          </w:p>
        </w:tc>
        <w:tc>
          <w:tcPr>
            <w:tcW w:w="851" w:type="dxa"/>
            <w:vAlign w:val="bottom"/>
          </w:tcPr>
          <w:p w14:paraId="6F3D3EA5" w14:textId="77777777" w:rsidR="0012790E" w:rsidRPr="0012790E" w:rsidRDefault="0012790E">
            <w:pPr>
              <w:pStyle w:val="Summarytabletextrightaligned"/>
              <w:rPr>
                <w:szCs w:val="16"/>
              </w:rPr>
            </w:pPr>
            <w:r w:rsidRPr="0012790E">
              <w:rPr>
                <w:szCs w:val="16"/>
              </w:rPr>
              <w:t>0.3</w:t>
            </w:r>
          </w:p>
        </w:tc>
        <w:tc>
          <w:tcPr>
            <w:tcW w:w="851" w:type="dxa"/>
            <w:vAlign w:val="bottom"/>
          </w:tcPr>
          <w:p w14:paraId="1B993714" w14:textId="77777777" w:rsidR="0012790E" w:rsidRPr="0012790E" w:rsidRDefault="0012790E">
            <w:pPr>
              <w:pStyle w:val="Summarytabletextrightaligned"/>
              <w:rPr>
                <w:szCs w:val="16"/>
              </w:rPr>
            </w:pPr>
            <w:r w:rsidRPr="0012790E">
              <w:rPr>
                <w:szCs w:val="16"/>
              </w:rPr>
              <w:t>0.3</w:t>
            </w:r>
          </w:p>
        </w:tc>
      </w:tr>
      <w:tr w:rsidR="0012790E" w:rsidRPr="0012790E" w14:paraId="30100C70" w14:textId="77777777" w:rsidTr="54937204">
        <w:tc>
          <w:tcPr>
            <w:tcW w:w="3470" w:type="dxa"/>
            <w:shd w:val="clear" w:color="auto" w:fill="auto"/>
            <w:vAlign w:val="bottom"/>
          </w:tcPr>
          <w:p w14:paraId="1ADBEDE6" w14:textId="77777777" w:rsidR="0012790E" w:rsidRPr="0012790E" w:rsidRDefault="0012790E">
            <w:pPr>
              <w:pStyle w:val="SummaryMeasureTitlewithTheme"/>
            </w:pPr>
            <w:r w:rsidRPr="0012790E">
              <w:t>Middle East Crisis Response</w:t>
            </w:r>
          </w:p>
        </w:tc>
        <w:tc>
          <w:tcPr>
            <w:tcW w:w="851" w:type="dxa"/>
            <w:vAlign w:val="bottom"/>
          </w:tcPr>
          <w:p w14:paraId="02424F93" w14:textId="2CD21E63" w:rsidR="0012790E" w:rsidRPr="0012790E" w:rsidRDefault="000D6080">
            <w:pPr>
              <w:pStyle w:val="Summarytabletextrightaligned"/>
              <w:rPr>
                <w:szCs w:val="16"/>
              </w:rPr>
            </w:pPr>
            <w:r>
              <w:rPr>
                <w:szCs w:val="16"/>
              </w:rPr>
              <w:t>-</w:t>
            </w:r>
          </w:p>
        </w:tc>
        <w:tc>
          <w:tcPr>
            <w:tcW w:w="851" w:type="dxa"/>
            <w:shd w:val="clear" w:color="auto" w:fill="E6F2FF"/>
            <w:vAlign w:val="bottom"/>
          </w:tcPr>
          <w:p w14:paraId="44F364A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869925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51F25F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7011859" w14:textId="77777777" w:rsidR="0012790E" w:rsidRPr="0012790E" w:rsidRDefault="0012790E">
            <w:pPr>
              <w:pStyle w:val="Summarytabletextrightaligned"/>
              <w:rPr>
                <w:szCs w:val="16"/>
              </w:rPr>
            </w:pPr>
            <w:r w:rsidRPr="0012790E">
              <w:rPr>
                <w:szCs w:val="16"/>
              </w:rPr>
              <w:noBreakHyphen/>
            </w:r>
          </w:p>
        </w:tc>
      </w:tr>
      <w:tr w:rsidR="0012790E" w:rsidRPr="0012790E" w14:paraId="4627932B" w14:textId="77777777" w:rsidTr="54937204">
        <w:tc>
          <w:tcPr>
            <w:tcW w:w="3470" w:type="dxa"/>
            <w:shd w:val="clear" w:color="auto" w:fill="auto"/>
            <w:vAlign w:val="bottom"/>
          </w:tcPr>
          <w:p w14:paraId="72B9F30F" w14:textId="77777777" w:rsidR="0012790E" w:rsidRPr="0012790E" w:rsidRDefault="0012790E">
            <w:pPr>
              <w:pStyle w:val="SummaryMeasureTitlewithTheme"/>
            </w:pPr>
            <w:r w:rsidRPr="0012790E">
              <w:t>Migration – Mobility Arrangement for Talented Early</w:t>
            </w:r>
            <w:r w:rsidRPr="0012790E">
              <w:noBreakHyphen/>
              <w:t>professionals Scheme (MATES) and extending the validity of the Business Visitor visa for Indian nationals(b)</w:t>
            </w:r>
          </w:p>
        </w:tc>
        <w:tc>
          <w:tcPr>
            <w:tcW w:w="851" w:type="dxa"/>
            <w:vAlign w:val="bottom"/>
          </w:tcPr>
          <w:p w14:paraId="62AE868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C6AC6AC" w14:textId="77777777" w:rsidR="0012790E" w:rsidRPr="0012790E" w:rsidRDefault="0012790E">
            <w:pPr>
              <w:pStyle w:val="Summarytabletextrightaligned"/>
              <w:rPr>
                <w:szCs w:val="16"/>
              </w:rPr>
            </w:pPr>
            <w:r w:rsidRPr="0012790E">
              <w:rPr>
                <w:szCs w:val="16"/>
              </w:rPr>
              <w:t>3.1</w:t>
            </w:r>
          </w:p>
        </w:tc>
        <w:tc>
          <w:tcPr>
            <w:tcW w:w="851" w:type="dxa"/>
            <w:vAlign w:val="bottom"/>
          </w:tcPr>
          <w:p w14:paraId="07549D17" w14:textId="77777777" w:rsidR="0012790E" w:rsidRPr="0012790E" w:rsidRDefault="0012790E">
            <w:pPr>
              <w:pStyle w:val="Summarytabletextrightaligned"/>
              <w:rPr>
                <w:szCs w:val="16"/>
              </w:rPr>
            </w:pPr>
            <w:r w:rsidRPr="0012790E">
              <w:rPr>
                <w:szCs w:val="16"/>
              </w:rPr>
              <w:t>1.3</w:t>
            </w:r>
          </w:p>
        </w:tc>
        <w:tc>
          <w:tcPr>
            <w:tcW w:w="851" w:type="dxa"/>
            <w:vAlign w:val="bottom"/>
          </w:tcPr>
          <w:p w14:paraId="541B1E59" w14:textId="77777777" w:rsidR="0012790E" w:rsidRPr="0012790E" w:rsidRDefault="0012790E">
            <w:pPr>
              <w:pStyle w:val="Summarytabletextrightaligned"/>
              <w:rPr>
                <w:szCs w:val="16"/>
              </w:rPr>
            </w:pPr>
            <w:r w:rsidRPr="0012790E">
              <w:rPr>
                <w:szCs w:val="16"/>
              </w:rPr>
              <w:t>0.7</w:t>
            </w:r>
          </w:p>
        </w:tc>
        <w:tc>
          <w:tcPr>
            <w:tcW w:w="851" w:type="dxa"/>
            <w:vAlign w:val="bottom"/>
          </w:tcPr>
          <w:p w14:paraId="2F680F81" w14:textId="77777777" w:rsidR="0012790E" w:rsidRPr="0012790E" w:rsidRDefault="0012790E">
            <w:pPr>
              <w:pStyle w:val="Summarytabletextrightaligned"/>
              <w:rPr>
                <w:szCs w:val="16"/>
              </w:rPr>
            </w:pPr>
            <w:r w:rsidRPr="0012790E">
              <w:rPr>
                <w:szCs w:val="16"/>
              </w:rPr>
              <w:t>0.7</w:t>
            </w:r>
          </w:p>
        </w:tc>
      </w:tr>
      <w:tr w:rsidR="0012790E" w:rsidRPr="0012790E" w14:paraId="28D6C976" w14:textId="77777777" w:rsidTr="54937204">
        <w:tc>
          <w:tcPr>
            <w:tcW w:w="3470" w:type="dxa"/>
            <w:shd w:val="clear" w:color="auto" w:fill="auto"/>
            <w:vAlign w:val="bottom"/>
          </w:tcPr>
          <w:p w14:paraId="7745A126" w14:textId="77777777" w:rsidR="0012790E" w:rsidRPr="0012790E" w:rsidRDefault="0012790E">
            <w:pPr>
              <w:pStyle w:val="SummaryMeasureTitlewithTheme"/>
            </w:pPr>
            <w:r w:rsidRPr="0012790E">
              <w:t>Migration System Reforms(b)</w:t>
            </w:r>
          </w:p>
        </w:tc>
        <w:tc>
          <w:tcPr>
            <w:tcW w:w="851" w:type="dxa"/>
            <w:vAlign w:val="bottom"/>
          </w:tcPr>
          <w:p w14:paraId="4544286A"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2CF3CDA" w14:textId="77777777" w:rsidR="0012790E" w:rsidRPr="0012790E" w:rsidRDefault="0012790E">
            <w:pPr>
              <w:pStyle w:val="Summarytabletextrightaligned"/>
              <w:rPr>
                <w:szCs w:val="16"/>
              </w:rPr>
            </w:pPr>
            <w:r w:rsidRPr="0012790E">
              <w:rPr>
                <w:szCs w:val="16"/>
              </w:rPr>
              <w:t>8.5</w:t>
            </w:r>
          </w:p>
        </w:tc>
        <w:tc>
          <w:tcPr>
            <w:tcW w:w="851" w:type="dxa"/>
            <w:vAlign w:val="bottom"/>
          </w:tcPr>
          <w:p w14:paraId="435E68F0" w14:textId="77777777" w:rsidR="0012790E" w:rsidRPr="0012790E" w:rsidRDefault="0012790E">
            <w:pPr>
              <w:pStyle w:val="Summarytabletextrightaligned"/>
              <w:rPr>
                <w:szCs w:val="16"/>
              </w:rPr>
            </w:pPr>
            <w:r w:rsidRPr="0012790E">
              <w:rPr>
                <w:szCs w:val="16"/>
              </w:rPr>
              <w:t>8.3</w:t>
            </w:r>
          </w:p>
        </w:tc>
        <w:tc>
          <w:tcPr>
            <w:tcW w:w="851" w:type="dxa"/>
            <w:vAlign w:val="bottom"/>
          </w:tcPr>
          <w:p w14:paraId="17EC8EB0" w14:textId="77777777" w:rsidR="0012790E" w:rsidRPr="0012790E" w:rsidRDefault="0012790E">
            <w:pPr>
              <w:pStyle w:val="Summarytabletextrightaligned"/>
              <w:rPr>
                <w:szCs w:val="16"/>
              </w:rPr>
            </w:pPr>
            <w:r w:rsidRPr="0012790E">
              <w:rPr>
                <w:szCs w:val="16"/>
              </w:rPr>
              <w:t>..</w:t>
            </w:r>
          </w:p>
        </w:tc>
        <w:tc>
          <w:tcPr>
            <w:tcW w:w="851" w:type="dxa"/>
            <w:vAlign w:val="bottom"/>
          </w:tcPr>
          <w:p w14:paraId="692AC50F" w14:textId="77777777" w:rsidR="0012790E" w:rsidRPr="0012790E" w:rsidRDefault="0012790E">
            <w:pPr>
              <w:pStyle w:val="Summarytabletextrightaligned"/>
              <w:rPr>
                <w:szCs w:val="16"/>
              </w:rPr>
            </w:pPr>
            <w:r w:rsidRPr="0012790E">
              <w:rPr>
                <w:szCs w:val="16"/>
              </w:rPr>
              <w:noBreakHyphen/>
            </w:r>
          </w:p>
        </w:tc>
      </w:tr>
      <w:tr w:rsidR="0012790E" w:rsidRPr="0012790E" w14:paraId="6A97BB4D" w14:textId="77777777" w:rsidTr="54937204">
        <w:tc>
          <w:tcPr>
            <w:tcW w:w="3470" w:type="dxa"/>
            <w:shd w:val="clear" w:color="auto" w:fill="auto"/>
            <w:vAlign w:val="bottom"/>
          </w:tcPr>
          <w:p w14:paraId="52FB74C1" w14:textId="77777777" w:rsidR="0012790E" w:rsidRPr="0012790E" w:rsidRDefault="0012790E">
            <w:pPr>
              <w:pStyle w:val="SummaryMeasureTitlewithTheme"/>
            </w:pPr>
            <w:r w:rsidRPr="0012790E">
              <w:t>National Firearms Register</w:t>
            </w:r>
          </w:p>
        </w:tc>
        <w:tc>
          <w:tcPr>
            <w:tcW w:w="851" w:type="dxa"/>
            <w:vAlign w:val="bottom"/>
          </w:tcPr>
          <w:p w14:paraId="13BAF57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668B366" w14:textId="77777777" w:rsidR="0012790E" w:rsidRPr="0012790E" w:rsidRDefault="0012790E">
            <w:pPr>
              <w:pStyle w:val="Summarytabletextrightaligned"/>
              <w:rPr>
                <w:szCs w:val="16"/>
              </w:rPr>
            </w:pPr>
            <w:r w:rsidRPr="0012790E">
              <w:rPr>
                <w:szCs w:val="16"/>
              </w:rPr>
              <w:t>1.8</w:t>
            </w:r>
          </w:p>
        </w:tc>
        <w:tc>
          <w:tcPr>
            <w:tcW w:w="851" w:type="dxa"/>
            <w:vAlign w:val="bottom"/>
          </w:tcPr>
          <w:p w14:paraId="79B7149C" w14:textId="77777777" w:rsidR="0012790E" w:rsidRPr="0012790E" w:rsidRDefault="0012790E">
            <w:pPr>
              <w:pStyle w:val="Summarytabletextrightaligned"/>
              <w:rPr>
                <w:szCs w:val="16"/>
              </w:rPr>
            </w:pPr>
            <w:r w:rsidRPr="0012790E">
              <w:rPr>
                <w:szCs w:val="16"/>
              </w:rPr>
              <w:t>5.6</w:t>
            </w:r>
          </w:p>
        </w:tc>
        <w:tc>
          <w:tcPr>
            <w:tcW w:w="851" w:type="dxa"/>
            <w:vAlign w:val="bottom"/>
          </w:tcPr>
          <w:p w14:paraId="7F9EAC97" w14:textId="77777777" w:rsidR="0012790E" w:rsidRPr="0012790E" w:rsidRDefault="0012790E">
            <w:pPr>
              <w:pStyle w:val="Summarytabletextrightaligned"/>
              <w:rPr>
                <w:szCs w:val="16"/>
              </w:rPr>
            </w:pPr>
            <w:r w:rsidRPr="0012790E">
              <w:rPr>
                <w:szCs w:val="16"/>
              </w:rPr>
              <w:t>8.9</w:t>
            </w:r>
          </w:p>
        </w:tc>
        <w:tc>
          <w:tcPr>
            <w:tcW w:w="851" w:type="dxa"/>
            <w:vAlign w:val="bottom"/>
          </w:tcPr>
          <w:p w14:paraId="055009E1" w14:textId="77777777" w:rsidR="0012790E" w:rsidRPr="0012790E" w:rsidRDefault="0012790E">
            <w:pPr>
              <w:pStyle w:val="Summarytabletextrightaligned"/>
              <w:rPr>
                <w:szCs w:val="16"/>
              </w:rPr>
            </w:pPr>
            <w:r w:rsidRPr="0012790E">
              <w:rPr>
                <w:szCs w:val="16"/>
              </w:rPr>
              <w:t>4.5</w:t>
            </w:r>
          </w:p>
        </w:tc>
      </w:tr>
      <w:tr w:rsidR="0012790E" w:rsidRPr="0012790E" w14:paraId="3752938A" w14:textId="77777777" w:rsidTr="54937204">
        <w:tc>
          <w:tcPr>
            <w:tcW w:w="3470" w:type="dxa"/>
            <w:shd w:val="clear" w:color="auto" w:fill="auto"/>
            <w:vAlign w:val="bottom"/>
          </w:tcPr>
          <w:p w14:paraId="59F96C83" w14:textId="77777777" w:rsidR="0012790E" w:rsidRPr="0012790E" w:rsidRDefault="0012790E">
            <w:pPr>
              <w:pStyle w:val="SummaryMeasureTitlewithTheme"/>
            </w:pPr>
            <w:r w:rsidRPr="0012790E">
              <w:t>Permanent Migration Program – 2024</w:t>
            </w:r>
            <w:r w:rsidRPr="0012790E">
              <w:noBreakHyphen/>
              <w:t>25 planning levels and multi</w:t>
            </w:r>
            <w:r w:rsidRPr="0012790E">
              <w:noBreakHyphen/>
              <w:t>year planning(b)</w:t>
            </w:r>
          </w:p>
        </w:tc>
        <w:tc>
          <w:tcPr>
            <w:tcW w:w="851" w:type="dxa"/>
            <w:vAlign w:val="bottom"/>
          </w:tcPr>
          <w:p w14:paraId="50C4BAE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64202B0" w14:textId="77777777" w:rsidR="0012790E" w:rsidRPr="0012790E" w:rsidRDefault="0012790E">
            <w:pPr>
              <w:pStyle w:val="Summarytabletextrightaligned"/>
              <w:rPr>
                <w:szCs w:val="16"/>
              </w:rPr>
            </w:pPr>
            <w:r w:rsidRPr="0012790E">
              <w:rPr>
                <w:szCs w:val="16"/>
              </w:rPr>
              <w:noBreakHyphen/>
              <w:t>4.0</w:t>
            </w:r>
          </w:p>
        </w:tc>
        <w:tc>
          <w:tcPr>
            <w:tcW w:w="851" w:type="dxa"/>
            <w:vAlign w:val="bottom"/>
          </w:tcPr>
          <w:p w14:paraId="4D6DCF36" w14:textId="77777777" w:rsidR="0012790E" w:rsidRPr="0012790E" w:rsidRDefault="0012790E">
            <w:pPr>
              <w:pStyle w:val="Summarytabletextrightaligned"/>
              <w:rPr>
                <w:szCs w:val="16"/>
              </w:rPr>
            </w:pPr>
            <w:r w:rsidRPr="0012790E">
              <w:rPr>
                <w:szCs w:val="16"/>
              </w:rPr>
              <w:noBreakHyphen/>
              <w:t>6.4</w:t>
            </w:r>
          </w:p>
        </w:tc>
        <w:tc>
          <w:tcPr>
            <w:tcW w:w="851" w:type="dxa"/>
            <w:vAlign w:val="bottom"/>
          </w:tcPr>
          <w:p w14:paraId="08B32A14" w14:textId="77777777" w:rsidR="0012790E" w:rsidRPr="0012790E" w:rsidRDefault="0012790E">
            <w:pPr>
              <w:pStyle w:val="Summarytabletextrightaligned"/>
              <w:rPr>
                <w:szCs w:val="16"/>
              </w:rPr>
            </w:pPr>
            <w:r w:rsidRPr="0012790E">
              <w:rPr>
                <w:szCs w:val="16"/>
              </w:rPr>
              <w:noBreakHyphen/>
              <w:t>1.8</w:t>
            </w:r>
          </w:p>
        </w:tc>
        <w:tc>
          <w:tcPr>
            <w:tcW w:w="851" w:type="dxa"/>
            <w:vAlign w:val="bottom"/>
          </w:tcPr>
          <w:p w14:paraId="5C62047A" w14:textId="77777777" w:rsidR="0012790E" w:rsidRPr="0012790E" w:rsidRDefault="0012790E">
            <w:pPr>
              <w:pStyle w:val="Summarytabletextrightaligned"/>
              <w:rPr>
                <w:szCs w:val="16"/>
              </w:rPr>
            </w:pPr>
            <w:r w:rsidRPr="0012790E">
              <w:rPr>
                <w:szCs w:val="16"/>
              </w:rPr>
              <w:noBreakHyphen/>
              <w:t>0.6</w:t>
            </w:r>
          </w:p>
        </w:tc>
      </w:tr>
      <w:tr w:rsidR="0012790E" w:rsidRPr="0012790E" w14:paraId="6EE41E59" w14:textId="77777777" w:rsidTr="54937204">
        <w:tc>
          <w:tcPr>
            <w:tcW w:w="3470" w:type="dxa"/>
            <w:shd w:val="clear" w:color="auto" w:fill="auto"/>
            <w:vAlign w:val="bottom"/>
          </w:tcPr>
          <w:p w14:paraId="75F2D917" w14:textId="77777777" w:rsidR="0012790E" w:rsidRPr="0012790E" w:rsidRDefault="0012790E">
            <w:pPr>
              <w:pStyle w:val="SummaryMeasureTitlewithTheme"/>
            </w:pPr>
            <w:r w:rsidRPr="0012790E">
              <w:t>Reforms to Migrant and Refugee Settlement Services</w:t>
            </w:r>
          </w:p>
        </w:tc>
        <w:tc>
          <w:tcPr>
            <w:tcW w:w="851" w:type="dxa"/>
            <w:vAlign w:val="bottom"/>
          </w:tcPr>
          <w:p w14:paraId="007F3DE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C763B75" w14:textId="77777777" w:rsidR="0012790E" w:rsidRPr="0012790E" w:rsidRDefault="0012790E">
            <w:pPr>
              <w:pStyle w:val="Summarytabletextrightaligned"/>
              <w:rPr>
                <w:szCs w:val="16"/>
              </w:rPr>
            </w:pPr>
            <w:r w:rsidRPr="0012790E">
              <w:rPr>
                <w:szCs w:val="16"/>
              </w:rPr>
              <w:t>35.4</w:t>
            </w:r>
          </w:p>
        </w:tc>
        <w:tc>
          <w:tcPr>
            <w:tcW w:w="851" w:type="dxa"/>
            <w:vAlign w:val="bottom"/>
          </w:tcPr>
          <w:p w14:paraId="4ED3B2FF" w14:textId="77777777" w:rsidR="0012790E" w:rsidRPr="0012790E" w:rsidRDefault="0012790E">
            <w:pPr>
              <w:pStyle w:val="Summarytabletextrightaligned"/>
              <w:rPr>
                <w:szCs w:val="16"/>
              </w:rPr>
            </w:pPr>
            <w:r w:rsidRPr="0012790E">
              <w:rPr>
                <w:szCs w:val="16"/>
              </w:rPr>
              <w:t>37.1</w:t>
            </w:r>
          </w:p>
        </w:tc>
        <w:tc>
          <w:tcPr>
            <w:tcW w:w="851" w:type="dxa"/>
            <w:vAlign w:val="bottom"/>
          </w:tcPr>
          <w:p w14:paraId="2A86CE85" w14:textId="77777777" w:rsidR="0012790E" w:rsidRPr="0012790E" w:rsidRDefault="0012790E">
            <w:pPr>
              <w:pStyle w:val="Summarytabletextrightaligned"/>
              <w:rPr>
                <w:szCs w:val="16"/>
              </w:rPr>
            </w:pPr>
            <w:r w:rsidRPr="0012790E">
              <w:rPr>
                <w:szCs w:val="16"/>
              </w:rPr>
              <w:t>23.0</w:t>
            </w:r>
          </w:p>
        </w:tc>
        <w:tc>
          <w:tcPr>
            <w:tcW w:w="851" w:type="dxa"/>
            <w:vAlign w:val="bottom"/>
          </w:tcPr>
          <w:p w14:paraId="10AD9970" w14:textId="77777777" w:rsidR="0012790E" w:rsidRPr="0012790E" w:rsidRDefault="0012790E">
            <w:pPr>
              <w:pStyle w:val="Summarytabletextrightaligned"/>
              <w:rPr>
                <w:szCs w:val="16"/>
              </w:rPr>
            </w:pPr>
            <w:r w:rsidRPr="0012790E">
              <w:rPr>
                <w:szCs w:val="16"/>
              </w:rPr>
              <w:t>23.5</w:t>
            </w:r>
          </w:p>
        </w:tc>
      </w:tr>
      <w:tr w:rsidR="0012790E" w:rsidRPr="0012790E" w14:paraId="4E84FFA2" w14:textId="77777777" w:rsidTr="54937204">
        <w:tc>
          <w:tcPr>
            <w:tcW w:w="3470" w:type="dxa"/>
            <w:shd w:val="clear" w:color="auto" w:fill="auto"/>
            <w:vAlign w:val="bottom"/>
          </w:tcPr>
          <w:p w14:paraId="406D332B" w14:textId="77777777" w:rsidR="0012790E" w:rsidRPr="0012790E" w:rsidRDefault="0012790E">
            <w:pPr>
              <w:pStyle w:val="SummaryMeasureTitlewithTheme"/>
            </w:pPr>
            <w:r w:rsidRPr="0012790E">
              <w:t>Southeast Asia Engagement – additional funding(b)</w:t>
            </w:r>
          </w:p>
        </w:tc>
        <w:tc>
          <w:tcPr>
            <w:tcW w:w="851" w:type="dxa"/>
            <w:vAlign w:val="bottom"/>
          </w:tcPr>
          <w:p w14:paraId="3850D5C2" w14:textId="77777777" w:rsidR="0012790E" w:rsidRPr="0012790E" w:rsidRDefault="0012790E">
            <w:pPr>
              <w:pStyle w:val="Summarytabletextrightaligned"/>
              <w:rPr>
                <w:szCs w:val="16"/>
              </w:rPr>
            </w:pPr>
            <w:r w:rsidRPr="0012790E">
              <w:rPr>
                <w:szCs w:val="16"/>
              </w:rPr>
              <w:t>0.8</w:t>
            </w:r>
          </w:p>
        </w:tc>
        <w:tc>
          <w:tcPr>
            <w:tcW w:w="851" w:type="dxa"/>
            <w:shd w:val="clear" w:color="auto" w:fill="E6F2FF"/>
            <w:vAlign w:val="bottom"/>
          </w:tcPr>
          <w:p w14:paraId="102544DA" w14:textId="77777777" w:rsidR="0012790E" w:rsidRPr="0012790E" w:rsidRDefault="0012790E">
            <w:pPr>
              <w:pStyle w:val="Summarytabletextrightaligned"/>
              <w:rPr>
                <w:szCs w:val="16"/>
              </w:rPr>
            </w:pPr>
            <w:r w:rsidRPr="0012790E">
              <w:rPr>
                <w:szCs w:val="16"/>
              </w:rPr>
              <w:t>0.3</w:t>
            </w:r>
          </w:p>
        </w:tc>
        <w:tc>
          <w:tcPr>
            <w:tcW w:w="851" w:type="dxa"/>
            <w:vAlign w:val="bottom"/>
          </w:tcPr>
          <w:p w14:paraId="00CF1CB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48D50D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C629F45" w14:textId="77777777" w:rsidR="0012790E" w:rsidRPr="0012790E" w:rsidRDefault="0012790E">
            <w:pPr>
              <w:pStyle w:val="Summarytabletextrightaligned"/>
              <w:rPr>
                <w:szCs w:val="16"/>
              </w:rPr>
            </w:pPr>
            <w:r w:rsidRPr="0012790E">
              <w:rPr>
                <w:szCs w:val="16"/>
              </w:rPr>
              <w:noBreakHyphen/>
            </w:r>
          </w:p>
        </w:tc>
      </w:tr>
      <w:tr w:rsidR="00DC1822" w:rsidRPr="0012790E" w14:paraId="679734B8" w14:textId="77777777" w:rsidTr="54937204">
        <w:tc>
          <w:tcPr>
            <w:tcW w:w="3470" w:type="dxa"/>
            <w:shd w:val="clear" w:color="auto" w:fill="auto"/>
            <w:vAlign w:val="bottom"/>
          </w:tcPr>
          <w:p w14:paraId="616AB328" w14:textId="21325EE6" w:rsidR="00DC1822" w:rsidRPr="00AC2FA9" w:rsidRDefault="00DC1822" w:rsidP="00DC1822">
            <w:pPr>
              <w:pStyle w:val="SummaryMeasureTitlewithTheme"/>
              <w:rPr>
                <w:color w:val="auto"/>
              </w:rPr>
            </w:pPr>
            <w:r w:rsidRPr="00AC2FA9">
              <w:rPr>
                <w:color w:val="auto"/>
              </w:rPr>
              <w:t>Support to Individuals from Israel and Occupied Palestinian Territories affected by the Hamas</w:t>
            </w:r>
            <w:r w:rsidRPr="00AC2FA9">
              <w:rPr>
                <w:color w:val="auto"/>
              </w:rPr>
              <w:noBreakHyphen/>
              <w:t>Israel conflict</w:t>
            </w:r>
          </w:p>
        </w:tc>
        <w:tc>
          <w:tcPr>
            <w:tcW w:w="851" w:type="dxa"/>
            <w:vAlign w:val="bottom"/>
          </w:tcPr>
          <w:p w14:paraId="5567F2C7" w14:textId="5DD4EDF5" w:rsidR="00DC1822" w:rsidRPr="00DC1822" w:rsidRDefault="00DC1822" w:rsidP="00DC1822">
            <w:pPr>
              <w:pStyle w:val="Summarytabletextrightaligned"/>
              <w:rPr>
                <w:szCs w:val="16"/>
              </w:rPr>
            </w:pPr>
            <w:r w:rsidRPr="00AC2FA9">
              <w:rPr>
                <w:szCs w:val="16"/>
              </w:rPr>
              <w:t>-</w:t>
            </w:r>
          </w:p>
        </w:tc>
        <w:tc>
          <w:tcPr>
            <w:tcW w:w="851" w:type="dxa"/>
            <w:shd w:val="clear" w:color="auto" w:fill="E6F2FF"/>
            <w:vAlign w:val="bottom"/>
          </w:tcPr>
          <w:p w14:paraId="0FD98FB1" w14:textId="4CB9A918" w:rsidR="00DC1822" w:rsidRPr="00DC1822" w:rsidRDefault="00DC1822" w:rsidP="00DC1822">
            <w:pPr>
              <w:pStyle w:val="Summarytabletextrightaligned"/>
              <w:rPr>
                <w:szCs w:val="16"/>
              </w:rPr>
            </w:pPr>
            <w:r w:rsidRPr="00AC2FA9">
              <w:rPr>
                <w:szCs w:val="16"/>
              </w:rPr>
              <w:t>-</w:t>
            </w:r>
          </w:p>
        </w:tc>
        <w:tc>
          <w:tcPr>
            <w:tcW w:w="851" w:type="dxa"/>
            <w:vAlign w:val="bottom"/>
          </w:tcPr>
          <w:p w14:paraId="286A3326" w14:textId="0998D670" w:rsidR="00DC1822" w:rsidRPr="00DC1822" w:rsidRDefault="00DC1822" w:rsidP="00DC1822">
            <w:pPr>
              <w:pStyle w:val="Summarytabletextrightaligned"/>
              <w:rPr>
                <w:szCs w:val="16"/>
              </w:rPr>
            </w:pPr>
            <w:r w:rsidRPr="00AC2FA9">
              <w:rPr>
                <w:szCs w:val="16"/>
              </w:rPr>
              <w:t>-</w:t>
            </w:r>
          </w:p>
        </w:tc>
        <w:tc>
          <w:tcPr>
            <w:tcW w:w="851" w:type="dxa"/>
            <w:vAlign w:val="bottom"/>
          </w:tcPr>
          <w:p w14:paraId="0D38F4FA" w14:textId="47673C90" w:rsidR="00DC1822" w:rsidRPr="00DC1822" w:rsidRDefault="00DC1822" w:rsidP="00DC1822">
            <w:pPr>
              <w:pStyle w:val="Summarytabletextrightaligned"/>
              <w:rPr>
                <w:szCs w:val="16"/>
              </w:rPr>
            </w:pPr>
            <w:r w:rsidRPr="00AC2FA9">
              <w:rPr>
                <w:szCs w:val="16"/>
              </w:rPr>
              <w:t>-</w:t>
            </w:r>
          </w:p>
        </w:tc>
        <w:tc>
          <w:tcPr>
            <w:tcW w:w="851" w:type="dxa"/>
            <w:vAlign w:val="bottom"/>
          </w:tcPr>
          <w:p w14:paraId="5D1AC8D3" w14:textId="5E8B2ACA" w:rsidR="00DC1822" w:rsidRPr="00DC1822" w:rsidRDefault="00DC1822" w:rsidP="00DC1822">
            <w:pPr>
              <w:pStyle w:val="Summarytabletextrightaligned"/>
              <w:rPr>
                <w:szCs w:val="16"/>
              </w:rPr>
            </w:pPr>
            <w:r w:rsidRPr="00AC2FA9">
              <w:rPr>
                <w:szCs w:val="16"/>
              </w:rPr>
              <w:t>-</w:t>
            </w:r>
          </w:p>
        </w:tc>
      </w:tr>
      <w:tr w:rsidR="0012790E" w:rsidRPr="0012790E" w14:paraId="53A79DD3" w14:textId="77777777" w:rsidTr="54937204">
        <w:tc>
          <w:tcPr>
            <w:tcW w:w="3470" w:type="dxa"/>
            <w:shd w:val="clear" w:color="auto" w:fill="auto"/>
            <w:vAlign w:val="bottom"/>
          </w:tcPr>
          <w:p w14:paraId="5F4FB8AD" w14:textId="77777777" w:rsidR="0012790E" w:rsidRPr="0012790E" w:rsidRDefault="0012790E">
            <w:pPr>
              <w:pStyle w:val="SummaryMeasureTitlewithTheme"/>
            </w:pPr>
            <w:r w:rsidRPr="0012790E">
              <w:t>Supporting Safe and Responsible AI</w:t>
            </w:r>
          </w:p>
        </w:tc>
        <w:tc>
          <w:tcPr>
            <w:tcW w:w="851" w:type="dxa"/>
            <w:vAlign w:val="bottom"/>
          </w:tcPr>
          <w:p w14:paraId="106CA1F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28F11E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5AF484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0739DF6"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E7FB0A0" w14:textId="77777777" w:rsidR="0012790E" w:rsidRPr="0012790E" w:rsidRDefault="0012790E">
            <w:pPr>
              <w:pStyle w:val="Summarytabletextrightaligned"/>
              <w:rPr>
                <w:szCs w:val="16"/>
              </w:rPr>
            </w:pPr>
            <w:r w:rsidRPr="0012790E">
              <w:rPr>
                <w:szCs w:val="16"/>
              </w:rPr>
              <w:noBreakHyphen/>
            </w:r>
          </w:p>
        </w:tc>
      </w:tr>
      <w:tr w:rsidR="0012790E" w:rsidRPr="0012790E" w14:paraId="4881A7CF" w14:textId="77777777" w:rsidTr="54937204">
        <w:tc>
          <w:tcPr>
            <w:tcW w:w="3470" w:type="dxa"/>
            <w:shd w:val="clear" w:color="auto" w:fill="auto"/>
            <w:vAlign w:val="bottom"/>
          </w:tcPr>
          <w:p w14:paraId="605E8E3A" w14:textId="77777777" w:rsidR="0012790E" w:rsidRPr="0012790E" w:rsidRDefault="0012790E">
            <w:pPr>
              <w:pStyle w:val="SummaryMeasureTitlewithTheme"/>
            </w:pPr>
            <w:r w:rsidRPr="0012790E">
              <w:t>The Leaving Violence Program – financial support for victim</w:t>
            </w:r>
            <w:r w:rsidRPr="0012790E">
              <w:noBreakHyphen/>
              <w:t>survivors of intimate partner violence</w:t>
            </w:r>
          </w:p>
        </w:tc>
        <w:tc>
          <w:tcPr>
            <w:tcW w:w="851" w:type="dxa"/>
            <w:vAlign w:val="bottom"/>
          </w:tcPr>
          <w:p w14:paraId="26833A7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3669038" w14:textId="77777777" w:rsidR="0012790E" w:rsidRPr="0012790E" w:rsidRDefault="0012790E">
            <w:pPr>
              <w:pStyle w:val="Summarytabletextrightaligned"/>
              <w:rPr>
                <w:szCs w:val="16"/>
              </w:rPr>
            </w:pPr>
            <w:r w:rsidRPr="0012790E">
              <w:rPr>
                <w:szCs w:val="16"/>
              </w:rPr>
              <w:t>1.5</w:t>
            </w:r>
          </w:p>
        </w:tc>
        <w:tc>
          <w:tcPr>
            <w:tcW w:w="851" w:type="dxa"/>
            <w:vAlign w:val="bottom"/>
          </w:tcPr>
          <w:p w14:paraId="60B77588" w14:textId="77777777" w:rsidR="0012790E" w:rsidRPr="0012790E" w:rsidRDefault="0012790E">
            <w:pPr>
              <w:pStyle w:val="Summarytabletextrightaligned"/>
              <w:rPr>
                <w:szCs w:val="16"/>
              </w:rPr>
            </w:pPr>
            <w:r w:rsidRPr="0012790E">
              <w:rPr>
                <w:szCs w:val="16"/>
              </w:rPr>
              <w:t>1.5</w:t>
            </w:r>
          </w:p>
        </w:tc>
        <w:tc>
          <w:tcPr>
            <w:tcW w:w="851" w:type="dxa"/>
            <w:vAlign w:val="bottom"/>
          </w:tcPr>
          <w:p w14:paraId="7924BD4B" w14:textId="77777777" w:rsidR="0012790E" w:rsidRPr="0012790E" w:rsidRDefault="0012790E">
            <w:pPr>
              <w:pStyle w:val="Summarytabletextrightaligned"/>
              <w:rPr>
                <w:szCs w:val="16"/>
              </w:rPr>
            </w:pPr>
            <w:r w:rsidRPr="0012790E">
              <w:rPr>
                <w:szCs w:val="16"/>
              </w:rPr>
              <w:t>1.5</w:t>
            </w:r>
          </w:p>
        </w:tc>
        <w:tc>
          <w:tcPr>
            <w:tcW w:w="851" w:type="dxa"/>
            <w:vAlign w:val="bottom"/>
          </w:tcPr>
          <w:p w14:paraId="117ECCC0" w14:textId="77777777" w:rsidR="0012790E" w:rsidRPr="0012790E" w:rsidRDefault="0012790E">
            <w:pPr>
              <w:pStyle w:val="Summarytabletextrightaligned"/>
              <w:rPr>
                <w:szCs w:val="16"/>
              </w:rPr>
            </w:pPr>
            <w:r w:rsidRPr="0012790E">
              <w:rPr>
                <w:szCs w:val="16"/>
              </w:rPr>
              <w:t>1.6</w:t>
            </w:r>
          </w:p>
        </w:tc>
      </w:tr>
      <w:tr w:rsidR="0012790E" w:rsidRPr="0012790E" w14:paraId="67CDD62B" w14:textId="77777777" w:rsidTr="54937204">
        <w:tc>
          <w:tcPr>
            <w:tcW w:w="3470" w:type="dxa"/>
            <w:shd w:val="clear" w:color="auto" w:fill="auto"/>
            <w:vAlign w:val="bottom"/>
          </w:tcPr>
          <w:p w14:paraId="310F83AC" w14:textId="77777777" w:rsidR="0012790E" w:rsidRPr="0012790E" w:rsidRDefault="0012790E">
            <w:pPr>
              <w:pStyle w:val="SummaryMeasureTitlewithTheme"/>
            </w:pPr>
            <w:r w:rsidRPr="0012790E">
              <w:t>Tobacco – illicit tobacco compliance</w:t>
            </w:r>
          </w:p>
        </w:tc>
        <w:tc>
          <w:tcPr>
            <w:tcW w:w="851" w:type="dxa"/>
            <w:vAlign w:val="bottom"/>
          </w:tcPr>
          <w:p w14:paraId="3B3B1E4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606280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53A1C9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166847F"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4F5E138" w14:textId="77777777" w:rsidR="0012790E" w:rsidRPr="0012790E" w:rsidRDefault="0012790E">
            <w:pPr>
              <w:pStyle w:val="Summarytabletextrightaligned"/>
              <w:rPr>
                <w:szCs w:val="16"/>
              </w:rPr>
            </w:pPr>
            <w:r w:rsidRPr="0012790E">
              <w:rPr>
                <w:szCs w:val="16"/>
              </w:rPr>
              <w:noBreakHyphen/>
            </w:r>
          </w:p>
        </w:tc>
      </w:tr>
      <w:tr w:rsidR="0012790E" w:rsidRPr="0012790E" w14:paraId="3B3239A8" w14:textId="77777777" w:rsidTr="54937204">
        <w:tc>
          <w:tcPr>
            <w:tcW w:w="3470" w:type="dxa"/>
            <w:shd w:val="clear" w:color="auto" w:fill="auto"/>
            <w:vAlign w:val="bottom"/>
          </w:tcPr>
          <w:p w14:paraId="5E9E0BA2" w14:textId="77777777" w:rsidR="0012790E" w:rsidRPr="0012790E" w:rsidRDefault="0012790E">
            <w:pPr>
              <w:pStyle w:val="SummaryMeasureTitlewithTheme"/>
            </w:pPr>
            <w:r w:rsidRPr="0012790E">
              <w:t>Trade and Tourism Strategies – additional funding</w:t>
            </w:r>
          </w:p>
        </w:tc>
        <w:tc>
          <w:tcPr>
            <w:tcW w:w="851" w:type="dxa"/>
            <w:vAlign w:val="bottom"/>
          </w:tcPr>
          <w:p w14:paraId="703121C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7EA175A" w14:textId="77777777" w:rsidR="0012790E" w:rsidRPr="0012790E" w:rsidRDefault="0012790E">
            <w:pPr>
              <w:pStyle w:val="Summarytabletextrightaligned"/>
              <w:rPr>
                <w:szCs w:val="16"/>
              </w:rPr>
            </w:pPr>
            <w:r w:rsidRPr="0012790E">
              <w:rPr>
                <w:szCs w:val="16"/>
              </w:rPr>
              <w:t>8.0</w:t>
            </w:r>
          </w:p>
        </w:tc>
        <w:tc>
          <w:tcPr>
            <w:tcW w:w="851" w:type="dxa"/>
            <w:vAlign w:val="bottom"/>
          </w:tcPr>
          <w:p w14:paraId="5A8EB0EF" w14:textId="77777777" w:rsidR="0012790E" w:rsidRPr="0012790E" w:rsidRDefault="0012790E">
            <w:pPr>
              <w:pStyle w:val="Summarytabletextrightaligned"/>
              <w:rPr>
                <w:szCs w:val="16"/>
              </w:rPr>
            </w:pPr>
            <w:r w:rsidRPr="0012790E">
              <w:rPr>
                <w:szCs w:val="16"/>
              </w:rPr>
              <w:t>6.9</w:t>
            </w:r>
          </w:p>
        </w:tc>
        <w:tc>
          <w:tcPr>
            <w:tcW w:w="851" w:type="dxa"/>
            <w:vAlign w:val="bottom"/>
          </w:tcPr>
          <w:p w14:paraId="2F26A77A" w14:textId="77777777" w:rsidR="0012790E" w:rsidRPr="0012790E" w:rsidRDefault="0012790E">
            <w:pPr>
              <w:pStyle w:val="Summarytabletextrightaligned"/>
              <w:rPr>
                <w:szCs w:val="16"/>
              </w:rPr>
            </w:pPr>
            <w:r w:rsidRPr="0012790E">
              <w:rPr>
                <w:szCs w:val="16"/>
              </w:rPr>
              <w:t>1.0</w:t>
            </w:r>
          </w:p>
        </w:tc>
        <w:tc>
          <w:tcPr>
            <w:tcW w:w="851" w:type="dxa"/>
            <w:vAlign w:val="bottom"/>
          </w:tcPr>
          <w:p w14:paraId="78F3C750" w14:textId="77777777" w:rsidR="0012790E" w:rsidRPr="0012790E" w:rsidRDefault="0012790E">
            <w:pPr>
              <w:pStyle w:val="Summarytabletextrightaligned"/>
              <w:rPr>
                <w:szCs w:val="16"/>
              </w:rPr>
            </w:pPr>
            <w:r w:rsidRPr="0012790E">
              <w:rPr>
                <w:szCs w:val="16"/>
              </w:rPr>
              <w:t>1.0</w:t>
            </w:r>
          </w:p>
        </w:tc>
      </w:tr>
      <w:tr w:rsidR="0012790E" w:rsidRPr="0012790E" w14:paraId="126C5EFB" w14:textId="77777777" w:rsidTr="54937204">
        <w:tc>
          <w:tcPr>
            <w:tcW w:w="3470" w:type="dxa"/>
            <w:shd w:val="clear" w:color="auto" w:fill="auto"/>
            <w:vAlign w:val="bottom"/>
          </w:tcPr>
          <w:p w14:paraId="10DAA399" w14:textId="77777777" w:rsidR="0012790E" w:rsidRPr="0012790E" w:rsidRDefault="0012790E">
            <w:pPr>
              <w:pStyle w:val="SummaryMeasureTitlewithTheme"/>
            </w:pPr>
            <w:r w:rsidRPr="0012790E">
              <w:t>Work and Holiday visa – visa pre</w:t>
            </w:r>
            <w:r w:rsidRPr="0012790E">
              <w:noBreakHyphen/>
              <w:t>application process for certain Working Holiday Maker programs(b)</w:t>
            </w:r>
          </w:p>
        </w:tc>
        <w:tc>
          <w:tcPr>
            <w:tcW w:w="851" w:type="dxa"/>
            <w:vAlign w:val="bottom"/>
          </w:tcPr>
          <w:p w14:paraId="2EC2D59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388AD65" w14:textId="77777777" w:rsidR="0012790E" w:rsidRPr="0012790E" w:rsidRDefault="0012790E">
            <w:pPr>
              <w:pStyle w:val="Summarytabletextrightaligned"/>
              <w:rPr>
                <w:szCs w:val="16"/>
              </w:rPr>
            </w:pPr>
            <w:r w:rsidRPr="0012790E">
              <w:rPr>
                <w:szCs w:val="16"/>
              </w:rPr>
              <w:t>0.7</w:t>
            </w:r>
          </w:p>
        </w:tc>
        <w:tc>
          <w:tcPr>
            <w:tcW w:w="851" w:type="dxa"/>
            <w:vAlign w:val="bottom"/>
          </w:tcPr>
          <w:p w14:paraId="2D709D43" w14:textId="77777777" w:rsidR="0012790E" w:rsidRPr="0012790E" w:rsidRDefault="0012790E">
            <w:pPr>
              <w:pStyle w:val="Summarytabletextrightaligned"/>
              <w:rPr>
                <w:szCs w:val="16"/>
              </w:rPr>
            </w:pPr>
            <w:r w:rsidRPr="0012790E">
              <w:rPr>
                <w:szCs w:val="16"/>
              </w:rPr>
              <w:t>0.1</w:t>
            </w:r>
          </w:p>
        </w:tc>
        <w:tc>
          <w:tcPr>
            <w:tcW w:w="851" w:type="dxa"/>
            <w:vAlign w:val="bottom"/>
          </w:tcPr>
          <w:p w14:paraId="544DD533" w14:textId="77777777" w:rsidR="0012790E" w:rsidRPr="0012790E" w:rsidRDefault="0012790E">
            <w:pPr>
              <w:pStyle w:val="Summarytabletextrightaligned"/>
              <w:rPr>
                <w:szCs w:val="16"/>
              </w:rPr>
            </w:pPr>
            <w:r w:rsidRPr="0012790E">
              <w:rPr>
                <w:szCs w:val="16"/>
              </w:rPr>
              <w:t>0.1</w:t>
            </w:r>
          </w:p>
        </w:tc>
        <w:tc>
          <w:tcPr>
            <w:tcW w:w="851" w:type="dxa"/>
            <w:vAlign w:val="bottom"/>
          </w:tcPr>
          <w:p w14:paraId="48F8F8C4" w14:textId="77777777" w:rsidR="0012790E" w:rsidRPr="0012790E" w:rsidRDefault="0012790E">
            <w:pPr>
              <w:pStyle w:val="Summarytabletextrightaligned"/>
              <w:rPr>
                <w:szCs w:val="16"/>
              </w:rPr>
            </w:pPr>
            <w:r w:rsidRPr="0012790E">
              <w:rPr>
                <w:szCs w:val="16"/>
              </w:rPr>
              <w:t>0.1</w:t>
            </w:r>
          </w:p>
        </w:tc>
      </w:tr>
      <w:tr w:rsidR="0012790E" w:rsidRPr="0012790E" w14:paraId="1BB8DC15" w14:textId="77777777" w:rsidTr="54937204">
        <w:tc>
          <w:tcPr>
            <w:tcW w:w="3470" w:type="dxa"/>
            <w:shd w:val="clear" w:color="auto" w:fill="auto"/>
            <w:vAlign w:val="bottom"/>
          </w:tcPr>
          <w:p w14:paraId="62848C9D" w14:textId="77777777" w:rsidR="0012790E" w:rsidRPr="0012790E" w:rsidRDefault="0012790E">
            <w:pPr>
              <w:pStyle w:val="SummaryAgencyTitle-BP2"/>
              <w:rPr>
                <w:iCs/>
              </w:rPr>
            </w:pPr>
            <w:r w:rsidRPr="0012790E">
              <w:rPr>
                <w:iCs/>
              </w:rPr>
              <w:t>National Emergency Management Agency</w:t>
            </w:r>
          </w:p>
        </w:tc>
        <w:tc>
          <w:tcPr>
            <w:tcW w:w="851" w:type="dxa"/>
            <w:vAlign w:val="bottom"/>
          </w:tcPr>
          <w:p w14:paraId="12133D2D" w14:textId="77777777" w:rsidR="0012790E" w:rsidRPr="0012790E" w:rsidRDefault="0012790E">
            <w:pPr>
              <w:pStyle w:val="SummaryAgencyTitle-BP2"/>
              <w:rPr>
                <w:iCs/>
              </w:rPr>
            </w:pPr>
          </w:p>
        </w:tc>
        <w:tc>
          <w:tcPr>
            <w:tcW w:w="851" w:type="dxa"/>
            <w:shd w:val="clear" w:color="auto" w:fill="E6F2FF"/>
            <w:vAlign w:val="bottom"/>
          </w:tcPr>
          <w:p w14:paraId="071EAE89" w14:textId="77777777" w:rsidR="0012790E" w:rsidRPr="0012790E" w:rsidRDefault="0012790E">
            <w:pPr>
              <w:pStyle w:val="SummaryAgencyTitle-BP2"/>
              <w:rPr>
                <w:iCs/>
              </w:rPr>
            </w:pPr>
          </w:p>
        </w:tc>
        <w:tc>
          <w:tcPr>
            <w:tcW w:w="851" w:type="dxa"/>
            <w:vAlign w:val="bottom"/>
          </w:tcPr>
          <w:p w14:paraId="3F1A6050" w14:textId="77777777" w:rsidR="0012790E" w:rsidRPr="0012790E" w:rsidRDefault="0012790E">
            <w:pPr>
              <w:pStyle w:val="SummaryAgencyTitle-BP2"/>
              <w:rPr>
                <w:iCs/>
              </w:rPr>
            </w:pPr>
          </w:p>
        </w:tc>
        <w:tc>
          <w:tcPr>
            <w:tcW w:w="851" w:type="dxa"/>
            <w:vAlign w:val="bottom"/>
          </w:tcPr>
          <w:p w14:paraId="71EDACC9" w14:textId="77777777" w:rsidR="0012790E" w:rsidRPr="0012790E" w:rsidRDefault="0012790E">
            <w:pPr>
              <w:pStyle w:val="SummaryAgencyTitle-BP2"/>
              <w:rPr>
                <w:iCs/>
              </w:rPr>
            </w:pPr>
          </w:p>
        </w:tc>
        <w:tc>
          <w:tcPr>
            <w:tcW w:w="851" w:type="dxa"/>
            <w:vAlign w:val="bottom"/>
          </w:tcPr>
          <w:p w14:paraId="460A7F0C" w14:textId="77777777" w:rsidR="0012790E" w:rsidRPr="0012790E" w:rsidRDefault="0012790E">
            <w:pPr>
              <w:pStyle w:val="SummaryAgencyTitle-BP2"/>
              <w:rPr>
                <w:iCs/>
              </w:rPr>
            </w:pPr>
          </w:p>
        </w:tc>
      </w:tr>
      <w:tr w:rsidR="0012790E" w:rsidRPr="0012790E" w14:paraId="4E1DA436" w14:textId="77777777" w:rsidTr="54937204">
        <w:tc>
          <w:tcPr>
            <w:tcW w:w="3470" w:type="dxa"/>
            <w:tcBorders>
              <w:bottom w:val="single" w:sz="4" w:space="0" w:color="293F5B"/>
            </w:tcBorders>
            <w:shd w:val="clear" w:color="auto" w:fill="auto"/>
            <w:vAlign w:val="bottom"/>
          </w:tcPr>
          <w:p w14:paraId="1DDFDA9D" w14:textId="77777777" w:rsidR="0012790E" w:rsidRPr="0012790E" w:rsidRDefault="0012790E">
            <w:pPr>
              <w:pStyle w:val="SummaryMeasureTitlewithTheme"/>
            </w:pPr>
            <w:r w:rsidRPr="0012790E">
              <w:t>Disaster Support</w:t>
            </w:r>
          </w:p>
        </w:tc>
        <w:tc>
          <w:tcPr>
            <w:tcW w:w="851" w:type="dxa"/>
            <w:tcBorders>
              <w:bottom w:val="single" w:sz="4" w:space="0" w:color="293F5B"/>
            </w:tcBorders>
            <w:vAlign w:val="bottom"/>
          </w:tcPr>
          <w:p w14:paraId="2FD2695D"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3620F4B2" w14:textId="77777777" w:rsidR="0012790E" w:rsidRPr="0012790E" w:rsidRDefault="0012790E">
            <w:pPr>
              <w:pStyle w:val="Summarytabletextrightaligned"/>
              <w:rPr>
                <w:szCs w:val="16"/>
              </w:rPr>
            </w:pPr>
            <w:r w:rsidRPr="0012790E">
              <w:rPr>
                <w:szCs w:val="16"/>
              </w:rPr>
              <w:t>46.6</w:t>
            </w:r>
          </w:p>
        </w:tc>
        <w:tc>
          <w:tcPr>
            <w:tcW w:w="851" w:type="dxa"/>
            <w:tcBorders>
              <w:bottom w:val="single" w:sz="4" w:space="0" w:color="293F5B"/>
            </w:tcBorders>
            <w:vAlign w:val="bottom"/>
          </w:tcPr>
          <w:p w14:paraId="29581753" w14:textId="77777777" w:rsidR="0012790E" w:rsidRPr="0012790E" w:rsidRDefault="0012790E">
            <w:pPr>
              <w:pStyle w:val="Summarytabletextrightaligned"/>
              <w:rPr>
                <w:szCs w:val="16"/>
              </w:rPr>
            </w:pPr>
            <w:r w:rsidRPr="0012790E">
              <w:rPr>
                <w:szCs w:val="16"/>
              </w:rPr>
              <w:t>45.4</w:t>
            </w:r>
          </w:p>
        </w:tc>
        <w:tc>
          <w:tcPr>
            <w:tcW w:w="851" w:type="dxa"/>
            <w:tcBorders>
              <w:bottom w:val="single" w:sz="4" w:space="0" w:color="293F5B"/>
            </w:tcBorders>
            <w:vAlign w:val="bottom"/>
          </w:tcPr>
          <w:p w14:paraId="338389A5" w14:textId="77777777" w:rsidR="0012790E" w:rsidRPr="0012790E" w:rsidRDefault="0012790E">
            <w:pPr>
              <w:pStyle w:val="Summarytabletextrightaligned"/>
              <w:rPr>
                <w:szCs w:val="16"/>
              </w:rPr>
            </w:pPr>
            <w:r w:rsidRPr="0012790E">
              <w:rPr>
                <w:szCs w:val="16"/>
              </w:rPr>
              <w:t>27.7</w:t>
            </w:r>
          </w:p>
        </w:tc>
        <w:tc>
          <w:tcPr>
            <w:tcW w:w="851" w:type="dxa"/>
            <w:tcBorders>
              <w:bottom w:val="single" w:sz="4" w:space="0" w:color="293F5B"/>
            </w:tcBorders>
            <w:vAlign w:val="bottom"/>
          </w:tcPr>
          <w:p w14:paraId="58444526" w14:textId="77777777" w:rsidR="0012790E" w:rsidRPr="0012790E" w:rsidRDefault="0012790E">
            <w:pPr>
              <w:pStyle w:val="Summarytabletextrightaligned"/>
              <w:rPr>
                <w:szCs w:val="16"/>
              </w:rPr>
            </w:pPr>
            <w:r w:rsidRPr="0012790E">
              <w:rPr>
                <w:szCs w:val="16"/>
              </w:rPr>
              <w:t>18.9</w:t>
            </w:r>
          </w:p>
        </w:tc>
      </w:tr>
    </w:tbl>
    <w:p w14:paraId="62318A8D" w14:textId="77777777" w:rsidR="0012790E" w:rsidRPr="0012790E" w:rsidRDefault="0012790E" w:rsidP="0012790E">
      <w:pPr>
        <w:pStyle w:val="TableHeadingcontinued"/>
        <w:sectPr w:rsidR="0012790E" w:rsidRPr="0012790E" w:rsidSect="00EA5BFE">
          <w:headerReference w:type="even" r:id="rId76"/>
          <w:headerReference w:type="default" r:id="rId77"/>
          <w:footerReference w:type="even" r:id="rId78"/>
          <w:footerReference w:type="default" r:id="rId79"/>
          <w:footerReference w:type="first" r:id="rId80"/>
          <w:pgSz w:w="11905" w:h="16837"/>
          <w:pgMar w:top="2835" w:right="2098" w:bottom="2466" w:left="2098" w:header="1814" w:footer="1814" w:gutter="0"/>
          <w:cols w:space="720"/>
          <w:noEndnote/>
          <w:docGrid w:linePitch="272"/>
        </w:sectPr>
      </w:pPr>
    </w:p>
    <w:p w14:paraId="7C499F75" w14:textId="77777777" w:rsidR="0012790E" w:rsidRPr="0012790E" w:rsidRDefault="0012790E" w:rsidP="0012790E">
      <w:pPr>
        <w:pStyle w:val="TableHeadingcontinued"/>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64E7B3E2" w14:textId="77777777" w:rsidTr="54937204">
        <w:tc>
          <w:tcPr>
            <w:tcW w:w="3470" w:type="dxa"/>
            <w:tcBorders>
              <w:top w:val="single" w:sz="4" w:space="0" w:color="293F5B"/>
            </w:tcBorders>
            <w:shd w:val="clear" w:color="auto" w:fill="auto"/>
            <w:vAlign w:val="bottom"/>
          </w:tcPr>
          <w:p w14:paraId="2F774F3B"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0F274A80"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7161CF96"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5065AB72"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676F1B4A"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2C76CEC9"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45BEDD23" w14:textId="77777777" w:rsidTr="54937204">
        <w:tc>
          <w:tcPr>
            <w:tcW w:w="3470" w:type="dxa"/>
            <w:shd w:val="clear" w:color="auto" w:fill="auto"/>
            <w:vAlign w:val="bottom"/>
          </w:tcPr>
          <w:p w14:paraId="27ECCE27" w14:textId="77777777" w:rsidR="0012790E" w:rsidRPr="0012790E" w:rsidRDefault="0012790E">
            <w:pPr>
              <w:pStyle w:val="Summarytabletextrightaligned"/>
            </w:pPr>
          </w:p>
        </w:tc>
        <w:tc>
          <w:tcPr>
            <w:tcW w:w="851" w:type="dxa"/>
            <w:tcBorders>
              <w:bottom w:val="single" w:sz="4" w:space="0" w:color="293F5B"/>
            </w:tcBorders>
            <w:vAlign w:val="bottom"/>
          </w:tcPr>
          <w:p w14:paraId="42AD7AF8"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14535CE7"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5D1FD778"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2999F05C"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11A6C421" w14:textId="77777777" w:rsidR="0012790E" w:rsidRPr="0012790E" w:rsidRDefault="0012790E">
            <w:pPr>
              <w:pStyle w:val="Summarytabletextrightaligned"/>
            </w:pPr>
            <w:r w:rsidRPr="0012790E">
              <w:t>$m</w:t>
            </w:r>
          </w:p>
        </w:tc>
      </w:tr>
      <w:tr w:rsidR="0012790E" w:rsidRPr="0012790E" w14:paraId="2033D68D" w14:textId="77777777" w:rsidTr="54937204">
        <w:tc>
          <w:tcPr>
            <w:tcW w:w="3470" w:type="dxa"/>
            <w:shd w:val="clear" w:color="auto" w:fill="auto"/>
            <w:vAlign w:val="bottom"/>
          </w:tcPr>
          <w:p w14:paraId="46365591" w14:textId="77777777" w:rsidR="0012790E" w:rsidRPr="0012790E" w:rsidRDefault="0012790E">
            <w:pPr>
              <w:pStyle w:val="SummaryAgencyTitle-BP2"/>
              <w:rPr>
                <w:b/>
                <w:i w:val="0"/>
                <w:iCs/>
              </w:rPr>
            </w:pPr>
            <w:r w:rsidRPr="0012790E">
              <w:rPr>
                <w:b/>
                <w:i w:val="0"/>
                <w:iCs/>
              </w:rPr>
              <w:t>HOME AFFAIRS (continued)</w:t>
            </w:r>
          </w:p>
        </w:tc>
        <w:tc>
          <w:tcPr>
            <w:tcW w:w="851" w:type="dxa"/>
            <w:vAlign w:val="bottom"/>
          </w:tcPr>
          <w:p w14:paraId="2D7D6AF4" w14:textId="77777777" w:rsidR="0012790E" w:rsidRPr="0012790E" w:rsidRDefault="0012790E">
            <w:pPr>
              <w:pStyle w:val="SummaryAgencyTitle-BP2"/>
              <w:rPr>
                <w:iCs/>
              </w:rPr>
            </w:pPr>
          </w:p>
        </w:tc>
        <w:tc>
          <w:tcPr>
            <w:tcW w:w="851" w:type="dxa"/>
            <w:shd w:val="clear" w:color="auto" w:fill="E6F2FF"/>
            <w:vAlign w:val="bottom"/>
          </w:tcPr>
          <w:p w14:paraId="3F7CCCDC" w14:textId="77777777" w:rsidR="0012790E" w:rsidRPr="0012790E" w:rsidRDefault="0012790E">
            <w:pPr>
              <w:pStyle w:val="SummaryAgencyTitle-BP2"/>
              <w:rPr>
                <w:iCs/>
              </w:rPr>
            </w:pPr>
          </w:p>
        </w:tc>
        <w:tc>
          <w:tcPr>
            <w:tcW w:w="851" w:type="dxa"/>
            <w:vAlign w:val="bottom"/>
          </w:tcPr>
          <w:p w14:paraId="31CBF2EF" w14:textId="77777777" w:rsidR="0012790E" w:rsidRPr="0012790E" w:rsidRDefault="0012790E">
            <w:pPr>
              <w:pStyle w:val="SummaryAgencyTitle-BP2"/>
              <w:rPr>
                <w:iCs/>
              </w:rPr>
            </w:pPr>
          </w:p>
        </w:tc>
        <w:tc>
          <w:tcPr>
            <w:tcW w:w="851" w:type="dxa"/>
            <w:vAlign w:val="bottom"/>
          </w:tcPr>
          <w:p w14:paraId="78337A96" w14:textId="77777777" w:rsidR="0012790E" w:rsidRPr="0012790E" w:rsidRDefault="0012790E">
            <w:pPr>
              <w:pStyle w:val="SummaryAgencyTitle-BP2"/>
              <w:rPr>
                <w:iCs/>
              </w:rPr>
            </w:pPr>
          </w:p>
        </w:tc>
        <w:tc>
          <w:tcPr>
            <w:tcW w:w="851" w:type="dxa"/>
            <w:vAlign w:val="bottom"/>
          </w:tcPr>
          <w:p w14:paraId="69F2BC6F" w14:textId="77777777" w:rsidR="0012790E" w:rsidRPr="0012790E" w:rsidRDefault="0012790E">
            <w:pPr>
              <w:pStyle w:val="SummaryAgencyTitle-BP2"/>
              <w:rPr>
                <w:iCs/>
              </w:rPr>
            </w:pPr>
          </w:p>
        </w:tc>
      </w:tr>
      <w:tr w:rsidR="0012790E" w:rsidRPr="0012790E" w14:paraId="1A571775" w14:textId="77777777" w:rsidTr="54937204">
        <w:tc>
          <w:tcPr>
            <w:tcW w:w="3470" w:type="dxa"/>
            <w:shd w:val="clear" w:color="auto" w:fill="auto"/>
            <w:vAlign w:val="bottom"/>
          </w:tcPr>
          <w:p w14:paraId="7FBAAC18" w14:textId="77777777" w:rsidR="0012790E" w:rsidRPr="0012790E" w:rsidRDefault="0012790E">
            <w:pPr>
              <w:pStyle w:val="SummaryAgencyTitle-BP2"/>
              <w:rPr>
                <w:iCs/>
              </w:rPr>
            </w:pPr>
            <w:r w:rsidRPr="0012790E">
              <w:rPr>
                <w:iCs/>
              </w:rPr>
              <w:t>Various Agencies</w:t>
            </w:r>
          </w:p>
        </w:tc>
        <w:tc>
          <w:tcPr>
            <w:tcW w:w="851" w:type="dxa"/>
            <w:vAlign w:val="bottom"/>
          </w:tcPr>
          <w:p w14:paraId="376922DC" w14:textId="77777777" w:rsidR="0012790E" w:rsidRPr="0012790E" w:rsidRDefault="0012790E">
            <w:pPr>
              <w:pStyle w:val="SummaryAgencyTitle-BP2"/>
              <w:rPr>
                <w:iCs/>
              </w:rPr>
            </w:pPr>
          </w:p>
        </w:tc>
        <w:tc>
          <w:tcPr>
            <w:tcW w:w="851" w:type="dxa"/>
            <w:shd w:val="clear" w:color="auto" w:fill="E6F2FF"/>
            <w:vAlign w:val="bottom"/>
          </w:tcPr>
          <w:p w14:paraId="576B1B6D" w14:textId="77777777" w:rsidR="0012790E" w:rsidRPr="0012790E" w:rsidRDefault="0012790E">
            <w:pPr>
              <w:pStyle w:val="SummaryAgencyTitle-BP2"/>
              <w:rPr>
                <w:iCs/>
              </w:rPr>
            </w:pPr>
          </w:p>
        </w:tc>
        <w:tc>
          <w:tcPr>
            <w:tcW w:w="851" w:type="dxa"/>
            <w:vAlign w:val="bottom"/>
          </w:tcPr>
          <w:p w14:paraId="430805B4" w14:textId="77777777" w:rsidR="0012790E" w:rsidRPr="0012790E" w:rsidRDefault="0012790E">
            <w:pPr>
              <w:pStyle w:val="SummaryAgencyTitle-BP2"/>
              <w:rPr>
                <w:iCs/>
              </w:rPr>
            </w:pPr>
          </w:p>
        </w:tc>
        <w:tc>
          <w:tcPr>
            <w:tcW w:w="851" w:type="dxa"/>
            <w:vAlign w:val="bottom"/>
          </w:tcPr>
          <w:p w14:paraId="25CFB3D1" w14:textId="77777777" w:rsidR="0012790E" w:rsidRPr="0012790E" w:rsidRDefault="0012790E">
            <w:pPr>
              <w:pStyle w:val="SummaryAgencyTitle-BP2"/>
              <w:rPr>
                <w:iCs/>
              </w:rPr>
            </w:pPr>
          </w:p>
        </w:tc>
        <w:tc>
          <w:tcPr>
            <w:tcW w:w="851" w:type="dxa"/>
            <w:vAlign w:val="bottom"/>
          </w:tcPr>
          <w:p w14:paraId="2C322235" w14:textId="77777777" w:rsidR="0012790E" w:rsidRPr="0012790E" w:rsidRDefault="0012790E">
            <w:pPr>
              <w:pStyle w:val="SummaryAgencyTitle-BP2"/>
              <w:rPr>
                <w:iCs/>
              </w:rPr>
            </w:pPr>
          </w:p>
        </w:tc>
      </w:tr>
      <w:tr w:rsidR="0012790E" w:rsidRPr="0012790E" w14:paraId="6E63B05E" w14:textId="77777777" w:rsidTr="54937204">
        <w:tc>
          <w:tcPr>
            <w:tcW w:w="3470" w:type="dxa"/>
            <w:shd w:val="clear" w:color="auto" w:fill="auto"/>
            <w:vAlign w:val="bottom"/>
          </w:tcPr>
          <w:p w14:paraId="1A2BB2EE" w14:textId="77777777" w:rsidR="0012790E" w:rsidRPr="0012790E" w:rsidRDefault="0012790E">
            <w:pPr>
              <w:pStyle w:val="SummaryMeasureTitlewithTheme"/>
            </w:pPr>
            <w:r w:rsidRPr="0012790E">
              <w:t>National Security Agencies – additional funding</w:t>
            </w:r>
          </w:p>
        </w:tc>
        <w:tc>
          <w:tcPr>
            <w:tcW w:w="851" w:type="dxa"/>
            <w:tcBorders>
              <w:bottom w:val="single" w:sz="4" w:space="0" w:color="293F5B"/>
            </w:tcBorders>
            <w:vAlign w:val="bottom"/>
          </w:tcPr>
          <w:p w14:paraId="197C1C9F" w14:textId="77777777" w:rsidR="0012790E" w:rsidRPr="0012790E" w:rsidRDefault="0012790E" w:rsidP="54937204">
            <w:pPr>
              <w:pStyle w:val="Summarytabletextrightaligned"/>
              <w:rPr>
                <w:lang w:val="en-US"/>
              </w:rPr>
            </w:pPr>
            <w:r w:rsidRPr="54937204">
              <w:rPr>
                <w:lang w:val="en-US"/>
              </w:rPr>
              <w:t>nfp</w:t>
            </w:r>
          </w:p>
        </w:tc>
        <w:tc>
          <w:tcPr>
            <w:tcW w:w="851" w:type="dxa"/>
            <w:tcBorders>
              <w:bottom w:val="single" w:sz="4" w:space="0" w:color="293F5B"/>
            </w:tcBorders>
            <w:shd w:val="clear" w:color="auto" w:fill="E6F2FF"/>
            <w:vAlign w:val="bottom"/>
          </w:tcPr>
          <w:p w14:paraId="4962B02A" w14:textId="77777777" w:rsidR="0012790E" w:rsidRPr="0012790E" w:rsidRDefault="0012790E" w:rsidP="54937204">
            <w:pPr>
              <w:pStyle w:val="Summarytabletextrightaligned"/>
              <w:rPr>
                <w:lang w:val="en-US"/>
              </w:rPr>
            </w:pPr>
            <w:r w:rsidRPr="54937204">
              <w:rPr>
                <w:lang w:val="en-US"/>
              </w:rPr>
              <w:t>nfp</w:t>
            </w:r>
          </w:p>
        </w:tc>
        <w:tc>
          <w:tcPr>
            <w:tcW w:w="851" w:type="dxa"/>
            <w:tcBorders>
              <w:bottom w:val="single" w:sz="4" w:space="0" w:color="293F5B"/>
            </w:tcBorders>
            <w:vAlign w:val="bottom"/>
          </w:tcPr>
          <w:p w14:paraId="6A0D2222" w14:textId="77777777" w:rsidR="0012790E" w:rsidRPr="0012790E" w:rsidRDefault="0012790E" w:rsidP="54937204">
            <w:pPr>
              <w:pStyle w:val="Summarytabletextrightaligned"/>
              <w:rPr>
                <w:lang w:val="en-US"/>
              </w:rPr>
            </w:pPr>
            <w:r w:rsidRPr="54937204">
              <w:rPr>
                <w:lang w:val="en-US"/>
              </w:rPr>
              <w:t>nfp</w:t>
            </w:r>
          </w:p>
        </w:tc>
        <w:tc>
          <w:tcPr>
            <w:tcW w:w="851" w:type="dxa"/>
            <w:tcBorders>
              <w:bottom w:val="single" w:sz="4" w:space="0" w:color="293F5B"/>
            </w:tcBorders>
            <w:vAlign w:val="bottom"/>
          </w:tcPr>
          <w:p w14:paraId="14E35B41" w14:textId="77777777" w:rsidR="0012790E" w:rsidRPr="0012790E" w:rsidRDefault="0012790E" w:rsidP="54937204">
            <w:pPr>
              <w:pStyle w:val="Summarytabletextrightaligned"/>
              <w:rPr>
                <w:lang w:val="en-US"/>
              </w:rPr>
            </w:pPr>
            <w:r w:rsidRPr="54937204">
              <w:rPr>
                <w:lang w:val="en-US"/>
              </w:rPr>
              <w:t>nfp</w:t>
            </w:r>
          </w:p>
        </w:tc>
        <w:tc>
          <w:tcPr>
            <w:tcW w:w="851" w:type="dxa"/>
            <w:tcBorders>
              <w:bottom w:val="single" w:sz="4" w:space="0" w:color="293F5B"/>
            </w:tcBorders>
            <w:vAlign w:val="bottom"/>
          </w:tcPr>
          <w:p w14:paraId="71308B7A" w14:textId="77777777" w:rsidR="0012790E" w:rsidRPr="0012790E" w:rsidRDefault="0012790E" w:rsidP="54937204">
            <w:pPr>
              <w:pStyle w:val="Summarytabletextrightaligned"/>
              <w:rPr>
                <w:lang w:val="en-US"/>
              </w:rPr>
            </w:pPr>
            <w:r w:rsidRPr="54937204">
              <w:rPr>
                <w:lang w:val="en-US"/>
              </w:rPr>
              <w:t>nfp</w:t>
            </w:r>
          </w:p>
        </w:tc>
      </w:tr>
      <w:tr w:rsidR="0012790E" w:rsidRPr="0012790E" w14:paraId="4A980680" w14:textId="77777777" w:rsidTr="54937204">
        <w:tc>
          <w:tcPr>
            <w:tcW w:w="3470" w:type="dxa"/>
            <w:shd w:val="clear" w:color="auto" w:fill="auto"/>
            <w:vAlign w:val="bottom"/>
          </w:tcPr>
          <w:p w14:paraId="0171F978" w14:textId="77777777" w:rsidR="0012790E" w:rsidRPr="0012790E" w:rsidRDefault="0012790E">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0C7C12B1" w14:textId="0AEC0A83" w:rsidR="0012790E" w:rsidRPr="0012790E" w:rsidRDefault="002C041B">
            <w:pPr>
              <w:pStyle w:val="Summarytabletextrightalignedbold"/>
              <w:rPr>
                <w:bCs/>
                <w:szCs w:val="16"/>
              </w:rPr>
            </w:pPr>
            <w:r>
              <w:rPr>
                <w:bCs/>
                <w:szCs w:val="16"/>
              </w:rPr>
              <w:t>4.6</w:t>
            </w:r>
          </w:p>
        </w:tc>
        <w:tc>
          <w:tcPr>
            <w:tcW w:w="851" w:type="dxa"/>
            <w:tcBorders>
              <w:top w:val="single" w:sz="4" w:space="0" w:color="293F5B"/>
              <w:bottom w:val="single" w:sz="4" w:space="0" w:color="293F5B"/>
            </w:tcBorders>
            <w:shd w:val="clear" w:color="auto" w:fill="E6F2FF"/>
            <w:vAlign w:val="bottom"/>
          </w:tcPr>
          <w:p w14:paraId="0EE5B638" w14:textId="0D44EE52" w:rsidR="0012790E" w:rsidRPr="0012790E" w:rsidRDefault="004A3FDE">
            <w:pPr>
              <w:pStyle w:val="Summarytabletextrightalignedbold"/>
              <w:rPr>
                <w:bCs/>
                <w:szCs w:val="16"/>
              </w:rPr>
            </w:pPr>
            <w:r>
              <w:rPr>
                <w:bCs/>
                <w:szCs w:val="16"/>
              </w:rPr>
              <w:t>420.9</w:t>
            </w:r>
          </w:p>
        </w:tc>
        <w:tc>
          <w:tcPr>
            <w:tcW w:w="851" w:type="dxa"/>
            <w:tcBorders>
              <w:top w:val="single" w:sz="4" w:space="0" w:color="293F5B"/>
              <w:bottom w:val="single" w:sz="4" w:space="0" w:color="293F5B"/>
            </w:tcBorders>
            <w:vAlign w:val="bottom"/>
          </w:tcPr>
          <w:p w14:paraId="1D8C3DE0" w14:textId="33559323" w:rsidR="0012790E" w:rsidRPr="0012790E" w:rsidRDefault="00C679B6">
            <w:pPr>
              <w:pStyle w:val="Summarytabletextrightalignedbold"/>
              <w:rPr>
                <w:bCs/>
                <w:szCs w:val="16"/>
              </w:rPr>
            </w:pPr>
            <w:r>
              <w:rPr>
                <w:bCs/>
                <w:szCs w:val="16"/>
              </w:rPr>
              <w:t>139.9</w:t>
            </w:r>
          </w:p>
        </w:tc>
        <w:tc>
          <w:tcPr>
            <w:tcW w:w="851" w:type="dxa"/>
            <w:tcBorders>
              <w:top w:val="single" w:sz="4" w:space="0" w:color="293F5B"/>
              <w:bottom w:val="single" w:sz="4" w:space="0" w:color="293F5B"/>
            </w:tcBorders>
            <w:vAlign w:val="bottom"/>
          </w:tcPr>
          <w:p w14:paraId="282E8D0F" w14:textId="74FA81E0" w:rsidR="0012790E" w:rsidRPr="0012790E" w:rsidRDefault="0012790E">
            <w:pPr>
              <w:pStyle w:val="Summarytabletextrightalignedbold"/>
              <w:rPr>
                <w:bCs/>
                <w:szCs w:val="16"/>
              </w:rPr>
            </w:pPr>
            <w:r w:rsidRPr="0012790E">
              <w:rPr>
                <w:bCs/>
                <w:szCs w:val="16"/>
              </w:rPr>
              <w:t>84.</w:t>
            </w:r>
            <w:r w:rsidR="0046051E">
              <w:rPr>
                <w:bCs/>
                <w:szCs w:val="16"/>
              </w:rPr>
              <w:t>7</w:t>
            </w:r>
          </w:p>
        </w:tc>
        <w:tc>
          <w:tcPr>
            <w:tcW w:w="851" w:type="dxa"/>
            <w:tcBorders>
              <w:top w:val="single" w:sz="4" w:space="0" w:color="293F5B"/>
              <w:bottom w:val="single" w:sz="4" w:space="0" w:color="293F5B"/>
            </w:tcBorders>
            <w:vAlign w:val="bottom"/>
          </w:tcPr>
          <w:p w14:paraId="1CE65001" w14:textId="77777777" w:rsidR="0012790E" w:rsidRPr="0012790E" w:rsidRDefault="0012790E">
            <w:pPr>
              <w:pStyle w:val="Summarytabletextrightalignedbold"/>
              <w:rPr>
                <w:bCs/>
                <w:szCs w:val="16"/>
              </w:rPr>
            </w:pPr>
            <w:r w:rsidRPr="0012790E">
              <w:rPr>
                <w:bCs/>
                <w:szCs w:val="16"/>
              </w:rPr>
              <w:t>74.0</w:t>
            </w:r>
          </w:p>
        </w:tc>
      </w:tr>
      <w:tr w:rsidR="0012790E" w:rsidRPr="0012790E" w14:paraId="30C16FD4" w14:textId="77777777" w:rsidTr="54937204">
        <w:tc>
          <w:tcPr>
            <w:tcW w:w="3470" w:type="dxa"/>
            <w:shd w:val="clear" w:color="auto" w:fill="auto"/>
            <w:vAlign w:val="bottom"/>
          </w:tcPr>
          <w:p w14:paraId="453E2D4F" w14:textId="77777777" w:rsidR="0012790E" w:rsidRPr="0012790E" w:rsidRDefault="0012790E">
            <w:pPr>
              <w:pStyle w:val="SummaryPortfolioTitle-BP2"/>
            </w:pPr>
            <w:r w:rsidRPr="0012790E">
              <w:t>INDUSTRY, SCIENCE AND RESOURCES</w:t>
            </w:r>
          </w:p>
        </w:tc>
        <w:tc>
          <w:tcPr>
            <w:tcW w:w="851" w:type="dxa"/>
            <w:tcBorders>
              <w:top w:val="single" w:sz="4" w:space="0" w:color="293F5B"/>
            </w:tcBorders>
            <w:vAlign w:val="bottom"/>
          </w:tcPr>
          <w:p w14:paraId="7D5D18E5" w14:textId="77777777" w:rsidR="0012790E" w:rsidRPr="0012790E" w:rsidRDefault="0012790E">
            <w:pPr>
              <w:pStyle w:val="MeasureTableTextRightAlignedBefore6ptAfter1pt"/>
              <w:rPr>
                <w:b/>
                <w:bCs/>
              </w:rPr>
            </w:pPr>
          </w:p>
        </w:tc>
        <w:tc>
          <w:tcPr>
            <w:tcW w:w="851" w:type="dxa"/>
            <w:tcBorders>
              <w:top w:val="single" w:sz="4" w:space="0" w:color="293F5B"/>
            </w:tcBorders>
            <w:shd w:val="clear" w:color="auto" w:fill="E6F2FF"/>
            <w:vAlign w:val="bottom"/>
          </w:tcPr>
          <w:p w14:paraId="77910A4A"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1244B7E4"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714F54CE"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0B755EC5" w14:textId="77777777" w:rsidR="0012790E" w:rsidRPr="0012790E" w:rsidRDefault="0012790E">
            <w:pPr>
              <w:pStyle w:val="MeasureTableTextRightAlignedBefore6ptAfter1pt"/>
              <w:rPr>
                <w:b/>
                <w:bCs/>
              </w:rPr>
            </w:pPr>
          </w:p>
        </w:tc>
      </w:tr>
      <w:tr w:rsidR="0012790E" w:rsidRPr="0012790E" w14:paraId="7C5E6CD2" w14:textId="77777777" w:rsidTr="54937204">
        <w:tc>
          <w:tcPr>
            <w:tcW w:w="3470" w:type="dxa"/>
            <w:shd w:val="clear" w:color="auto" w:fill="auto"/>
            <w:vAlign w:val="bottom"/>
          </w:tcPr>
          <w:p w14:paraId="07EBDDB4" w14:textId="77777777" w:rsidR="0012790E" w:rsidRPr="0012790E" w:rsidRDefault="0012790E">
            <w:pPr>
              <w:pStyle w:val="SummaryAgencyTitle-BP2"/>
              <w:rPr>
                <w:iCs/>
              </w:rPr>
            </w:pPr>
            <w:r w:rsidRPr="0012790E">
              <w:rPr>
                <w:iCs/>
              </w:rPr>
              <w:t>Australian Nuclear Science and Technology Organisation</w:t>
            </w:r>
          </w:p>
        </w:tc>
        <w:tc>
          <w:tcPr>
            <w:tcW w:w="851" w:type="dxa"/>
            <w:vAlign w:val="bottom"/>
          </w:tcPr>
          <w:p w14:paraId="7EA4F304" w14:textId="77777777" w:rsidR="0012790E" w:rsidRPr="0012790E" w:rsidRDefault="0012790E">
            <w:pPr>
              <w:pStyle w:val="SummaryAgencyTitle-BP2"/>
              <w:rPr>
                <w:iCs/>
              </w:rPr>
            </w:pPr>
          </w:p>
        </w:tc>
        <w:tc>
          <w:tcPr>
            <w:tcW w:w="851" w:type="dxa"/>
            <w:shd w:val="clear" w:color="auto" w:fill="E6F2FF"/>
            <w:vAlign w:val="bottom"/>
          </w:tcPr>
          <w:p w14:paraId="190BDC3D" w14:textId="77777777" w:rsidR="0012790E" w:rsidRPr="0012790E" w:rsidRDefault="0012790E">
            <w:pPr>
              <w:pStyle w:val="SummaryAgencyTitle-BP2"/>
              <w:rPr>
                <w:iCs/>
              </w:rPr>
            </w:pPr>
          </w:p>
        </w:tc>
        <w:tc>
          <w:tcPr>
            <w:tcW w:w="851" w:type="dxa"/>
            <w:vAlign w:val="bottom"/>
          </w:tcPr>
          <w:p w14:paraId="770CC655" w14:textId="77777777" w:rsidR="0012790E" w:rsidRPr="0012790E" w:rsidRDefault="0012790E">
            <w:pPr>
              <w:pStyle w:val="SummaryAgencyTitle-BP2"/>
              <w:rPr>
                <w:iCs/>
              </w:rPr>
            </w:pPr>
          </w:p>
        </w:tc>
        <w:tc>
          <w:tcPr>
            <w:tcW w:w="851" w:type="dxa"/>
            <w:vAlign w:val="bottom"/>
          </w:tcPr>
          <w:p w14:paraId="4021913B" w14:textId="77777777" w:rsidR="0012790E" w:rsidRPr="0012790E" w:rsidRDefault="0012790E">
            <w:pPr>
              <w:pStyle w:val="SummaryAgencyTitle-BP2"/>
              <w:rPr>
                <w:iCs/>
              </w:rPr>
            </w:pPr>
          </w:p>
        </w:tc>
        <w:tc>
          <w:tcPr>
            <w:tcW w:w="851" w:type="dxa"/>
            <w:vAlign w:val="bottom"/>
          </w:tcPr>
          <w:p w14:paraId="62CD6311" w14:textId="77777777" w:rsidR="0012790E" w:rsidRPr="0012790E" w:rsidRDefault="0012790E">
            <w:pPr>
              <w:pStyle w:val="SummaryAgencyTitle-BP2"/>
              <w:rPr>
                <w:iCs/>
              </w:rPr>
            </w:pPr>
          </w:p>
        </w:tc>
      </w:tr>
      <w:tr w:rsidR="0012790E" w:rsidRPr="0012790E" w14:paraId="78B3D469" w14:textId="77777777" w:rsidTr="54937204">
        <w:tc>
          <w:tcPr>
            <w:tcW w:w="3470" w:type="dxa"/>
            <w:shd w:val="clear" w:color="auto" w:fill="auto"/>
            <w:vAlign w:val="bottom"/>
          </w:tcPr>
          <w:p w14:paraId="4D81B8D6" w14:textId="77777777" w:rsidR="0012790E" w:rsidRPr="0012790E" w:rsidRDefault="0012790E">
            <w:pPr>
              <w:pStyle w:val="SummaryMeasureTitlewithTheme"/>
            </w:pPr>
            <w:r w:rsidRPr="0012790E">
              <w:t>Investing in the Future of Industry and Science</w:t>
            </w:r>
          </w:p>
        </w:tc>
        <w:tc>
          <w:tcPr>
            <w:tcW w:w="851" w:type="dxa"/>
            <w:vAlign w:val="bottom"/>
          </w:tcPr>
          <w:p w14:paraId="049CD00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EE52756" w14:textId="77777777" w:rsidR="0012790E" w:rsidRPr="0012790E" w:rsidRDefault="0012790E">
            <w:pPr>
              <w:pStyle w:val="Summarytabletextrightaligned"/>
              <w:rPr>
                <w:szCs w:val="16"/>
              </w:rPr>
            </w:pPr>
            <w:r w:rsidRPr="0012790E">
              <w:rPr>
                <w:szCs w:val="16"/>
              </w:rPr>
              <w:t>12.7</w:t>
            </w:r>
          </w:p>
        </w:tc>
        <w:tc>
          <w:tcPr>
            <w:tcW w:w="851" w:type="dxa"/>
            <w:vAlign w:val="bottom"/>
          </w:tcPr>
          <w:p w14:paraId="0822C7B7" w14:textId="77777777" w:rsidR="0012790E" w:rsidRPr="0012790E" w:rsidRDefault="0012790E">
            <w:pPr>
              <w:pStyle w:val="Summarytabletextrightaligned"/>
              <w:rPr>
                <w:szCs w:val="16"/>
              </w:rPr>
            </w:pPr>
            <w:r w:rsidRPr="0012790E">
              <w:rPr>
                <w:szCs w:val="16"/>
              </w:rPr>
              <w:t>13.2</w:t>
            </w:r>
          </w:p>
        </w:tc>
        <w:tc>
          <w:tcPr>
            <w:tcW w:w="851" w:type="dxa"/>
            <w:vAlign w:val="bottom"/>
          </w:tcPr>
          <w:p w14:paraId="3954772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86C9598" w14:textId="77777777" w:rsidR="0012790E" w:rsidRPr="0012790E" w:rsidRDefault="0012790E">
            <w:pPr>
              <w:pStyle w:val="Summarytabletextrightaligned"/>
              <w:rPr>
                <w:szCs w:val="16"/>
              </w:rPr>
            </w:pPr>
            <w:r w:rsidRPr="0012790E">
              <w:rPr>
                <w:szCs w:val="16"/>
              </w:rPr>
              <w:noBreakHyphen/>
            </w:r>
          </w:p>
        </w:tc>
      </w:tr>
      <w:tr w:rsidR="0012790E" w:rsidRPr="0012790E" w14:paraId="3B5A64DF" w14:textId="77777777" w:rsidTr="54937204">
        <w:tc>
          <w:tcPr>
            <w:tcW w:w="3470" w:type="dxa"/>
            <w:shd w:val="clear" w:color="auto" w:fill="auto"/>
            <w:vAlign w:val="bottom"/>
          </w:tcPr>
          <w:p w14:paraId="25E8CB70" w14:textId="77777777" w:rsidR="0012790E" w:rsidRPr="0012790E" w:rsidRDefault="0012790E">
            <w:pPr>
              <w:pStyle w:val="SummaryAgencyTitle-BP2"/>
              <w:rPr>
                <w:iCs/>
              </w:rPr>
            </w:pPr>
            <w:r w:rsidRPr="0012790E">
              <w:rPr>
                <w:iCs/>
              </w:rPr>
              <w:t>Commonwealth Scientific and Industrial Research Organisation</w:t>
            </w:r>
          </w:p>
        </w:tc>
        <w:tc>
          <w:tcPr>
            <w:tcW w:w="851" w:type="dxa"/>
            <w:vAlign w:val="bottom"/>
          </w:tcPr>
          <w:p w14:paraId="6ED154F0" w14:textId="77777777" w:rsidR="0012790E" w:rsidRPr="0012790E" w:rsidRDefault="0012790E">
            <w:pPr>
              <w:pStyle w:val="SummaryAgencyTitle-BP2"/>
              <w:rPr>
                <w:iCs/>
              </w:rPr>
            </w:pPr>
          </w:p>
        </w:tc>
        <w:tc>
          <w:tcPr>
            <w:tcW w:w="851" w:type="dxa"/>
            <w:shd w:val="clear" w:color="auto" w:fill="E6F2FF"/>
            <w:vAlign w:val="bottom"/>
          </w:tcPr>
          <w:p w14:paraId="6FB45F70" w14:textId="77777777" w:rsidR="0012790E" w:rsidRPr="0012790E" w:rsidRDefault="0012790E">
            <w:pPr>
              <w:pStyle w:val="SummaryAgencyTitle-BP2"/>
              <w:rPr>
                <w:iCs/>
              </w:rPr>
            </w:pPr>
          </w:p>
        </w:tc>
        <w:tc>
          <w:tcPr>
            <w:tcW w:w="851" w:type="dxa"/>
            <w:vAlign w:val="bottom"/>
          </w:tcPr>
          <w:p w14:paraId="75BE4D63" w14:textId="77777777" w:rsidR="0012790E" w:rsidRPr="0012790E" w:rsidRDefault="0012790E">
            <w:pPr>
              <w:pStyle w:val="SummaryAgencyTitle-BP2"/>
              <w:rPr>
                <w:iCs/>
              </w:rPr>
            </w:pPr>
          </w:p>
        </w:tc>
        <w:tc>
          <w:tcPr>
            <w:tcW w:w="851" w:type="dxa"/>
            <w:vAlign w:val="bottom"/>
          </w:tcPr>
          <w:p w14:paraId="20ABB8FE" w14:textId="77777777" w:rsidR="0012790E" w:rsidRPr="0012790E" w:rsidRDefault="0012790E">
            <w:pPr>
              <w:pStyle w:val="SummaryAgencyTitle-BP2"/>
              <w:rPr>
                <w:iCs/>
              </w:rPr>
            </w:pPr>
          </w:p>
        </w:tc>
        <w:tc>
          <w:tcPr>
            <w:tcW w:w="851" w:type="dxa"/>
            <w:vAlign w:val="bottom"/>
          </w:tcPr>
          <w:p w14:paraId="76E49CA5" w14:textId="77777777" w:rsidR="0012790E" w:rsidRPr="0012790E" w:rsidRDefault="0012790E">
            <w:pPr>
              <w:pStyle w:val="SummaryAgencyTitle-BP2"/>
              <w:rPr>
                <w:iCs/>
              </w:rPr>
            </w:pPr>
          </w:p>
        </w:tc>
      </w:tr>
      <w:tr w:rsidR="0012790E" w:rsidRPr="0012790E" w14:paraId="177EFE0F" w14:textId="77777777" w:rsidTr="54937204">
        <w:tc>
          <w:tcPr>
            <w:tcW w:w="3470" w:type="dxa"/>
            <w:shd w:val="clear" w:color="auto" w:fill="auto"/>
            <w:vAlign w:val="bottom"/>
          </w:tcPr>
          <w:p w14:paraId="15DC8D77" w14:textId="77777777" w:rsidR="0012790E" w:rsidRPr="0012790E" w:rsidRDefault="0012790E">
            <w:pPr>
              <w:pStyle w:val="SummaryMeasureTitlewithTheme"/>
            </w:pPr>
            <w:r w:rsidRPr="0012790E">
              <w:t>Strengthening Medicare(b)</w:t>
            </w:r>
          </w:p>
        </w:tc>
        <w:tc>
          <w:tcPr>
            <w:tcW w:w="851" w:type="dxa"/>
            <w:vAlign w:val="bottom"/>
          </w:tcPr>
          <w:p w14:paraId="492BC88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FB8A2A9" w14:textId="77777777" w:rsidR="0012790E" w:rsidRPr="0012790E" w:rsidRDefault="0012790E">
            <w:pPr>
              <w:pStyle w:val="Summarytabletextrightaligned"/>
              <w:rPr>
                <w:szCs w:val="16"/>
              </w:rPr>
            </w:pPr>
            <w:r w:rsidRPr="0012790E">
              <w:rPr>
                <w:szCs w:val="16"/>
              </w:rPr>
              <w:t>1.9</w:t>
            </w:r>
          </w:p>
        </w:tc>
        <w:tc>
          <w:tcPr>
            <w:tcW w:w="851" w:type="dxa"/>
            <w:vAlign w:val="bottom"/>
          </w:tcPr>
          <w:p w14:paraId="5944E90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3ACEE96"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C49D50B" w14:textId="77777777" w:rsidR="0012790E" w:rsidRPr="0012790E" w:rsidRDefault="0012790E">
            <w:pPr>
              <w:pStyle w:val="Summarytabletextrightaligned"/>
              <w:rPr>
                <w:szCs w:val="16"/>
              </w:rPr>
            </w:pPr>
            <w:r w:rsidRPr="0012790E">
              <w:rPr>
                <w:szCs w:val="16"/>
              </w:rPr>
              <w:noBreakHyphen/>
            </w:r>
          </w:p>
        </w:tc>
      </w:tr>
      <w:tr w:rsidR="0012790E" w:rsidRPr="0012790E" w14:paraId="003CF058" w14:textId="77777777" w:rsidTr="54937204">
        <w:tc>
          <w:tcPr>
            <w:tcW w:w="3470" w:type="dxa"/>
            <w:shd w:val="clear" w:color="auto" w:fill="auto"/>
            <w:vAlign w:val="bottom"/>
          </w:tcPr>
          <w:p w14:paraId="7DE550F9" w14:textId="77777777" w:rsidR="0012790E" w:rsidRPr="0012790E" w:rsidRDefault="0012790E">
            <w:pPr>
              <w:pStyle w:val="SummaryAgencyTitle-BP2"/>
              <w:rPr>
                <w:iCs/>
              </w:rPr>
            </w:pPr>
            <w:r w:rsidRPr="0012790E">
              <w:rPr>
                <w:iCs/>
              </w:rPr>
              <w:t>Department of Industry, Science and Resources</w:t>
            </w:r>
          </w:p>
        </w:tc>
        <w:tc>
          <w:tcPr>
            <w:tcW w:w="851" w:type="dxa"/>
            <w:vAlign w:val="bottom"/>
          </w:tcPr>
          <w:p w14:paraId="61606441" w14:textId="77777777" w:rsidR="0012790E" w:rsidRPr="0012790E" w:rsidRDefault="0012790E">
            <w:pPr>
              <w:pStyle w:val="SummaryAgencyTitle-BP2"/>
              <w:rPr>
                <w:iCs/>
              </w:rPr>
            </w:pPr>
          </w:p>
        </w:tc>
        <w:tc>
          <w:tcPr>
            <w:tcW w:w="851" w:type="dxa"/>
            <w:shd w:val="clear" w:color="auto" w:fill="E6F2FF"/>
            <w:vAlign w:val="bottom"/>
          </w:tcPr>
          <w:p w14:paraId="49F2FEEF" w14:textId="77777777" w:rsidR="0012790E" w:rsidRPr="0012790E" w:rsidRDefault="0012790E">
            <w:pPr>
              <w:pStyle w:val="SummaryAgencyTitle-BP2"/>
              <w:rPr>
                <w:iCs/>
              </w:rPr>
            </w:pPr>
          </w:p>
        </w:tc>
        <w:tc>
          <w:tcPr>
            <w:tcW w:w="851" w:type="dxa"/>
            <w:vAlign w:val="bottom"/>
          </w:tcPr>
          <w:p w14:paraId="0A2AF131" w14:textId="77777777" w:rsidR="0012790E" w:rsidRPr="0012790E" w:rsidRDefault="0012790E">
            <w:pPr>
              <w:pStyle w:val="SummaryAgencyTitle-BP2"/>
              <w:rPr>
                <w:iCs/>
              </w:rPr>
            </w:pPr>
          </w:p>
        </w:tc>
        <w:tc>
          <w:tcPr>
            <w:tcW w:w="851" w:type="dxa"/>
            <w:vAlign w:val="bottom"/>
          </w:tcPr>
          <w:p w14:paraId="2C739A87" w14:textId="77777777" w:rsidR="0012790E" w:rsidRPr="0012790E" w:rsidRDefault="0012790E">
            <w:pPr>
              <w:pStyle w:val="SummaryAgencyTitle-BP2"/>
              <w:rPr>
                <w:iCs/>
              </w:rPr>
            </w:pPr>
          </w:p>
        </w:tc>
        <w:tc>
          <w:tcPr>
            <w:tcW w:w="851" w:type="dxa"/>
            <w:vAlign w:val="bottom"/>
          </w:tcPr>
          <w:p w14:paraId="69FBE995" w14:textId="77777777" w:rsidR="0012790E" w:rsidRPr="0012790E" w:rsidRDefault="0012790E">
            <w:pPr>
              <w:pStyle w:val="SummaryAgencyTitle-BP2"/>
              <w:rPr>
                <w:iCs/>
              </w:rPr>
            </w:pPr>
          </w:p>
        </w:tc>
      </w:tr>
      <w:tr w:rsidR="0012790E" w:rsidRPr="0012790E" w14:paraId="2EF0BE58" w14:textId="77777777" w:rsidTr="54937204">
        <w:tc>
          <w:tcPr>
            <w:tcW w:w="3470" w:type="dxa"/>
            <w:shd w:val="clear" w:color="auto" w:fill="auto"/>
            <w:vAlign w:val="bottom"/>
          </w:tcPr>
          <w:p w14:paraId="3CDD1312" w14:textId="77777777" w:rsidR="0012790E" w:rsidRPr="0012790E" w:rsidRDefault="0012790E">
            <w:pPr>
              <w:pStyle w:val="SummaryMeasureTitlewithTheme"/>
            </w:pPr>
            <w:r w:rsidRPr="0012790E">
              <w:t>APS Capability Reinvestment Fund: 2024</w:t>
            </w:r>
            <w:r w:rsidRPr="0012790E">
              <w:noBreakHyphen/>
              <w:t>25 projects funded under round two</w:t>
            </w:r>
          </w:p>
        </w:tc>
        <w:tc>
          <w:tcPr>
            <w:tcW w:w="851" w:type="dxa"/>
            <w:vAlign w:val="bottom"/>
          </w:tcPr>
          <w:p w14:paraId="08316EB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B71F850" w14:textId="49555840" w:rsidR="0012790E" w:rsidRPr="0012790E" w:rsidRDefault="00B92B04">
            <w:pPr>
              <w:pStyle w:val="Summarytabletextrightaligned"/>
              <w:rPr>
                <w:szCs w:val="16"/>
              </w:rPr>
            </w:pPr>
            <w:r>
              <w:rPr>
                <w:szCs w:val="16"/>
              </w:rPr>
              <w:t>-</w:t>
            </w:r>
          </w:p>
        </w:tc>
        <w:tc>
          <w:tcPr>
            <w:tcW w:w="851" w:type="dxa"/>
            <w:vAlign w:val="bottom"/>
          </w:tcPr>
          <w:p w14:paraId="0E5002F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E8F430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90A65D0" w14:textId="77777777" w:rsidR="0012790E" w:rsidRPr="0012790E" w:rsidRDefault="0012790E">
            <w:pPr>
              <w:pStyle w:val="Summarytabletextrightaligned"/>
              <w:rPr>
                <w:szCs w:val="16"/>
              </w:rPr>
            </w:pPr>
            <w:r w:rsidRPr="0012790E">
              <w:rPr>
                <w:szCs w:val="16"/>
              </w:rPr>
              <w:noBreakHyphen/>
            </w:r>
          </w:p>
        </w:tc>
      </w:tr>
      <w:tr w:rsidR="0012790E" w:rsidRPr="0012790E" w14:paraId="42F686B4" w14:textId="77777777" w:rsidTr="54937204">
        <w:tc>
          <w:tcPr>
            <w:tcW w:w="3470" w:type="dxa"/>
            <w:shd w:val="clear" w:color="auto" w:fill="auto"/>
            <w:vAlign w:val="bottom"/>
          </w:tcPr>
          <w:p w14:paraId="64C31161" w14:textId="77777777" w:rsidR="0012790E" w:rsidRPr="0012790E" w:rsidRDefault="0012790E">
            <w:pPr>
              <w:pStyle w:val="SummaryMeasureTitlewithTheme"/>
            </w:pPr>
            <w:r w:rsidRPr="0012790E">
              <w:t>Cyber Security of Regulators and Improving Registers(b)</w:t>
            </w:r>
          </w:p>
        </w:tc>
        <w:tc>
          <w:tcPr>
            <w:tcW w:w="851" w:type="dxa"/>
            <w:vAlign w:val="bottom"/>
          </w:tcPr>
          <w:p w14:paraId="2A7EA72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7DF791B" w14:textId="77777777" w:rsidR="0012790E" w:rsidRPr="0012790E" w:rsidRDefault="0012790E">
            <w:pPr>
              <w:pStyle w:val="Summarytabletextrightaligned"/>
              <w:rPr>
                <w:szCs w:val="16"/>
              </w:rPr>
            </w:pPr>
            <w:r w:rsidRPr="0012790E">
              <w:rPr>
                <w:szCs w:val="16"/>
              </w:rPr>
              <w:t>1.5</w:t>
            </w:r>
          </w:p>
        </w:tc>
        <w:tc>
          <w:tcPr>
            <w:tcW w:w="851" w:type="dxa"/>
            <w:vAlign w:val="bottom"/>
          </w:tcPr>
          <w:p w14:paraId="3335D6E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3822A7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3A318AE" w14:textId="77777777" w:rsidR="0012790E" w:rsidRPr="0012790E" w:rsidRDefault="0012790E">
            <w:pPr>
              <w:pStyle w:val="Summarytabletextrightaligned"/>
              <w:rPr>
                <w:szCs w:val="16"/>
              </w:rPr>
            </w:pPr>
            <w:r w:rsidRPr="0012790E">
              <w:rPr>
                <w:szCs w:val="16"/>
              </w:rPr>
              <w:noBreakHyphen/>
            </w:r>
          </w:p>
        </w:tc>
      </w:tr>
      <w:tr w:rsidR="00ED69F3" w:rsidRPr="0012790E" w14:paraId="542038A2" w14:textId="77777777" w:rsidTr="54937204">
        <w:tc>
          <w:tcPr>
            <w:tcW w:w="3470" w:type="dxa"/>
            <w:shd w:val="clear" w:color="auto" w:fill="auto"/>
            <w:vAlign w:val="bottom"/>
          </w:tcPr>
          <w:p w14:paraId="069A89C6" w14:textId="77777777" w:rsidR="00ED69F3" w:rsidRPr="0012790E" w:rsidRDefault="00ED69F3" w:rsidP="00ED69F3">
            <w:pPr>
              <w:pStyle w:val="SummaryMeasureTitlewithTheme"/>
            </w:pPr>
            <w:r w:rsidRPr="0012790E">
              <w:t>Future Made in Australia – Investing in Innovation, Science and Digital Capabilities(b)</w:t>
            </w:r>
          </w:p>
        </w:tc>
        <w:tc>
          <w:tcPr>
            <w:tcW w:w="851" w:type="dxa"/>
            <w:vAlign w:val="bottom"/>
          </w:tcPr>
          <w:p w14:paraId="71A4375C" w14:textId="6A275C0D" w:rsidR="00ED69F3" w:rsidRPr="0012790E" w:rsidRDefault="00ED69F3" w:rsidP="00ED69F3">
            <w:pPr>
              <w:pStyle w:val="Summarytabletextrightaligned"/>
            </w:pPr>
            <w:r w:rsidRPr="6F38BAFE">
              <w:rPr>
                <w:lang w:val="en-US"/>
              </w:rPr>
              <w:t>nfp</w:t>
            </w:r>
          </w:p>
        </w:tc>
        <w:tc>
          <w:tcPr>
            <w:tcW w:w="851" w:type="dxa"/>
            <w:shd w:val="clear" w:color="auto" w:fill="E6F2FF"/>
            <w:vAlign w:val="bottom"/>
          </w:tcPr>
          <w:p w14:paraId="43ECBABC" w14:textId="03033F89" w:rsidR="00ED69F3" w:rsidRPr="0012790E" w:rsidRDefault="00ED69F3" w:rsidP="00ED69F3">
            <w:pPr>
              <w:pStyle w:val="Summarytabletextrightaligned"/>
            </w:pPr>
            <w:r w:rsidRPr="6F38BAFE">
              <w:rPr>
                <w:lang w:val="en-US"/>
              </w:rPr>
              <w:t>nfp</w:t>
            </w:r>
          </w:p>
        </w:tc>
        <w:tc>
          <w:tcPr>
            <w:tcW w:w="851" w:type="dxa"/>
            <w:vAlign w:val="bottom"/>
          </w:tcPr>
          <w:p w14:paraId="6BC490F1" w14:textId="2EA911F5" w:rsidR="00ED69F3" w:rsidRPr="0012790E" w:rsidRDefault="00ED69F3" w:rsidP="00ED69F3">
            <w:pPr>
              <w:pStyle w:val="Summarytabletextrightaligned"/>
            </w:pPr>
            <w:r w:rsidRPr="6F38BAFE">
              <w:rPr>
                <w:lang w:val="en-US"/>
              </w:rPr>
              <w:t>nfp</w:t>
            </w:r>
          </w:p>
        </w:tc>
        <w:tc>
          <w:tcPr>
            <w:tcW w:w="851" w:type="dxa"/>
            <w:vAlign w:val="bottom"/>
          </w:tcPr>
          <w:p w14:paraId="6EF954CD" w14:textId="2722BDC6" w:rsidR="00ED69F3" w:rsidRPr="0012790E" w:rsidRDefault="00ED69F3" w:rsidP="00ED69F3">
            <w:pPr>
              <w:pStyle w:val="Summarytabletextrightaligned"/>
            </w:pPr>
            <w:r w:rsidRPr="6F38BAFE">
              <w:rPr>
                <w:lang w:val="en-US"/>
              </w:rPr>
              <w:t>nfp</w:t>
            </w:r>
          </w:p>
        </w:tc>
        <w:tc>
          <w:tcPr>
            <w:tcW w:w="851" w:type="dxa"/>
            <w:vAlign w:val="bottom"/>
          </w:tcPr>
          <w:p w14:paraId="6E3721FF" w14:textId="7AD71045" w:rsidR="00ED69F3" w:rsidRPr="0012790E" w:rsidRDefault="00ED69F3" w:rsidP="00ED69F3">
            <w:pPr>
              <w:pStyle w:val="Summarytabletextrightaligned"/>
            </w:pPr>
            <w:r w:rsidRPr="6F38BAFE">
              <w:rPr>
                <w:lang w:val="en-US"/>
              </w:rPr>
              <w:t>nfp</w:t>
            </w:r>
          </w:p>
        </w:tc>
      </w:tr>
      <w:tr w:rsidR="0012790E" w:rsidRPr="0012790E" w14:paraId="575850E2" w14:textId="77777777" w:rsidTr="54937204">
        <w:tc>
          <w:tcPr>
            <w:tcW w:w="3470" w:type="dxa"/>
            <w:shd w:val="clear" w:color="auto" w:fill="auto"/>
            <w:vAlign w:val="bottom"/>
          </w:tcPr>
          <w:p w14:paraId="73298893" w14:textId="77777777" w:rsidR="0012790E" w:rsidRPr="0012790E" w:rsidRDefault="0012790E">
            <w:pPr>
              <w:pStyle w:val="SummaryMeasureTitlewithTheme"/>
            </w:pPr>
            <w:r w:rsidRPr="0012790E">
              <w:t>Future Made in Australia – Making Australia a Renewable Energy Superpower(b)</w:t>
            </w:r>
          </w:p>
        </w:tc>
        <w:tc>
          <w:tcPr>
            <w:tcW w:w="851" w:type="dxa"/>
            <w:vAlign w:val="bottom"/>
          </w:tcPr>
          <w:p w14:paraId="1B69548F" w14:textId="279821E0" w:rsidR="0012790E" w:rsidRPr="0012790E" w:rsidRDefault="0012790E">
            <w:pPr>
              <w:pStyle w:val="Summarytabletextrightaligned"/>
              <w:rPr>
                <w:szCs w:val="16"/>
              </w:rPr>
            </w:pPr>
            <w:r w:rsidRPr="0012790E">
              <w:rPr>
                <w:szCs w:val="16"/>
              </w:rPr>
              <w:noBreakHyphen/>
              <w:t>24.</w:t>
            </w:r>
            <w:r w:rsidR="000E7AC6">
              <w:rPr>
                <w:szCs w:val="16"/>
              </w:rPr>
              <w:t>5</w:t>
            </w:r>
          </w:p>
        </w:tc>
        <w:tc>
          <w:tcPr>
            <w:tcW w:w="851" w:type="dxa"/>
            <w:shd w:val="clear" w:color="auto" w:fill="E6F2FF"/>
            <w:vAlign w:val="bottom"/>
          </w:tcPr>
          <w:p w14:paraId="32DDADD1" w14:textId="12585D21" w:rsidR="0012790E" w:rsidRPr="0012790E" w:rsidRDefault="000E7AC6">
            <w:pPr>
              <w:pStyle w:val="Summarytabletextrightaligned"/>
              <w:rPr>
                <w:szCs w:val="16"/>
              </w:rPr>
            </w:pPr>
            <w:r>
              <w:rPr>
                <w:szCs w:val="16"/>
              </w:rPr>
              <w:t>26.5</w:t>
            </w:r>
          </w:p>
        </w:tc>
        <w:tc>
          <w:tcPr>
            <w:tcW w:w="851" w:type="dxa"/>
            <w:vAlign w:val="bottom"/>
          </w:tcPr>
          <w:p w14:paraId="7D6209C8" w14:textId="62F96ACA" w:rsidR="0012790E" w:rsidRPr="0012790E" w:rsidRDefault="000E7AC6">
            <w:pPr>
              <w:pStyle w:val="Summarytabletextrightaligned"/>
              <w:rPr>
                <w:szCs w:val="16"/>
              </w:rPr>
            </w:pPr>
            <w:r>
              <w:rPr>
                <w:szCs w:val="16"/>
              </w:rPr>
              <w:t>17.8</w:t>
            </w:r>
          </w:p>
        </w:tc>
        <w:tc>
          <w:tcPr>
            <w:tcW w:w="851" w:type="dxa"/>
            <w:vAlign w:val="bottom"/>
          </w:tcPr>
          <w:p w14:paraId="351E3C36" w14:textId="1582C33E" w:rsidR="0012790E" w:rsidRPr="0012790E" w:rsidRDefault="000E7AC6">
            <w:pPr>
              <w:pStyle w:val="Summarytabletextrightaligned"/>
              <w:rPr>
                <w:szCs w:val="16"/>
              </w:rPr>
            </w:pPr>
            <w:r>
              <w:rPr>
                <w:szCs w:val="16"/>
              </w:rPr>
              <w:t>7.3</w:t>
            </w:r>
          </w:p>
        </w:tc>
        <w:tc>
          <w:tcPr>
            <w:tcW w:w="851" w:type="dxa"/>
            <w:vAlign w:val="bottom"/>
          </w:tcPr>
          <w:p w14:paraId="63F8B583" w14:textId="5488DEAA" w:rsidR="0012790E" w:rsidRPr="0012790E" w:rsidRDefault="000E7AC6">
            <w:pPr>
              <w:pStyle w:val="Summarytabletextrightaligned"/>
              <w:rPr>
                <w:szCs w:val="16"/>
              </w:rPr>
            </w:pPr>
            <w:r>
              <w:rPr>
                <w:szCs w:val="16"/>
              </w:rPr>
              <w:t>3.2</w:t>
            </w:r>
          </w:p>
        </w:tc>
      </w:tr>
      <w:tr w:rsidR="0012790E" w:rsidRPr="0012790E" w14:paraId="0958FEF6" w14:textId="77777777" w:rsidTr="54937204">
        <w:tc>
          <w:tcPr>
            <w:tcW w:w="3470" w:type="dxa"/>
            <w:shd w:val="clear" w:color="auto" w:fill="auto"/>
            <w:vAlign w:val="bottom"/>
          </w:tcPr>
          <w:p w14:paraId="7223D653" w14:textId="77777777" w:rsidR="0012790E" w:rsidRPr="0012790E" w:rsidRDefault="0012790E">
            <w:pPr>
              <w:pStyle w:val="SummaryMeasureTitlewithTheme"/>
            </w:pPr>
            <w:r w:rsidRPr="0012790E">
              <w:t>Future Made in Australia – Workforce and Trade Partnerships for Renewable Energy Superpower Industries</w:t>
            </w:r>
          </w:p>
        </w:tc>
        <w:tc>
          <w:tcPr>
            <w:tcW w:w="851" w:type="dxa"/>
            <w:vAlign w:val="bottom"/>
          </w:tcPr>
          <w:p w14:paraId="63E22164" w14:textId="77777777" w:rsidR="0012790E" w:rsidRPr="0012790E" w:rsidRDefault="0012790E">
            <w:pPr>
              <w:pStyle w:val="Summarytabletextrightaligned"/>
              <w:rPr>
                <w:szCs w:val="16"/>
              </w:rPr>
            </w:pPr>
            <w:r w:rsidRPr="0012790E">
              <w:rPr>
                <w:szCs w:val="16"/>
              </w:rPr>
              <w:t>0.3</w:t>
            </w:r>
          </w:p>
        </w:tc>
        <w:tc>
          <w:tcPr>
            <w:tcW w:w="851" w:type="dxa"/>
            <w:shd w:val="clear" w:color="auto" w:fill="E6F2FF"/>
            <w:vAlign w:val="bottom"/>
          </w:tcPr>
          <w:p w14:paraId="7527E140" w14:textId="77777777" w:rsidR="0012790E" w:rsidRPr="0012790E" w:rsidRDefault="0012790E">
            <w:pPr>
              <w:pStyle w:val="Summarytabletextrightaligned"/>
              <w:rPr>
                <w:szCs w:val="16"/>
              </w:rPr>
            </w:pPr>
            <w:r w:rsidRPr="0012790E">
              <w:rPr>
                <w:szCs w:val="16"/>
              </w:rPr>
              <w:t>14.3</w:t>
            </w:r>
          </w:p>
        </w:tc>
        <w:tc>
          <w:tcPr>
            <w:tcW w:w="851" w:type="dxa"/>
            <w:vAlign w:val="bottom"/>
          </w:tcPr>
          <w:p w14:paraId="15F951FC" w14:textId="77777777" w:rsidR="0012790E" w:rsidRPr="0012790E" w:rsidRDefault="0012790E">
            <w:pPr>
              <w:pStyle w:val="Summarytabletextrightaligned"/>
              <w:rPr>
                <w:szCs w:val="16"/>
              </w:rPr>
            </w:pPr>
            <w:r w:rsidRPr="0012790E">
              <w:rPr>
                <w:szCs w:val="16"/>
              </w:rPr>
              <w:t>7.0</w:t>
            </w:r>
          </w:p>
        </w:tc>
        <w:tc>
          <w:tcPr>
            <w:tcW w:w="851" w:type="dxa"/>
            <w:vAlign w:val="bottom"/>
          </w:tcPr>
          <w:p w14:paraId="18CADC3C" w14:textId="77777777" w:rsidR="0012790E" w:rsidRPr="0012790E" w:rsidRDefault="0012790E">
            <w:pPr>
              <w:pStyle w:val="Summarytabletextrightaligned"/>
              <w:rPr>
                <w:szCs w:val="16"/>
              </w:rPr>
            </w:pPr>
            <w:r w:rsidRPr="0012790E">
              <w:rPr>
                <w:szCs w:val="16"/>
              </w:rPr>
              <w:t>3.8</w:t>
            </w:r>
          </w:p>
        </w:tc>
        <w:tc>
          <w:tcPr>
            <w:tcW w:w="851" w:type="dxa"/>
            <w:vAlign w:val="bottom"/>
          </w:tcPr>
          <w:p w14:paraId="396F994D" w14:textId="77777777" w:rsidR="0012790E" w:rsidRPr="0012790E" w:rsidRDefault="0012790E">
            <w:pPr>
              <w:pStyle w:val="Summarytabletextrightaligned"/>
              <w:rPr>
                <w:szCs w:val="16"/>
              </w:rPr>
            </w:pPr>
            <w:r w:rsidRPr="0012790E">
              <w:rPr>
                <w:szCs w:val="16"/>
              </w:rPr>
              <w:t>7.3</w:t>
            </w:r>
          </w:p>
        </w:tc>
      </w:tr>
      <w:tr w:rsidR="0012790E" w:rsidRPr="0012790E" w14:paraId="560A2A3D" w14:textId="77777777" w:rsidTr="54937204">
        <w:tc>
          <w:tcPr>
            <w:tcW w:w="3470" w:type="dxa"/>
            <w:shd w:val="clear" w:color="auto" w:fill="auto"/>
            <w:vAlign w:val="bottom"/>
          </w:tcPr>
          <w:p w14:paraId="3639CAA1" w14:textId="77777777" w:rsidR="0012790E" w:rsidRPr="0012790E" w:rsidRDefault="0012790E">
            <w:pPr>
              <w:pStyle w:val="SummaryMeasureTitlewithTheme"/>
            </w:pPr>
            <w:r w:rsidRPr="0012790E">
              <w:t>Investing in the Future of Industry and Science</w:t>
            </w:r>
          </w:p>
        </w:tc>
        <w:tc>
          <w:tcPr>
            <w:tcW w:w="851" w:type="dxa"/>
            <w:vAlign w:val="bottom"/>
          </w:tcPr>
          <w:p w14:paraId="621F633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92E484A" w14:textId="77777777" w:rsidR="0012790E" w:rsidRPr="0012790E" w:rsidRDefault="0012790E">
            <w:pPr>
              <w:pStyle w:val="Summarytabletextrightaligned"/>
              <w:rPr>
                <w:szCs w:val="16"/>
              </w:rPr>
            </w:pPr>
            <w:r w:rsidRPr="0012790E">
              <w:rPr>
                <w:szCs w:val="16"/>
              </w:rPr>
              <w:t>0.6</w:t>
            </w:r>
          </w:p>
        </w:tc>
        <w:tc>
          <w:tcPr>
            <w:tcW w:w="851" w:type="dxa"/>
            <w:vAlign w:val="bottom"/>
          </w:tcPr>
          <w:p w14:paraId="2F981CC5" w14:textId="77777777" w:rsidR="0012790E" w:rsidRPr="0012790E" w:rsidRDefault="0012790E">
            <w:pPr>
              <w:pStyle w:val="Summarytabletextrightaligned"/>
              <w:rPr>
                <w:szCs w:val="16"/>
              </w:rPr>
            </w:pPr>
            <w:r w:rsidRPr="0012790E">
              <w:rPr>
                <w:szCs w:val="16"/>
              </w:rPr>
              <w:t>0.1</w:t>
            </w:r>
          </w:p>
        </w:tc>
        <w:tc>
          <w:tcPr>
            <w:tcW w:w="851" w:type="dxa"/>
            <w:vAlign w:val="bottom"/>
          </w:tcPr>
          <w:p w14:paraId="79947BE4" w14:textId="77777777" w:rsidR="0012790E" w:rsidRPr="0012790E" w:rsidRDefault="0012790E">
            <w:pPr>
              <w:pStyle w:val="Summarytabletextrightaligned"/>
              <w:rPr>
                <w:szCs w:val="16"/>
              </w:rPr>
            </w:pPr>
            <w:r w:rsidRPr="0012790E">
              <w:rPr>
                <w:szCs w:val="16"/>
              </w:rPr>
              <w:t>0.1</w:t>
            </w:r>
          </w:p>
        </w:tc>
        <w:tc>
          <w:tcPr>
            <w:tcW w:w="851" w:type="dxa"/>
            <w:vAlign w:val="bottom"/>
          </w:tcPr>
          <w:p w14:paraId="5061E139" w14:textId="77777777" w:rsidR="0012790E" w:rsidRPr="0012790E" w:rsidRDefault="0012790E">
            <w:pPr>
              <w:pStyle w:val="Summarytabletextrightaligned"/>
              <w:rPr>
                <w:szCs w:val="16"/>
              </w:rPr>
            </w:pPr>
            <w:r w:rsidRPr="0012790E">
              <w:rPr>
                <w:szCs w:val="16"/>
              </w:rPr>
              <w:t>0.6</w:t>
            </w:r>
          </w:p>
        </w:tc>
      </w:tr>
      <w:tr w:rsidR="0012790E" w:rsidRPr="0012790E" w14:paraId="3E397CF8" w14:textId="77777777" w:rsidTr="54937204">
        <w:tc>
          <w:tcPr>
            <w:tcW w:w="3470" w:type="dxa"/>
            <w:shd w:val="clear" w:color="auto" w:fill="auto"/>
            <w:vAlign w:val="bottom"/>
          </w:tcPr>
          <w:p w14:paraId="5F033A87" w14:textId="77777777" w:rsidR="0012790E" w:rsidRPr="0012790E" w:rsidRDefault="0012790E">
            <w:pPr>
              <w:pStyle w:val="SummaryMeasureTitlewithTheme"/>
            </w:pPr>
            <w:r w:rsidRPr="0012790E">
              <w:t>Regional cooperation initiative on carbon sequestration</w:t>
            </w:r>
          </w:p>
        </w:tc>
        <w:tc>
          <w:tcPr>
            <w:tcW w:w="851" w:type="dxa"/>
            <w:vAlign w:val="bottom"/>
          </w:tcPr>
          <w:p w14:paraId="19E93B1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38D9ADC" w14:textId="77777777" w:rsidR="0012790E" w:rsidRPr="0012790E" w:rsidRDefault="0012790E">
            <w:pPr>
              <w:pStyle w:val="Summarytabletextrightaligned"/>
              <w:rPr>
                <w:szCs w:val="16"/>
              </w:rPr>
            </w:pPr>
            <w:r w:rsidRPr="0012790E">
              <w:rPr>
                <w:szCs w:val="16"/>
              </w:rPr>
              <w:t>2.3</w:t>
            </w:r>
          </w:p>
        </w:tc>
        <w:tc>
          <w:tcPr>
            <w:tcW w:w="851" w:type="dxa"/>
            <w:vAlign w:val="bottom"/>
          </w:tcPr>
          <w:p w14:paraId="0A7A9CCD" w14:textId="77777777" w:rsidR="0012790E" w:rsidRPr="0012790E" w:rsidRDefault="0012790E">
            <w:pPr>
              <w:pStyle w:val="Summarytabletextrightaligned"/>
              <w:rPr>
                <w:szCs w:val="16"/>
              </w:rPr>
            </w:pPr>
            <w:r w:rsidRPr="0012790E">
              <w:rPr>
                <w:szCs w:val="16"/>
              </w:rPr>
              <w:t>2.3</w:t>
            </w:r>
          </w:p>
        </w:tc>
        <w:tc>
          <w:tcPr>
            <w:tcW w:w="851" w:type="dxa"/>
            <w:vAlign w:val="bottom"/>
          </w:tcPr>
          <w:p w14:paraId="1CDE24C3" w14:textId="77777777" w:rsidR="0012790E" w:rsidRPr="0012790E" w:rsidRDefault="0012790E">
            <w:pPr>
              <w:pStyle w:val="Summarytabletextrightaligned"/>
              <w:rPr>
                <w:szCs w:val="16"/>
              </w:rPr>
            </w:pPr>
            <w:r w:rsidRPr="0012790E">
              <w:rPr>
                <w:szCs w:val="16"/>
              </w:rPr>
              <w:t>2.3</w:t>
            </w:r>
          </w:p>
        </w:tc>
        <w:tc>
          <w:tcPr>
            <w:tcW w:w="851" w:type="dxa"/>
            <w:vAlign w:val="bottom"/>
          </w:tcPr>
          <w:p w14:paraId="113520D6" w14:textId="77777777" w:rsidR="0012790E" w:rsidRPr="0012790E" w:rsidRDefault="0012790E">
            <w:pPr>
              <w:pStyle w:val="Summarytabletextrightaligned"/>
              <w:rPr>
                <w:szCs w:val="16"/>
              </w:rPr>
            </w:pPr>
            <w:r w:rsidRPr="0012790E">
              <w:rPr>
                <w:szCs w:val="16"/>
              </w:rPr>
              <w:t>2.6</w:t>
            </w:r>
          </w:p>
        </w:tc>
      </w:tr>
      <w:tr w:rsidR="0012790E" w:rsidRPr="0012790E" w14:paraId="314AE3A0" w14:textId="77777777" w:rsidTr="54937204">
        <w:tc>
          <w:tcPr>
            <w:tcW w:w="3470" w:type="dxa"/>
            <w:shd w:val="clear" w:color="auto" w:fill="auto"/>
            <w:vAlign w:val="bottom"/>
          </w:tcPr>
          <w:p w14:paraId="3E7C1E05" w14:textId="77777777" w:rsidR="0012790E" w:rsidRPr="0012790E" w:rsidRDefault="0012790E">
            <w:pPr>
              <w:pStyle w:val="SummaryMeasureTitlewithTheme"/>
            </w:pPr>
            <w:r w:rsidRPr="0012790E">
              <w:t>Sport Integrity Australia – funding support(b)</w:t>
            </w:r>
          </w:p>
        </w:tc>
        <w:tc>
          <w:tcPr>
            <w:tcW w:w="851" w:type="dxa"/>
            <w:vAlign w:val="bottom"/>
          </w:tcPr>
          <w:p w14:paraId="3A987D2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70745FA" w14:textId="77777777" w:rsidR="0012790E" w:rsidRPr="0012790E" w:rsidRDefault="0012790E">
            <w:pPr>
              <w:pStyle w:val="Summarytabletextrightaligned"/>
              <w:rPr>
                <w:szCs w:val="16"/>
              </w:rPr>
            </w:pPr>
            <w:r w:rsidRPr="0012790E">
              <w:rPr>
                <w:szCs w:val="16"/>
              </w:rPr>
              <w:t>9.5</w:t>
            </w:r>
          </w:p>
        </w:tc>
        <w:tc>
          <w:tcPr>
            <w:tcW w:w="851" w:type="dxa"/>
            <w:vAlign w:val="bottom"/>
          </w:tcPr>
          <w:p w14:paraId="3D142964" w14:textId="77777777" w:rsidR="0012790E" w:rsidRPr="0012790E" w:rsidRDefault="0012790E">
            <w:pPr>
              <w:pStyle w:val="Summarytabletextrightaligned"/>
              <w:rPr>
                <w:szCs w:val="16"/>
              </w:rPr>
            </w:pPr>
            <w:r w:rsidRPr="0012790E">
              <w:rPr>
                <w:szCs w:val="16"/>
              </w:rPr>
              <w:t>9.7</w:t>
            </w:r>
          </w:p>
        </w:tc>
        <w:tc>
          <w:tcPr>
            <w:tcW w:w="851" w:type="dxa"/>
            <w:vAlign w:val="bottom"/>
          </w:tcPr>
          <w:p w14:paraId="4984A331"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0755BAE" w14:textId="77777777" w:rsidR="0012790E" w:rsidRPr="0012790E" w:rsidRDefault="0012790E">
            <w:pPr>
              <w:pStyle w:val="Summarytabletextrightaligned"/>
              <w:rPr>
                <w:szCs w:val="16"/>
              </w:rPr>
            </w:pPr>
            <w:r w:rsidRPr="0012790E">
              <w:rPr>
                <w:szCs w:val="16"/>
              </w:rPr>
              <w:noBreakHyphen/>
            </w:r>
          </w:p>
        </w:tc>
      </w:tr>
      <w:tr w:rsidR="0012790E" w:rsidRPr="0012790E" w14:paraId="36167E73" w14:textId="77777777" w:rsidTr="54937204">
        <w:tc>
          <w:tcPr>
            <w:tcW w:w="3470" w:type="dxa"/>
            <w:shd w:val="clear" w:color="auto" w:fill="auto"/>
            <w:vAlign w:val="bottom"/>
          </w:tcPr>
          <w:p w14:paraId="210B3A8F" w14:textId="77777777" w:rsidR="0012790E" w:rsidRPr="0012790E" w:rsidRDefault="0012790E">
            <w:pPr>
              <w:pStyle w:val="SummaryMeasureTitlewithTheme"/>
            </w:pPr>
            <w:r w:rsidRPr="0012790E">
              <w:t>Supporting Safe and Responsible AI</w:t>
            </w:r>
          </w:p>
        </w:tc>
        <w:tc>
          <w:tcPr>
            <w:tcW w:w="851" w:type="dxa"/>
            <w:vAlign w:val="bottom"/>
          </w:tcPr>
          <w:p w14:paraId="46D23F3A" w14:textId="77777777" w:rsidR="0012790E" w:rsidRPr="0012790E" w:rsidRDefault="0012790E">
            <w:pPr>
              <w:pStyle w:val="Summarytabletextrightaligned"/>
              <w:rPr>
                <w:szCs w:val="16"/>
              </w:rPr>
            </w:pPr>
            <w:r w:rsidRPr="0012790E">
              <w:rPr>
                <w:szCs w:val="16"/>
              </w:rPr>
              <w:noBreakHyphen/>
              <w:t>2.8</w:t>
            </w:r>
          </w:p>
        </w:tc>
        <w:tc>
          <w:tcPr>
            <w:tcW w:w="851" w:type="dxa"/>
            <w:shd w:val="clear" w:color="auto" w:fill="E6F2FF"/>
            <w:vAlign w:val="bottom"/>
          </w:tcPr>
          <w:p w14:paraId="0AD069E7" w14:textId="77777777" w:rsidR="0012790E" w:rsidRPr="0012790E" w:rsidRDefault="0012790E">
            <w:pPr>
              <w:pStyle w:val="Summarytabletextrightaligned"/>
              <w:rPr>
                <w:szCs w:val="16"/>
              </w:rPr>
            </w:pPr>
            <w:r w:rsidRPr="0012790E">
              <w:rPr>
                <w:szCs w:val="16"/>
              </w:rPr>
              <w:t>6.4</w:t>
            </w:r>
          </w:p>
        </w:tc>
        <w:tc>
          <w:tcPr>
            <w:tcW w:w="851" w:type="dxa"/>
            <w:vAlign w:val="bottom"/>
          </w:tcPr>
          <w:p w14:paraId="787B8C32" w14:textId="77777777" w:rsidR="0012790E" w:rsidRPr="0012790E" w:rsidRDefault="0012790E">
            <w:pPr>
              <w:pStyle w:val="Summarytabletextrightaligned"/>
              <w:rPr>
                <w:szCs w:val="16"/>
              </w:rPr>
            </w:pPr>
            <w:r w:rsidRPr="0012790E">
              <w:rPr>
                <w:szCs w:val="16"/>
              </w:rPr>
              <w:t>3.1</w:t>
            </w:r>
          </w:p>
        </w:tc>
        <w:tc>
          <w:tcPr>
            <w:tcW w:w="851" w:type="dxa"/>
            <w:vAlign w:val="bottom"/>
          </w:tcPr>
          <w:p w14:paraId="36BE4CBB" w14:textId="77777777" w:rsidR="0012790E" w:rsidRPr="0012790E" w:rsidRDefault="0012790E">
            <w:pPr>
              <w:pStyle w:val="Summarytabletextrightaligned"/>
              <w:rPr>
                <w:szCs w:val="16"/>
              </w:rPr>
            </w:pPr>
            <w:r w:rsidRPr="0012790E">
              <w:rPr>
                <w:szCs w:val="16"/>
              </w:rPr>
              <w:noBreakHyphen/>
              <w:t>0.8</w:t>
            </w:r>
          </w:p>
        </w:tc>
        <w:tc>
          <w:tcPr>
            <w:tcW w:w="851" w:type="dxa"/>
            <w:vAlign w:val="bottom"/>
          </w:tcPr>
          <w:p w14:paraId="3D92716F" w14:textId="77777777" w:rsidR="0012790E" w:rsidRPr="0012790E" w:rsidRDefault="0012790E">
            <w:pPr>
              <w:pStyle w:val="Summarytabletextrightaligned"/>
              <w:rPr>
                <w:szCs w:val="16"/>
              </w:rPr>
            </w:pPr>
            <w:r w:rsidRPr="0012790E">
              <w:rPr>
                <w:szCs w:val="16"/>
              </w:rPr>
              <w:t>5.6</w:t>
            </w:r>
          </w:p>
        </w:tc>
      </w:tr>
      <w:tr w:rsidR="0012790E" w:rsidRPr="0012790E" w14:paraId="22A81C21" w14:textId="77777777" w:rsidTr="54937204">
        <w:tc>
          <w:tcPr>
            <w:tcW w:w="3470" w:type="dxa"/>
            <w:shd w:val="clear" w:color="auto" w:fill="auto"/>
            <w:vAlign w:val="bottom"/>
          </w:tcPr>
          <w:p w14:paraId="17FDD46D" w14:textId="77777777" w:rsidR="0012790E" w:rsidRPr="0012790E" w:rsidRDefault="0012790E">
            <w:pPr>
              <w:pStyle w:val="SummaryMeasureTitlewithTheme"/>
            </w:pPr>
            <w:r w:rsidRPr="0012790E">
              <w:t>Supporting Safety and Responsible Decommissioning in the Offshore Resources Sector</w:t>
            </w:r>
          </w:p>
        </w:tc>
        <w:tc>
          <w:tcPr>
            <w:tcW w:w="851" w:type="dxa"/>
            <w:vAlign w:val="bottom"/>
          </w:tcPr>
          <w:p w14:paraId="7FCB1A7B" w14:textId="21D301FE" w:rsidR="0012790E" w:rsidRPr="0012790E" w:rsidRDefault="00CB052C">
            <w:pPr>
              <w:pStyle w:val="Summarytabletextrightaligned"/>
              <w:rPr>
                <w:szCs w:val="16"/>
              </w:rPr>
            </w:pPr>
            <w:r>
              <w:rPr>
                <w:szCs w:val="16"/>
              </w:rPr>
              <w:t>-</w:t>
            </w:r>
            <w:r w:rsidR="004F6F95">
              <w:rPr>
                <w:szCs w:val="16"/>
              </w:rPr>
              <w:t>1.5</w:t>
            </w:r>
          </w:p>
        </w:tc>
        <w:tc>
          <w:tcPr>
            <w:tcW w:w="851" w:type="dxa"/>
            <w:shd w:val="clear" w:color="auto" w:fill="E6F2FF"/>
            <w:vAlign w:val="bottom"/>
          </w:tcPr>
          <w:p w14:paraId="2DC3EC6D"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5051E24B" w14:textId="77777777" w:rsidR="0012790E" w:rsidRPr="0012790E" w:rsidRDefault="0012790E">
            <w:pPr>
              <w:pStyle w:val="Summarytabletextrightaligned"/>
              <w:rPr>
                <w:szCs w:val="16"/>
              </w:rPr>
            </w:pPr>
            <w:r w:rsidRPr="0012790E">
              <w:rPr>
                <w:szCs w:val="16"/>
              </w:rPr>
              <w:t>3.6</w:t>
            </w:r>
          </w:p>
        </w:tc>
        <w:tc>
          <w:tcPr>
            <w:tcW w:w="851" w:type="dxa"/>
            <w:vAlign w:val="bottom"/>
          </w:tcPr>
          <w:p w14:paraId="70634922" w14:textId="370025C5" w:rsidR="0012790E" w:rsidRPr="0012790E" w:rsidRDefault="004F6F95">
            <w:pPr>
              <w:pStyle w:val="Summarytabletextrightaligned"/>
            </w:pPr>
            <w:r w:rsidRPr="6F38BAFE">
              <w:rPr>
                <w:lang w:val="en-US"/>
              </w:rPr>
              <w:t>nfp</w:t>
            </w:r>
          </w:p>
        </w:tc>
        <w:tc>
          <w:tcPr>
            <w:tcW w:w="851" w:type="dxa"/>
            <w:vAlign w:val="bottom"/>
          </w:tcPr>
          <w:p w14:paraId="2BF9A127" w14:textId="77777777" w:rsidR="0012790E" w:rsidRPr="0012790E" w:rsidRDefault="0012790E">
            <w:pPr>
              <w:pStyle w:val="Summarytabletextrightaligned"/>
              <w:rPr>
                <w:szCs w:val="16"/>
              </w:rPr>
            </w:pPr>
            <w:r w:rsidRPr="0012790E">
              <w:rPr>
                <w:szCs w:val="16"/>
              </w:rPr>
              <w:noBreakHyphen/>
            </w:r>
          </w:p>
        </w:tc>
      </w:tr>
      <w:tr w:rsidR="0012790E" w:rsidRPr="0012790E" w14:paraId="7615D7D6" w14:textId="77777777" w:rsidTr="54937204">
        <w:tc>
          <w:tcPr>
            <w:tcW w:w="3470" w:type="dxa"/>
            <w:shd w:val="clear" w:color="auto" w:fill="auto"/>
            <w:vAlign w:val="bottom"/>
          </w:tcPr>
          <w:p w14:paraId="264BD1FE" w14:textId="77777777" w:rsidR="0012790E" w:rsidRPr="0012790E" w:rsidRDefault="0012790E">
            <w:pPr>
              <w:pStyle w:val="SummaryMeasureTitlewithTheme"/>
            </w:pPr>
            <w:r w:rsidRPr="0012790E">
              <w:t>Update on Radioactive Waste Management</w:t>
            </w:r>
          </w:p>
        </w:tc>
        <w:tc>
          <w:tcPr>
            <w:tcW w:w="851" w:type="dxa"/>
            <w:vAlign w:val="bottom"/>
          </w:tcPr>
          <w:p w14:paraId="45C3B2FF" w14:textId="77777777" w:rsidR="0012790E" w:rsidRPr="0012790E" w:rsidRDefault="0012790E">
            <w:pPr>
              <w:pStyle w:val="Summarytabletextrightaligned"/>
              <w:rPr>
                <w:szCs w:val="16"/>
              </w:rPr>
            </w:pPr>
            <w:r w:rsidRPr="0012790E">
              <w:rPr>
                <w:szCs w:val="16"/>
              </w:rPr>
              <w:noBreakHyphen/>
              <w:t>36.4</w:t>
            </w:r>
          </w:p>
        </w:tc>
        <w:tc>
          <w:tcPr>
            <w:tcW w:w="851" w:type="dxa"/>
            <w:shd w:val="clear" w:color="auto" w:fill="E6F2FF"/>
            <w:vAlign w:val="bottom"/>
          </w:tcPr>
          <w:p w14:paraId="7FB6C38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1787C5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647158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010F864" w14:textId="77777777" w:rsidR="0012790E" w:rsidRPr="0012790E" w:rsidRDefault="0012790E">
            <w:pPr>
              <w:pStyle w:val="Summarytabletextrightaligned"/>
              <w:rPr>
                <w:szCs w:val="16"/>
              </w:rPr>
            </w:pPr>
            <w:r w:rsidRPr="0012790E">
              <w:rPr>
                <w:szCs w:val="16"/>
              </w:rPr>
              <w:t>35.4</w:t>
            </w:r>
          </w:p>
        </w:tc>
      </w:tr>
      <w:tr w:rsidR="0012790E" w:rsidRPr="0012790E" w14:paraId="667CB0D9" w14:textId="77777777" w:rsidTr="54937204">
        <w:tc>
          <w:tcPr>
            <w:tcW w:w="3470" w:type="dxa"/>
            <w:shd w:val="clear" w:color="auto" w:fill="auto"/>
            <w:vAlign w:val="bottom"/>
          </w:tcPr>
          <w:p w14:paraId="3F061FD5" w14:textId="77777777" w:rsidR="0012790E" w:rsidRPr="0012790E" w:rsidRDefault="0012790E">
            <w:pPr>
              <w:pStyle w:val="SummaryAgencyTitle-BP2"/>
              <w:rPr>
                <w:iCs/>
              </w:rPr>
            </w:pPr>
            <w:r w:rsidRPr="0012790E">
              <w:rPr>
                <w:iCs/>
              </w:rPr>
              <w:t>Geoscience Australia</w:t>
            </w:r>
          </w:p>
        </w:tc>
        <w:tc>
          <w:tcPr>
            <w:tcW w:w="851" w:type="dxa"/>
            <w:vAlign w:val="bottom"/>
          </w:tcPr>
          <w:p w14:paraId="69000837" w14:textId="77777777" w:rsidR="0012790E" w:rsidRPr="0012790E" w:rsidRDefault="0012790E">
            <w:pPr>
              <w:pStyle w:val="SummaryAgencyTitle-BP2"/>
              <w:rPr>
                <w:iCs/>
              </w:rPr>
            </w:pPr>
          </w:p>
        </w:tc>
        <w:tc>
          <w:tcPr>
            <w:tcW w:w="851" w:type="dxa"/>
            <w:shd w:val="clear" w:color="auto" w:fill="E6F2FF"/>
            <w:vAlign w:val="bottom"/>
          </w:tcPr>
          <w:p w14:paraId="41481E04" w14:textId="77777777" w:rsidR="0012790E" w:rsidRPr="0012790E" w:rsidRDefault="0012790E">
            <w:pPr>
              <w:pStyle w:val="SummaryAgencyTitle-BP2"/>
              <w:rPr>
                <w:iCs/>
              </w:rPr>
            </w:pPr>
          </w:p>
        </w:tc>
        <w:tc>
          <w:tcPr>
            <w:tcW w:w="851" w:type="dxa"/>
            <w:vAlign w:val="bottom"/>
          </w:tcPr>
          <w:p w14:paraId="06B458D9" w14:textId="77777777" w:rsidR="0012790E" w:rsidRPr="0012790E" w:rsidRDefault="0012790E">
            <w:pPr>
              <w:pStyle w:val="SummaryAgencyTitle-BP2"/>
              <w:rPr>
                <w:iCs/>
              </w:rPr>
            </w:pPr>
          </w:p>
        </w:tc>
        <w:tc>
          <w:tcPr>
            <w:tcW w:w="851" w:type="dxa"/>
            <w:vAlign w:val="bottom"/>
          </w:tcPr>
          <w:p w14:paraId="4FC124B1" w14:textId="77777777" w:rsidR="0012790E" w:rsidRPr="0012790E" w:rsidRDefault="0012790E">
            <w:pPr>
              <w:pStyle w:val="SummaryAgencyTitle-BP2"/>
              <w:rPr>
                <w:iCs/>
              </w:rPr>
            </w:pPr>
          </w:p>
        </w:tc>
        <w:tc>
          <w:tcPr>
            <w:tcW w:w="851" w:type="dxa"/>
            <w:vAlign w:val="bottom"/>
          </w:tcPr>
          <w:p w14:paraId="3FA98C6B" w14:textId="77777777" w:rsidR="0012790E" w:rsidRPr="0012790E" w:rsidRDefault="0012790E">
            <w:pPr>
              <w:pStyle w:val="SummaryAgencyTitle-BP2"/>
              <w:rPr>
                <w:iCs/>
              </w:rPr>
            </w:pPr>
          </w:p>
        </w:tc>
      </w:tr>
      <w:tr w:rsidR="0012790E" w:rsidRPr="0012790E" w14:paraId="03B4E570" w14:textId="77777777" w:rsidTr="54937204">
        <w:tc>
          <w:tcPr>
            <w:tcW w:w="3470" w:type="dxa"/>
            <w:shd w:val="clear" w:color="auto" w:fill="auto"/>
            <w:vAlign w:val="bottom"/>
          </w:tcPr>
          <w:p w14:paraId="589955B7" w14:textId="77777777" w:rsidR="0012790E" w:rsidRPr="0012790E" w:rsidRDefault="0012790E">
            <w:pPr>
              <w:pStyle w:val="SummaryMeasureTitlewithTheme"/>
            </w:pPr>
            <w:r w:rsidRPr="0012790E">
              <w:t>Future Made in Australia – Investing in Innovation, Science and Digital Capabilities(b)</w:t>
            </w:r>
          </w:p>
        </w:tc>
        <w:tc>
          <w:tcPr>
            <w:tcW w:w="851" w:type="dxa"/>
            <w:vAlign w:val="bottom"/>
          </w:tcPr>
          <w:p w14:paraId="0D7A2201" w14:textId="77777777" w:rsidR="0012790E" w:rsidRPr="0012790E" w:rsidRDefault="0012790E">
            <w:pPr>
              <w:pStyle w:val="Summarytabletextrightaligned"/>
              <w:rPr>
                <w:szCs w:val="16"/>
              </w:rPr>
            </w:pPr>
            <w:r w:rsidRPr="0012790E">
              <w:rPr>
                <w:szCs w:val="16"/>
              </w:rPr>
              <w:t>0.1</w:t>
            </w:r>
          </w:p>
        </w:tc>
        <w:tc>
          <w:tcPr>
            <w:tcW w:w="851" w:type="dxa"/>
            <w:shd w:val="clear" w:color="auto" w:fill="E6F2FF"/>
            <w:vAlign w:val="bottom"/>
          </w:tcPr>
          <w:p w14:paraId="21772FA5" w14:textId="77777777" w:rsidR="0012790E" w:rsidRPr="0012790E" w:rsidRDefault="0012790E">
            <w:pPr>
              <w:pStyle w:val="Summarytabletextrightaligned"/>
              <w:rPr>
                <w:szCs w:val="16"/>
              </w:rPr>
            </w:pPr>
            <w:r w:rsidRPr="0012790E">
              <w:rPr>
                <w:szCs w:val="16"/>
              </w:rPr>
              <w:t>68.2</w:t>
            </w:r>
          </w:p>
        </w:tc>
        <w:tc>
          <w:tcPr>
            <w:tcW w:w="851" w:type="dxa"/>
            <w:vAlign w:val="bottom"/>
          </w:tcPr>
          <w:p w14:paraId="746B9804" w14:textId="77777777" w:rsidR="0012790E" w:rsidRPr="0012790E" w:rsidRDefault="0012790E">
            <w:pPr>
              <w:pStyle w:val="Summarytabletextrightaligned"/>
              <w:rPr>
                <w:szCs w:val="16"/>
              </w:rPr>
            </w:pPr>
            <w:r w:rsidRPr="0012790E">
              <w:rPr>
                <w:szCs w:val="16"/>
              </w:rPr>
              <w:t>107.1</w:t>
            </w:r>
          </w:p>
        </w:tc>
        <w:tc>
          <w:tcPr>
            <w:tcW w:w="851" w:type="dxa"/>
            <w:vAlign w:val="bottom"/>
          </w:tcPr>
          <w:p w14:paraId="5EB3D1CE" w14:textId="77777777" w:rsidR="0012790E" w:rsidRPr="0012790E" w:rsidRDefault="0012790E">
            <w:pPr>
              <w:pStyle w:val="Summarytabletextrightaligned"/>
              <w:rPr>
                <w:szCs w:val="16"/>
              </w:rPr>
            </w:pPr>
            <w:r w:rsidRPr="0012790E">
              <w:rPr>
                <w:szCs w:val="16"/>
              </w:rPr>
              <w:t>105.5</w:t>
            </w:r>
          </w:p>
        </w:tc>
        <w:tc>
          <w:tcPr>
            <w:tcW w:w="851" w:type="dxa"/>
            <w:vAlign w:val="bottom"/>
          </w:tcPr>
          <w:p w14:paraId="3384AB85" w14:textId="77777777" w:rsidR="0012790E" w:rsidRPr="0012790E" w:rsidRDefault="0012790E">
            <w:pPr>
              <w:pStyle w:val="Summarytabletextrightaligned"/>
              <w:rPr>
                <w:szCs w:val="16"/>
              </w:rPr>
            </w:pPr>
            <w:r w:rsidRPr="0012790E">
              <w:rPr>
                <w:szCs w:val="16"/>
              </w:rPr>
              <w:t>126.9</w:t>
            </w:r>
          </w:p>
        </w:tc>
      </w:tr>
      <w:tr w:rsidR="0012790E" w:rsidRPr="0012790E" w14:paraId="38B3F275" w14:textId="77777777" w:rsidTr="54937204">
        <w:tc>
          <w:tcPr>
            <w:tcW w:w="3470" w:type="dxa"/>
            <w:shd w:val="clear" w:color="auto" w:fill="auto"/>
            <w:vAlign w:val="bottom"/>
          </w:tcPr>
          <w:p w14:paraId="4DD29E2D" w14:textId="77777777" w:rsidR="0012790E" w:rsidRPr="0012790E" w:rsidRDefault="0012790E">
            <w:pPr>
              <w:pStyle w:val="SummaryMeasureTitlewithTheme"/>
            </w:pPr>
            <w:r w:rsidRPr="0012790E">
              <w:t>Future Made in Australia – Making Australia a Renewable Energy Superpower(b)</w:t>
            </w:r>
          </w:p>
        </w:tc>
        <w:tc>
          <w:tcPr>
            <w:tcW w:w="851" w:type="dxa"/>
            <w:vAlign w:val="bottom"/>
          </w:tcPr>
          <w:p w14:paraId="240B0FC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769CAB7" w14:textId="77777777" w:rsidR="0012790E" w:rsidRPr="0012790E" w:rsidRDefault="0012790E">
            <w:pPr>
              <w:pStyle w:val="Summarytabletextrightaligned"/>
              <w:rPr>
                <w:szCs w:val="16"/>
              </w:rPr>
            </w:pPr>
            <w:r w:rsidRPr="0012790E">
              <w:rPr>
                <w:szCs w:val="16"/>
              </w:rPr>
              <w:t>7.6</w:t>
            </w:r>
          </w:p>
        </w:tc>
        <w:tc>
          <w:tcPr>
            <w:tcW w:w="851" w:type="dxa"/>
            <w:vAlign w:val="bottom"/>
          </w:tcPr>
          <w:p w14:paraId="1092C4DF" w14:textId="77777777" w:rsidR="0012790E" w:rsidRPr="0012790E" w:rsidRDefault="0012790E">
            <w:pPr>
              <w:pStyle w:val="Summarytabletextrightaligned"/>
              <w:rPr>
                <w:szCs w:val="16"/>
              </w:rPr>
            </w:pPr>
            <w:r w:rsidRPr="0012790E">
              <w:rPr>
                <w:szCs w:val="16"/>
              </w:rPr>
              <w:t>3.7</w:t>
            </w:r>
          </w:p>
        </w:tc>
        <w:tc>
          <w:tcPr>
            <w:tcW w:w="851" w:type="dxa"/>
            <w:vAlign w:val="bottom"/>
          </w:tcPr>
          <w:p w14:paraId="6997522F" w14:textId="77777777" w:rsidR="0012790E" w:rsidRPr="0012790E" w:rsidRDefault="0012790E">
            <w:pPr>
              <w:pStyle w:val="Summarytabletextrightaligned"/>
              <w:rPr>
                <w:szCs w:val="16"/>
              </w:rPr>
            </w:pPr>
            <w:r w:rsidRPr="0012790E">
              <w:rPr>
                <w:szCs w:val="16"/>
              </w:rPr>
              <w:t>5.3</w:t>
            </w:r>
          </w:p>
        </w:tc>
        <w:tc>
          <w:tcPr>
            <w:tcW w:w="851" w:type="dxa"/>
            <w:vAlign w:val="bottom"/>
          </w:tcPr>
          <w:p w14:paraId="6D38D799" w14:textId="77777777" w:rsidR="0012790E" w:rsidRPr="0012790E" w:rsidRDefault="0012790E">
            <w:pPr>
              <w:pStyle w:val="Summarytabletextrightaligned"/>
              <w:rPr>
                <w:szCs w:val="16"/>
              </w:rPr>
            </w:pPr>
            <w:r w:rsidRPr="0012790E">
              <w:rPr>
                <w:szCs w:val="16"/>
              </w:rPr>
              <w:noBreakHyphen/>
            </w:r>
          </w:p>
        </w:tc>
      </w:tr>
      <w:tr w:rsidR="0012790E" w:rsidRPr="0012790E" w14:paraId="3FC341D6" w14:textId="77777777" w:rsidTr="54937204">
        <w:tc>
          <w:tcPr>
            <w:tcW w:w="3470" w:type="dxa"/>
            <w:shd w:val="clear" w:color="auto" w:fill="auto"/>
            <w:vAlign w:val="bottom"/>
          </w:tcPr>
          <w:p w14:paraId="6A693F4E" w14:textId="77777777" w:rsidR="0012790E" w:rsidRPr="0012790E" w:rsidRDefault="0012790E">
            <w:pPr>
              <w:pStyle w:val="SummaryAgencyTitle-BP2"/>
              <w:rPr>
                <w:iCs/>
              </w:rPr>
            </w:pPr>
            <w:r w:rsidRPr="0012790E">
              <w:rPr>
                <w:iCs/>
              </w:rPr>
              <w:t>National Offshore Petroleum Safety and Environmental Management Authority</w:t>
            </w:r>
          </w:p>
        </w:tc>
        <w:tc>
          <w:tcPr>
            <w:tcW w:w="851" w:type="dxa"/>
            <w:vAlign w:val="bottom"/>
          </w:tcPr>
          <w:p w14:paraId="62AE7424" w14:textId="77777777" w:rsidR="0012790E" w:rsidRPr="0012790E" w:rsidRDefault="0012790E">
            <w:pPr>
              <w:pStyle w:val="SummaryAgencyTitle-BP2"/>
              <w:rPr>
                <w:iCs/>
              </w:rPr>
            </w:pPr>
          </w:p>
        </w:tc>
        <w:tc>
          <w:tcPr>
            <w:tcW w:w="851" w:type="dxa"/>
            <w:shd w:val="clear" w:color="auto" w:fill="E6F2FF"/>
            <w:vAlign w:val="bottom"/>
          </w:tcPr>
          <w:p w14:paraId="59AA7CFE" w14:textId="77777777" w:rsidR="0012790E" w:rsidRPr="0012790E" w:rsidRDefault="0012790E">
            <w:pPr>
              <w:pStyle w:val="SummaryAgencyTitle-BP2"/>
              <w:rPr>
                <w:iCs/>
              </w:rPr>
            </w:pPr>
          </w:p>
        </w:tc>
        <w:tc>
          <w:tcPr>
            <w:tcW w:w="851" w:type="dxa"/>
            <w:vAlign w:val="bottom"/>
          </w:tcPr>
          <w:p w14:paraId="7C89F609" w14:textId="77777777" w:rsidR="0012790E" w:rsidRPr="0012790E" w:rsidRDefault="0012790E">
            <w:pPr>
              <w:pStyle w:val="SummaryAgencyTitle-BP2"/>
              <w:rPr>
                <w:iCs/>
              </w:rPr>
            </w:pPr>
          </w:p>
        </w:tc>
        <w:tc>
          <w:tcPr>
            <w:tcW w:w="851" w:type="dxa"/>
            <w:vAlign w:val="bottom"/>
          </w:tcPr>
          <w:p w14:paraId="53B0A856" w14:textId="77777777" w:rsidR="0012790E" w:rsidRPr="0012790E" w:rsidRDefault="0012790E">
            <w:pPr>
              <w:pStyle w:val="SummaryAgencyTitle-BP2"/>
              <w:rPr>
                <w:iCs/>
              </w:rPr>
            </w:pPr>
          </w:p>
        </w:tc>
        <w:tc>
          <w:tcPr>
            <w:tcW w:w="851" w:type="dxa"/>
            <w:vAlign w:val="bottom"/>
          </w:tcPr>
          <w:p w14:paraId="3B36C8D4" w14:textId="77777777" w:rsidR="0012790E" w:rsidRPr="0012790E" w:rsidRDefault="0012790E">
            <w:pPr>
              <w:pStyle w:val="SummaryAgencyTitle-BP2"/>
              <w:rPr>
                <w:iCs/>
              </w:rPr>
            </w:pPr>
          </w:p>
        </w:tc>
      </w:tr>
      <w:tr w:rsidR="0012790E" w:rsidRPr="0012790E" w14:paraId="33385086" w14:textId="77777777" w:rsidTr="54937204">
        <w:tc>
          <w:tcPr>
            <w:tcW w:w="3470" w:type="dxa"/>
            <w:tcBorders>
              <w:bottom w:val="single" w:sz="4" w:space="0" w:color="293F5B"/>
            </w:tcBorders>
            <w:shd w:val="clear" w:color="auto" w:fill="auto"/>
            <w:vAlign w:val="bottom"/>
          </w:tcPr>
          <w:p w14:paraId="40C179E5" w14:textId="77777777" w:rsidR="0012790E" w:rsidRPr="0012790E" w:rsidRDefault="0012790E">
            <w:pPr>
              <w:pStyle w:val="SummaryMeasureTitlewithTheme"/>
            </w:pPr>
            <w:r w:rsidRPr="0012790E">
              <w:t>Supporting Safety and Responsible Decommissioning in the Offshore Resources Sector</w:t>
            </w:r>
          </w:p>
        </w:tc>
        <w:tc>
          <w:tcPr>
            <w:tcW w:w="851" w:type="dxa"/>
            <w:tcBorders>
              <w:bottom w:val="single" w:sz="4" w:space="0" w:color="293F5B"/>
            </w:tcBorders>
            <w:vAlign w:val="bottom"/>
          </w:tcPr>
          <w:p w14:paraId="596E2726"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71E0B84A" w14:textId="77777777" w:rsidR="0012790E" w:rsidRPr="0012790E" w:rsidRDefault="0012790E">
            <w:pPr>
              <w:pStyle w:val="Summarytabletextrightaligned"/>
              <w:rPr>
                <w:szCs w:val="16"/>
              </w:rPr>
            </w:pPr>
            <w:r w:rsidRPr="0012790E">
              <w:rPr>
                <w:szCs w:val="16"/>
              </w:rPr>
              <w:t>20.0</w:t>
            </w:r>
          </w:p>
        </w:tc>
        <w:tc>
          <w:tcPr>
            <w:tcW w:w="851" w:type="dxa"/>
            <w:tcBorders>
              <w:bottom w:val="single" w:sz="4" w:space="0" w:color="293F5B"/>
            </w:tcBorders>
            <w:vAlign w:val="bottom"/>
          </w:tcPr>
          <w:p w14:paraId="550AE6C4"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1E43DF06"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2CCF9949" w14:textId="77777777" w:rsidR="0012790E" w:rsidRPr="0012790E" w:rsidRDefault="0012790E">
            <w:pPr>
              <w:pStyle w:val="Summarytabletextrightaligned"/>
              <w:rPr>
                <w:szCs w:val="16"/>
              </w:rPr>
            </w:pPr>
            <w:r w:rsidRPr="0012790E">
              <w:rPr>
                <w:szCs w:val="16"/>
              </w:rPr>
              <w:noBreakHyphen/>
            </w:r>
          </w:p>
        </w:tc>
      </w:tr>
    </w:tbl>
    <w:p w14:paraId="1275F7B4" w14:textId="77777777" w:rsidR="0012790E" w:rsidRPr="0012790E" w:rsidRDefault="0012790E" w:rsidP="0012790E">
      <w:pPr>
        <w:pStyle w:val="TableHeadingcontinued"/>
        <w:sectPr w:rsidR="0012790E" w:rsidRPr="0012790E" w:rsidSect="00EA5BFE">
          <w:headerReference w:type="even" r:id="rId81"/>
          <w:headerReference w:type="default" r:id="rId82"/>
          <w:footerReference w:type="even" r:id="rId83"/>
          <w:footerReference w:type="default" r:id="rId84"/>
          <w:footerReference w:type="first" r:id="rId85"/>
          <w:pgSz w:w="11905" w:h="16837"/>
          <w:pgMar w:top="2835" w:right="2098" w:bottom="2466" w:left="2098" w:header="1814" w:footer="1814" w:gutter="0"/>
          <w:cols w:space="720"/>
          <w:noEndnote/>
          <w:docGrid w:linePitch="272"/>
        </w:sectPr>
      </w:pPr>
    </w:p>
    <w:p w14:paraId="4A85962A" w14:textId="77777777" w:rsidR="0012790E" w:rsidRPr="0012790E" w:rsidRDefault="0012790E" w:rsidP="0012790E">
      <w:pPr>
        <w:pStyle w:val="TableHeadingcontinued"/>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52650C57" w14:textId="77777777" w:rsidTr="54937204">
        <w:tc>
          <w:tcPr>
            <w:tcW w:w="3470" w:type="dxa"/>
            <w:tcBorders>
              <w:top w:val="single" w:sz="4" w:space="0" w:color="293F5B"/>
            </w:tcBorders>
            <w:shd w:val="clear" w:color="auto" w:fill="auto"/>
            <w:vAlign w:val="bottom"/>
          </w:tcPr>
          <w:p w14:paraId="01DEAEF1"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56E9F352"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68286B3A"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71A68A20"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1D0DE9B5"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39CB96CD"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3A04670B" w14:textId="77777777" w:rsidTr="54937204">
        <w:tc>
          <w:tcPr>
            <w:tcW w:w="3470" w:type="dxa"/>
            <w:shd w:val="clear" w:color="auto" w:fill="auto"/>
            <w:vAlign w:val="bottom"/>
          </w:tcPr>
          <w:p w14:paraId="09974598" w14:textId="77777777" w:rsidR="0012790E" w:rsidRPr="0012790E" w:rsidRDefault="0012790E">
            <w:pPr>
              <w:pStyle w:val="Summarytabletextrightaligned"/>
            </w:pPr>
          </w:p>
        </w:tc>
        <w:tc>
          <w:tcPr>
            <w:tcW w:w="851" w:type="dxa"/>
            <w:tcBorders>
              <w:bottom w:val="single" w:sz="4" w:space="0" w:color="293F5B"/>
            </w:tcBorders>
            <w:vAlign w:val="bottom"/>
          </w:tcPr>
          <w:p w14:paraId="0B557F7C"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6A08726A"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611A3974"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461AF507"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1336D7E0" w14:textId="77777777" w:rsidR="0012790E" w:rsidRPr="0012790E" w:rsidRDefault="0012790E">
            <w:pPr>
              <w:pStyle w:val="Summarytabletextrightaligned"/>
            </w:pPr>
            <w:r w:rsidRPr="0012790E">
              <w:t>$m</w:t>
            </w:r>
          </w:p>
        </w:tc>
      </w:tr>
      <w:tr w:rsidR="0012790E" w:rsidRPr="0012790E" w14:paraId="72C128FB" w14:textId="77777777" w:rsidTr="54937204">
        <w:tc>
          <w:tcPr>
            <w:tcW w:w="3470" w:type="dxa"/>
            <w:shd w:val="clear" w:color="auto" w:fill="auto"/>
            <w:vAlign w:val="bottom"/>
          </w:tcPr>
          <w:p w14:paraId="55F1F373" w14:textId="77777777" w:rsidR="0012790E" w:rsidRPr="0012790E" w:rsidRDefault="0012790E" w:rsidP="000D3386">
            <w:pPr>
              <w:pStyle w:val="SummaryAgencyTitle-BP2"/>
              <w:ind w:left="0" w:firstLine="0"/>
              <w:rPr>
                <w:b/>
                <w:i w:val="0"/>
                <w:iCs/>
              </w:rPr>
            </w:pPr>
            <w:r w:rsidRPr="0012790E">
              <w:rPr>
                <w:b/>
                <w:i w:val="0"/>
                <w:iCs/>
              </w:rPr>
              <w:t>INDUSTRY, SCIENCE AND RESOURCES (continued)</w:t>
            </w:r>
          </w:p>
        </w:tc>
        <w:tc>
          <w:tcPr>
            <w:tcW w:w="851" w:type="dxa"/>
            <w:vAlign w:val="bottom"/>
          </w:tcPr>
          <w:p w14:paraId="3E15768B" w14:textId="77777777" w:rsidR="0012790E" w:rsidRPr="0012790E" w:rsidRDefault="0012790E">
            <w:pPr>
              <w:pStyle w:val="SummaryAgencyTitle-BP2"/>
              <w:rPr>
                <w:iCs/>
              </w:rPr>
            </w:pPr>
          </w:p>
        </w:tc>
        <w:tc>
          <w:tcPr>
            <w:tcW w:w="851" w:type="dxa"/>
            <w:shd w:val="clear" w:color="auto" w:fill="E6F2FF"/>
            <w:vAlign w:val="bottom"/>
          </w:tcPr>
          <w:p w14:paraId="58717E53" w14:textId="77777777" w:rsidR="0012790E" w:rsidRPr="0012790E" w:rsidRDefault="0012790E">
            <w:pPr>
              <w:pStyle w:val="SummaryAgencyTitle-BP2"/>
              <w:rPr>
                <w:iCs/>
              </w:rPr>
            </w:pPr>
          </w:p>
        </w:tc>
        <w:tc>
          <w:tcPr>
            <w:tcW w:w="851" w:type="dxa"/>
            <w:vAlign w:val="bottom"/>
          </w:tcPr>
          <w:p w14:paraId="1508091A" w14:textId="77777777" w:rsidR="0012790E" w:rsidRPr="0012790E" w:rsidRDefault="0012790E">
            <w:pPr>
              <w:pStyle w:val="SummaryAgencyTitle-BP2"/>
              <w:rPr>
                <w:iCs/>
              </w:rPr>
            </w:pPr>
          </w:p>
        </w:tc>
        <w:tc>
          <w:tcPr>
            <w:tcW w:w="851" w:type="dxa"/>
            <w:vAlign w:val="bottom"/>
          </w:tcPr>
          <w:p w14:paraId="7051E0D7" w14:textId="77777777" w:rsidR="0012790E" w:rsidRPr="0012790E" w:rsidRDefault="0012790E">
            <w:pPr>
              <w:pStyle w:val="SummaryAgencyTitle-BP2"/>
              <w:rPr>
                <w:iCs/>
              </w:rPr>
            </w:pPr>
          </w:p>
        </w:tc>
        <w:tc>
          <w:tcPr>
            <w:tcW w:w="851" w:type="dxa"/>
            <w:vAlign w:val="bottom"/>
          </w:tcPr>
          <w:p w14:paraId="102B935E" w14:textId="77777777" w:rsidR="0012790E" w:rsidRPr="0012790E" w:rsidRDefault="0012790E">
            <w:pPr>
              <w:pStyle w:val="SummaryAgencyTitle-BP2"/>
              <w:rPr>
                <w:iCs/>
              </w:rPr>
            </w:pPr>
          </w:p>
        </w:tc>
      </w:tr>
      <w:tr w:rsidR="0012790E" w:rsidRPr="0012790E" w14:paraId="702C7BBE" w14:textId="77777777" w:rsidTr="54937204">
        <w:tc>
          <w:tcPr>
            <w:tcW w:w="3470" w:type="dxa"/>
            <w:shd w:val="clear" w:color="auto" w:fill="auto"/>
            <w:vAlign w:val="bottom"/>
          </w:tcPr>
          <w:p w14:paraId="774E08FC" w14:textId="77777777" w:rsidR="0012790E" w:rsidRPr="0012790E" w:rsidRDefault="0012790E">
            <w:pPr>
              <w:pStyle w:val="SummaryAgencyTitle-BP2"/>
              <w:rPr>
                <w:iCs/>
              </w:rPr>
            </w:pPr>
            <w:r w:rsidRPr="0012790E">
              <w:rPr>
                <w:iCs/>
              </w:rPr>
              <w:t>National Reconstruction Fund Corporation</w:t>
            </w:r>
          </w:p>
        </w:tc>
        <w:tc>
          <w:tcPr>
            <w:tcW w:w="851" w:type="dxa"/>
            <w:vAlign w:val="bottom"/>
          </w:tcPr>
          <w:p w14:paraId="07BBA9A8" w14:textId="77777777" w:rsidR="0012790E" w:rsidRPr="0012790E" w:rsidRDefault="0012790E">
            <w:pPr>
              <w:pStyle w:val="SummaryAgencyTitle-BP2"/>
              <w:rPr>
                <w:iCs/>
              </w:rPr>
            </w:pPr>
          </w:p>
        </w:tc>
        <w:tc>
          <w:tcPr>
            <w:tcW w:w="851" w:type="dxa"/>
            <w:shd w:val="clear" w:color="auto" w:fill="E6F2FF"/>
            <w:vAlign w:val="bottom"/>
          </w:tcPr>
          <w:p w14:paraId="45683A1E" w14:textId="77777777" w:rsidR="0012790E" w:rsidRPr="0012790E" w:rsidRDefault="0012790E">
            <w:pPr>
              <w:pStyle w:val="SummaryAgencyTitle-BP2"/>
              <w:rPr>
                <w:iCs/>
              </w:rPr>
            </w:pPr>
          </w:p>
        </w:tc>
        <w:tc>
          <w:tcPr>
            <w:tcW w:w="851" w:type="dxa"/>
            <w:vAlign w:val="bottom"/>
          </w:tcPr>
          <w:p w14:paraId="4A8A718E" w14:textId="77777777" w:rsidR="0012790E" w:rsidRPr="0012790E" w:rsidRDefault="0012790E">
            <w:pPr>
              <w:pStyle w:val="SummaryAgencyTitle-BP2"/>
              <w:rPr>
                <w:iCs/>
              </w:rPr>
            </w:pPr>
          </w:p>
        </w:tc>
        <w:tc>
          <w:tcPr>
            <w:tcW w:w="851" w:type="dxa"/>
            <w:vAlign w:val="bottom"/>
          </w:tcPr>
          <w:p w14:paraId="3C333A90" w14:textId="77777777" w:rsidR="0012790E" w:rsidRPr="0012790E" w:rsidRDefault="0012790E">
            <w:pPr>
              <w:pStyle w:val="SummaryAgencyTitle-BP2"/>
              <w:rPr>
                <w:iCs/>
              </w:rPr>
            </w:pPr>
          </w:p>
        </w:tc>
        <w:tc>
          <w:tcPr>
            <w:tcW w:w="851" w:type="dxa"/>
            <w:vAlign w:val="bottom"/>
          </w:tcPr>
          <w:p w14:paraId="145A8852" w14:textId="77777777" w:rsidR="0012790E" w:rsidRPr="0012790E" w:rsidRDefault="0012790E">
            <w:pPr>
              <w:pStyle w:val="SummaryAgencyTitle-BP2"/>
              <w:rPr>
                <w:iCs/>
              </w:rPr>
            </w:pPr>
          </w:p>
        </w:tc>
      </w:tr>
      <w:tr w:rsidR="0012790E" w:rsidRPr="0012790E" w14:paraId="54A07A19" w14:textId="77777777" w:rsidTr="54937204">
        <w:tc>
          <w:tcPr>
            <w:tcW w:w="3470" w:type="dxa"/>
            <w:shd w:val="clear" w:color="auto" w:fill="auto"/>
            <w:vAlign w:val="bottom"/>
          </w:tcPr>
          <w:p w14:paraId="75940C93" w14:textId="77777777" w:rsidR="0012790E" w:rsidRPr="0012790E" w:rsidRDefault="0012790E">
            <w:pPr>
              <w:pStyle w:val="SummaryMeasureTitlewithTheme"/>
            </w:pPr>
            <w:r w:rsidRPr="0012790E">
              <w:t>Future Made in Australia – Investing in Innovation, Science and Digital Capabilities(b)</w:t>
            </w:r>
          </w:p>
        </w:tc>
        <w:tc>
          <w:tcPr>
            <w:tcW w:w="851" w:type="dxa"/>
            <w:vAlign w:val="bottom"/>
          </w:tcPr>
          <w:p w14:paraId="4BB35A9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AA81293" w14:textId="77777777" w:rsidR="0012790E" w:rsidRPr="0012790E" w:rsidRDefault="0012790E">
            <w:pPr>
              <w:pStyle w:val="Summarytabletextrightaligned"/>
              <w:rPr>
                <w:szCs w:val="16"/>
              </w:rPr>
            </w:pPr>
            <w:r w:rsidRPr="0012790E">
              <w:rPr>
                <w:szCs w:val="16"/>
              </w:rPr>
              <w:noBreakHyphen/>
              <w:t>12.7</w:t>
            </w:r>
          </w:p>
        </w:tc>
        <w:tc>
          <w:tcPr>
            <w:tcW w:w="851" w:type="dxa"/>
            <w:vAlign w:val="bottom"/>
          </w:tcPr>
          <w:p w14:paraId="5CDD6D90" w14:textId="77777777" w:rsidR="0012790E" w:rsidRPr="0012790E" w:rsidRDefault="0012790E">
            <w:pPr>
              <w:pStyle w:val="Summarytabletextrightaligned"/>
              <w:rPr>
                <w:szCs w:val="16"/>
              </w:rPr>
            </w:pPr>
            <w:r w:rsidRPr="0012790E">
              <w:rPr>
                <w:szCs w:val="16"/>
              </w:rPr>
              <w:noBreakHyphen/>
              <w:t>0.9</w:t>
            </w:r>
          </w:p>
        </w:tc>
        <w:tc>
          <w:tcPr>
            <w:tcW w:w="851" w:type="dxa"/>
            <w:vAlign w:val="bottom"/>
          </w:tcPr>
          <w:p w14:paraId="35C1173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BA3592A" w14:textId="77777777" w:rsidR="0012790E" w:rsidRPr="0012790E" w:rsidRDefault="0012790E">
            <w:pPr>
              <w:pStyle w:val="Summarytabletextrightaligned"/>
              <w:rPr>
                <w:szCs w:val="16"/>
              </w:rPr>
            </w:pPr>
            <w:r w:rsidRPr="0012790E">
              <w:rPr>
                <w:szCs w:val="16"/>
              </w:rPr>
              <w:noBreakHyphen/>
            </w:r>
          </w:p>
        </w:tc>
      </w:tr>
      <w:tr w:rsidR="0012790E" w:rsidRPr="0012790E" w14:paraId="5E4DA832" w14:textId="77777777" w:rsidTr="54937204">
        <w:tc>
          <w:tcPr>
            <w:tcW w:w="3470" w:type="dxa"/>
            <w:shd w:val="clear" w:color="auto" w:fill="auto"/>
            <w:vAlign w:val="bottom"/>
          </w:tcPr>
          <w:p w14:paraId="2B78E2C1" w14:textId="77777777" w:rsidR="0012790E" w:rsidRPr="0012790E" w:rsidRDefault="0012790E">
            <w:pPr>
              <w:pStyle w:val="SummaryMeasureTitlewithTheme"/>
            </w:pPr>
            <w:r w:rsidRPr="0012790E">
              <w:t>Investing in the Future of Industry and Science</w:t>
            </w:r>
          </w:p>
        </w:tc>
        <w:tc>
          <w:tcPr>
            <w:tcW w:w="851" w:type="dxa"/>
            <w:tcBorders>
              <w:bottom w:val="single" w:sz="4" w:space="0" w:color="293F5B"/>
            </w:tcBorders>
            <w:vAlign w:val="bottom"/>
          </w:tcPr>
          <w:p w14:paraId="579FDF80"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2B4E2617"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70180C1B"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65955A26"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2DB044D7" w14:textId="77777777" w:rsidR="0012790E" w:rsidRPr="0012790E" w:rsidRDefault="0012790E">
            <w:pPr>
              <w:pStyle w:val="Summarytabletextrightaligned"/>
              <w:rPr>
                <w:szCs w:val="16"/>
              </w:rPr>
            </w:pPr>
            <w:r w:rsidRPr="0012790E">
              <w:rPr>
                <w:szCs w:val="16"/>
              </w:rPr>
              <w:noBreakHyphen/>
            </w:r>
          </w:p>
        </w:tc>
      </w:tr>
      <w:tr w:rsidR="00193FC5" w:rsidRPr="0012790E" w14:paraId="6A17EDC8" w14:textId="77777777" w:rsidTr="54937204">
        <w:tc>
          <w:tcPr>
            <w:tcW w:w="3470" w:type="dxa"/>
            <w:shd w:val="clear" w:color="auto" w:fill="auto"/>
            <w:vAlign w:val="bottom"/>
          </w:tcPr>
          <w:p w14:paraId="643A79ED" w14:textId="77777777" w:rsidR="00193FC5" w:rsidRPr="0012790E" w:rsidRDefault="00193FC5" w:rsidP="00193FC5">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32646B4A" w14:textId="13C0CBCA" w:rsidR="00193FC5" w:rsidRPr="00193FC5" w:rsidRDefault="00C9074A" w:rsidP="00193FC5">
            <w:pPr>
              <w:pStyle w:val="Summarytabletextrightalignedbold"/>
              <w:rPr>
                <w:bCs/>
                <w:szCs w:val="16"/>
              </w:rPr>
            </w:pPr>
            <w:r>
              <w:rPr>
                <w:bCs/>
                <w:szCs w:val="16"/>
              </w:rPr>
              <w:t>-</w:t>
            </w:r>
            <w:r w:rsidR="00EC7151">
              <w:rPr>
                <w:bCs/>
                <w:szCs w:val="16"/>
              </w:rPr>
              <w:t>64.8</w:t>
            </w:r>
          </w:p>
        </w:tc>
        <w:tc>
          <w:tcPr>
            <w:tcW w:w="851" w:type="dxa"/>
            <w:tcBorders>
              <w:top w:val="single" w:sz="4" w:space="0" w:color="293F5B"/>
              <w:bottom w:val="single" w:sz="4" w:space="0" w:color="293F5B"/>
            </w:tcBorders>
            <w:shd w:val="clear" w:color="auto" w:fill="E6F2FF"/>
            <w:vAlign w:val="bottom"/>
          </w:tcPr>
          <w:p w14:paraId="5174C8D4" w14:textId="28C9BA4D" w:rsidR="00193FC5" w:rsidRPr="00193FC5" w:rsidRDefault="00C9074A" w:rsidP="00193FC5">
            <w:pPr>
              <w:pStyle w:val="Summarytabletextrightalignedbold"/>
              <w:rPr>
                <w:bCs/>
                <w:szCs w:val="16"/>
              </w:rPr>
            </w:pPr>
            <w:r>
              <w:rPr>
                <w:bCs/>
                <w:szCs w:val="16"/>
              </w:rPr>
              <w:t>158.8</w:t>
            </w:r>
          </w:p>
        </w:tc>
        <w:tc>
          <w:tcPr>
            <w:tcW w:w="851" w:type="dxa"/>
            <w:tcBorders>
              <w:top w:val="single" w:sz="4" w:space="0" w:color="293F5B"/>
              <w:bottom w:val="single" w:sz="4" w:space="0" w:color="293F5B"/>
            </w:tcBorders>
            <w:vAlign w:val="bottom"/>
          </w:tcPr>
          <w:p w14:paraId="084949C8" w14:textId="5DFCDCEF" w:rsidR="00193FC5" w:rsidRPr="00193FC5" w:rsidRDefault="00C9074A" w:rsidP="00193FC5">
            <w:pPr>
              <w:pStyle w:val="Summarytabletextrightalignedbold"/>
              <w:rPr>
                <w:bCs/>
                <w:szCs w:val="16"/>
              </w:rPr>
            </w:pPr>
            <w:r>
              <w:rPr>
                <w:bCs/>
                <w:szCs w:val="16"/>
              </w:rPr>
              <w:t>166.7</w:t>
            </w:r>
          </w:p>
        </w:tc>
        <w:tc>
          <w:tcPr>
            <w:tcW w:w="851" w:type="dxa"/>
            <w:tcBorders>
              <w:top w:val="single" w:sz="4" w:space="0" w:color="293F5B"/>
              <w:bottom w:val="single" w:sz="4" w:space="0" w:color="293F5B"/>
            </w:tcBorders>
            <w:vAlign w:val="bottom"/>
          </w:tcPr>
          <w:p w14:paraId="7EA02C2F" w14:textId="48B4A92C" w:rsidR="00193FC5" w:rsidRPr="00193FC5" w:rsidRDefault="00C9074A" w:rsidP="00193FC5">
            <w:pPr>
              <w:pStyle w:val="Summarytabletextrightalignedbold"/>
              <w:rPr>
                <w:bCs/>
                <w:szCs w:val="16"/>
              </w:rPr>
            </w:pPr>
            <w:r>
              <w:rPr>
                <w:bCs/>
                <w:szCs w:val="16"/>
              </w:rPr>
              <w:t>123.5</w:t>
            </w:r>
          </w:p>
        </w:tc>
        <w:tc>
          <w:tcPr>
            <w:tcW w:w="851" w:type="dxa"/>
            <w:tcBorders>
              <w:top w:val="single" w:sz="4" w:space="0" w:color="293F5B"/>
              <w:bottom w:val="single" w:sz="4" w:space="0" w:color="293F5B"/>
            </w:tcBorders>
            <w:vAlign w:val="bottom"/>
          </w:tcPr>
          <w:p w14:paraId="61CBFF8F" w14:textId="55CAC97C" w:rsidR="00193FC5" w:rsidRPr="00193FC5" w:rsidRDefault="00C9074A" w:rsidP="00193FC5">
            <w:pPr>
              <w:pStyle w:val="Summarytabletextrightalignedbold"/>
              <w:rPr>
                <w:bCs/>
                <w:szCs w:val="16"/>
              </w:rPr>
            </w:pPr>
            <w:r>
              <w:rPr>
                <w:bCs/>
                <w:szCs w:val="16"/>
              </w:rPr>
              <w:t>181.6</w:t>
            </w:r>
          </w:p>
        </w:tc>
      </w:tr>
      <w:tr w:rsidR="0012790E" w:rsidRPr="0012790E" w14:paraId="68CDCAE6" w14:textId="77777777" w:rsidTr="54937204">
        <w:tc>
          <w:tcPr>
            <w:tcW w:w="3470" w:type="dxa"/>
            <w:shd w:val="clear" w:color="auto" w:fill="auto"/>
            <w:vAlign w:val="bottom"/>
          </w:tcPr>
          <w:p w14:paraId="330A13E2" w14:textId="77777777" w:rsidR="0012790E" w:rsidRPr="0012790E" w:rsidRDefault="0012790E">
            <w:pPr>
              <w:pStyle w:val="SummaryPortfolioTitle-BP2"/>
            </w:pPr>
            <w:r w:rsidRPr="0012790E">
              <w:t>INFRASTRUCTURE, TRANSPORT, REGIONAL DEVELOPMENT, COMMUNICATIONS AND THE ARTS</w:t>
            </w:r>
          </w:p>
        </w:tc>
        <w:tc>
          <w:tcPr>
            <w:tcW w:w="851" w:type="dxa"/>
            <w:tcBorders>
              <w:top w:val="single" w:sz="4" w:space="0" w:color="293F5B"/>
            </w:tcBorders>
            <w:vAlign w:val="bottom"/>
          </w:tcPr>
          <w:p w14:paraId="24A9931B" w14:textId="77777777" w:rsidR="0012790E" w:rsidRPr="0012790E" w:rsidRDefault="0012790E">
            <w:pPr>
              <w:pStyle w:val="MeasureTableTextRightAlignedBefore6ptAfter1pt"/>
              <w:rPr>
                <w:b/>
                <w:bCs/>
              </w:rPr>
            </w:pPr>
          </w:p>
        </w:tc>
        <w:tc>
          <w:tcPr>
            <w:tcW w:w="851" w:type="dxa"/>
            <w:tcBorders>
              <w:top w:val="single" w:sz="4" w:space="0" w:color="293F5B"/>
            </w:tcBorders>
            <w:shd w:val="clear" w:color="auto" w:fill="E6F2FF"/>
            <w:vAlign w:val="bottom"/>
          </w:tcPr>
          <w:p w14:paraId="187D29A9"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14B3EA60"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55331E45"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251D1C27" w14:textId="77777777" w:rsidR="0012790E" w:rsidRPr="0012790E" w:rsidRDefault="0012790E">
            <w:pPr>
              <w:pStyle w:val="MeasureTableTextRightAlignedBefore6ptAfter1pt"/>
              <w:rPr>
                <w:b/>
                <w:bCs/>
              </w:rPr>
            </w:pPr>
          </w:p>
        </w:tc>
      </w:tr>
      <w:tr w:rsidR="0012790E" w:rsidRPr="0012790E" w14:paraId="0F778AAE" w14:textId="77777777" w:rsidTr="54937204">
        <w:tc>
          <w:tcPr>
            <w:tcW w:w="3470" w:type="dxa"/>
            <w:shd w:val="clear" w:color="auto" w:fill="auto"/>
            <w:vAlign w:val="bottom"/>
          </w:tcPr>
          <w:p w14:paraId="39EDC561" w14:textId="77777777" w:rsidR="0012790E" w:rsidRPr="0012790E" w:rsidRDefault="0012790E">
            <w:pPr>
              <w:pStyle w:val="SummaryAgencyTitle-BP2"/>
              <w:rPr>
                <w:iCs/>
              </w:rPr>
            </w:pPr>
            <w:r w:rsidRPr="0012790E">
              <w:rPr>
                <w:iCs/>
              </w:rPr>
              <w:t>Australian Communications and Media Authority</w:t>
            </w:r>
          </w:p>
        </w:tc>
        <w:tc>
          <w:tcPr>
            <w:tcW w:w="851" w:type="dxa"/>
            <w:vAlign w:val="bottom"/>
          </w:tcPr>
          <w:p w14:paraId="71B9DC53" w14:textId="77777777" w:rsidR="0012790E" w:rsidRPr="0012790E" w:rsidRDefault="0012790E">
            <w:pPr>
              <w:pStyle w:val="SummaryAgencyTitle-BP2"/>
              <w:rPr>
                <w:iCs/>
              </w:rPr>
            </w:pPr>
          </w:p>
        </w:tc>
        <w:tc>
          <w:tcPr>
            <w:tcW w:w="851" w:type="dxa"/>
            <w:shd w:val="clear" w:color="auto" w:fill="E6F2FF"/>
            <w:vAlign w:val="bottom"/>
          </w:tcPr>
          <w:p w14:paraId="02463DF0" w14:textId="77777777" w:rsidR="0012790E" w:rsidRPr="0012790E" w:rsidRDefault="0012790E">
            <w:pPr>
              <w:pStyle w:val="SummaryAgencyTitle-BP2"/>
              <w:rPr>
                <w:iCs/>
              </w:rPr>
            </w:pPr>
          </w:p>
        </w:tc>
        <w:tc>
          <w:tcPr>
            <w:tcW w:w="851" w:type="dxa"/>
            <w:vAlign w:val="bottom"/>
          </w:tcPr>
          <w:p w14:paraId="5BC2D54F" w14:textId="77777777" w:rsidR="0012790E" w:rsidRPr="0012790E" w:rsidRDefault="0012790E">
            <w:pPr>
              <w:pStyle w:val="SummaryAgencyTitle-BP2"/>
              <w:rPr>
                <w:iCs/>
              </w:rPr>
            </w:pPr>
          </w:p>
        </w:tc>
        <w:tc>
          <w:tcPr>
            <w:tcW w:w="851" w:type="dxa"/>
            <w:vAlign w:val="bottom"/>
          </w:tcPr>
          <w:p w14:paraId="5C7E2F96" w14:textId="77777777" w:rsidR="0012790E" w:rsidRPr="0012790E" w:rsidRDefault="0012790E">
            <w:pPr>
              <w:pStyle w:val="SummaryAgencyTitle-BP2"/>
              <w:rPr>
                <w:iCs/>
              </w:rPr>
            </w:pPr>
          </w:p>
        </w:tc>
        <w:tc>
          <w:tcPr>
            <w:tcW w:w="851" w:type="dxa"/>
            <w:vAlign w:val="bottom"/>
          </w:tcPr>
          <w:p w14:paraId="6FF46FF2" w14:textId="77777777" w:rsidR="0012790E" w:rsidRPr="0012790E" w:rsidRDefault="0012790E">
            <w:pPr>
              <w:pStyle w:val="SummaryAgencyTitle-BP2"/>
              <w:rPr>
                <w:iCs/>
              </w:rPr>
            </w:pPr>
          </w:p>
        </w:tc>
      </w:tr>
      <w:tr w:rsidR="0012790E" w:rsidRPr="0012790E" w14:paraId="324C73CA" w14:textId="77777777" w:rsidTr="54937204">
        <w:tc>
          <w:tcPr>
            <w:tcW w:w="3470" w:type="dxa"/>
            <w:shd w:val="clear" w:color="auto" w:fill="auto"/>
            <w:vAlign w:val="bottom"/>
          </w:tcPr>
          <w:p w14:paraId="7810011C" w14:textId="77777777" w:rsidR="0012790E" w:rsidRPr="0012790E" w:rsidRDefault="0012790E">
            <w:pPr>
              <w:pStyle w:val="SummaryMeasureTitlewithTheme"/>
            </w:pPr>
            <w:r w:rsidRPr="0012790E">
              <w:t>Fighting Scams(b)</w:t>
            </w:r>
          </w:p>
        </w:tc>
        <w:tc>
          <w:tcPr>
            <w:tcW w:w="851" w:type="dxa"/>
            <w:vAlign w:val="bottom"/>
          </w:tcPr>
          <w:p w14:paraId="19078F7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217076B" w14:textId="77777777" w:rsidR="0012790E" w:rsidRPr="0012790E" w:rsidRDefault="0012790E">
            <w:pPr>
              <w:pStyle w:val="Summarytabletextrightaligned"/>
              <w:rPr>
                <w:szCs w:val="16"/>
              </w:rPr>
            </w:pPr>
            <w:r w:rsidRPr="0012790E">
              <w:rPr>
                <w:szCs w:val="16"/>
              </w:rPr>
              <w:t>4.9</w:t>
            </w:r>
          </w:p>
        </w:tc>
        <w:tc>
          <w:tcPr>
            <w:tcW w:w="851" w:type="dxa"/>
            <w:vAlign w:val="bottom"/>
          </w:tcPr>
          <w:p w14:paraId="58846923" w14:textId="77777777" w:rsidR="0012790E" w:rsidRPr="0012790E" w:rsidRDefault="0012790E">
            <w:pPr>
              <w:pStyle w:val="Summarytabletextrightaligned"/>
              <w:rPr>
                <w:szCs w:val="16"/>
              </w:rPr>
            </w:pPr>
            <w:r w:rsidRPr="0012790E">
              <w:rPr>
                <w:szCs w:val="16"/>
              </w:rPr>
              <w:t>2.5</w:t>
            </w:r>
          </w:p>
        </w:tc>
        <w:tc>
          <w:tcPr>
            <w:tcW w:w="851" w:type="dxa"/>
            <w:vAlign w:val="bottom"/>
          </w:tcPr>
          <w:p w14:paraId="6AC258AD" w14:textId="77777777" w:rsidR="0012790E" w:rsidRPr="0012790E" w:rsidRDefault="0012790E">
            <w:pPr>
              <w:pStyle w:val="Summarytabletextrightaligned"/>
              <w:rPr>
                <w:szCs w:val="16"/>
              </w:rPr>
            </w:pPr>
            <w:r w:rsidRPr="0012790E">
              <w:rPr>
                <w:szCs w:val="16"/>
              </w:rPr>
              <w:t>2.5</w:t>
            </w:r>
          </w:p>
        </w:tc>
        <w:tc>
          <w:tcPr>
            <w:tcW w:w="851" w:type="dxa"/>
            <w:vAlign w:val="bottom"/>
          </w:tcPr>
          <w:p w14:paraId="3CD0D371" w14:textId="77777777" w:rsidR="0012790E" w:rsidRPr="0012790E" w:rsidRDefault="0012790E">
            <w:pPr>
              <w:pStyle w:val="Summarytabletextrightaligned"/>
              <w:rPr>
                <w:szCs w:val="16"/>
              </w:rPr>
            </w:pPr>
            <w:r w:rsidRPr="0012790E">
              <w:rPr>
                <w:szCs w:val="16"/>
              </w:rPr>
              <w:t>2.5</w:t>
            </w:r>
          </w:p>
        </w:tc>
      </w:tr>
      <w:tr w:rsidR="0012790E" w:rsidRPr="0012790E" w14:paraId="45EBD71C" w14:textId="77777777" w:rsidTr="54937204">
        <w:tc>
          <w:tcPr>
            <w:tcW w:w="3470" w:type="dxa"/>
            <w:shd w:val="clear" w:color="auto" w:fill="auto"/>
            <w:vAlign w:val="bottom"/>
          </w:tcPr>
          <w:p w14:paraId="3A02C8C7" w14:textId="77777777" w:rsidR="0012790E" w:rsidRPr="0012790E" w:rsidRDefault="0012790E">
            <w:pPr>
              <w:pStyle w:val="SummaryMeasureTitlewithTheme"/>
            </w:pPr>
            <w:r w:rsidRPr="0012790E">
              <w:t>Online Safety</w:t>
            </w:r>
          </w:p>
        </w:tc>
        <w:tc>
          <w:tcPr>
            <w:tcW w:w="851" w:type="dxa"/>
            <w:vAlign w:val="bottom"/>
          </w:tcPr>
          <w:p w14:paraId="17DD3D3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D81D599" w14:textId="77777777" w:rsidR="0012790E" w:rsidRPr="0012790E" w:rsidRDefault="0012790E">
            <w:pPr>
              <w:pStyle w:val="Summarytabletextrightaligned"/>
              <w:rPr>
                <w:szCs w:val="16"/>
              </w:rPr>
            </w:pPr>
            <w:r w:rsidRPr="0012790E">
              <w:rPr>
                <w:szCs w:val="16"/>
              </w:rPr>
              <w:t>0.6</w:t>
            </w:r>
          </w:p>
        </w:tc>
        <w:tc>
          <w:tcPr>
            <w:tcW w:w="851" w:type="dxa"/>
            <w:vAlign w:val="bottom"/>
          </w:tcPr>
          <w:p w14:paraId="18EC2307" w14:textId="77777777" w:rsidR="0012790E" w:rsidRPr="0012790E" w:rsidRDefault="0012790E">
            <w:pPr>
              <w:pStyle w:val="Summarytabletextrightaligned"/>
              <w:rPr>
                <w:szCs w:val="16"/>
              </w:rPr>
            </w:pPr>
            <w:r w:rsidRPr="0012790E">
              <w:rPr>
                <w:szCs w:val="16"/>
              </w:rPr>
              <w:t>0.8</w:t>
            </w:r>
          </w:p>
        </w:tc>
        <w:tc>
          <w:tcPr>
            <w:tcW w:w="851" w:type="dxa"/>
            <w:vAlign w:val="bottom"/>
          </w:tcPr>
          <w:p w14:paraId="36089238"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1DE3D8C" w14:textId="77777777" w:rsidR="0012790E" w:rsidRPr="0012790E" w:rsidRDefault="0012790E">
            <w:pPr>
              <w:pStyle w:val="Summarytabletextrightaligned"/>
              <w:rPr>
                <w:szCs w:val="16"/>
              </w:rPr>
            </w:pPr>
            <w:r w:rsidRPr="0012790E">
              <w:rPr>
                <w:szCs w:val="16"/>
              </w:rPr>
              <w:noBreakHyphen/>
            </w:r>
          </w:p>
        </w:tc>
      </w:tr>
      <w:tr w:rsidR="0012790E" w:rsidRPr="0012790E" w14:paraId="2E7600DC" w14:textId="77777777" w:rsidTr="54937204">
        <w:tc>
          <w:tcPr>
            <w:tcW w:w="3470" w:type="dxa"/>
            <w:shd w:val="clear" w:color="auto" w:fill="auto"/>
            <w:vAlign w:val="bottom"/>
          </w:tcPr>
          <w:p w14:paraId="03A8304F" w14:textId="77777777" w:rsidR="0012790E" w:rsidRPr="0012790E" w:rsidRDefault="0012790E">
            <w:pPr>
              <w:pStyle w:val="SummaryMeasureTitlewithTheme"/>
            </w:pPr>
            <w:r w:rsidRPr="0012790E">
              <w:t>Supporting Connectivity, Media and Communications(b)</w:t>
            </w:r>
          </w:p>
        </w:tc>
        <w:tc>
          <w:tcPr>
            <w:tcW w:w="851" w:type="dxa"/>
            <w:vAlign w:val="bottom"/>
          </w:tcPr>
          <w:p w14:paraId="6651F6BA"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17327F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9D12C3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89ADD3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825D556" w14:textId="77777777" w:rsidR="0012790E" w:rsidRPr="0012790E" w:rsidRDefault="0012790E">
            <w:pPr>
              <w:pStyle w:val="Summarytabletextrightaligned"/>
              <w:rPr>
                <w:szCs w:val="16"/>
              </w:rPr>
            </w:pPr>
            <w:r w:rsidRPr="0012790E">
              <w:rPr>
                <w:szCs w:val="16"/>
              </w:rPr>
              <w:noBreakHyphen/>
            </w:r>
          </w:p>
        </w:tc>
      </w:tr>
      <w:tr w:rsidR="0012790E" w:rsidRPr="0012790E" w14:paraId="02C8B507" w14:textId="77777777" w:rsidTr="54937204">
        <w:tc>
          <w:tcPr>
            <w:tcW w:w="3470" w:type="dxa"/>
            <w:shd w:val="clear" w:color="auto" w:fill="auto"/>
            <w:vAlign w:val="bottom"/>
          </w:tcPr>
          <w:p w14:paraId="000BCFBE" w14:textId="77777777" w:rsidR="0012790E" w:rsidRPr="0012790E" w:rsidRDefault="0012790E">
            <w:pPr>
              <w:pStyle w:val="SummaryAgencyTitle-BP2"/>
              <w:rPr>
                <w:iCs/>
              </w:rPr>
            </w:pPr>
            <w:r w:rsidRPr="0012790E">
              <w:rPr>
                <w:iCs/>
              </w:rPr>
              <w:t>Australian Film, Television and Radio School</w:t>
            </w:r>
          </w:p>
        </w:tc>
        <w:tc>
          <w:tcPr>
            <w:tcW w:w="851" w:type="dxa"/>
            <w:vAlign w:val="bottom"/>
          </w:tcPr>
          <w:p w14:paraId="602D5B00" w14:textId="77777777" w:rsidR="0012790E" w:rsidRPr="0012790E" w:rsidRDefault="0012790E">
            <w:pPr>
              <w:pStyle w:val="SummaryAgencyTitle-BP2"/>
              <w:rPr>
                <w:iCs/>
              </w:rPr>
            </w:pPr>
          </w:p>
        </w:tc>
        <w:tc>
          <w:tcPr>
            <w:tcW w:w="851" w:type="dxa"/>
            <w:shd w:val="clear" w:color="auto" w:fill="E6F2FF"/>
            <w:vAlign w:val="bottom"/>
          </w:tcPr>
          <w:p w14:paraId="47090AEF" w14:textId="77777777" w:rsidR="0012790E" w:rsidRPr="0012790E" w:rsidRDefault="0012790E">
            <w:pPr>
              <w:pStyle w:val="SummaryAgencyTitle-BP2"/>
              <w:rPr>
                <w:iCs/>
              </w:rPr>
            </w:pPr>
          </w:p>
        </w:tc>
        <w:tc>
          <w:tcPr>
            <w:tcW w:w="851" w:type="dxa"/>
            <w:vAlign w:val="bottom"/>
          </w:tcPr>
          <w:p w14:paraId="40F54492" w14:textId="77777777" w:rsidR="0012790E" w:rsidRPr="0012790E" w:rsidRDefault="0012790E">
            <w:pPr>
              <w:pStyle w:val="SummaryAgencyTitle-BP2"/>
              <w:rPr>
                <w:iCs/>
              </w:rPr>
            </w:pPr>
          </w:p>
        </w:tc>
        <w:tc>
          <w:tcPr>
            <w:tcW w:w="851" w:type="dxa"/>
            <w:vAlign w:val="bottom"/>
          </w:tcPr>
          <w:p w14:paraId="1C547566" w14:textId="77777777" w:rsidR="0012790E" w:rsidRPr="0012790E" w:rsidRDefault="0012790E">
            <w:pPr>
              <w:pStyle w:val="SummaryAgencyTitle-BP2"/>
              <w:rPr>
                <w:iCs/>
              </w:rPr>
            </w:pPr>
          </w:p>
        </w:tc>
        <w:tc>
          <w:tcPr>
            <w:tcW w:w="851" w:type="dxa"/>
            <w:vAlign w:val="bottom"/>
          </w:tcPr>
          <w:p w14:paraId="6F289428" w14:textId="77777777" w:rsidR="0012790E" w:rsidRPr="0012790E" w:rsidRDefault="0012790E">
            <w:pPr>
              <w:pStyle w:val="SummaryAgencyTitle-BP2"/>
              <w:rPr>
                <w:iCs/>
              </w:rPr>
            </w:pPr>
          </w:p>
        </w:tc>
      </w:tr>
      <w:tr w:rsidR="0012790E" w:rsidRPr="0012790E" w14:paraId="4D2DD442" w14:textId="77777777" w:rsidTr="54937204">
        <w:tc>
          <w:tcPr>
            <w:tcW w:w="3470" w:type="dxa"/>
            <w:shd w:val="clear" w:color="auto" w:fill="auto"/>
            <w:vAlign w:val="bottom"/>
          </w:tcPr>
          <w:p w14:paraId="68D56FA2" w14:textId="77777777" w:rsidR="0012790E" w:rsidRPr="0012790E" w:rsidRDefault="0012790E">
            <w:pPr>
              <w:pStyle w:val="SummaryMeasureTitlewithTheme"/>
            </w:pPr>
            <w:r w:rsidRPr="0012790E">
              <w:t>Revive – National Cultural Policy</w:t>
            </w:r>
          </w:p>
        </w:tc>
        <w:tc>
          <w:tcPr>
            <w:tcW w:w="851" w:type="dxa"/>
            <w:vAlign w:val="bottom"/>
          </w:tcPr>
          <w:p w14:paraId="5F288C7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1A2AB2C" w14:textId="77777777" w:rsidR="0012790E" w:rsidRPr="0012790E" w:rsidRDefault="0012790E">
            <w:pPr>
              <w:pStyle w:val="Summarytabletextrightaligned"/>
              <w:rPr>
                <w:szCs w:val="16"/>
              </w:rPr>
            </w:pPr>
            <w:r w:rsidRPr="0012790E">
              <w:rPr>
                <w:szCs w:val="16"/>
              </w:rPr>
              <w:t>3.8</w:t>
            </w:r>
          </w:p>
        </w:tc>
        <w:tc>
          <w:tcPr>
            <w:tcW w:w="851" w:type="dxa"/>
            <w:vAlign w:val="bottom"/>
          </w:tcPr>
          <w:p w14:paraId="488D71F4" w14:textId="77777777" w:rsidR="0012790E" w:rsidRPr="0012790E" w:rsidRDefault="0012790E">
            <w:pPr>
              <w:pStyle w:val="Summarytabletextrightaligned"/>
              <w:rPr>
                <w:szCs w:val="16"/>
              </w:rPr>
            </w:pPr>
            <w:r w:rsidRPr="0012790E">
              <w:rPr>
                <w:szCs w:val="16"/>
              </w:rPr>
              <w:t>4.0</w:t>
            </w:r>
          </w:p>
        </w:tc>
        <w:tc>
          <w:tcPr>
            <w:tcW w:w="851" w:type="dxa"/>
            <w:vAlign w:val="bottom"/>
          </w:tcPr>
          <w:p w14:paraId="7559759A" w14:textId="77777777" w:rsidR="0012790E" w:rsidRPr="0012790E" w:rsidRDefault="0012790E">
            <w:pPr>
              <w:pStyle w:val="Summarytabletextrightaligned"/>
              <w:rPr>
                <w:szCs w:val="16"/>
              </w:rPr>
            </w:pPr>
            <w:r w:rsidRPr="0012790E">
              <w:rPr>
                <w:szCs w:val="16"/>
              </w:rPr>
              <w:t>4.9</w:t>
            </w:r>
          </w:p>
        </w:tc>
        <w:tc>
          <w:tcPr>
            <w:tcW w:w="851" w:type="dxa"/>
            <w:vAlign w:val="bottom"/>
          </w:tcPr>
          <w:p w14:paraId="04019E98" w14:textId="77777777" w:rsidR="0012790E" w:rsidRPr="0012790E" w:rsidRDefault="0012790E">
            <w:pPr>
              <w:pStyle w:val="Summarytabletextrightaligned"/>
              <w:rPr>
                <w:szCs w:val="16"/>
              </w:rPr>
            </w:pPr>
            <w:r w:rsidRPr="0012790E">
              <w:rPr>
                <w:szCs w:val="16"/>
              </w:rPr>
              <w:t>10.6</w:t>
            </w:r>
          </w:p>
        </w:tc>
      </w:tr>
      <w:tr w:rsidR="0012790E" w:rsidRPr="0012790E" w14:paraId="0FD35017" w14:textId="77777777" w:rsidTr="54937204">
        <w:tc>
          <w:tcPr>
            <w:tcW w:w="3470" w:type="dxa"/>
            <w:shd w:val="clear" w:color="auto" w:fill="auto"/>
            <w:vAlign w:val="bottom"/>
          </w:tcPr>
          <w:p w14:paraId="7234B3CD" w14:textId="77777777" w:rsidR="0012790E" w:rsidRPr="0012790E" w:rsidRDefault="0012790E">
            <w:pPr>
              <w:pStyle w:val="SummaryAgencyTitle-BP2"/>
              <w:rPr>
                <w:iCs/>
              </w:rPr>
            </w:pPr>
            <w:r w:rsidRPr="0012790E">
              <w:rPr>
                <w:iCs/>
              </w:rPr>
              <w:t>Australian Maritime Safety Authority</w:t>
            </w:r>
          </w:p>
        </w:tc>
        <w:tc>
          <w:tcPr>
            <w:tcW w:w="851" w:type="dxa"/>
            <w:vAlign w:val="bottom"/>
          </w:tcPr>
          <w:p w14:paraId="6AE2B8C7" w14:textId="77777777" w:rsidR="0012790E" w:rsidRPr="0012790E" w:rsidRDefault="0012790E">
            <w:pPr>
              <w:pStyle w:val="SummaryAgencyTitle-BP2"/>
              <w:rPr>
                <w:iCs/>
              </w:rPr>
            </w:pPr>
          </w:p>
        </w:tc>
        <w:tc>
          <w:tcPr>
            <w:tcW w:w="851" w:type="dxa"/>
            <w:shd w:val="clear" w:color="auto" w:fill="E6F2FF"/>
            <w:vAlign w:val="bottom"/>
          </w:tcPr>
          <w:p w14:paraId="16D7AD7F" w14:textId="77777777" w:rsidR="0012790E" w:rsidRPr="0012790E" w:rsidRDefault="0012790E">
            <w:pPr>
              <w:pStyle w:val="SummaryAgencyTitle-BP2"/>
              <w:rPr>
                <w:iCs/>
              </w:rPr>
            </w:pPr>
          </w:p>
        </w:tc>
        <w:tc>
          <w:tcPr>
            <w:tcW w:w="851" w:type="dxa"/>
            <w:vAlign w:val="bottom"/>
          </w:tcPr>
          <w:p w14:paraId="6B2796B5" w14:textId="77777777" w:rsidR="0012790E" w:rsidRPr="0012790E" w:rsidRDefault="0012790E">
            <w:pPr>
              <w:pStyle w:val="SummaryAgencyTitle-BP2"/>
              <w:rPr>
                <w:iCs/>
              </w:rPr>
            </w:pPr>
          </w:p>
        </w:tc>
        <w:tc>
          <w:tcPr>
            <w:tcW w:w="851" w:type="dxa"/>
            <w:vAlign w:val="bottom"/>
          </w:tcPr>
          <w:p w14:paraId="68CD9915" w14:textId="77777777" w:rsidR="0012790E" w:rsidRPr="0012790E" w:rsidRDefault="0012790E">
            <w:pPr>
              <w:pStyle w:val="SummaryAgencyTitle-BP2"/>
              <w:rPr>
                <w:iCs/>
              </w:rPr>
            </w:pPr>
          </w:p>
        </w:tc>
        <w:tc>
          <w:tcPr>
            <w:tcW w:w="851" w:type="dxa"/>
            <w:vAlign w:val="bottom"/>
          </w:tcPr>
          <w:p w14:paraId="3276BA3C" w14:textId="77777777" w:rsidR="0012790E" w:rsidRPr="0012790E" w:rsidRDefault="0012790E">
            <w:pPr>
              <w:pStyle w:val="SummaryAgencyTitle-BP2"/>
              <w:rPr>
                <w:iCs/>
              </w:rPr>
            </w:pPr>
          </w:p>
        </w:tc>
      </w:tr>
      <w:tr w:rsidR="0012790E" w:rsidRPr="0012790E" w14:paraId="57CC1E33" w14:textId="77777777" w:rsidTr="54937204">
        <w:tc>
          <w:tcPr>
            <w:tcW w:w="3470" w:type="dxa"/>
            <w:shd w:val="clear" w:color="auto" w:fill="auto"/>
            <w:vAlign w:val="bottom"/>
          </w:tcPr>
          <w:p w14:paraId="38B42FFD" w14:textId="77777777" w:rsidR="0012790E" w:rsidRPr="0012790E" w:rsidRDefault="0012790E">
            <w:pPr>
              <w:pStyle w:val="SummaryMeasureTitlewithTheme"/>
            </w:pPr>
            <w:r w:rsidRPr="0012790E">
              <w:t>Delivering a Strategic Fleet</w:t>
            </w:r>
          </w:p>
        </w:tc>
        <w:tc>
          <w:tcPr>
            <w:tcW w:w="851" w:type="dxa"/>
            <w:vAlign w:val="bottom"/>
          </w:tcPr>
          <w:p w14:paraId="73A1C823"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087CEA5" w14:textId="77777777" w:rsidR="0012790E" w:rsidRPr="0012790E" w:rsidRDefault="0012790E">
            <w:pPr>
              <w:pStyle w:val="Summarytabletextrightaligned"/>
              <w:rPr>
                <w:szCs w:val="16"/>
              </w:rPr>
            </w:pPr>
            <w:r w:rsidRPr="0012790E">
              <w:rPr>
                <w:szCs w:val="16"/>
              </w:rPr>
              <w:t>0.3</w:t>
            </w:r>
          </w:p>
        </w:tc>
        <w:tc>
          <w:tcPr>
            <w:tcW w:w="851" w:type="dxa"/>
            <w:vAlign w:val="bottom"/>
          </w:tcPr>
          <w:p w14:paraId="150F4106" w14:textId="77777777" w:rsidR="0012790E" w:rsidRPr="0012790E" w:rsidRDefault="0012790E">
            <w:pPr>
              <w:pStyle w:val="Summarytabletextrightaligned"/>
              <w:rPr>
                <w:szCs w:val="16"/>
              </w:rPr>
            </w:pPr>
            <w:r w:rsidRPr="0012790E">
              <w:rPr>
                <w:szCs w:val="16"/>
              </w:rPr>
              <w:t>0.3</w:t>
            </w:r>
          </w:p>
        </w:tc>
        <w:tc>
          <w:tcPr>
            <w:tcW w:w="851" w:type="dxa"/>
            <w:vAlign w:val="bottom"/>
          </w:tcPr>
          <w:p w14:paraId="053E35AF" w14:textId="77777777" w:rsidR="0012790E" w:rsidRPr="0012790E" w:rsidRDefault="0012790E">
            <w:pPr>
              <w:pStyle w:val="Summarytabletextrightaligned"/>
              <w:rPr>
                <w:szCs w:val="16"/>
              </w:rPr>
            </w:pPr>
            <w:r w:rsidRPr="0012790E">
              <w:rPr>
                <w:szCs w:val="16"/>
              </w:rPr>
              <w:t>0.1</w:t>
            </w:r>
          </w:p>
        </w:tc>
        <w:tc>
          <w:tcPr>
            <w:tcW w:w="851" w:type="dxa"/>
            <w:vAlign w:val="bottom"/>
          </w:tcPr>
          <w:p w14:paraId="3E9E3E62" w14:textId="77777777" w:rsidR="0012790E" w:rsidRPr="0012790E" w:rsidRDefault="0012790E">
            <w:pPr>
              <w:pStyle w:val="Summarytabletextrightaligned"/>
              <w:rPr>
                <w:szCs w:val="16"/>
              </w:rPr>
            </w:pPr>
            <w:r w:rsidRPr="0012790E">
              <w:rPr>
                <w:szCs w:val="16"/>
              </w:rPr>
              <w:noBreakHyphen/>
            </w:r>
          </w:p>
        </w:tc>
      </w:tr>
      <w:tr w:rsidR="0012790E" w:rsidRPr="0012790E" w14:paraId="4BA87DC6" w14:textId="77777777" w:rsidTr="54937204">
        <w:tc>
          <w:tcPr>
            <w:tcW w:w="3470" w:type="dxa"/>
            <w:shd w:val="clear" w:color="auto" w:fill="auto"/>
            <w:vAlign w:val="bottom"/>
          </w:tcPr>
          <w:p w14:paraId="4CAF7A3F" w14:textId="77777777" w:rsidR="0012790E" w:rsidRPr="0012790E" w:rsidRDefault="0012790E">
            <w:pPr>
              <w:pStyle w:val="SummaryAgencyTitle-BP2"/>
              <w:rPr>
                <w:iCs/>
              </w:rPr>
            </w:pPr>
            <w:r w:rsidRPr="0012790E">
              <w:rPr>
                <w:iCs/>
              </w:rPr>
              <w:t>Australian Transport Safety Bureau</w:t>
            </w:r>
          </w:p>
        </w:tc>
        <w:tc>
          <w:tcPr>
            <w:tcW w:w="851" w:type="dxa"/>
            <w:vAlign w:val="bottom"/>
          </w:tcPr>
          <w:p w14:paraId="02F19610" w14:textId="77777777" w:rsidR="0012790E" w:rsidRPr="0012790E" w:rsidRDefault="0012790E">
            <w:pPr>
              <w:pStyle w:val="SummaryAgencyTitle-BP2"/>
              <w:rPr>
                <w:iCs/>
              </w:rPr>
            </w:pPr>
          </w:p>
        </w:tc>
        <w:tc>
          <w:tcPr>
            <w:tcW w:w="851" w:type="dxa"/>
            <w:shd w:val="clear" w:color="auto" w:fill="E6F2FF"/>
            <w:vAlign w:val="bottom"/>
          </w:tcPr>
          <w:p w14:paraId="091688C1" w14:textId="77777777" w:rsidR="0012790E" w:rsidRPr="0012790E" w:rsidRDefault="0012790E">
            <w:pPr>
              <w:pStyle w:val="SummaryAgencyTitle-BP2"/>
              <w:rPr>
                <w:iCs/>
              </w:rPr>
            </w:pPr>
          </w:p>
        </w:tc>
        <w:tc>
          <w:tcPr>
            <w:tcW w:w="851" w:type="dxa"/>
            <w:vAlign w:val="bottom"/>
          </w:tcPr>
          <w:p w14:paraId="40891CA6" w14:textId="77777777" w:rsidR="0012790E" w:rsidRPr="0012790E" w:rsidRDefault="0012790E">
            <w:pPr>
              <w:pStyle w:val="SummaryAgencyTitle-BP2"/>
              <w:rPr>
                <w:iCs/>
              </w:rPr>
            </w:pPr>
          </w:p>
        </w:tc>
        <w:tc>
          <w:tcPr>
            <w:tcW w:w="851" w:type="dxa"/>
            <w:vAlign w:val="bottom"/>
          </w:tcPr>
          <w:p w14:paraId="671CD02E" w14:textId="77777777" w:rsidR="0012790E" w:rsidRPr="0012790E" w:rsidRDefault="0012790E">
            <w:pPr>
              <w:pStyle w:val="SummaryAgencyTitle-BP2"/>
              <w:rPr>
                <w:iCs/>
              </w:rPr>
            </w:pPr>
          </w:p>
        </w:tc>
        <w:tc>
          <w:tcPr>
            <w:tcW w:w="851" w:type="dxa"/>
            <w:vAlign w:val="bottom"/>
          </w:tcPr>
          <w:p w14:paraId="576B54FE" w14:textId="77777777" w:rsidR="0012790E" w:rsidRPr="0012790E" w:rsidRDefault="0012790E">
            <w:pPr>
              <w:pStyle w:val="SummaryAgencyTitle-BP2"/>
              <w:rPr>
                <w:iCs/>
              </w:rPr>
            </w:pPr>
          </w:p>
        </w:tc>
      </w:tr>
      <w:tr w:rsidR="0012790E" w:rsidRPr="0012790E" w14:paraId="040855B8" w14:textId="77777777" w:rsidTr="54937204">
        <w:tc>
          <w:tcPr>
            <w:tcW w:w="3470" w:type="dxa"/>
            <w:shd w:val="clear" w:color="auto" w:fill="auto"/>
            <w:vAlign w:val="bottom"/>
          </w:tcPr>
          <w:p w14:paraId="19EDE52E" w14:textId="77777777" w:rsidR="0012790E" w:rsidRPr="0012790E" w:rsidRDefault="0012790E">
            <w:pPr>
              <w:pStyle w:val="SummaryMeasureTitlewithTheme"/>
            </w:pPr>
            <w:r w:rsidRPr="0012790E">
              <w:t>Supporting Transport Priorities</w:t>
            </w:r>
          </w:p>
        </w:tc>
        <w:tc>
          <w:tcPr>
            <w:tcW w:w="851" w:type="dxa"/>
            <w:vAlign w:val="bottom"/>
          </w:tcPr>
          <w:p w14:paraId="567DDDCA"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5B2848C" w14:textId="77777777" w:rsidR="0012790E" w:rsidRPr="0012790E" w:rsidRDefault="0012790E">
            <w:pPr>
              <w:pStyle w:val="Summarytabletextrightaligned"/>
              <w:rPr>
                <w:szCs w:val="16"/>
              </w:rPr>
            </w:pPr>
            <w:r w:rsidRPr="0012790E">
              <w:rPr>
                <w:szCs w:val="16"/>
              </w:rPr>
              <w:t>3.9</w:t>
            </w:r>
          </w:p>
        </w:tc>
        <w:tc>
          <w:tcPr>
            <w:tcW w:w="851" w:type="dxa"/>
            <w:vAlign w:val="bottom"/>
          </w:tcPr>
          <w:p w14:paraId="1C93B37F"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959D14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5BF395C" w14:textId="77777777" w:rsidR="0012790E" w:rsidRPr="0012790E" w:rsidRDefault="0012790E">
            <w:pPr>
              <w:pStyle w:val="Summarytabletextrightaligned"/>
              <w:rPr>
                <w:szCs w:val="16"/>
              </w:rPr>
            </w:pPr>
            <w:r w:rsidRPr="0012790E">
              <w:rPr>
                <w:szCs w:val="16"/>
              </w:rPr>
              <w:noBreakHyphen/>
            </w:r>
          </w:p>
        </w:tc>
      </w:tr>
      <w:tr w:rsidR="0012790E" w:rsidRPr="0012790E" w14:paraId="26472085" w14:textId="77777777" w:rsidTr="54937204">
        <w:tc>
          <w:tcPr>
            <w:tcW w:w="3470" w:type="dxa"/>
            <w:shd w:val="clear" w:color="auto" w:fill="auto"/>
            <w:vAlign w:val="bottom"/>
          </w:tcPr>
          <w:p w14:paraId="4ECD1868" w14:textId="77777777" w:rsidR="0012790E" w:rsidRPr="0012790E" w:rsidRDefault="0012790E">
            <w:pPr>
              <w:pStyle w:val="SummaryAgencyTitle-BP2"/>
              <w:rPr>
                <w:iCs/>
              </w:rPr>
            </w:pPr>
            <w:r w:rsidRPr="0012790E">
              <w:rPr>
                <w:iCs/>
              </w:rPr>
              <w:t>Civil Aviation Safety Authority</w:t>
            </w:r>
          </w:p>
        </w:tc>
        <w:tc>
          <w:tcPr>
            <w:tcW w:w="851" w:type="dxa"/>
            <w:vAlign w:val="bottom"/>
          </w:tcPr>
          <w:p w14:paraId="2D2E4033" w14:textId="77777777" w:rsidR="0012790E" w:rsidRPr="0012790E" w:rsidRDefault="0012790E">
            <w:pPr>
              <w:pStyle w:val="SummaryAgencyTitle-BP2"/>
              <w:rPr>
                <w:iCs/>
              </w:rPr>
            </w:pPr>
          </w:p>
        </w:tc>
        <w:tc>
          <w:tcPr>
            <w:tcW w:w="851" w:type="dxa"/>
            <w:shd w:val="clear" w:color="auto" w:fill="E6F2FF"/>
            <w:vAlign w:val="bottom"/>
          </w:tcPr>
          <w:p w14:paraId="6261A603" w14:textId="77777777" w:rsidR="0012790E" w:rsidRPr="0012790E" w:rsidRDefault="0012790E">
            <w:pPr>
              <w:pStyle w:val="SummaryAgencyTitle-BP2"/>
              <w:rPr>
                <w:iCs/>
              </w:rPr>
            </w:pPr>
          </w:p>
        </w:tc>
        <w:tc>
          <w:tcPr>
            <w:tcW w:w="851" w:type="dxa"/>
            <w:vAlign w:val="bottom"/>
          </w:tcPr>
          <w:p w14:paraId="572AB7DA" w14:textId="77777777" w:rsidR="0012790E" w:rsidRPr="0012790E" w:rsidRDefault="0012790E">
            <w:pPr>
              <w:pStyle w:val="SummaryAgencyTitle-BP2"/>
              <w:rPr>
                <w:iCs/>
              </w:rPr>
            </w:pPr>
          </w:p>
        </w:tc>
        <w:tc>
          <w:tcPr>
            <w:tcW w:w="851" w:type="dxa"/>
            <w:vAlign w:val="bottom"/>
          </w:tcPr>
          <w:p w14:paraId="1CDBFC37" w14:textId="77777777" w:rsidR="0012790E" w:rsidRPr="0012790E" w:rsidRDefault="0012790E">
            <w:pPr>
              <w:pStyle w:val="SummaryAgencyTitle-BP2"/>
              <w:rPr>
                <w:iCs/>
              </w:rPr>
            </w:pPr>
          </w:p>
        </w:tc>
        <w:tc>
          <w:tcPr>
            <w:tcW w:w="851" w:type="dxa"/>
            <w:vAlign w:val="bottom"/>
          </w:tcPr>
          <w:p w14:paraId="3E67918A" w14:textId="77777777" w:rsidR="0012790E" w:rsidRPr="0012790E" w:rsidRDefault="0012790E">
            <w:pPr>
              <w:pStyle w:val="SummaryAgencyTitle-BP2"/>
              <w:rPr>
                <w:iCs/>
              </w:rPr>
            </w:pPr>
          </w:p>
        </w:tc>
      </w:tr>
      <w:tr w:rsidR="0012790E" w:rsidRPr="0012790E" w14:paraId="48E8F4D3" w14:textId="77777777" w:rsidTr="54937204">
        <w:tc>
          <w:tcPr>
            <w:tcW w:w="3470" w:type="dxa"/>
            <w:shd w:val="clear" w:color="auto" w:fill="auto"/>
            <w:vAlign w:val="bottom"/>
          </w:tcPr>
          <w:p w14:paraId="11B74970" w14:textId="77777777" w:rsidR="0012790E" w:rsidRPr="0012790E" w:rsidRDefault="0012790E">
            <w:pPr>
              <w:pStyle w:val="SummaryMeasureTitlewithTheme"/>
            </w:pPr>
            <w:r w:rsidRPr="0012790E">
              <w:t>Supporting Transport Priorities</w:t>
            </w:r>
          </w:p>
        </w:tc>
        <w:tc>
          <w:tcPr>
            <w:tcW w:w="851" w:type="dxa"/>
            <w:vAlign w:val="bottom"/>
          </w:tcPr>
          <w:p w14:paraId="3F890D3A"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7CD451D" w14:textId="77777777" w:rsidR="0012790E" w:rsidRPr="0012790E" w:rsidRDefault="0012790E">
            <w:pPr>
              <w:pStyle w:val="Summarytabletextrightaligned"/>
              <w:rPr>
                <w:szCs w:val="16"/>
              </w:rPr>
            </w:pPr>
            <w:r w:rsidRPr="0012790E">
              <w:rPr>
                <w:szCs w:val="16"/>
              </w:rPr>
              <w:t>0.1</w:t>
            </w:r>
          </w:p>
        </w:tc>
        <w:tc>
          <w:tcPr>
            <w:tcW w:w="851" w:type="dxa"/>
            <w:vAlign w:val="bottom"/>
          </w:tcPr>
          <w:p w14:paraId="68E1113F" w14:textId="77777777" w:rsidR="0012790E" w:rsidRPr="0012790E" w:rsidRDefault="0012790E">
            <w:pPr>
              <w:pStyle w:val="Summarytabletextrightaligned"/>
              <w:rPr>
                <w:szCs w:val="16"/>
              </w:rPr>
            </w:pPr>
            <w:r w:rsidRPr="0012790E">
              <w:rPr>
                <w:szCs w:val="16"/>
              </w:rPr>
              <w:t>0.1</w:t>
            </w:r>
          </w:p>
        </w:tc>
        <w:tc>
          <w:tcPr>
            <w:tcW w:w="851" w:type="dxa"/>
            <w:vAlign w:val="bottom"/>
          </w:tcPr>
          <w:p w14:paraId="1D5F8211" w14:textId="77777777" w:rsidR="0012790E" w:rsidRPr="0012790E" w:rsidRDefault="0012790E">
            <w:pPr>
              <w:pStyle w:val="Summarytabletextrightaligned"/>
              <w:rPr>
                <w:szCs w:val="16"/>
              </w:rPr>
            </w:pPr>
            <w:r w:rsidRPr="0012790E">
              <w:rPr>
                <w:szCs w:val="16"/>
              </w:rPr>
              <w:t>0.1</w:t>
            </w:r>
          </w:p>
        </w:tc>
        <w:tc>
          <w:tcPr>
            <w:tcW w:w="851" w:type="dxa"/>
            <w:vAlign w:val="bottom"/>
          </w:tcPr>
          <w:p w14:paraId="740D9A64" w14:textId="77777777" w:rsidR="0012790E" w:rsidRPr="0012790E" w:rsidRDefault="0012790E">
            <w:pPr>
              <w:pStyle w:val="Summarytabletextrightaligned"/>
              <w:rPr>
                <w:szCs w:val="16"/>
              </w:rPr>
            </w:pPr>
            <w:r w:rsidRPr="0012790E">
              <w:rPr>
                <w:szCs w:val="16"/>
              </w:rPr>
              <w:noBreakHyphen/>
            </w:r>
          </w:p>
        </w:tc>
      </w:tr>
      <w:tr w:rsidR="0012790E" w:rsidRPr="0012790E" w14:paraId="5EE13441" w14:textId="77777777" w:rsidTr="54937204">
        <w:tc>
          <w:tcPr>
            <w:tcW w:w="3470" w:type="dxa"/>
            <w:shd w:val="clear" w:color="auto" w:fill="auto"/>
            <w:vAlign w:val="bottom"/>
          </w:tcPr>
          <w:p w14:paraId="2C051E4B" w14:textId="77777777" w:rsidR="0012790E" w:rsidRPr="0012790E" w:rsidRDefault="0012790E">
            <w:pPr>
              <w:pStyle w:val="SummaryAgencyTitle-BP2"/>
              <w:rPr>
                <w:iCs/>
              </w:rPr>
            </w:pPr>
            <w:r w:rsidRPr="0012790E">
              <w:rPr>
                <w:iCs/>
              </w:rPr>
              <w:t>Department of Infrastructure, Transport, Regional Development, Communications and the Arts</w:t>
            </w:r>
          </w:p>
        </w:tc>
        <w:tc>
          <w:tcPr>
            <w:tcW w:w="851" w:type="dxa"/>
            <w:vAlign w:val="bottom"/>
          </w:tcPr>
          <w:p w14:paraId="5B67DC57" w14:textId="77777777" w:rsidR="0012790E" w:rsidRPr="0012790E" w:rsidRDefault="0012790E">
            <w:pPr>
              <w:pStyle w:val="SummaryAgencyTitle-BP2"/>
              <w:rPr>
                <w:iCs/>
              </w:rPr>
            </w:pPr>
          </w:p>
        </w:tc>
        <w:tc>
          <w:tcPr>
            <w:tcW w:w="851" w:type="dxa"/>
            <w:shd w:val="clear" w:color="auto" w:fill="E6F2FF"/>
            <w:vAlign w:val="bottom"/>
          </w:tcPr>
          <w:p w14:paraId="3A7CDF2E" w14:textId="77777777" w:rsidR="0012790E" w:rsidRPr="0012790E" w:rsidRDefault="0012790E">
            <w:pPr>
              <w:pStyle w:val="SummaryAgencyTitle-BP2"/>
              <w:rPr>
                <w:iCs/>
              </w:rPr>
            </w:pPr>
          </w:p>
        </w:tc>
        <w:tc>
          <w:tcPr>
            <w:tcW w:w="851" w:type="dxa"/>
            <w:vAlign w:val="bottom"/>
          </w:tcPr>
          <w:p w14:paraId="638ABEED" w14:textId="77777777" w:rsidR="0012790E" w:rsidRPr="0012790E" w:rsidRDefault="0012790E">
            <w:pPr>
              <w:pStyle w:val="SummaryAgencyTitle-BP2"/>
              <w:rPr>
                <w:iCs/>
              </w:rPr>
            </w:pPr>
          </w:p>
        </w:tc>
        <w:tc>
          <w:tcPr>
            <w:tcW w:w="851" w:type="dxa"/>
            <w:vAlign w:val="bottom"/>
          </w:tcPr>
          <w:p w14:paraId="5CCB746B" w14:textId="77777777" w:rsidR="0012790E" w:rsidRPr="0012790E" w:rsidRDefault="0012790E">
            <w:pPr>
              <w:pStyle w:val="SummaryAgencyTitle-BP2"/>
              <w:rPr>
                <w:iCs/>
              </w:rPr>
            </w:pPr>
          </w:p>
        </w:tc>
        <w:tc>
          <w:tcPr>
            <w:tcW w:w="851" w:type="dxa"/>
            <w:vAlign w:val="bottom"/>
          </w:tcPr>
          <w:p w14:paraId="043E2369" w14:textId="77777777" w:rsidR="0012790E" w:rsidRPr="0012790E" w:rsidRDefault="0012790E">
            <w:pPr>
              <w:pStyle w:val="SummaryAgencyTitle-BP2"/>
              <w:rPr>
                <w:iCs/>
              </w:rPr>
            </w:pPr>
          </w:p>
        </w:tc>
      </w:tr>
      <w:tr w:rsidR="0012790E" w:rsidRPr="0012790E" w14:paraId="39972859" w14:textId="77777777" w:rsidTr="54937204">
        <w:tc>
          <w:tcPr>
            <w:tcW w:w="3470" w:type="dxa"/>
            <w:shd w:val="clear" w:color="auto" w:fill="auto"/>
            <w:vAlign w:val="bottom"/>
          </w:tcPr>
          <w:p w14:paraId="009E9BE7" w14:textId="77777777" w:rsidR="0012790E" w:rsidRPr="0012790E" w:rsidRDefault="0012790E">
            <w:pPr>
              <w:pStyle w:val="SummaryMeasureTitlewithTheme"/>
            </w:pPr>
            <w:r w:rsidRPr="0012790E">
              <w:t>Australia</w:t>
            </w:r>
            <w:r w:rsidRPr="0012790E">
              <w:noBreakHyphen/>
              <w:t>France Enhanced Relations</w:t>
            </w:r>
          </w:p>
        </w:tc>
        <w:tc>
          <w:tcPr>
            <w:tcW w:w="851" w:type="dxa"/>
            <w:vAlign w:val="bottom"/>
          </w:tcPr>
          <w:p w14:paraId="5FCF8AD0" w14:textId="5FA08558" w:rsidR="0012790E" w:rsidRPr="0012790E" w:rsidRDefault="00946208">
            <w:pPr>
              <w:pStyle w:val="Summarytabletextrightaligned"/>
              <w:rPr>
                <w:szCs w:val="16"/>
              </w:rPr>
            </w:pPr>
            <w:r>
              <w:rPr>
                <w:szCs w:val="16"/>
              </w:rPr>
              <w:t>-</w:t>
            </w:r>
          </w:p>
        </w:tc>
        <w:tc>
          <w:tcPr>
            <w:tcW w:w="851" w:type="dxa"/>
            <w:shd w:val="clear" w:color="auto" w:fill="E6F2FF"/>
            <w:vAlign w:val="bottom"/>
          </w:tcPr>
          <w:p w14:paraId="380D399C" w14:textId="2C285F01" w:rsidR="0012790E" w:rsidRPr="0012790E" w:rsidRDefault="00946208">
            <w:pPr>
              <w:pStyle w:val="Summarytabletextrightaligned"/>
              <w:rPr>
                <w:szCs w:val="16"/>
              </w:rPr>
            </w:pPr>
            <w:r>
              <w:rPr>
                <w:szCs w:val="16"/>
              </w:rPr>
              <w:t>-</w:t>
            </w:r>
          </w:p>
        </w:tc>
        <w:tc>
          <w:tcPr>
            <w:tcW w:w="851" w:type="dxa"/>
            <w:vAlign w:val="bottom"/>
          </w:tcPr>
          <w:p w14:paraId="6E67F820" w14:textId="23D181A1" w:rsidR="0012790E" w:rsidRPr="0012790E" w:rsidRDefault="00946208">
            <w:pPr>
              <w:pStyle w:val="Summarytabletextrightaligned"/>
              <w:rPr>
                <w:szCs w:val="16"/>
              </w:rPr>
            </w:pPr>
            <w:r>
              <w:rPr>
                <w:szCs w:val="16"/>
              </w:rPr>
              <w:t>-</w:t>
            </w:r>
          </w:p>
        </w:tc>
        <w:tc>
          <w:tcPr>
            <w:tcW w:w="851" w:type="dxa"/>
            <w:vAlign w:val="bottom"/>
          </w:tcPr>
          <w:p w14:paraId="25A6D764" w14:textId="3766D647" w:rsidR="0012790E" w:rsidRPr="0012790E" w:rsidRDefault="00946208">
            <w:pPr>
              <w:pStyle w:val="Summarytabletextrightaligned"/>
              <w:rPr>
                <w:szCs w:val="16"/>
              </w:rPr>
            </w:pPr>
            <w:r>
              <w:rPr>
                <w:szCs w:val="16"/>
              </w:rPr>
              <w:t>-</w:t>
            </w:r>
          </w:p>
        </w:tc>
        <w:tc>
          <w:tcPr>
            <w:tcW w:w="851" w:type="dxa"/>
            <w:vAlign w:val="bottom"/>
          </w:tcPr>
          <w:p w14:paraId="0CA1E33C" w14:textId="77777777" w:rsidR="0012790E" w:rsidRPr="0012790E" w:rsidRDefault="0012790E">
            <w:pPr>
              <w:pStyle w:val="Summarytabletextrightaligned"/>
              <w:rPr>
                <w:szCs w:val="16"/>
              </w:rPr>
            </w:pPr>
            <w:r w:rsidRPr="0012790E">
              <w:rPr>
                <w:szCs w:val="16"/>
              </w:rPr>
              <w:noBreakHyphen/>
            </w:r>
          </w:p>
        </w:tc>
      </w:tr>
      <w:tr w:rsidR="0012790E" w:rsidRPr="0012790E" w14:paraId="6D61C116" w14:textId="77777777" w:rsidTr="54937204">
        <w:tc>
          <w:tcPr>
            <w:tcW w:w="3470" w:type="dxa"/>
            <w:shd w:val="clear" w:color="auto" w:fill="auto"/>
            <w:vAlign w:val="bottom"/>
          </w:tcPr>
          <w:p w14:paraId="76F3B6F8" w14:textId="77777777" w:rsidR="0012790E" w:rsidRPr="0012790E" w:rsidRDefault="0012790E">
            <w:pPr>
              <w:pStyle w:val="SummaryMeasureTitlewithTheme"/>
            </w:pPr>
            <w:r w:rsidRPr="0012790E">
              <w:t>Australian Institute of Sport Site Redevelopment</w:t>
            </w:r>
          </w:p>
        </w:tc>
        <w:tc>
          <w:tcPr>
            <w:tcW w:w="851" w:type="dxa"/>
            <w:vAlign w:val="bottom"/>
          </w:tcPr>
          <w:p w14:paraId="7EBF43B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A960553" w14:textId="77777777" w:rsidR="0012790E" w:rsidRPr="0012790E" w:rsidRDefault="0012790E">
            <w:pPr>
              <w:pStyle w:val="Summarytabletextrightaligned"/>
              <w:rPr>
                <w:szCs w:val="16"/>
              </w:rPr>
            </w:pPr>
            <w:r w:rsidRPr="0012790E">
              <w:rPr>
                <w:szCs w:val="16"/>
              </w:rPr>
              <w:t>9.0</w:t>
            </w:r>
          </w:p>
        </w:tc>
        <w:tc>
          <w:tcPr>
            <w:tcW w:w="851" w:type="dxa"/>
            <w:vAlign w:val="bottom"/>
          </w:tcPr>
          <w:p w14:paraId="3856F108" w14:textId="77777777" w:rsidR="0012790E" w:rsidRPr="0012790E" w:rsidRDefault="0012790E">
            <w:pPr>
              <w:pStyle w:val="Summarytabletextrightaligned"/>
              <w:rPr>
                <w:szCs w:val="16"/>
              </w:rPr>
            </w:pPr>
            <w:r w:rsidRPr="0012790E">
              <w:rPr>
                <w:szCs w:val="16"/>
              </w:rPr>
              <w:t>1.0</w:t>
            </w:r>
          </w:p>
        </w:tc>
        <w:tc>
          <w:tcPr>
            <w:tcW w:w="851" w:type="dxa"/>
            <w:vAlign w:val="bottom"/>
          </w:tcPr>
          <w:p w14:paraId="7A699C5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0A0A188" w14:textId="77777777" w:rsidR="0012790E" w:rsidRPr="0012790E" w:rsidRDefault="0012790E">
            <w:pPr>
              <w:pStyle w:val="Summarytabletextrightaligned"/>
              <w:rPr>
                <w:szCs w:val="16"/>
              </w:rPr>
            </w:pPr>
            <w:r w:rsidRPr="0012790E">
              <w:rPr>
                <w:szCs w:val="16"/>
              </w:rPr>
              <w:noBreakHyphen/>
            </w:r>
          </w:p>
        </w:tc>
      </w:tr>
      <w:tr w:rsidR="0012790E" w:rsidRPr="0012790E" w14:paraId="4A897093" w14:textId="77777777" w:rsidTr="54937204">
        <w:tc>
          <w:tcPr>
            <w:tcW w:w="3470" w:type="dxa"/>
            <w:shd w:val="clear" w:color="auto" w:fill="auto"/>
            <w:vAlign w:val="bottom"/>
          </w:tcPr>
          <w:p w14:paraId="5A394B4C" w14:textId="77777777" w:rsidR="0012790E" w:rsidRPr="0012790E" w:rsidRDefault="0012790E">
            <w:pPr>
              <w:pStyle w:val="SummaryMeasureTitlewithTheme"/>
            </w:pPr>
            <w:r w:rsidRPr="0012790E">
              <w:t>Building a Better Future Through Considered Infrastructure Investment</w:t>
            </w:r>
          </w:p>
        </w:tc>
        <w:tc>
          <w:tcPr>
            <w:tcW w:w="851" w:type="dxa"/>
            <w:vAlign w:val="bottom"/>
          </w:tcPr>
          <w:p w14:paraId="630A886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62104C2" w14:textId="77777777" w:rsidR="0012790E" w:rsidRPr="0012790E" w:rsidRDefault="0012790E">
            <w:pPr>
              <w:pStyle w:val="Summarytabletextrightaligned"/>
              <w:rPr>
                <w:szCs w:val="16"/>
              </w:rPr>
            </w:pPr>
            <w:r w:rsidRPr="0012790E">
              <w:rPr>
                <w:szCs w:val="16"/>
              </w:rPr>
              <w:t>24.0</w:t>
            </w:r>
          </w:p>
        </w:tc>
        <w:tc>
          <w:tcPr>
            <w:tcW w:w="851" w:type="dxa"/>
            <w:vAlign w:val="bottom"/>
          </w:tcPr>
          <w:p w14:paraId="5BC058AC" w14:textId="77777777" w:rsidR="0012790E" w:rsidRPr="0012790E" w:rsidRDefault="0012790E">
            <w:pPr>
              <w:pStyle w:val="Summarytabletextrightaligned"/>
              <w:rPr>
                <w:szCs w:val="16"/>
              </w:rPr>
            </w:pPr>
            <w:r w:rsidRPr="0012790E">
              <w:rPr>
                <w:szCs w:val="16"/>
              </w:rPr>
              <w:t>21.3</w:t>
            </w:r>
          </w:p>
        </w:tc>
        <w:tc>
          <w:tcPr>
            <w:tcW w:w="851" w:type="dxa"/>
            <w:vAlign w:val="bottom"/>
          </w:tcPr>
          <w:p w14:paraId="7D16A249" w14:textId="77777777" w:rsidR="0012790E" w:rsidRPr="0012790E" w:rsidRDefault="0012790E">
            <w:pPr>
              <w:pStyle w:val="Summarytabletextrightaligned"/>
              <w:rPr>
                <w:szCs w:val="16"/>
              </w:rPr>
            </w:pPr>
            <w:r w:rsidRPr="0012790E">
              <w:rPr>
                <w:szCs w:val="16"/>
              </w:rPr>
              <w:t>18.2</w:t>
            </w:r>
          </w:p>
        </w:tc>
        <w:tc>
          <w:tcPr>
            <w:tcW w:w="851" w:type="dxa"/>
            <w:vAlign w:val="bottom"/>
          </w:tcPr>
          <w:p w14:paraId="685CC89F" w14:textId="77777777" w:rsidR="0012790E" w:rsidRPr="0012790E" w:rsidRDefault="0012790E">
            <w:pPr>
              <w:pStyle w:val="Summarytabletextrightaligned"/>
              <w:rPr>
                <w:szCs w:val="16"/>
              </w:rPr>
            </w:pPr>
            <w:r w:rsidRPr="0012790E">
              <w:rPr>
                <w:szCs w:val="16"/>
              </w:rPr>
              <w:t>78.6</w:t>
            </w:r>
          </w:p>
        </w:tc>
      </w:tr>
      <w:tr w:rsidR="0012790E" w:rsidRPr="0012790E" w14:paraId="4BF32F1E" w14:textId="77777777" w:rsidTr="54937204">
        <w:tc>
          <w:tcPr>
            <w:tcW w:w="3470" w:type="dxa"/>
            <w:shd w:val="clear" w:color="auto" w:fill="auto"/>
            <w:vAlign w:val="bottom"/>
          </w:tcPr>
          <w:p w14:paraId="15B09810" w14:textId="77777777" w:rsidR="0012790E" w:rsidRPr="0012790E" w:rsidRDefault="0012790E">
            <w:pPr>
              <w:pStyle w:val="SummaryMeasureTitlewithTheme"/>
            </w:pPr>
            <w:r w:rsidRPr="0012790E">
              <w:t>Delivering a Strategic Fleet</w:t>
            </w:r>
          </w:p>
        </w:tc>
        <w:tc>
          <w:tcPr>
            <w:tcW w:w="851" w:type="dxa"/>
            <w:vAlign w:val="bottom"/>
          </w:tcPr>
          <w:p w14:paraId="32C65D6E" w14:textId="77777777" w:rsidR="0012790E" w:rsidRPr="0012790E" w:rsidRDefault="0012790E" w:rsidP="54937204">
            <w:pPr>
              <w:pStyle w:val="Summarytabletextrightaligned"/>
              <w:rPr>
                <w:lang w:val="en-US"/>
              </w:rPr>
            </w:pPr>
            <w:r w:rsidRPr="54937204">
              <w:rPr>
                <w:lang w:val="en-US"/>
              </w:rPr>
              <w:t>nfp</w:t>
            </w:r>
          </w:p>
        </w:tc>
        <w:tc>
          <w:tcPr>
            <w:tcW w:w="851" w:type="dxa"/>
            <w:shd w:val="clear" w:color="auto" w:fill="E6F2FF"/>
            <w:vAlign w:val="bottom"/>
          </w:tcPr>
          <w:p w14:paraId="7EFB009A"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7E530442"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51D762F8"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4EFC9BD6" w14:textId="77777777" w:rsidR="0012790E" w:rsidRPr="0012790E" w:rsidRDefault="0012790E" w:rsidP="54937204">
            <w:pPr>
              <w:pStyle w:val="Summarytabletextrightaligned"/>
              <w:rPr>
                <w:lang w:val="en-US"/>
              </w:rPr>
            </w:pPr>
            <w:r w:rsidRPr="54937204">
              <w:rPr>
                <w:lang w:val="en-US"/>
              </w:rPr>
              <w:t>nfp</w:t>
            </w:r>
          </w:p>
        </w:tc>
      </w:tr>
      <w:tr w:rsidR="0012790E" w:rsidRPr="0012790E" w14:paraId="6F199D64" w14:textId="77777777" w:rsidTr="54937204">
        <w:tc>
          <w:tcPr>
            <w:tcW w:w="3470" w:type="dxa"/>
            <w:shd w:val="clear" w:color="auto" w:fill="auto"/>
            <w:vAlign w:val="bottom"/>
          </w:tcPr>
          <w:p w14:paraId="4B636B96" w14:textId="77777777" w:rsidR="0012790E" w:rsidRPr="0012790E" w:rsidRDefault="0012790E">
            <w:pPr>
              <w:pStyle w:val="SummaryMeasureTitlewithTheme"/>
            </w:pPr>
            <w:r w:rsidRPr="0012790E">
              <w:t>Enabling Western Sydney International Airport</w:t>
            </w:r>
          </w:p>
        </w:tc>
        <w:tc>
          <w:tcPr>
            <w:tcW w:w="851" w:type="dxa"/>
            <w:vAlign w:val="bottom"/>
          </w:tcPr>
          <w:p w14:paraId="40234397" w14:textId="77777777" w:rsidR="0012790E" w:rsidRPr="0012790E" w:rsidRDefault="0012790E">
            <w:pPr>
              <w:pStyle w:val="Summarytabletextrightaligned"/>
              <w:rPr>
                <w:szCs w:val="16"/>
              </w:rPr>
            </w:pPr>
            <w:r w:rsidRPr="0012790E">
              <w:rPr>
                <w:szCs w:val="16"/>
              </w:rPr>
              <w:noBreakHyphen/>
              <w:t>3.6</w:t>
            </w:r>
          </w:p>
        </w:tc>
        <w:tc>
          <w:tcPr>
            <w:tcW w:w="851" w:type="dxa"/>
            <w:shd w:val="clear" w:color="auto" w:fill="E6F2FF"/>
            <w:vAlign w:val="bottom"/>
          </w:tcPr>
          <w:p w14:paraId="23E4D97D" w14:textId="77777777" w:rsidR="0012790E" w:rsidRPr="0012790E" w:rsidRDefault="0012790E">
            <w:pPr>
              <w:pStyle w:val="Summarytabletextrightaligned"/>
              <w:rPr>
                <w:szCs w:val="16"/>
              </w:rPr>
            </w:pPr>
            <w:r w:rsidRPr="0012790E">
              <w:rPr>
                <w:szCs w:val="16"/>
              </w:rPr>
              <w:t>2.0</w:t>
            </w:r>
          </w:p>
        </w:tc>
        <w:tc>
          <w:tcPr>
            <w:tcW w:w="851" w:type="dxa"/>
            <w:vAlign w:val="bottom"/>
          </w:tcPr>
          <w:p w14:paraId="1D785DE3" w14:textId="77777777" w:rsidR="0012790E" w:rsidRPr="0012790E" w:rsidRDefault="0012790E">
            <w:pPr>
              <w:pStyle w:val="Summarytabletextrightaligned"/>
              <w:rPr>
                <w:szCs w:val="16"/>
              </w:rPr>
            </w:pPr>
            <w:r w:rsidRPr="0012790E">
              <w:rPr>
                <w:szCs w:val="16"/>
              </w:rPr>
              <w:t>2.7</w:t>
            </w:r>
          </w:p>
        </w:tc>
        <w:tc>
          <w:tcPr>
            <w:tcW w:w="851" w:type="dxa"/>
            <w:vAlign w:val="bottom"/>
          </w:tcPr>
          <w:p w14:paraId="2DB6A043" w14:textId="77777777" w:rsidR="0012790E" w:rsidRPr="0012790E" w:rsidRDefault="0012790E">
            <w:pPr>
              <w:pStyle w:val="Summarytabletextrightaligned"/>
              <w:rPr>
                <w:szCs w:val="16"/>
              </w:rPr>
            </w:pPr>
            <w:r w:rsidRPr="0012790E">
              <w:rPr>
                <w:szCs w:val="16"/>
              </w:rPr>
              <w:t>3.1</w:t>
            </w:r>
          </w:p>
        </w:tc>
        <w:tc>
          <w:tcPr>
            <w:tcW w:w="851" w:type="dxa"/>
            <w:vAlign w:val="bottom"/>
          </w:tcPr>
          <w:p w14:paraId="522EF92A" w14:textId="77777777" w:rsidR="0012790E" w:rsidRPr="0012790E" w:rsidRDefault="0012790E">
            <w:pPr>
              <w:pStyle w:val="Summarytabletextrightaligned"/>
              <w:rPr>
                <w:szCs w:val="16"/>
              </w:rPr>
            </w:pPr>
            <w:r w:rsidRPr="0012790E">
              <w:rPr>
                <w:szCs w:val="16"/>
              </w:rPr>
              <w:t>3.4</w:t>
            </w:r>
          </w:p>
        </w:tc>
      </w:tr>
      <w:tr w:rsidR="0012790E" w:rsidRPr="0012790E" w14:paraId="6295C6E2" w14:textId="77777777" w:rsidTr="54937204">
        <w:tc>
          <w:tcPr>
            <w:tcW w:w="3470" w:type="dxa"/>
            <w:shd w:val="clear" w:color="auto" w:fill="auto"/>
            <w:vAlign w:val="bottom"/>
          </w:tcPr>
          <w:p w14:paraId="44B7FD10" w14:textId="77777777" w:rsidR="0012790E" w:rsidRPr="0012790E" w:rsidRDefault="0012790E">
            <w:pPr>
              <w:pStyle w:val="SummaryMeasureTitlewithTheme"/>
            </w:pPr>
            <w:r w:rsidRPr="0012790E">
              <w:t>Energy Bill Relief Fund – extension and expansion</w:t>
            </w:r>
          </w:p>
        </w:tc>
        <w:tc>
          <w:tcPr>
            <w:tcW w:w="851" w:type="dxa"/>
            <w:vAlign w:val="bottom"/>
          </w:tcPr>
          <w:p w14:paraId="617432D7"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1CF4EC0" w14:textId="77777777" w:rsidR="0012790E" w:rsidRPr="0012790E" w:rsidRDefault="0012790E">
            <w:pPr>
              <w:pStyle w:val="Summarytabletextrightaligned"/>
              <w:rPr>
                <w:szCs w:val="16"/>
              </w:rPr>
            </w:pPr>
            <w:r w:rsidRPr="0012790E">
              <w:rPr>
                <w:szCs w:val="16"/>
              </w:rPr>
              <w:t>0.8</w:t>
            </w:r>
          </w:p>
        </w:tc>
        <w:tc>
          <w:tcPr>
            <w:tcW w:w="851" w:type="dxa"/>
            <w:vAlign w:val="bottom"/>
          </w:tcPr>
          <w:p w14:paraId="490D042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3641A71"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2571A3A" w14:textId="77777777" w:rsidR="0012790E" w:rsidRPr="0012790E" w:rsidRDefault="0012790E">
            <w:pPr>
              <w:pStyle w:val="Summarytabletextrightaligned"/>
              <w:rPr>
                <w:szCs w:val="16"/>
              </w:rPr>
            </w:pPr>
            <w:r w:rsidRPr="0012790E">
              <w:rPr>
                <w:szCs w:val="16"/>
              </w:rPr>
              <w:noBreakHyphen/>
            </w:r>
          </w:p>
        </w:tc>
      </w:tr>
      <w:tr w:rsidR="0012790E" w:rsidRPr="0012790E" w14:paraId="6A460A3D" w14:textId="77777777" w:rsidTr="54937204">
        <w:tc>
          <w:tcPr>
            <w:tcW w:w="3470" w:type="dxa"/>
            <w:shd w:val="clear" w:color="auto" w:fill="auto"/>
            <w:vAlign w:val="bottom"/>
          </w:tcPr>
          <w:p w14:paraId="26FBC591" w14:textId="77777777" w:rsidR="0012790E" w:rsidRPr="0012790E" w:rsidRDefault="0012790E">
            <w:pPr>
              <w:pStyle w:val="SummaryMeasureTitlewithTheme"/>
            </w:pPr>
            <w:r w:rsidRPr="0012790E">
              <w:t>First Nations Digital Inclusion</w:t>
            </w:r>
          </w:p>
        </w:tc>
        <w:tc>
          <w:tcPr>
            <w:tcW w:w="851" w:type="dxa"/>
            <w:vAlign w:val="bottom"/>
          </w:tcPr>
          <w:p w14:paraId="23D700A7"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A40CA42" w14:textId="77777777" w:rsidR="0012790E" w:rsidRPr="0012790E" w:rsidRDefault="0012790E">
            <w:pPr>
              <w:pStyle w:val="Summarytabletextrightaligned"/>
              <w:rPr>
                <w:szCs w:val="16"/>
              </w:rPr>
            </w:pPr>
            <w:r w:rsidRPr="0012790E">
              <w:rPr>
                <w:szCs w:val="16"/>
              </w:rPr>
              <w:t>3.0</w:t>
            </w:r>
          </w:p>
        </w:tc>
        <w:tc>
          <w:tcPr>
            <w:tcW w:w="851" w:type="dxa"/>
            <w:vAlign w:val="bottom"/>
          </w:tcPr>
          <w:p w14:paraId="729BF34E" w14:textId="77777777" w:rsidR="0012790E" w:rsidRPr="0012790E" w:rsidRDefault="0012790E">
            <w:pPr>
              <w:pStyle w:val="Summarytabletextrightaligned"/>
              <w:rPr>
                <w:szCs w:val="16"/>
              </w:rPr>
            </w:pPr>
            <w:r w:rsidRPr="0012790E">
              <w:rPr>
                <w:szCs w:val="16"/>
              </w:rPr>
              <w:t>3.0</w:t>
            </w:r>
          </w:p>
        </w:tc>
        <w:tc>
          <w:tcPr>
            <w:tcW w:w="851" w:type="dxa"/>
            <w:vAlign w:val="bottom"/>
          </w:tcPr>
          <w:p w14:paraId="63D1F36A" w14:textId="77777777" w:rsidR="0012790E" w:rsidRPr="0012790E" w:rsidRDefault="0012790E">
            <w:pPr>
              <w:pStyle w:val="Summarytabletextrightaligned"/>
              <w:rPr>
                <w:szCs w:val="16"/>
              </w:rPr>
            </w:pPr>
            <w:r w:rsidRPr="0012790E">
              <w:rPr>
                <w:szCs w:val="16"/>
              </w:rPr>
              <w:t>3.0</w:t>
            </w:r>
          </w:p>
        </w:tc>
        <w:tc>
          <w:tcPr>
            <w:tcW w:w="851" w:type="dxa"/>
            <w:vAlign w:val="bottom"/>
          </w:tcPr>
          <w:p w14:paraId="087421EC" w14:textId="77777777" w:rsidR="0012790E" w:rsidRPr="0012790E" w:rsidRDefault="0012790E">
            <w:pPr>
              <w:pStyle w:val="Summarytabletextrightaligned"/>
              <w:rPr>
                <w:szCs w:val="16"/>
              </w:rPr>
            </w:pPr>
            <w:r w:rsidRPr="0012790E">
              <w:rPr>
                <w:szCs w:val="16"/>
              </w:rPr>
              <w:noBreakHyphen/>
            </w:r>
          </w:p>
        </w:tc>
      </w:tr>
      <w:tr w:rsidR="0012790E" w:rsidRPr="0012790E" w14:paraId="66D334E9" w14:textId="77777777" w:rsidTr="54937204">
        <w:tc>
          <w:tcPr>
            <w:tcW w:w="3470" w:type="dxa"/>
            <w:shd w:val="clear" w:color="auto" w:fill="auto"/>
            <w:vAlign w:val="bottom"/>
          </w:tcPr>
          <w:p w14:paraId="1C03A625" w14:textId="77777777" w:rsidR="0012790E" w:rsidRPr="0012790E" w:rsidRDefault="0012790E">
            <w:pPr>
              <w:pStyle w:val="SummaryMeasureTitlewithTheme"/>
            </w:pPr>
            <w:r w:rsidRPr="0012790E">
              <w:t>Funding for the Territories</w:t>
            </w:r>
          </w:p>
        </w:tc>
        <w:tc>
          <w:tcPr>
            <w:tcW w:w="851" w:type="dxa"/>
            <w:vAlign w:val="bottom"/>
          </w:tcPr>
          <w:p w14:paraId="5309A71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45B17E9" w14:textId="77777777" w:rsidR="0012790E" w:rsidRPr="0012790E" w:rsidRDefault="0012790E">
            <w:pPr>
              <w:pStyle w:val="Summarytabletextrightaligned"/>
              <w:rPr>
                <w:szCs w:val="16"/>
              </w:rPr>
            </w:pPr>
            <w:r w:rsidRPr="0012790E">
              <w:rPr>
                <w:szCs w:val="16"/>
              </w:rPr>
              <w:t>7.0</w:t>
            </w:r>
          </w:p>
        </w:tc>
        <w:tc>
          <w:tcPr>
            <w:tcW w:w="851" w:type="dxa"/>
            <w:vAlign w:val="bottom"/>
          </w:tcPr>
          <w:p w14:paraId="25B10C3B" w14:textId="77777777" w:rsidR="0012790E" w:rsidRPr="0012790E" w:rsidRDefault="0012790E">
            <w:pPr>
              <w:pStyle w:val="Summarytabletextrightaligned"/>
              <w:rPr>
                <w:szCs w:val="16"/>
              </w:rPr>
            </w:pPr>
            <w:r w:rsidRPr="0012790E">
              <w:rPr>
                <w:szCs w:val="16"/>
              </w:rPr>
              <w:t>10.5</w:t>
            </w:r>
          </w:p>
        </w:tc>
        <w:tc>
          <w:tcPr>
            <w:tcW w:w="851" w:type="dxa"/>
            <w:vAlign w:val="bottom"/>
          </w:tcPr>
          <w:p w14:paraId="142EEAF5" w14:textId="77777777" w:rsidR="0012790E" w:rsidRPr="0012790E" w:rsidRDefault="0012790E">
            <w:pPr>
              <w:pStyle w:val="Summarytabletextrightaligned"/>
              <w:rPr>
                <w:szCs w:val="16"/>
              </w:rPr>
            </w:pPr>
            <w:r w:rsidRPr="0012790E">
              <w:rPr>
                <w:szCs w:val="16"/>
              </w:rPr>
              <w:t>3.3</w:t>
            </w:r>
          </w:p>
        </w:tc>
        <w:tc>
          <w:tcPr>
            <w:tcW w:w="851" w:type="dxa"/>
            <w:vAlign w:val="bottom"/>
          </w:tcPr>
          <w:p w14:paraId="66F88355" w14:textId="77777777" w:rsidR="0012790E" w:rsidRPr="0012790E" w:rsidRDefault="0012790E">
            <w:pPr>
              <w:pStyle w:val="Summarytabletextrightaligned"/>
              <w:rPr>
                <w:szCs w:val="16"/>
              </w:rPr>
            </w:pPr>
            <w:r w:rsidRPr="0012790E">
              <w:rPr>
                <w:szCs w:val="16"/>
              </w:rPr>
              <w:t>1.8</w:t>
            </w:r>
          </w:p>
        </w:tc>
      </w:tr>
      <w:tr w:rsidR="0012790E" w:rsidRPr="0012790E" w14:paraId="6E3F8E1D" w14:textId="77777777" w:rsidTr="54937204">
        <w:tc>
          <w:tcPr>
            <w:tcW w:w="3470" w:type="dxa"/>
            <w:shd w:val="clear" w:color="auto" w:fill="auto"/>
            <w:vAlign w:val="bottom"/>
          </w:tcPr>
          <w:p w14:paraId="4FA1B11A" w14:textId="77777777" w:rsidR="0012790E" w:rsidRPr="0012790E" w:rsidRDefault="0012790E">
            <w:pPr>
              <w:pStyle w:val="SummaryMeasureTitlewithTheme"/>
            </w:pPr>
            <w:r w:rsidRPr="0012790E">
              <w:t>Future Made in Australia – Attracting Investment in Key Industries</w:t>
            </w:r>
          </w:p>
        </w:tc>
        <w:tc>
          <w:tcPr>
            <w:tcW w:w="851" w:type="dxa"/>
            <w:vAlign w:val="bottom"/>
          </w:tcPr>
          <w:p w14:paraId="0913FFDA" w14:textId="77777777" w:rsidR="0012790E" w:rsidRPr="0012790E" w:rsidRDefault="0012790E">
            <w:pPr>
              <w:pStyle w:val="Summarytabletextrightaligned"/>
              <w:rPr>
                <w:szCs w:val="16"/>
              </w:rPr>
            </w:pPr>
            <w:r w:rsidRPr="0012790E">
              <w:rPr>
                <w:szCs w:val="16"/>
              </w:rPr>
              <w:noBreakHyphen/>
              <w:t>19.8</w:t>
            </w:r>
          </w:p>
        </w:tc>
        <w:tc>
          <w:tcPr>
            <w:tcW w:w="851" w:type="dxa"/>
            <w:shd w:val="clear" w:color="auto" w:fill="E6F2FF"/>
            <w:vAlign w:val="bottom"/>
          </w:tcPr>
          <w:p w14:paraId="5F4AF3A8" w14:textId="77777777" w:rsidR="0012790E" w:rsidRPr="0012790E" w:rsidRDefault="0012790E">
            <w:pPr>
              <w:pStyle w:val="Summarytabletextrightaligned"/>
              <w:rPr>
                <w:szCs w:val="16"/>
              </w:rPr>
            </w:pPr>
            <w:r w:rsidRPr="0012790E">
              <w:rPr>
                <w:szCs w:val="16"/>
              </w:rPr>
              <w:t>1.9</w:t>
            </w:r>
          </w:p>
        </w:tc>
        <w:tc>
          <w:tcPr>
            <w:tcW w:w="851" w:type="dxa"/>
            <w:vAlign w:val="bottom"/>
          </w:tcPr>
          <w:p w14:paraId="59726D5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5D97F5F"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3F80E0B" w14:textId="77777777" w:rsidR="0012790E" w:rsidRPr="0012790E" w:rsidRDefault="0012790E">
            <w:pPr>
              <w:pStyle w:val="Summarytabletextrightaligned"/>
              <w:rPr>
                <w:szCs w:val="16"/>
              </w:rPr>
            </w:pPr>
            <w:r w:rsidRPr="0012790E">
              <w:rPr>
                <w:szCs w:val="16"/>
              </w:rPr>
              <w:noBreakHyphen/>
            </w:r>
          </w:p>
        </w:tc>
      </w:tr>
      <w:tr w:rsidR="0012790E" w:rsidRPr="0012790E" w14:paraId="5114D231" w14:textId="77777777" w:rsidTr="54937204">
        <w:tc>
          <w:tcPr>
            <w:tcW w:w="3470" w:type="dxa"/>
            <w:shd w:val="clear" w:color="auto" w:fill="auto"/>
            <w:vAlign w:val="bottom"/>
          </w:tcPr>
          <w:p w14:paraId="173BF1BD" w14:textId="77777777" w:rsidR="0012790E" w:rsidRPr="0012790E" w:rsidRDefault="0012790E">
            <w:pPr>
              <w:pStyle w:val="SummaryMeasureTitlewithTheme"/>
            </w:pPr>
            <w:r w:rsidRPr="0012790E">
              <w:t>Future Made in Australia – Making Australia a Renewable Energy Superpower(b)</w:t>
            </w:r>
          </w:p>
        </w:tc>
        <w:tc>
          <w:tcPr>
            <w:tcW w:w="851" w:type="dxa"/>
            <w:vAlign w:val="bottom"/>
          </w:tcPr>
          <w:p w14:paraId="71B5953B"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E2AF3C4" w14:textId="77777777" w:rsidR="0012790E" w:rsidRPr="0012790E" w:rsidRDefault="0012790E">
            <w:pPr>
              <w:pStyle w:val="Summarytabletextrightaligned"/>
              <w:rPr>
                <w:szCs w:val="16"/>
              </w:rPr>
            </w:pPr>
            <w:r w:rsidRPr="0012790E">
              <w:rPr>
                <w:szCs w:val="16"/>
              </w:rPr>
              <w:t>3.2</w:t>
            </w:r>
          </w:p>
        </w:tc>
        <w:tc>
          <w:tcPr>
            <w:tcW w:w="851" w:type="dxa"/>
            <w:vAlign w:val="bottom"/>
          </w:tcPr>
          <w:p w14:paraId="30D67F72" w14:textId="77777777" w:rsidR="0012790E" w:rsidRPr="0012790E" w:rsidRDefault="0012790E">
            <w:pPr>
              <w:pStyle w:val="Summarytabletextrightaligned"/>
              <w:rPr>
                <w:szCs w:val="16"/>
              </w:rPr>
            </w:pPr>
            <w:r w:rsidRPr="0012790E">
              <w:rPr>
                <w:szCs w:val="16"/>
              </w:rPr>
              <w:t>2.1</w:t>
            </w:r>
          </w:p>
        </w:tc>
        <w:tc>
          <w:tcPr>
            <w:tcW w:w="851" w:type="dxa"/>
            <w:vAlign w:val="bottom"/>
          </w:tcPr>
          <w:p w14:paraId="2FE3F8B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7C8E562" w14:textId="77777777" w:rsidR="0012790E" w:rsidRPr="0012790E" w:rsidRDefault="0012790E">
            <w:pPr>
              <w:pStyle w:val="Summarytabletextrightaligned"/>
              <w:rPr>
                <w:szCs w:val="16"/>
              </w:rPr>
            </w:pPr>
            <w:r w:rsidRPr="0012790E">
              <w:rPr>
                <w:szCs w:val="16"/>
              </w:rPr>
              <w:noBreakHyphen/>
            </w:r>
          </w:p>
        </w:tc>
      </w:tr>
      <w:tr w:rsidR="0012790E" w:rsidRPr="0012790E" w14:paraId="2A18582C" w14:textId="77777777" w:rsidTr="54937204">
        <w:tc>
          <w:tcPr>
            <w:tcW w:w="3470" w:type="dxa"/>
            <w:shd w:val="clear" w:color="auto" w:fill="auto"/>
            <w:vAlign w:val="bottom"/>
          </w:tcPr>
          <w:p w14:paraId="26D089BA" w14:textId="77777777" w:rsidR="0012790E" w:rsidRPr="0012790E" w:rsidRDefault="0012790E">
            <w:pPr>
              <w:pStyle w:val="SummaryMeasureTitlewithTheme"/>
            </w:pPr>
            <w:r w:rsidRPr="0012790E">
              <w:t>New Vehicle Efficiency Standard Implementation(b)</w:t>
            </w:r>
          </w:p>
        </w:tc>
        <w:tc>
          <w:tcPr>
            <w:tcW w:w="851" w:type="dxa"/>
            <w:vAlign w:val="bottom"/>
          </w:tcPr>
          <w:p w14:paraId="29407BF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9DF7816" w14:textId="77777777" w:rsidR="0012790E" w:rsidRPr="0012790E" w:rsidRDefault="0012790E">
            <w:pPr>
              <w:pStyle w:val="Summarytabletextrightaligned"/>
              <w:rPr>
                <w:szCs w:val="16"/>
              </w:rPr>
            </w:pPr>
            <w:r w:rsidRPr="0012790E">
              <w:rPr>
                <w:szCs w:val="16"/>
              </w:rPr>
              <w:t>26.4</w:t>
            </w:r>
          </w:p>
        </w:tc>
        <w:tc>
          <w:tcPr>
            <w:tcW w:w="851" w:type="dxa"/>
            <w:vAlign w:val="bottom"/>
          </w:tcPr>
          <w:p w14:paraId="7D0EABEC" w14:textId="77777777" w:rsidR="0012790E" w:rsidRPr="0012790E" w:rsidRDefault="0012790E">
            <w:pPr>
              <w:pStyle w:val="Summarytabletextrightaligned"/>
              <w:rPr>
                <w:szCs w:val="16"/>
              </w:rPr>
            </w:pPr>
            <w:r w:rsidRPr="0012790E">
              <w:rPr>
                <w:szCs w:val="16"/>
              </w:rPr>
              <w:t>16.1</w:t>
            </w:r>
          </w:p>
        </w:tc>
        <w:tc>
          <w:tcPr>
            <w:tcW w:w="851" w:type="dxa"/>
            <w:vAlign w:val="bottom"/>
          </w:tcPr>
          <w:p w14:paraId="36E664F6" w14:textId="77777777" w:rsidR="0012790E" w:rsidRPr="0012790E" w:rsidRDefault="0012790E">
            <w:pPr>
              <w:pStyle w:val="Summarytabletextrightaligned"/>
              <w:rPr>
                <w:szCs w:val="16"/>
              </w:rPr>
            </w:pPr>
            <w:r w:rsidRPr="0012790E">
              <w:rPr>
                <w:szCs w:val="16"/>
              </w:rPr>
              <w:t>12.2</w:t>
            </w:r>
          </w:p>
        </w:tc>
        <w:tc>
          <w:tcPr>
            <w:tcW w:w="851" w:type="dxa"/>
            <w:vAlign w:val="bottom"/>
          </w:tcPr>
          <w:p w14:paraId="3FBBFE52" w14:textId="77777777" w:rsidR="0012790E" w:rsidRPr="0012790E" w:rsidRDefault="0012790E">
            <w:pPr>
              <w:pStyle w:val="Summarytabletextrightaligned"/>
              <w:rPr>
                <w:szCs w:val="16"/>
              </w:rPr>
            </w:pPr>
            <w:r w:rsidRPr="0012790E">
              <w:rPr>
                <w:szCs w:val="16"/>
              </w:rPr>
              <w:t>12.3</w:t>
            </w:r>
          </w:p>
        </w:tc>
      </w:tr>
      <w:tr w:rsidR="0012790E" w:rsidRPr="0012790E" w14:paraId="134951C8" w14:textId="77777777" w:rsidTr="54937204">
        <w:tc>
          <w:tcPr>
            <w:tcW w:w="3470" w:type="dxa"/>
            <w:shd w:val="clear" w:color="auto" w:fill="auto"/>
            <w:vAlign w:val="bottom"/>
          </w:tcPr>
          <w:p w14:paraId="02FB554C" w14:textId="77777777" w:rsidR="0012790E" w:rsidRPr="0012790E" w:rsidRDefault="0012790E">
            <w:pPr>
              <w:pStyle w:val="SummaryMeasureTitlewithTheme"/>
            </w:pPr>
            <w:r w:rsidRPr="0012790E">
              <w:t>Online Safety</w:t>
            </w:r>
          </w:p>
        </w:tc>
        <w:tc>
          <w:tcPr>
            <w:tcW w:w="851" w:type="dxa"/>
            <w:vAlign w:val="bottom"/>
          </w:tcPr>
          <w:p w14:paraId="7F03F8C2"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66B1480" w14:textId="77777777" w:rsidR="0012790E" w:rsidRPr="0012790E" w:rsidRDefault="0012790E">
            <w:pPr>
              <w:pStyle w:val="Summarytabletextrightaligned"/>
              <w:rPr>
                <w:szCs w:val="16"/>
              </w:rPr>
            </w:pPr>
            <w:r w:rsidRPr="0012790E">
              <w:rPr>
                <w:szCs w:val="16"/>
              </w:rPr>
              <w:t>6.5</w:t>
            </w:r>
          </w:p>
        </w:tc>
        <w:tc>
          <w:tcPr>
            <w:tcW w:w="851" w:type="dxa"/>
            <w:vAlign w:val="bottom"/>
          </w:tcPr>
          <w:p w14:paraId="64FE642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E558E28"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33B416B" w14:textId="77777777" w:rsidR="0012790E" w:rsidRPr="0012790E" w:rsidRDefault="0012790E">
            <w:pPr>
              <w:pStyle w:val="Summarytabletextrightaligned"/>
              <w:rPr>
                <w:szCs w:val="16"/>
              </w:rPr>
            </w:pPr>
            <w:r w:rsidRPr="0012790E">
              <w:rPr>
                <w:szCs w:val="16"/>
              </w:rPr>
              <w:noBreakHyphen/>
            </w:r>
          </w:p>
        </w:tc>
      </w:tr>
      <w:tr w:rsidR="0012790E" w:rsidRPr="0012790E" w14:paraId="3B1AD31F" w14:textId="77777777" w:rsidTr="54937204">
        <w:tc>
          <w:tcPr>
            <w:tcW w:w="3470" w:type="dxa"/>
            <w:tcBorders>
              <w:bottom w:val="single" w:sz="4" w:space="0" w:color="293F5B"/>
            </w:tcBorders>
            <w:shd w:val="clear" w:color="auto" w:fill="auto"/>
            <w:vAlign w:val="bottom"/>
          </w:tcPr>
          <w:p w14:paraId="7ED32A11" w14:textId="77777777" w:rsidR="0012790E" w:rsidRPr="0012790E" w:rsidRDefault="0012790E">
            <w:pPr>
              <w:pStyle w:val="SummaryMeasureTitlewithTheme"/>
            </w:pPr>
            <w:r w:rsidRPr="0012790E">
              <w:t>Qtopia Sydney</w:t>
            </w:r>
          </w:p>
        </w:tc>
        <w:tc>
          <w:tcPr>
            <w:tcW w:w="851" w:type="dxa"/>
            <w:tcBorders>
              <w:bottom w:val="single" w:sz="4" w:space="0" w:color="293F5B"/>
            </w:tcBorders>
            <w:vAlign w:val="bottom"/>
          </w:tcPr>
          <w:p w14:paraId="0601B8CD"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0B1B563C"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32C7F365"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3BD13AFD"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64D0D8D2" w14:textId="77777777" w:rsidR="0012790E" w:rsidRPr="0012790E" w:rsidRDefault="0012790E">
            <w:pPr>
              <w:pStyle w:val="Summarytabletextrightaligned"/>
              <w:rPr>
                <w:szCs w:val="16"/>
              </w:rPr>
            </w:pPr>
            <w:r w:rsidRPr="0012790E">
              <w:rPr>
                <w:szCs w:val="16"/>
              </w:rPr>
              <w:noBreakHyphen/>
            </w:r>
          </w:p>
        </w:tc>
      </w:tr>
    </w:tbl>
    <w:p w14:paraId="0F221625" w14:textId="77777777" w:rsidR="0012790E" w:rsidRPr="0012790E" w:rsidRDefault="0012790E" w:rsidP="0012790E">
      <w:pPr>
        <w:pStyle w:val="TableHeadingcontinued"/>
        <w:sectPr w:rsidR="0012790E" w:rsidRPr="0012790E" w:rsidSect="00EA5BFE">
          <w:headerReference w:type="even" r:id="rId86"/>
          <w:headerReference w:type="default" r:id="rId87"/>
          <w:footerReference w:type="even" r:id="rId88"/>
          <w:footerReference w:type="default" r:id="rId89"/>
          <w:footerReference w:type="first" r:id="rId90"/>
          <w:pgSz w:w="11905" w:h="16837"/>
          <w:pgMar w:top="2835" w:right="2098" w:bottom="2466" w:left="2098" w:header="1814" w:footer="1814" w:gutter="0"/>
          <w:cols w:space="720"/>
          <w:noEndnote/>
          <w:docGrid w:linePitch="272"/>
        </w:sectPr>
      </w:pPr>
    </w:p>
    <w:p w14:paraId="0450AD26" w14:textId="77777777" w:rsidR="0012790E" w:rsidRPr="0012790E" w:rsidRDefault="0012790E" w:rsidP="0012790E">
      <w:pPr>
        <w:pStyle w:val="TableHeadingcontinued"/>
        <w:rPr>
          <w:szCs w:val="16"/>
        </w:rPr>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5EFF625F" w14:textId="77777777" w:rsidTr="54937204">
        <w:tc>
          <w:tcPr>
            <w:tcW w:w="3470" w:type="dxa"/>
            <w:tcBorders>
              <w:top w:val="single" w:sz="4" w:space="0" w:color="293F5B"/>
            </w:tcBorders>
            <w:shd w:val="clear" w:color="auto" w:fill="auto"/>
            <w:vAlign w:val="bottom"/>
          </w:tcPr>
          <w:p w14:paraId="260F40C1"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3233FD90"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0F9341CD"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1F5009B3"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5C90E2A8"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3D541D93"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3A41F970" w14:textId="77777777" w:rsidTr="54937204">
        <w:tc>
          <w:tcPr>
            <w:tcW w:w="3470" w:type="dxa"/>
            <w:shd w:val="clear" w:color="auto" w:fill="auto"/>
            <w:vAlign w:val="bottom"/>
          </w:tcPr>
          <w:p w14:paraId="066DCBC7" w14:textId="77777777" w:rsidR="0012790E" w:rsidRPr="0012790E" w:rsidRDefault="0012790E">
            <w:pPr>
              <w:pStyle w:val="Summarytabletextrightaligned"/>
            </w:pPr>
          </w:p>
        </w:tc>
        <w:tc>
          <w:tcPr>
            <w:tcW w:w="851" w:type="dxa"/>
            <w:tcBorders>
              <w:bottom w:val="single" w:sz="4" w:space="0" w:color="293F5B"/>
            </w:tcBorders>
            <w:vAlign w:val="bottom"/>
          </w:tcPr>
          <w:p w14:paraId="3D2F4F09"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5AF7D985"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7160A791"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2409673B"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17C9F829" w14:textId="77777777" w:rsidR="0012790E" w:rsidRPr="0012790E" w:rsidRDefault="0012790E">
            <w:pPr>
              <w:pStyle w:val="Summarytabletextrightaligned"/>
            </w:pPr>
            <w:r w:rsidRPr="0012790E">
              <w:t>$m</w:t>
            </w:r>
          </w:p>
        </w:tc>
      </w:tr>
      <w:tr w:rsidR="0012790E" w:rsidRPr="0012790E" w14:paraId="5B71D1D7" w14:textId="77777777" w:rsidTr="54937204">
        <w:tc>
          <w:tcPr>
            <w:tcW w:w="3470" w:type="dxa"/>
            <w:shd w:val="clear" w:color="auto" w:fill="auto"/>
            <w:vAlign w:val="bottom"/>
          </w:tcPr>
          <w:p w14:paraId="100B0E8A" w14:textId="77777777" w:rsidR="0012790E" w:rsidRPr="0012790E" w:rsidRDefault="0012790E" w:rsidP="000D3386">
            <w:pPr>
              <w:pStyle w:val="SummaryMeasureTitlewithTheme"/>
              <w:tabs>
                <w:tab w:val="clear" w:pos="285"/>
                <w:tab w:val="left" w:pos="0"/>
              </w:tabs>
              <w:ind w:left="0" w:firstLine="0"/>
              <w:rPr>
                <w:rFonts w:cs="Arial"/>
                <w:b/>
              </w:rPr>
            </w:pPr>
            <w:r w:rsidRPr="0012790E">
              <w:rPr>
                <w:rFonts w:cs="Arial"/>
                <w:b/>
              </w:rPr>
              <w:t>INFRASTRUCTURE, TRANSPORT, REGIONAL DEVELOPMENT, COMMUNICATIONS AND THE ARTS (continued)</w:t>
            </w:r>
          </w:p>
        </w:tc>
        <w:tc>
          <w:tcPr>
            <w:tcW w:w="851" w:type="dxa"/>
            <w:vAlign w:val="bottom"/>
          </w:tcPr>
          <w:p w14:paraId="1339773D" w14:textId="77777777" w:rsidR="0012790E" w:rsidRPr="0012790E" w:rsidRDefault="0012790E">
            <w:pPr>
              <w:pStyle w:val="Summarytabletextrightaligned"/>
              <w:rPr>
                <w:szCs w:val="16"/>
              </w:rPr>
            </w:pPr>
          </w:p>
        </w:tc>
        <w:tc>
          <w:tcPr>
            <w:tcW w:w="851" w:type="dxa"/>
            <w:shd w:val="clear" w:color="auto" w:fill="E6F2FF"/>
            <w:vAlign w:val="bottom"/>
          </w:tcPr>
          <w:p w14:paraId="1EA00DFE" w14:textId="77777777" w:rsidR="0012790E" w:rsidRPr="0012790E" w:rsidRDefault="0012790E">
            <w:pPr>
              <w:pStyle w:val="Summarytabletextrightaligned"/>
              <w:rPr>
                <w:szCs w:val="16"/>
              </w:rPr>
            </w:pPr>
          </w:p>
        </w:tc>
        <w:tc>
          <w:tcPr>
            <w:tcW w:w="851" w:type="dxa"/>
            <w:vAlign w:val="bottom"/>
          </w:tcPr>
          <w:p w14:paraId="7D4590E7" w14:textId="77777777" w:rsidR="0012790E" w:rsidRPr="0012790E" w:rsidRDefault="0012790E">
            <w:pPr>
              <w:pStyle w:val="Summarytabletextrightaligned"/>
              <w:rPr>
                <w:szCs w:val="16"/>
              </w:rPr>
            </w:pPr>
          </w:p>
        </w:tc>
        <w:tc>
          <w:tcPr>
            <w:tcW w:w="851" w:type="dxa"/>
            <w:vAlign w:val="bottom"/>
          </w:tcPr>
          <w:p w14:paraId="70D4E0A1" w14:textId="77777777" w:rsidR="0012790E" w:rsidRPr="0012790E" w:rsidRDefault="0012790E">
            <w:pPr>
              <w:pStyle w:val="Summarytabletextrightaligned"/>
              <w:rPr>
                <w:szCs w:val="16"/>
              </w:rPr>
            </w:pPr>
          </w:p>
        </w:tc>
        <w:tc>
          <w:tcPr>
            <w:tcW w:w="851" w:type="dxa"/>
            <w:vAlign w:val="bottom"/>
          </w:tcPr>
          <w:p w14:paraId="31BA844A" w14:textId="77777777" w:rsidR="0012790E" w:rsidRPr="0012790E" w:rsidRDefault="0012790E">
            <w:pPr>
              <w:pStyle w:val="Summarytabletextrightaligned"/>
              <w:rPr>
                <w:szCs w:val="16"/>
              </w:rPr>
            </w:pPr>
          </w:p>
        </w:tc>
      </w:tr>
      <w:tr w:rsidR="0012790E" w:rsidRPr="0012790E" w14:paraId="19EECEF6" w14:textId="77777777" w:rsidTr="54937204">
        <w:tc>
          <w:tcPr>
            <w:tcW w:w="3470" w:type="dxa"/>
            <w:shd w:val="clear" w:color="auto" w:fill="auto"/>
            <w:vAlign w:val="bottom"/>
          </w:tcPr>
          <w:p w14:paraId="388BFF78" w14:textId="77777777" w:rsidR="0012790E" w:rsidRPr="0012790E" w:rsidRDefault="0012790E">
            <w:pPr>
              <w:pStyle w:val="SummaryMeasureTitlewithTheme"/>
            </w:pPr>
            <w:r w:rsidRPr="0012790E">
              <w:t>Revive – National Cultural Policy</w:t>
            </w:r>
          </w:p>
        </w:tc>
        <w:tc>
          <w:tcPr>
            <w:tcW w:w="851" w:type="dxa"/>
            <w:vAlign w:val="bottom"/>
          </w:tcPr>
          <w:p w14:paraId="6DD47AA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B73481F" w14:textId="77777777" w:rsidR="0012790E" w:rsidRPr="0012790E" w:rsidRDefault="0012790E">
            <w:pPr>
              <w:pStyle w:val="Summarytabletextrightaligned"/>
              <w:rPr>
                <w:szCs w:val="16"/>
              </w:rPr>
            </w:pPr>
            <w:r w:rsidRPr="0012790E">
              <w:rPr>
                <w:szCs w:val="16"/>
              </w:rPr>
              <w:t>11.3</w:t>
            </w:r>
          </w:p>
        </w:tc>
        <w:tc>
          <w:tcPr>
            <w:tcW w:w="851" w:type="dxa"/>
            <w:vAlign w:val="bottom"/>
          </w:tcPr>
          <w:p w14:paraId="60A277BF" w14:textId="77777777" w:rsidR="0012790E" w:rsidRPr="0012790E" w:rsidRDefault="0012790E">
            <w:pPr>
              <w:pStyle w:val="Summarytabletextrightaligned"/>
              <w:rPr>
                <w:szCs w:val="16"/>
              </w:rPr>
            </w:pPr>
            <w:r w:rsidRPr="0012790E">
              <w:rPr>
                <w:szCs w:val="16"/>
              </w:rPr>
              <w:t>19.0</w:t>
            </w:r>
          </w:p>
        </w:tc>
        <w:tc>
          <w:tcPr>
            <w:tcW w:w="851" w:type="dxa"/>
            <w:vAlign w:val="bottom"/>
          </w:tcPr>
          <w:p w14:paraId="53D8B3DA" w14:textId="77777777" w:rsidR="0012790E" w:rsidRPr="0012790E" w:rsidRDefault="0012790E">
            <w:pPr>
              <w:pStyle w:val="Summarytabletextrightaligned"/>
              <w:rPr>
                <w:szCs w:val="16"/>
              </w:rPr>
            </w:pPr>
            <w:r w:rsidRPr="0012790E">
              <w:rPr>
                <w:szCs w:val="16"/>
              </w:rPr>
              <w:t>44.8</w:t>
            </w:r>
          </w:p>
        </w:tc>
        <w:tc>
          <w:tcPr>
            <w:tcW w:w="851" w:type="dxa"/>
            <w:vAlign w:val="bottom"/>
          </w:tcPr>
          <w:p w14:paraId="3B788764" w14:textId="77777777" w:rsidR="0012790E" w:rsidRPr="0012790E" w:rsidRDefault="0012790E">
            <w:pPr>
              <w:pStyle w:val="Summarytabletextrightaligned"/>
              <w:rPr>
                <w:szCs w:val="16"/>
              </w:rPr>
            </w:pPr>
            <w:r w:rsidRPr="0012790E">
              <w:rPr>
                <w:szCs w:val="16"/>
              </w:rPr>
              <w:t>50.0</w:t>
            </w:r>
          </w:p>
        </w:tc>
      </w:tr>
      <w:tr w:rsidR="0012790E" w:rsidRPr="0012790E" w14:paraId="54724923" w14:textId="77777777" w:rsidTr="54937204">
        <w:tc>
          <w:tcPr>
            <w:tcW w:w="3470" w:type="dxa"/>
            <w:shd w:val="clear" w:color="auto" w:fill="auto"/>
            <w:vAlign w:val="bottom"/>
          </w:tcPr>
          <w:p w14:paraId="79867FB7" w14:textId="77777777" w:rsidR="0012790E" w:rsidRPr="0012790E" w:rsidRDefault="0012790E">
            <w:pPr>
              <w:pStyle w:val="SummaryMeasureTitlewithTheme"/>
            </w:pPr>
            <w:r w:rsidRPr="0012790E">
              <w:t>Supporting Connectivity, Media and Communications(b)</w:t>
            </w:r>
          </w:p>
        </w:tc>
        <w:tc>
          <w:tcPr>
            <w:tcW w:w="851" w:type="dxa"/>
            <w:vAlign w:val="bottom"/>
          </w:tcPr>
          <w:p w14:paraId="37DE933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0C21851"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612BC0E1"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66934F7A"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3C5CF00F" w14:textId="77777777" w:rsidR="0012790E" w:rsidRPr="0012790E" w:rsidRDefault="0012790E" w:rsidP="54937204">
            <w:pPr>
              <w:pStyle w:val="Summarytabletextrightaligned"/>
              <w:rPr>
                <w:lang w:val="en-US"/>
              </w:rPr>
            </w:pPr>
            <w:r w:rsidRPr="54937204">
              <w:rPr>
                <w:lang w:val="en-US"/>
              </w:rPr>
              <w:t>nfp</w:t>
            </w:r>
          </w:p>
        </w:tc>
      </w:tr>
      <w:tr w:rsidR="0012790E" w:rsidRPr="0012790E" w14:paraId="74CEACA1" w14:textId="77777777" w:rsidTr="54937204">
        <w:tc>
          <w:tcPr>
            <w:tcW w:w="3470" w:type="dxa"/>
            <w:shd w:val="clear" w:color="auto" w:fill="auto"/>
            <w:vAlign w:val="bottom"/>
          </w:tcPr>
          <w:p w14:paraId="3F6CADD0" w14:textId="77777777" w:rsidR="0012790E" w:rsidRPr="0012790E" w:rsidRDefault="0012790E">
            <w:pPr>
              <w:pStyle w:val="SummaryMeasureTitlewithTheme"/>
            </w:pPr>
            <w:r w:rsidRPr="0012790E">
              <w:t>Supporting Transport Priorities</w:t>
            </w:r>
          </w:p>
        </w:tc>
        <w:tc>
          <w:tcPr>
            <w:tcW w:w="851" w:type="dxa"/>
            <w:vAlign w:val="bottom"/>
          </w:tcPr>
          <w:p w14:paraId="4754E632"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F0FD9A4" w14:textId="77777777" w:rsidR="0012790E" w:rsidRPr="0012790E" w:rsidRDefault="0012790E">
            <w:pPr>
              <w:pStyle w:val="Summarytabletextrightaligned"/>
              <w:rPr>
                <w:szCs w:val="16"/>
              </w:rPr>
            </w:pPr>
            <w:r w:rsidRPr="0012790E">
              <w:rPr>
                <w:szCs w:val="16"/>
              </w:rPr>
              <w:t>36.3</w:t>
            </w:r>
          </w:p>
        </w:tc>
        <w:tc>
          <w:tcPr>
            <w:tcW w:w="851" w:type="dxa"/>
            <w:vAlign w:val="bottom"/>
          </w:tcPr>
          <w:p w14:paraId="3E1D3B60" w14:textId="77777777" w:rsidR="0012790E" w:rsidRPr="0012790E" w:rsidRDefault="0012790E">
            <w:pPr>
              <w:pStyle w:val="Summarytabletextrightaligned"/>
              <w:rPr>
                <w:szCs w:val="16"/>
              </w:rPr>
            </w:pPr>
            <w:r w:rsidRPr="0012790E">
              <w:rPr>
                <w:szCs w:val="16"/>
              </w:rPr>
              <w:t>47.0</w:t>
            </w:r>
          </w:p>
        </w:tc>
        <w:tc>
          <w:tcPr>
            <w:tcW w:w="851" w:type="dxa"/>
            <w:vAlign w:val="bottom"/>
          </w:tcPr>
          <w:p w14:paraId="027BA0B4" w14:textId="77777777" w:rsidR="0012790E" w:rsidRPr="0012790E" w:rsidRDefault="0012790E">
            <w:pPr>
              <w:pStyle w:val="Summarytabletextrightaligned"/>
              <w:rPr>
                <w:szCs w:val="16"/>
              </w:rPr>
            </w:pPr>
            <w:r w:rsidRPr="0012790E">
              <w:rPr>
                <w:szCs w:val="16"/>
              </w:rPr>
              <w:t>54.5</w:t>
            </w:r>
          </w:p>
        </w:tc>
        <w:tc>
          <w:tcPr>
            <w:tcW w:w="851" w:type="dxa"/>
            <w:vAlign w:val="bottom"/>
          </w:tcPr>
          <w:p w14:paraId="5BD0D029" w14:textId="77777777" w:rsidR="0012790E" w:rsidRPr="0012790E" w:rsidRDefault="0012790E">
            <w:pPr>
              <w:pStyle w:val="Summarytabletextrightaligned"/>
              <w:rPr>
                <w:szCs w:val="16"/>
              </w:rPr>
            </w:pPr>
            <w:r w:rsidRPr="0012790E">
              <w:rPr>
                <w:szCs w:val="16"/>
              </w:rPr>
              <w:t>7.9</w:t>
            </w:r>
          </w:p>
        </w:tc>
      </w:tr>
      <w:tr w:rsidR="0012790E" w:rsidRPr="0012790E" w14:paraId="3E3EDA91" w14:textId="77777777" w:rsidTr="54937204">
        <w:tc>
          <w:tcPr>
            <w:tcW w:w="3470" w:type="dxa"/>
            <w:shd w:val="clear" w:color="auto" w:fill="auto"/>
            <w:vAlign w:val="bottom"/>
          </w:tcPr>
          <w:p w14:paraId="37C1975F" w14:textId="77777777" w:rsidR="0012790E" w:rsidRPr="0012790E" w:rsidRDefault="0012790E">
            <w:pPr>
              <w:pStyle w:val="SummaryMeasureTitlewithTheme"/>
            </w:pPr>
            <w:r w:rsidRPr="0012790E">
              <w:t>Treasury Portfolio – additional resourcing(b)</w:t>
            </w:r>
          </w:p>
        </w:tc>
        <w:tc>
          <w:tcPr>
            <w:tcW w:w="851" w:type="dxa"/>
            <w:vAlign w:val="bottom"/>
          </w:tcPr>
          <w:p w14:paraId="18D8ED2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50EE29C" w14:textId="77777777" w:rsidR="0012790E" w:rsidRPr="0012790E" w:rsidRDefault="0012790E">
            <w:pPr>
              <w:pStyle w:val="Summarytabletextrightaligned"/>
              <w:rPr>
                <w:szCs w:val="16"/>
              </w:rPr>
            </w:pPr>
            <w:r w:rsidRPr="0012790E">
              <w:rPr>
                <w:szCs w:val="16"/>
              </w:rPr>
              <w:t>0.2</w:t>
            </w:r>
          </w:p>
        </w:tc>
        <w:tc>
          <w:tcPr>
            <w:tcW w:w="851" w:type="dxa"/>
            <w:vAlign w:val="bottom"/>
          </w:tcPr>
          <w:p w14:paraId="371854A9" w14:textId="77777777" w:rsidR="0012790E" w:rsidRPr="0012790E" w:rsidRDefault="0012790E">
            <w:pPr>
              <w:pStyle w:val="Summarytabletextrightaligned"/>
              <w:rPr>
                <w:szCs w:val="16"/>
              </w:rPr>
            </w:pPr>
            <w:r w:rsidRPr="0012790E">
              <w:rPr>
                <w:szCs w:val="16"/>
              </w:rPr>
              <w:t>0.2</w:t>
            </w:r>
          </w:p>
        </w:tc>
        <w:tc>
          <w:tcPr>
            <w:tcW w:w="851" w:type="dxa"/>
            <w:vAlign w:val="bottom"/>
          </w:tcPr>
          <w:p w14:paraId="3B74B701"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79D7284" w14:textId="77777777" w:rsidR="0012790E" w:rsidRPr="0012790E" w:rsidRDefault="0012790E">
            <w:pPr>
              <w:pStyle w:val="Summarytabletextrightaligned"/>
              <w:rPr>
                <w:szCs w:val="16"/>
              </w:rPr>
            </w:pPr>
            <w:r w:rsidRPr="0012790E">
              <w:rPr>
                <w:szCs w:val="16"/>
              </w:rPr>
              <w:noBreakHyphen/>
            </w:r>
          </w:p>
        </w:tc>
      </w:tr>
      <w:tr w:rsidR="0012790E" w:rsidRPr="0012790E" w14:paraId="6D75FC03" w14:textId="77777777" w:rsidTr="54937204">
        <w:tc>
          <w:tcPr>
            <w:tcW w:w="3470" w:type="dxa"/>
            <w:shd w:val="clear" w:color="auto" w:fill="auto"/>
            <w:vAlign w:val="bottom"/>
          </w:tcPr>
          <w:p w14:paraId="0C53B163" w14:textId="77777777" w:rsidR="0012790E" w:rsidRPr="0012790E" w:rsidRDefault="0012790E">
            <w:pPr>
              <w:pStyle w:val="SummaryMeasureTitlewithTheme"/>
            </w:pPr>
            <w:r w:rsidRPr="0012790E">
              <w:t>Urban Agenda and Community Programs</w:t>
            </w:r>
          </w:p>
        </w:tc>
        <w:tc>
          <w:tcPr>
            <w:tcW w:w="851" w:type="dxa"/>
            <w:vAlign w:val="bottom"/>
          </w:tcPr>
          <w:p w14:paraId="01C8EC19" w14:textId="77777777" w:rsidR="0012790E" w:rsidRPr="0012790E" w:rsidRDefault="0012790E">
            <w:pPr>
              <w:pStyle w:val="Summarytabletextrightaligned"/>
              <w:rPr>
                <w:szCs w:val="16"/>
              </w:rPr>
            </w:pPr>
            <w:r w:rsidRPr="0012790E">
              <w:rPr>
                <w:szCs w:val="16"/>
              </w:rPr>
              <w:noBreakHyphen/>
              <w:t>36.8</w:t>
            </w:r>
          </w:p>
        </w:tc>
        <w:tc>
          <w:tcPr>
            <w:tcW w:w="851" w:type="dxa"/>
            <w:shd w:val="clear" w:color="auto" w:fill="E6F2FF"/>
            <w:vAlign w:val="bottom"/>
          </w:tcPr>
          <w:p w14:paraId="1416395A" w14:textId="77777777" w:rsidR="0012790E" w:rsidRPr="0012790E" w:rsidRDefault="0012790E">
            <w:pPr>
              <w:pStyle w:val="Summarytabletextrightaligned"/>
              <w:rPr>
                <w:szCs w:val="16"/>
              </w:rPr>
            </w:pPr>
            <w:r w:rsidRPr="0012790E">
              <w:rPr>
                <w:szCs w:val="16"/>
              </w:rPr>
              <w:t>..</w:t>
            </w:r>
          </w:p>
        </w:tc>
        <w:tc>
          <w:tcPr>
            <w:tcW w:w="851" w:type="dxa"/>
            <w:vAlign w:val="bottom"/>
          </w:tcPr>
          <w:p w14:paraId="33A2E300" w14:textId="77777777" w:rsidR="0012790E" w:rsidRPr="0012790E" w:rsidRDefault="0012790E">
            <w:pPr>
              <w:pStyle w:val="Summarytabletextrightaligned"/>
              <w:rPr>
                <w:szCs w:val="16"/>
              </w:rPr>
            </w:pPr>
            <w:r w:rsidRPr="0012790E">
              <w:rPr>
                <w:szCs w:val="16"/>
              </w:rPr>
              <w:t>3.4</w:t>
            </w:r>
          </w:p>
        </w:tc>
        <w:tc>
          <w:tcPr>
            <w:tcW w:w="851" w:type="dxa"/>
            <w:vAlign w:val="bottom"/>
          </w:tcPr>
          <w:p w14:paraId="0AEB556A" w14:textId="77777777" w:rsidR="0012790E" w:rsidRPr="0012790E" w:rsidRDefault="0012790E">
            <w:pPr>
              <w:pStyle w:val="Summarytabletextrightaligned"/>
              <w:rPr>
                <w:szCs w:val="16"/>
              </w:rPr>
            </w:pPr>
            <w:r w:rsidRPr="0012790E">
              <w:rPr>
                <w:szCs w:val="16"/>
              </w:rPr>
              <w:t>3.0</w:t>
            </w:r>
          </w:p>
        </w:tc>
        <w:tc>
          <w:tcPr>
            <w:tcW w:w="851" w:type="dxa"/>
            <w:vAlign w:val="bottom"/>
          </w:tcPr>
          <w:p w14:paraId="013871E5" w14:textId="77777777" w:rsidR="0012790E" w:rsidRPr="0012790E" w:rsidRDefault="0012790E">
            <w:pPr>
              <w:pStyle w:val="Summarytabletextrightaligned"/>
              <w:rPr>
                <w:szCs w:val="16"/>
              </w:rPr>
            </w:pPr>
            <w:r w:rsidRPr="0012790E">
              <w:rPr>
                <w:szCs w:val="16"/>
              </w:rPr>
              <w:t>2.6</w:t>
            </w:r>
          </w:p>
        </w:tc>
      </w:tr>
      <w:tr w:rsidR="0012790E" w:rsidRPr="0012790E" w14:paraId="1C645190" w14:textId="77777777" w:rsidTr="54937204">
        <w:tc>
          <w:tcPr>
            <w:tcW w:w="3470" w:type="dxa"/>
            <w:shd w:val="clear" w:color="auto" w:fill="auto"/>
            <w:vAlign w:val="bottom"/>
          </w:tcPr>
          <w:p w14:paraId="6251E42B" w14:textId="77777777" w:rsidR="0012790E" w:rsidRPr="0012790E" w:rsidRDefault="0012790E">
            <w:pPr>
              <w:pStyle w:val="SummaryAgencyTitle-BP2"/>
              <w:rPr>
                <w:iCs/>
              </w:rPr>
            </w:pPr>
            <w:r w:rsidRPr="0012790E">
              <w:rPr>
                <w:iCs/>
              </w:rPr>
              <w:t>High Speed Rail Authority</w:t>
            </w:r>
          </w:p>
        </w:tc>
        <w:tc>
          <w:tcPr>
            <w:tcW w:w="851" w:type="dxa"/>
            <w:vAlign w:val="bottom"/>
          </w:tcPr>
          <w:p w14:paraId="7AAB2C58" w14:textId="77777777" w:rsidR="0012790E" w:rsidRPr="0012790E" w:rsidRDefault="0012790E">
            <w:pPr>
              <w:pStyle w:val="SummaryAgencyTitle-BP2"/>
              <w:rPr>
                <w:iCs/>
              </w:rPr>
            </w:pPr>
          </w:p>
        </w:tc>
        <w:tc>
          <w:tcPr>
            <w:tcW w:w="851" w:type="dxa"/>
            <w:shd w:val="clear" w:color="auto" w:fill="E6F2FF"/>
            <w:vAlign w:val="bottom"/>
          </w:tcPr>
          <w:p w14:paraId="13D12D4C" w14:textId="77777777" w:rsidR="0012790E" w:rsidRPr="0012790E" w:rsidRDefault="0012790E">
            <w:pPr>
              <w:pStyle w:val="SummaryAgencyTitle-BP2"/>
              <w:rPr>
                <w:iCs/>
              </w:rPr>
            </w:pPr>
          </w:p>
        </w:tc>
        <w:tc>
          <w:tcPr>
            <w:tcW w:w="851" w:type="dxa"/>
            <w:vAlign w:val="bottom"/>
          </w:tcPr>
          <w:p w14:paraId="5AC383DD" w14:textId="77777777" w:rsidR="0012790E" w:rsidRPr="0012790E" w:rsidRDefault="0012790E">
            <w:pPr>
              <w:pStyle w:val="SummaryAgencyTitle-BP2"/>
              <w:rPr>
                <w:iCs/>
              </w:rPr>
            </w:pPr>
          </w:p>
        </w:tc>
        <w:tc>
          <w:tcPr>
            <w:tcW w:w="851" w:type="dxa"/>
            <w:vAlign w:val="bottom"/>
          </w:tcPr>
          <w:p w14:paraId="19A6AB86" w14:textId="77777777" w:rsidR="0012790E" w:rsidRPr="0012790E" w:rsidRDefault="0012790E">
            <w:pPr>
              <w:pStyle w:val="SummaryAgencyTitle-BP2"/>
              <w:rPr>
                <w:iCs/>
              </w:rPr>
            </w:pPr>
          </w:p>
        </w:tc>
        <w:tc>
          <w:tcPr>
            <w:tcW w:w="851" w:type="dxa"/>
            <w:vAlign w:val="bottom"/>
          </w:tcPr>
          <w:p w14:paraId="2A0EFF49" w14:textId="77777777" w:rsidR="0012790E" w:rsidRPr="0012790E" w:rsidRDefault="0012790E">
            <w:pPr>
              <w:pStyle w:val="SummaryAgencyTitle-BP2"/>
              <w:rPr>
                <w:iCs/>
              </w:rPr>
            </w:pPr>
          </w:p>
        </w:tc>
      </w:tr>
      <w:tr w:rsidR="0012790E" w:rsidRPr="0012790E" w14:paraId="4E34EF7B" w14:textId="77777777" w:rsidTr="54937204">
        <w:tc>
          <w:tcPr>
            <w:tcW w:w="3470" w:type="dxa"/>
            <w:shd w:val="clear" w:color="auto" w:fill="auto"/>
            <w:vAlign w:val="bottom"/>
          </w:tcPr>
          <w:p w14:paraId="4F99C413" w14:textId="77777777" w:rsidR="0012790E" w:rsidRPr="0012790E" w:rsidRDefault="0012790E">
            <w:pPr>
              <w:pStyle w:val="SummaryMeasureTitlewithTheme"/>
            </w:pPr>
            <w:r w:rsidRPr="0012790E">
              <w:t>Supporting Transport Priorities</w:t>
            </w:r>
          </w:p>
        </w:tc>
        <w:tc>
          <w:tcPr>
            <w:tcW w:w="851" w:type="dxa"/>
            <w:vAlign w:val="bottom"/>
          </w:tcPr>
          <w:p w14:paraId="5903E0AC" w14:textId="77777777" w:rsidR="0012790E" w:rsidRPr="0012790E" w:rsidRDefault="0012790E">
            <w:pPr>
              <w:pStyle w:val="Summarytabletextrightaligned"/>
              <w:rPr>
                <w:szCs w:val="16"/>
              </w:rPr>
            </w:pPr>
            <w:r w:rsidRPr="0012790E">
              <w:rPr>
                <w:szCs w:val="16"/>
              </w:rPr>
              <w:t>23.8</w:t>
            </w:r>
          </w:p>
        </w:tc>
        <w:tc>
          <w:tcPr>
            <w:tcW w:w="851" w:type="dxa"/>
            <w:shd w:val="clear" w:color="auto" w:fill="E6F2FF"/>
            <w:vAlign w:val="bottom"/>
          </w:tcPr>
          <w:p w14:paraId="04CF032D" w14:textId="77777777" w:rsidR="0012790E" w:rsidRPr="0012790E" w:rsidRDefault="0012790E">
            <w:pPr>
              <w:pStyle w:val="Summarytabletextrightaligned"/>
              <w:rPr>
                <w:szCs w:val="16"/>
              </w:rPr>
            </w:pPr>
            <w:r w:rsidRPr="0012790E">
              <w:rPr>
                <w:szCs w:val="16"/>
              </w:rPr>
              <w:t>51.4</w:t>
            </w:r>
          </w:p>
        </w:tc>
        <w:tc>
          <w:tcPr>
            <w:tcW w:w="851" w:type="dxa"/>
            <w:vAlign w:val="bottom"/>
          </w:tcPr>
          <w:p w14:paraId="14B97CEA" w14:textId="77777777" w:rsidR="0012790E" w:rsidRPr="0012790E" w:rsidRDefault="0012790E">
            <w:pPr>
              <w:pStyle w:val="Summarytabletextrightaligned"/>
              <w:rPr>
                <w:szCs w:val="16"/>
              </w:rPr>
            </w:pPr>
            <w:r w:rsidRPr="0012790E">
              <w:rPr>
                <w:szCs w:val="16"/>
              </w:rPr>
              <w:t>3.6</w:t>
            </w:r>
          </w:p>
        </w:tc>
        <w:tc>
          <w:tcPr>
            <w:tcW w:w="851" w:type="dxa"/>
            <w:vAlign w:val="bottom"/>
          </w:tcPr>
          <w:p w14:paraId="2AF9CCE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C35FCED" w14:textId="77777777" w:rsidR="0012790E" w:rsidRPr="0012790E" w:rsidRDefault="0012790E">
            <w:pPr>
              <w:pStyle w:val="Summarytabletextrightaligned"/>
              <w:rPr>
                <w:szCs w:val="16"/>
              </w:rPr>
            </w:pPr>
            <w:r w:rsidRPr="0012790E">
              <w:rPr>
                <w:szCs w:val="16"/>
              </w:rPr>
              <w:noBreakHyphen/>
            </w:r>
          </w:p>
        </w:tc>
      </w:tr>
      <w:tr w:rsidR="0012790E" w:rsidRPr="0012790E" w14:paraId="33006A7B" w14:textId="77777777" w:rsidTr="54937204">
        <w:tc>
          <w:tcPr>
            <w:tcW w:w="3470" w:type="dxa"/>
            <w:shd w:val="clear" w:color="auto" w:fill="auto"/>
            <w:vAlign w:val="bottom"/>
          </w:tcPr>
          <w:p w14:paraId="5FD4244A" w14:textId="77777777" w:rsidR="0012790E" w:rsidRPr="0012790E" w:rsidRDefault="0012790E">
            <w:pPr>
              <w:pStyle w:val="SummaryAgencyTitle-BP2"/>
              <w:rPr>
                <w:iCs/>
              </w:rPr>
            </w:pPr>
            <w:r w:rsidRPr="0012790E">
              <w:rPr>
                <w:iCs/>
              </w:rPr>
              <w:t>National Film and Sound Archive of Australia</w:t>
            </w:r>
          </w:p>
        </w:tc>
        <w:tc>
          <w:tcPr>
            <w:tcW w:w="851" w:type="dxa"/>
            <w:vAlign w:val="bottom"/>
          </w:tcPr>
          <w:p w14:paraId="68810638" w14:textId="77777777" w:rsidR="0012790E" w:rsidRPr="0012790E" w:rsidRDefault="0012790E">
            <w:pPr>
              <w:pStyle w:val="SummaryAgencyTitle-BP2"/>
              <w:rPr>
                <w:iCs/>
              </w:rPr>
            </w:pPr>
          </w:p>
        </w:tc>
        <w:tc>
          <w:tcPr>
            <w:tcW w:w="851" w:type="dxa"/>
            <w:shd w:val="clear" w:color="auto" w:fill="E6F2FF"/>
            <w:vAlign w:val="bottom"/>
          </w:tcPr>
          <w:p w14:paraId="38D87C4B" w14:textId="77777777" w:rsidR="0012790E" w:rsidRPr="0012790E" w:rsidRDefault="0012790E">
            <w:pPr>
              <w:pStyle w:val="SummaryAgencyTitle-BP2"/>
              <w:rPr>
                <w:iCs/>
              </w:rPr>
            </w:pPr>
          </w:p>
        </w:tc>
        <w:tc>
          <w:tcPr>
            <w:tcW w:w="851" w:type="dxa"/>
            <w:vAlign w:val="bottom"/>
          </w:tcPr>
          <w:p w14:paraId="64251CF0" w14:textId="77777777" w:rsidR="0012790E" w:rsidRPr="0012790E" w:rsidRDefault="0012790E">
            <w:pPr>
              <w:pStyle w:val="SummaryAgencyTitle-BP2"/>
              <w:rPr>
                <w:iCs/>
              </w:rPr>
            </w:pPr>
          </w:p>
        </w:tc>
        <w:tc>
          <w:tcPr>
            <w:tcW w:w="851" w:type="dxa"/>
            <w:vAlign w:val="bottom"/>
          </w:tcPr>
          <w:p w14:paraId="7ED41F44" w14:textId="77777777" w:rsidR="0012790E" w:rsidRPr="0012790E" w:rsidRDefault="0012790E">
            <w:pPr>
              <w:pStyle w:val="SummaryAgencyTitle-BP2"/>
              <w:rPr>
                <w:iCs/>
              </w:rPr>
            </w:pPr>
          </w:p>
        </w:tc>
        <w:tc>
          <w:tcPr>
            <w:tcW w:w="851" w:type="dxa"/>
            <w:vAlign w:val="bottom"/>
          </w:tcPr>
          <w:p w14:paraId="2AC06C1D" w14:textId="77777777" w:rsidR="0012790E" w:rsidRPr="0012790E" w:rsidRDefault="0012790E">
            <w:pPr>
              <w:pStyle w:val="SummaryAgencyTitle-BP2"/>
              <w:rPr>
                <w:iCs/>
              </w:rPr>
            </w:pPr>
          </w:p>
        </w:tc>
      </w:tr>
      <w:tr w:rsidR="0012790E" w:rsidRPr="0012790E" w14:paraId="6A20252B" w14:textId="77777777" w:rsidTr="54937204">
        <w:tc>
          <w:tcPr>
            <w:tcW w:w="3470" w:type="dxa"/>
            <w:shd w:val="clear" w:color="auto" w:fill="auto"/>
            <w:vAlign w:val="bottom"/>
          </w:tcPr>
          <w:p w14:paraId="3201B146" w14:textId="77777777" w:rsidR="0012790E" w:rsidRPr="0012790E" w:rsidRDefault="0012790E">
            <w:pPr>
              <w:pStyle w:val="SummaryMeasureTitlewithTheme"/>
            </w:pPr>
            <w:r w:rsidRPr="0012790E">
              <w:t>Revive – National Cultural Policy</w:t>
            </w:r>
          </w:p>
        </w:tc>
        <w:tc>
          <w:tcPr>
            <w:tcW w:w="851" w:type="dxa"/>
            <w:tcBorders>
              <w:bottom w:val="single" w:sz="4" w:space="0" w:color="293F5B"/>
            </w:tcBorders>
            <w:vAlign w:val="bottom"/>
          </w:tcPr>
          <w:p w14:paraId="05FA93F0"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790A18EE" w14:textId="77777777" w:rsidR="0012790E" w:rsidRPr="0012790E" w:rsidRDefault="0012790E">
            <w:pPr>
              <w:pStyle w:val="Summarytabletextrightaligned"/>
              <w:rPr>
                <w:szCs w:val="16"/>
              </w:rPr>
            </w:pPr>
            <w:r w:rsidRPr="0012790E">
              <w:rPr>
                <w:szCs w:val="16"/>
              </w:rPr>
              <w:t>3.8</w:t>
            </w:r>
          </w:p>
        </w:tc>
        <w:tc>
          <w:tcPr>
            <w:tcW w:w="851" w:type="dxa"/>
            <w:tcBorders>
              <w:bottom w:val="single" w:sz="4" w:space="0" w:color="293F5B"/>
            </w:tcBorders>
            <w:vAlign w:val="bottom"/>
          </w:tcPr>
          <w:p w14:paraId="136B4BE3" w14:textId="77777777" w:rsidR="0012790E" w:rsidRPr="0012790E" w:rsidRDefault="0012790E">
            <w:pPr>
              <w:pStyle w:val="Summarytabletextrightaligned"/>
              <w:rPr>
                <w:szCs w:val="16"/>
              </w:rPr>
            </w:pPr>
            <w:r w:rsidRPr="0012790E">
              <w:rPr>
                <w:szCs w:val="16"/>
              </w:rPr>
              <w:t>3.7</w:t>
            </w:r>
          </w:p>
        </w:tc>
        <w:tc>
          <w:tcPr>
            <w:tcW w:w="851" w:type="dxa"/>
            <w:tcBorders>
              <w:bottom w:val="single" w:sz="4" w:space="0" w:color="293F5B"/>
            </w:tcBorders>
            <w:vAlign w:val="bottom"/>
          </w:tcPr>
          <w:p w14:paraId="164B0CD3" w14:textId="77777777" w:rsidR="0012790E" w:rsidRPr="0012790E" w:rsidRDefault="0012790E">
            <w:pPr>
              <w:pStyle w:val="Summarytabletextrightaligned"/>
              <w:rPr>
                <w:szCs w:val="16"/>
              </w:rPr>
            </w:pPr>
            <w:r w:rsidRPr="0012790E">
              <w:rPr>
                <w:szCs w:val="16"/>
              </w:rPr>
              <w:t>1.7</w:t>
            </w:r>
          </w:p>
        </w:tc>
        <w:tc>
          <w:tcPr>
            <w:tcW w:w="851" w:type="dxa"/>
            <w:tcBorders>
              <w:bottom w:val="single" w:sz="4" w:space="0" w:color="293F5B"/>
            </w:tcBorders>
            <w:vAlign w:val="bottom"/>
          </w:tcPr>
          <w:p w14:paraId="5837A775" w14:textId="77777777" w:rsidR="0012790E" w:rsidRPr="0012790E" w:rsidRDefault="0012790E">
            <w:pPr>
              <w:pStyle w:val="Summarytabletextrightaligned"/>
              <w:rPr>
                <w:szCs w:val="16"/>
              </w:rPr>
            </w:pPr>
            <w:r w:rsidRPr="0012790E">
              <w:rPr>
                <w:szCs w:val="16"/>
              </w:rPr>
              <w:t>0.1</w:t>
            </w:r>
          </w:p>
        </w:tc>
      </w:tr>
      <w:tr w:rsidR="00E67D05" w:rsidRPr="0012790E" w14:paraId="7E1B228E" w14:textId="77777777" w:rsidTr="54937204">
        <w:tc>
          <w:tcPr>
            <w:tcW w:w="3470" w:type="dxa"/>
            <w:shd w:val="clear" w:color="auto" w:fill="auto"/>
            <w:vAlign w:val="bottom"/>
          </w:tcPr>
          <w:p w14:paraId="6E3ED183" w14:textId="77777777" w:rsidR="00E67D05" w:rsidRPr="0012790E" w:rsidRDefault="00E67D05" w:rsidP="00E67D05">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7AF88832" w14:textId="7F3744FF" w:rsidR="00E67D05" w:rsidRPr="00E67D05" w:rsidRDefault="00E67D05" w:rsidP="00E67D05">
            <w:pPr>
              <w:pStyle w:val="Summarytabletextrightalignedbold"/>
              <w:rPr>
                <w:bCs/>
                <w:szCs w:val="16"/>
              </w:rPr>
            </w:pPr>
            <w:r w:rsidRPr="00AC2FA9">
              <w:rPr>
                <w:bCs/>
                <w:szCs w:val="16"/>
              </w:rPr>
              <w:noBreakHyphen/>
              <w:t>36.</w:t>
            </w:r>
            <w:r w:rsidR="00746901">
              <w:rPr>
                <w:bCs/>
                <w:szCs w:val="16"/>
              </w:rPr>
              <w:t>4</w:t>
            </w:r>
          </w:p>
        </w:tc>
        <w:tc>
          <w:tcPr>
            <w:tcW w:w="851" w:type="dxa"/>
            <w:tcBorders>
              <w:top w:val="single" w:sz="4" w:space="0" w:color="293F5B"/>
              <w:bottom w:val="single" w:sz="4" w:space="0" w:color="293F5B"/>
            </w:tcBorders>
            <w:shd w:val="clear" w:color="auto" w:fill="E6F2FF"/>
            <w:vAlign w:val="bottom"/>
          </w:tcPr>
          <w:p w14:paraId="2B8DDEE0" w14:textId="065ED75D" w:rsidR="00E67D05" w:rsidRPr="00E67D05" w:rsidRDefault="00E67D05" w:rsidP="00E67D05">
            <w:pPr>
              <w:pStyle w:val="Summarytabletextrightalignedbold"/>
              <w:rPr>
                <w:bCs/>
                <w:szCs w:val="16"/>
              </w:rPr>
            </w:pPr>
            <w:r w:rsidRPr="00AC2FA9">
              <w:rPr>
                <w:bCs/>
                <w:szCs w:val="16"/>
              </w:rPr>
              <w:t>200.4</w:t>
            </w:r>
          </w:p>
        </w:tc>
        <w:tc>
          <w:tcPr>
            <w:tcW w:w="851" w:type="dxa"/>
            <w:tcBorders>
              <w:top w:val="single" w:sz="4" w:space="0" w:color="293F5B"/>
              <w:bottom w:val="single" w:sz="4" w:space="0" w:color="293F5B"/>
            </w:tcBorders>
            <w:vAlign w:val="bottom"/>
          </w:tcPr>
          <w:p w14:paraId="7CAC02D3" w14:textId="7F78AD79" w:rsidR="00E67D05" w:rsidRPr="00E67D05" w:rsidRDefault="00E67D05" w:rsidP="00E67D05">
            <w:pPr>
              <w:pStyle w:val="Summarytabletextrightalignedbold"/>
              <w:rPr>
                <w:bCs/>
                <w:szCs w:val="16"/>
              </w:rPr>
            </w:pPr>
            <w:r w:rsidRPr="00AC2FA9">
              <w:rPr>
                <w:bCs/>
                <w:szCs w:val="16"/>
              </w:rPr>
              <w:t>141.</w:t>
            </w:r>
            <w:r w:rsidR="00746901">
              <w:rPr>
                <w:bCs/>
                <w:szCs w:val="16"/>
              </w:rPr>
              <w:t>3</w:t>
            </w:r>
          </w:p>
        </w:tc>
        <w:tc>
          <w:tcPr>
            <w:tcW w:w="851" w:type="dxa"/>
            <w:tcBorders>
              <w:top w:val="single" w:sz="4" w:space="0" w:color="293F5B"/>
              <w:bottom w:val="single" w:sz="4" w:space="0" w:color="293F5B"/>
            </w:tcBorders>
            <w:vAlign w:val="bottom"/>
          </w:tcPr>
          <w:p w14:paraId="6DF5557B" w14:textId="53A3FEFB" w:rsidR="00E67D05" w:rsidRPr="00E67D05" w:rsidRDefault="00E67D05" w:rsidP="00E67D05">
            <w:pPr>
              <w:pStyle w:val="Summarytabletextrightalignedbold"/>
              <w:rPr>
                <w:bCs/>
                <w:szCs w:val="16"/>
              </w:rPr>
            </w:pPr>
            <w:r w:rsidRPr="00AC2FA9">
              <w:rPr>
                <w:bCs/>
                <w:szCs w:val="16"/>
              </w:rPr>
              <w:t>151.4</w:t>
            </w:r>
          </w:p>
        </w:tc>
        <w:tc>
          <w:tcPr>
            <w:tcW w:w="851" w:type="dxa"/>
            <w:tcBorders>
              <w:top w:val="single" w:sz="4" w:space="0" w:color="293F5B"/>
              <w:bottom w:val="single" w:sz="4" w:space="0" w:color="293F5B"/>
            </w:tcBorders>
            <w:vAlign w:val="bottom"/>
          </w:tcPr>
          <w:p w14:paraId="77DD4132" w14:textId="77777777" w:rsidR="00E67D05" w:rsidRPr="0012790E" w:rsidRDefault="00E67D05" w:rsidP="00E67D05">
            <w:pPr>
              <w:pStyle w:val="Summarytabletextrightalignedbold"/>
              <w:rPr>
                <w:bCs/>
                <w:szCs w:val="16"/>
              </w:rPr>
            </w:pPr>
            <w:r w:rsidRPr="0012790E">
              <w:rPr>
                <w:bCs/>
                <w:szCs w:val="16"/>
              </w:rPr>
              <w:t>169.8</w:t>
            </w:r>
          </w:p>
        </w:tc>
      </w:tr>
      <w:tr w:rsidR="0012790E" w:rsidRPr="0012790E" w14:paraId="3FE4715E" w14:textId="77777777" w:rsidTr="54937204">
        <w:tc>
          <w:tcPr>
            <w:tcW w:w="3470" w:type="dxa"/>
            <w:shd w:val="clear" w:color="auto" w:fill="auto"/>
            <w:vAlign w:val="bottom"/>
          </w:tcPr>
          <w:p w14:paraId="7209AA7A" w14:textId="77777777" w:rsidR="0012790E" w:rsidRPr="0012790E" w:rsidRDefault="0012790E">
            <w:pPr>
              <w:pStyle w:val="SummaryPortfolioTitle-BP2"/>
            </w:pPr>
            <w:r w:rsidRPr="0012790E">
              <w:t>PARLIAMENT</w:t>
            </w:r>
          </w:p>
        </w:tc>
        <w:tc>
          <w:tcPr>
            <w:tcW w:w="851" w:type="dxa"/>
            <w:tcBorders>
              <w:top w:val="single" w:sz="4" w:space="0" w:color="293F5B"/>
            </w:tcBorders>
            <w:vAlign w:val="bottom"/>
          </w:tcPr>
          <w:p w14:paraId="77DE0520" w14:textId="77777777" w:rsidR="0012790E" w:rsidRPr="0012790E" w:rsidRDefault="0012790E">
            <w:pPr>
              <w:pStyle w:val="MeasureTableTextRightAlignedBefore6ptAfter1pt"/>
              <w:rPr>
                <w:b/>
                <w:bCs/>
              </w:rPr>
            </w:pPr>
          </w:p>
        </w:tc>
        <w:tc>
          <w:tcPr>
            <w:tcW w:w="851" w:type="dxa"/>
            <w:tcBorders>
              <w:top w:val="single" w:sz="4" w:space="0" w:color="293F5B"/>
            </w:tcBorders>
            <w:shd w:val="clear" w:color="auto" w:fill="E6F2FF"/>
            <w:vAlign w:val="bottom"/>
          </w:tcPr>
          <w:p w14:paraId="1B7791BE"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551ED5E7"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1B00DB62"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0AECF7A0" w14:textId="77777777" w:rsidR="0012790E" w:rsidRPr="0012790E" w:rsidRDefault="0012790E">
            <w:pPr>
              <w:pStyle w:val="MeasureTableTextRightAlignedBefore6ptAfter1pt"/>
              <w:rPr>
                <w:b/>
                <w:bCs/>
              </w:rPr>
            </w:pPr>
          </w:p>
        </w:tc>
      </w:tr>
      <w:tr w:rsidR="0012790E" w:rsidRPr="0012790E" w14:paraId="591E500A" w14:textId="77777777" w:rsidTr="54937204">
        <w:tc>
          <w:tcPr>
            <w:tcW w:w="3470" w:type="dxa"/>
            <w:shd w:val="clear" w:color="auto" w:fill="auto"/>
            <w:vAlign w:val="bottom"/>
          </w:tcPr>
          <w:p w14:paraId="39DDFE7D" w14:textId="77777777" w:rsidR="0012790E" w:rsidRPr="0012790E" w:rsidRDefault="0012790E">
            <w:pPr>
              <w:pStyle w:val="SummaryAgencyTitle-BP2"/>
              <w:rPr>
                <w:iCs/>
              </w:rPr>
            </w:pPr>
            <w:r w:rsidRPr="0012790E">
              <w:rPr>
                <w:iCs/>
              </w:rPr>
              <w:t>Department of Parliamentary Services</w:t>
            </w:r>
          </w:p>
        </w:tc>
        <w:tc>
          <w:tcPr>
            <w:tcW w:w="851" w:type="dxa"/>
            <w:vAlign w:val="bottom"/>
          </w:tcPr>
          <w:p w14:paraId="1478C500" w14:textId="77777777" w:rsidR="0012790E" w:rsidRPr="0012790E" w:rsidRDefault="0012790E">
            <w:pPr>
              <w:pStyle w:val="SummaryAgencyTitle-BP2"/>
              <w:rPr>
                <w:iCs/>
              </w:rPr>
            </w:pPr>
          </w:p>
        </w:tc>
        <w:tc>
          <w:tcPr>
            <w:tcW w:w="851" w:type="dxa"/>
            <w:shd w:val="clear" w:color="auto" w:fill="E6F2FF"/>
            <w:vAlign w:val="bottom"/>
          </w:tcPr>
          <w:p w14:paraId="782A3E54" w14:textId="77777777" w:rsidR="0012790E" w:rsidRPr="0012790E" w:rsidRDefault="0012790E">
            <w:pPr>
              <w:pStyle w:val="SummaryAgencyTitle-BP2"/>
              <w:rPr>
                <w:iCs/>
              </w:rPr>
            </w:pPr>
          </w:p>
        </w:tc>
        <w:tc>
          <w:tcPr>
            <w:tcW w:w="851" w:type="dxa"/>
            <w:vAlign w:val="bottom"/>
          </w:tcPr>
          <w:p w14:paraId="07A6189A" w14:textId="77777777" w:rsidR="0012790E" w:rsidRPr="0012790E" w:rsidRDefault="0012790E">
            <w:pPr>
              <w:pStyle w:val="SummaryAgencyTitle-BP2"/>
              <w:rPr>
                <w:iCs/>
              </w:rPr>
            </w:pPr>
          </w:p>
        </w:tc>
        <w:tc>
          <w:tcPr>
            <w:tcW w:w="851" w:type="dxa"/>
            <w:vAlign w:val="bottom"/>
          </w:tcPr>
          <w:p w14:paraId="0A0A77A2" w14:textId="77777777" w:rsidR="0012790E" w:rsidRPr="0012790E" w:rsidRDefault="0012790E">
            <w:pPr>
              <w:pStyle w:val="SummaryAgencyTitle-BP2"/>
              <w:rPr>
                <w:iCs/>
              </w:rPr>
            </w:pPr>
          </w:p>
        </w:tc>
        <w:tc>
          <w:tcPr>
            <w:tcW w:w="851" w:type="dxa"/>
            <w:vAlign w:val="bottom"/>
          </w:tcPr>
          <w:p w14:paraId="4E9C315B" w14:textId="77777777" w:rsidR="0012790E" w:rsidRPr="0012790E" w:rsidRDefault="0012790E">
            <w:pPr>
              <w:pStyle w:val="SummaryAgencyTitle-BP2"/>
              <w:rPr>
                <w:iCs/>
              </w:rPr>
            </w:pPr>
          </w:p>
        </w:tc>
      </w:tr>
      <w:tr w:rsidR="0012790E" w:rsidRPr="0012790E" w14:paraId="397025FD" w14:textId="77777777" w:rsidTr="54937204">
        <w:tc>
          <w:tcPr>
            <w:tcW w:w="3470" w:type="dxa"/>
            <w:shd w:val="clear" w:color="auto" w:fill="auto"/>
            <w:vAlign w:val="bottom"/>
          </w:tcPr>
          <w:p w14:paraId="7AF1839E" w14:textId="77777777" w:rsidR="0012790E" w:rsidRPr="0012790E" w:rsidRDefault="0012790E">
            <w:pPr>
              <w:pStyle w:val="SummaryMeasureTitlewithTheme"/>
            </w:pPr>
            <w:r w:rsidRPr="0012790E">
              <w:t>Parliamentary Departments – additional resourcing</w:t>
            </w:r>
          </w:p>
        </w:tc>
        <w:tc>
          <w:tcPr>
            <w:tcW w:w="851" w:type="dxa"/>
            <w:vAlign w:val="bottom"/>
          </w:tcPr>
          <w:p w14:paraId="1E534B7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C840DCA" w14:textId="77777777" w:rsidR="0012790E" w:rsidRPr="0012790E" w:rsidRDefault="0012790E">
            <w:pPr>
              <w:pStyle w:val="Summarytabletextrightaligned"/>
              <w:rPr>
                <w:szCs w:val="16"/>
              </w:rPr>
            </w:pPr>
            <w:r w:rsidRPr="0012790E">
              <w:rPr>
                <w:szCs w:val="16"/>
              </w:rPr>
              <w:t>26.2</w:t>
            </w:r>
          </w:p>
        </w:tc>
        <w:tc>
          <w:tcPr>
            <w:tcW w:w="851" w:type="dxa"/>
            <w:vAlign w:val="bottom"/>
          </w:tcPr>
          <w:p w14:paraId="71120999" w14:textId="77777777" w:rsidR="0012790E" w:rsidRPr="0012790E" w:rsidRDefault="0012790E">
            <w:pPr>
              <w:pStyle w:val="Summarytabletextrightaligned"/>
              <w:rPr>
                <w:szCs w:val="16"/>
              </w:rPr>
            </w:pPr>
            <w:r w:rsidRPr="0012790E">
              <w:rPr>
                <w:szCs w:val="16"/>
              </w:rPr>
              <w:t>31.8</w:t>
            </w:r>
          </w:p>
        </w:tc>
        <w:tc>
          <w:tcPr>
            <w:tcW w:w="851" w:type="dxa"/>
            <w:vAlign w:val="bottom"/>
          </w:tcPr>
          <w:p w14:paraId="5C071F4D" w14:textId="77777777" w:rsidR="0012790E" w:rsidRPr="0012790E" w:rsidRDefault="0012790E">
            <w:pPr>
              <w:pStyle w:val="Summarytabletextrightaligned"/>
              <w:rPr>
                <w:szCs w:val="16"/>
              </w:rPr>
            </w:pPr>
            <w:r w:rsidRPr="0012790E">
              <w:rPr>
                <w:szCs w:val="16"/>
              </w:rPr>
              <w:t>6.0</w:t>
            </w:r>
          </w:p>
        </w:tc>
        <w:tc>
          <w:tcPr>
            <w:tcW w:w="851" w:type="dxa"/>
            <w:vAlign w:val="bottom"/>
          </w:tcPr>
          <w:p w14:paraId="1848BC65" w14:textId="77777777" w:rsidR="0012790E" w:rsidRPr="0012790E" w:rsidRDefault="0012790E">
            <w:pPr>
              <w:pStyle w:val="Summarytabletextrightaligned"/>
              <w:rPr>
                <w:szCs w:val="16"/>
              </w:rPr>
            </w:pPr>
            <w:r w:rsidRPr="0012790E">
              <w:rPr>
                <w:szCs w:val="16"/>
              </w:rPr>
              <w:t>2.9</w:t>
            </w:r>
          </w:p>
        </w:tc>
      </w:tr>
      <w:tr w:rsidR="0012790E" w:rsidRPr="0012790E" w14:paraId="174DB304" w14:textId="77777777" w:rsidTr="54937204">
        <w:tc>
          <w:tcPr>
            <w:tcW w:w="3470" w:type="dxa"/>
            <w:shd w:val="clear" w:color="auto" w:fill="auto"/>
            <w:vAlign w:val="bottom"/>
          </w:tcPr>
          <w:p w14:paraId="1E6E36B3" w14:textId="77777777" w:rsidR="0012790E" w:rsidRPr="0012790E" w:rsidRDefault="0012790E">
            <w:pPr>
              <w:pStyle w:val="SummaryAgencyTitle-BP2"/>
              <w:rPr>
                <w:iCs/>
              </w:rPr>
            </w:pPr>
            <w:r w:rsidRPr="0012790E">
              <w:rPr>
                <w:iCs/>
              </w:rPr>
              <w:t>Department of the House of Representatives</w:t>
            </w:r>
          </w:p>
        </w:tc>
        <w:tc>
          <w:tcPr>
            <w:tcW w:w="851" w:type="dxa"/>
            <w:vAlign w:val="bottom"/>
          </w:tcPr>
          <w:p w14:paraId="05353810" w14:textId="77777777" w:rsidR="0012790E" w:rsidRPr="0012790E" w:rsidRDefault="0012790E">
            <w:pPr>
              <w:pStyle w:val="SummaryAgencyTitle-BP2"/>
              <w:rPr>
                <w:iCs/>
              </w:rPr>
            </w:pPr>
          </w:p>
        </w:tc>
        <w:tc>
          <w:tcPr>
            <w:tcW w:w="851" w:type="dxa"/>
            <w:shd w:val="clear" w:color="auto" w:fill="E6F2FF"/>
            <w:vAlign w:val="bottom"/>
          </w:tcPr>
          <w:p w14:paraId="65B478C7" w14:textId="77777777" w:rsidR="0012790E" w:rsidRPr="0012790E" w:rsidRDefault="0012790E">
            <w:pPr>
              <w:pStyle w:val="SummaryAgencyTitle-BP2"/>
              <w:rPr>
                <w:iCs/>
              </w:rPr>
            </w:pPr>
          </w:p>
        </w:tc>
        <w:tc>
          <w:tcPr>
            <w:tcW w:w="851" w:type="dxa"/>
            <w:vAlign w:val="bottom"/>
          </w:tcPr>
          <w:p w14:paraId="578A689F" w14:textId="77777777" w:rsidR="0012790E" w:rsidRPr="0012790E" w:rsidRDefault="0012790E">
            <w:pPr>
              <w:pStyle w:val="SummaryAgencyTitle-BP2"/>
              <w:rPr>
                <w:iCs/>
              </w:rPr>
            </w:pPr>
          </w:p>
        </w:tc>
        <w:tc>
          <w:tcPr>
            <w:tcW w:w="851" w:type="dxa"/>
            <w:vAlign w:val="bottom"/>
          </w:tcPr>
          <w:p w14:paraId="73DC7F0A" w14:textId="77777777" w:rsidR="0012790E" w:rsidRPr="0012790E" w:rsidRDefault="0012790E">
            <w:pPr>
              <w:pStyle w:val="SummaryAgencyTitle-BP2"/>
              <w:rPr>
                <w:iCs/>
              </w:rPr>
            </w:pPr>
          </w:p>
        </w:tc>
        <w:tc>
          <w:tcPr>
            <w:tcW w:w="851" w:type="dxa"/>
            <w:vAlign w:val="bottom"/>
          </w:tcPr>
          <w:p w14:paraId="6D029652" w14:textId="77777777" w:rsidR="0012790E" w:rsidRPr="0012790E" w:rsidRDefault="0012790E">
            <w:pPr>
              <w:pStyle w:val="SummaryAgencyTitle-BP2"/>
              <w:rPr>
                <w:iCs/>
              </w:rPr>
            </w:pPr>
          </w:p>
        </w:tc>
      </w:tr>
      <w:tr w:rsidR="0012790E" w:rsidRPr="0012790E" w14:paraId="52F894ED" w14:textId="77777777" w:rsidTr="54937204">
        <w:tc>
          <w:tcPr>
            <w:tcW w:w="3470" w:type="dxa"/>
            <w:shd w:val="clear" w:color="auto" w:fill="auto"/>
            <w:vAlign w:val="bottom"/>
          </w:tcPr>
          <w:p w14:paraId="1AD9513C" w14:textId="77777777" w:rsidR="0012790E" w:rsidRPr="0012790E" w:rsidRDefault="0012790E">
            <w:pPr>
              <w:pStyle w:val="SummaryMeasureTitlewithTheme"/>
            </w:pPr>
            <w:r w:rsidRPr="0012790E">
              <w:t>Parliamentary Departments – additional resourcing</w:t>
            </w:r>
          </w:p>
        </w:tc>
        <w:tc>
          <w:tcPr>
            <w:tcW w:w="851" w:type="dxa"/>
            <w:vAlign w:val="bottom"/>
          </w:tcPr>
          <w:p w14:paraId="1E0E27CA"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01944AE" w14:textId="77777777" w:rsidR="0012790E" w:rsidRPr="0012790E" w:rsidRDefault="0012790E">
            <w:pPr>
              <w:pStyle w:val="Summarytabletextrightaligned"/>
              <w:rPr>
                <w:szCs w:val="16"/>
              </w:rPr>
            </w:pPr>
            <w:r w:rsidRPr="0012790E">
              <w:rPr>
                <w:szCs w:val="16"/>
              </w:rPr>
              <w:t>1.5</w:t>
            </w:r>
          </w:p>
        </w:tc>
        <w:tc>
          <w:tcPr>
            <w:tcW w:w="851" w:type="dxa"/>
            <w:vAlign w:val="bottom"/>
          </w:tcPr>
          <w:p w14:paraId="046C87F4" w14:textId="77777777" w:rsidR="0012790E" w:rsidRPr="0012790E" w:rsidRDefault="0012790E">
            <w:pPr>
              <w:pStyle w:val="Summarytabletextrightaligned"/>
              <w:rPr>
                <w:szCs w:val="16"/>
              </w:rPr>
            </w:pPr>
            <w:r w:rsidRPr="0012790E">
              <w:rPr>
                <w:szCs w:val="16"/>
              </w:rPr>
              <w:t>1.2</w:t>
            </w:r>
          </w:p>
        </w:tc>
        <w:tc>
          <w:tcPr>
            <w:tcW w:w="851" w:type="dxa"/>
            <w:vAlign w:val="bottom"/>
          </w:tcPr>
          <w:p w14:paraId="52A84CB8" w14:textId="77777777" w:rsidR="0012790E" w:rsidRPr="0012790E" w:rsidRDefault="0012790E">
            <w:pPr>
              <w:pStyle w:val="Summarytabletextrightaligned"/>
              <w:rPr>
                <w:szCs w:val="16"/>
              </w:rPr>
            </w:pPr>
            <w:r w:rsidRPr="0012790E">
              <w:rPr>
                <w:szCs w:val="16"/>
              </w:rPr>
              <w:t>0.5</w:t>
            </w:r>
          </w:p>
        </w:tc>
        <w:tc>
          <w:tcPr>
            <w:tcW w:w="851" w:type="dxa"/>
            <w:vAlign w:val="bottom"/>
          </w:tcPr>
          <w:p w14:paraId="1D9407B6" w14:textId="77777777" w:rsidR="0012790E" w:rsidRPr="0012790E" w:rsidRDefault="0012790E">
            <w:pPr>
              <w:pStyle w:val="Summarytabletextrightaligned"/>
              <w:rPr>
                <w:szCs w:val="16"/>
              </w:rPr>
            </w:pPr>
            <w:r w:rsidRPr="0012790E">
              <w:rPr>
                <w:szCs w:val="16"/>
              </w:rPr>
              <w:t>0.6</w:t>
            </w:r>
          </w:p>
        </w:tc>
      </w:tr>
      <w:tr w:rsidR="0012790E" w:rsidRPr="0012790E" w14:paraId="6897371C" w14:textId="77777777" w:rsidTr="54937204">
        <w:tc>
          <w:tcPr>
            <w:tcW w:w="3470" w:type="dxa"/>
            <w:shd w:val="clear" w:color="auto" w:fill="auto"/>
            <w:vAlign w:val="bottom"/>
          </w:tcPr>
          <w:p w14:paraId="257630B3" w14:textId="77777777" w:rsidR="0012790E" w:rsidRPr="0012790E" w:rsidRDefault="0012790E">
            <w:pPr>
              <w:pStyle w:val="SummaryAgencyTitle-BP2"/>
              <w:rPr>
                <w:iCs/>
              </w:rPr>
            </w:pPr>
            <w:r w:rsidRPr="0012790E">
              <w:rPr>
                <w:iCs/>
              </w:rPr>
              <w:t>Department of the Senate</w:t>
            </w:r>
          </w:p>
        </w:tc>
        <w:tc>
          <w:tcPr>
            <w:tcW w:w="851" w:type="dxa"/>
            <w:vAlign w:val="bottom"/>
          </w:tcPr>
          <w:p w14:paraId="42370C62" w14:textId="77777777" w:rsidR="0012790E" w:rsidRPr="0012790E" w:rsidRDefault="0012790E">
            <w:pPr>
              <w:pStyle w:val="SummaryAgencyTitle-BP2"/>
              <w:rPr>
                <w:iCs/>
              </w:rPr>
            </w:pPr>
          </w:p>
        </w:tc>
        <w:tc>
          <w:tcPr>
            <w:tcW w:w="851" w:type="dxa"/>
            <w:shd w:val="clear" w:color="auto" w:fill="E6F2FF"/>
            <w:vAlign w:val="bottom"/>
          </w:tcPr>
          <w:p w14:paraId="54E2DEC5" w14:textId="77777777" w:rsidR="0012790E" w:rsidRPr="0012790E" w:rsidRDefault="0012790E">
            <w:pPr>
              <w:pStyle w:val="SummaryAgencyTitle-BP2"/>
              <w:rPr>
                <w:iCs/>
              </w:rPr>
            </w:pPr>
          </w:p>
        </w:tc>
        <w:tc>
          <w:tcPr>
            <w:tcW w:w="851" w:type="dxa"/>
            <w:vAlign w:val="bottom"/>
          </w:tcPr>
          <w:p w14:paraId="1E891D3C" w14:textId="77777777" w:rsidR="0012790E" w:rsidRPr="0012790E" w:rsidRDefault="0012790E">
            <w:pPr>
              <w:pStyle w:val="SummaryAgencyTitle-BP2"/>
              <w:rPr>
                <w:iCs/>
              </w:rPr>
            </w:pPr>
          </w:p>
        </w:tc>
        <w:tc>
          <w:tcPr>
            <w:tcW w:w="851" w:type="dxa"/>
            <w:vAlign w:val="bottom"/>
          </w:tcPr>
          <w:p w14:paraId="0D334F55" w14:textId="77777777" w:rsidR="0012790E" w:rsidRPr="0012790E" w:rsidRDefault="0012790E">
            <w:pPr>
              <w:pStyle w:val="SummaryAgencyTitle-BP2"/>
              <w:rPr>
                <w:iCs/>
              </w:rPr>
            </w:pPr>
          </w:p>
        </w:tc>
        <w:tc>
          <w:tcPr>
            <w:tcW w:w="851" w:type="dxa"/>
            <w:vAlign w:val="bottom"/>
          </w:tcPr>
          <w:p w14:paraId="04771CC4" w14:textId="77777777" w:rsidR="0012790E" w:rsidRPr="0012790E" w:rsidRDefault="0012790E">
            <w:pPr>
              <w:pStyle w:val="SummaryAgencyTitle-BP2"/>
              <w:rPr>
                <w:iCs/>
              </w:rPr>
            </w:pPr>
          </w:p>
        </w:tc>
      </w:tr>
      <w:tr w:rsidR="0012790E" w:rsidRPr="0012790E" w14:paraId="3280CA72" w14:textId="77777777" w:rsidTr="54937204">
        <w:tc>
          <w:tcPr>
            <w:tcW w:w="3470" w:type="dxa"/>
            <w:shd w:val="clear" w:color="auto" w:fill="auto"/>
            <w:vAlign w:val="bottom"/>
          </w:tcPr>
          <w:p w14:paraId="0C2A17F3" w14:textId="77777777" w:rsidR="0012790E" w:rsidRPr="0012790E" w:rsidRDefault="0012790E">
            <w:pPr>
              <w:pStyle w:val="SummaryMeasureTitlewithTheme"/>
            </w:pPr>
            <w:r w:rsidRPr="0012790E">
              <w:t>Parliamentary Departments – additional resourcing</w:t>
            </w:r>
          </w:p>
        </w:tc>
        <w:tc>
          <w:tcPr>
            <w:tcW w:w="851" w:type="dxa"/>
            <w:tcBorders>
              <w:bottom w:val="single" w:sz="4" w:space="0" w:color="293F5B"/>
            </w:tcBorders>
            <w:vAlign w:val="bottom"/>
          </w:tcPr>
          <w:p w14:paraId="45E57289"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0E67C086" w14:textId="77777777" w:rsidR="0012790E" w:rsidRPr="0012790E" w:rsidRDefault="0012790E">
            <w:pPr>
              <w:pStyle w:val="Summarytabletextrightaligned"/>
              <w:rPr>
                <w:szCs w:val="16"/>
              </w:rPr>
            </w:pPr>
            <w:r w:rsidRPr="0012790E">
              <w:rPr>
                <w:szCs w:val="16"/>
              </w:rPr>
              <w:t>1.1</w:t>
            </w:r>
          </w:p>
        </w:tc>
        <w:tc>
          <w:tcPr>
            <w:tcW w:w="851" w:type="dxa"/>
            <w:tcBorders>
              <w:bottom w:val="single" w:sz="4" w:space="0" w:color="293F5B"/>
            </w:tcBorders>
            <w:vAlign w:val="bottom"/>
          </w:tcPr>
          <w:p w14:paraId="3D51847C" w14:textId="77777777" w:rsidR="0012790E" w:rsidRPr="0012790E" w:rsidRDefault="0012790E">
            <w:pPr>
              <w:pStyle w:val="Summarytabletextrightaligned"/>
              <w:rPr>
                <w:szCs w:val="16"/>
              </w:rPr>
            </w:pPr>
            <w:r w:rsidRPr="0012790E">
              <w:rPr>
                <w:szCs w:val="16"/>
              </w:rPr>
              <w:t>1.2</w:t>
            </w:r>
          </w:p>
        </w:tc>
        <w:tc>
          <w:tcPr>
            <w:tcW w:w="851" w:type="dxa"/>
            <w:tcBorders>
              <w:bottom w:val="single" w:sz="4" w:space="0" w:color="293F5B"/>
            </w:tcBorders>
            <w:vAlign w:val="bottom"/>
          </w:tcPr>
          <w:p w14:paraId="7B545E89" w14:textId="77777777" w:rsidR="0012790E" w:rsidRPr="0012790E" w:rsidRDefault="0012790E">
            <w:pPr>
              <w:pStyle w:val="Summarytabletextrightaligned"/>
              <w:rPr>
                <w:szCs w:val="16"/>
              </w:rPr>
            </w:pPr>
            <w:r w:rsidRPr="0012790E">
              <w:rPr>
                <w:szCs w:val="16"/>
              </w:rPr>
              <w:t>0.3</w:t>
            </w:r>
          </w:p>
        </w:tc>
        <w:tc>
          <w:tcPr>
            <w:tcW w:w="851" w:type="dxa"/>
            <w:tcBorders>
              <w:bottom w:val="single" w:sz="4" w:space="0" w:color="293F5B"/>
            </w:tcBorders>
            <w:vAlign w:val="bottom"/>
          </w:tcPr>
          <w:p w14:paraId="6EBBB7A3" w14:textId="77777777" w:rsidR="0012790E" w:rsidRPr="0012790E" w:rsidRDefault="0012790E">
            <w:pPr>
              <w:pStyle w:val="Summarytabletextrightaligned"/>
              <w:rPr>
                <w:szCs w:val="16"/>
              </w:rPr>
            </w:pPr>
            <w:r w:rsidRPr="0012790E">
              <w:rPr>
                <w:szCs w:val="16"/>
              </w:rPr>
              <w:t>0.3</w:t>
            </w:r>
          </w:p>
        </w:tc>
      </w:tr>
      <w:tr w:rsidR="0012790E" w:rsidRPr="0012790E" w14:paraId="5152D218" w14:textId="77777777" w:rsidTr="54937204">
        <w:tc>
          <w:tcPr>
            <w:tcW w:w="3470" w:type="dxa"/>
            <w:shd w:val="clear" w:color="auto" w:fill="auto"/>
            <w:vAlign w:val="bottom"/>
          </w:tcPr>
          <w:p w14:paraId="11E3565A" w14:textId="77777777" w:rsidR="0012790E" w:rsidRPr="0012790E" w:rsidRDefault="0012790E">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5974737D" w14:textId="77777777" w:rsidR="0012790E" w:rsidRPr="0012790E" w:rsidRDefault="0012790E">
            <w:pPr>
              <w:pStyle w:val="Summarytabletextrightalignedbold"/>
              <w:rPr>
                <w:bCs/>
                <w:szCs w:val="16"/>
              </w:rPr>
            </w:pPr>
            <w:r w:rsidRPr="0012790E">
              <w:rPr>
                <w:bCs/>
                <w:szCs w:val="16"/>
              </w:rPr>
              <w:noBreakHyphen/>
            </w:r>
          </w:p>
        </w:tc>
        <w:tc>
          <w:tcPr>
            <w:tcW w:w="851" w:type="dxa"/>
            <w:tcBorders>
              <w:top w:val="single" w:sz="4" w:space="0" w:color="293F5B"/>
              <w:bottom w:val="single" w:sz="4" w:space="0" w:color="293F5B"/>
            </w:tcBorders>
            <w:shd w:val="clear" w:color="auto" w:fill="E6F2FF"/>
            <w:vAlign w:val="bottom"/>
          </w:tcPr>
          <w:p w14:paraId="637F7679" w14:textId="77777777" w:rsidR="0012790E" w:rsidRPr="0012790E" w:rsidRDefault="0012790E">
            <w:pPr>
              <w:pStyle w:val="Summarytabletextrightalignedbold"/>
              <w:rPr>
                <w:bCs/>
                <w:szCs w:val="16"/>
              </w:rPr>
            </w:pPr>
            <w:r w:rsidRPr="0012790E">
              <w:rPr>
                <w:bCs/>
                <w:szCs w:val="16"/>
              </w:rPr>
              <w:t>28.9</w:t>
            </w:r>
          </w:p>
        </w:tc>
        <w:tc>
          <w:tcPr>
            <w:tcW w:w="851" w:type="dxa"/>
            <w:tcBorders>
              <w:top w:val="single" w:sz="4" w:space="0" w:color="293F5B"/>
              <w:bottom w:val="single" w:sz="4" w:space="0" w:color="293F5B"/>
            </w:tcBorders>
            <w:vAlign w:val="bottom"/>
          </w:tcPr>
          <w:p w14:paraId="2BF0E7A9" w14:textId="77777777" w:rsidR="0012790E" w:rsidRPr="0012790E" w:rsidRDefault="0012790E">
            <w:pPr>
              <w:pStyle w:val="Summarytabletextrightalignedbold"/>
              <w:rPr>
                <w:bCs/>
                <w:szCs w:val="16"/>
              </w:rPr>
            </w:pPr>
            <w:r w:rsidRPr="0012790E">
              <w:rPr>
                <w:bCs/>
                <w:szCs w:val="16"/>
              </w:rPr>
              <w:t>34.2</w:t>
            </w:r>
          </w:p>
        </w:tc>
        <w:tc>
          <w:tcPr>
            <w:tcW w:w="851" w:type="dxa"/>
            <w:tcBorders>
              <w:top w:val="single" w:sz="4" w:space="0" w:color="293F5B"/>
              <w:bottom w:val="single" w:sz="4" w:space="0" w:color="293F5B"/>
            </w:tcBorders>
            <w:vAlign w:val="bottom"/>
          </w:tcPr>
          <w:p w14:paraId="53F400DB" w14:textId="77777777" w:rsidR="0012790E" w:rsidRPr="0012790E" w:rsidRDefault="0012790E">
            <w:pPr>
              <w:pStyle w:val="Summarytabletextrightalignedbold"/>
              <w:rPr>
                <w:bCs/>
                <w:szCs w:val="16"/>
              </w:rPr>
            </w:pPr>
            <w:r w:rsidRPr="0012790E">
              <w:rPr>
                <w:bCs/>
                <w:szCs w:val="16"/>
              </w:rPr>
              <w:t>6.9</w:t>
            </w:r>
          </w:p>
        </w:tc>
        <w:tc>
          <w:tcPr>
            <w:tcW w:w="851" w:type="dxa"/>
            <w:tcBorders>
              <w:top w:val="single" w:sz="4" w:space="0" w:color="293F5B"/>
              <w:bottom w:val="single" w:sz="4" w:space="0" w:color="293F5B"/>
            </w:tcBorders>
            <w:vAlign w:val="bottom"/>
          </w:tcPr>
          <w:p w14:paraId="52D1AFD1" w14:textId="77777777" w:rsidR="0012790E" w:rsidRPr="0012790E" w:rsidRDefault="0012790E">
            <w:pPr>
              <w:pStyle w:val="Summarytabletextrightalignedbold"/>
              <w:rPr>
                <w:bCs/>
                <w:szCs w:val="16"/>
              </w:rPr>
            </w:pPr>
            <w:r w:rsidRPr="0012790E">
              <w:rPr>
                <w:bCs/>
                <w:szCs w:val="16"/>
              </w:rPr>
              <w:t>3.8</w:t>
            </w:r>
          </w:p>
        </w:tc>
      </w:tr>
      <w:tr w:rsidR="0012790E" w:rsidRPr="0012790E" w14:paraId="01056D05" w14:textId="77777777" w:rsidTr="54937204">
        <w:tc>
          <w:tcPr>
            <w:tcW w:w="3470" w:type="dxa"/>
            <w:shd w:val="clear" w:color="auto" w:fill="auto"/>
            <w:vAlign w:val="bottom"/>
          </w:tcPr>
          <w:p w14:paraId="7152D582" w14:textId="77777777" w:rsidR="0012790E" w:rsidRPr="0012790E" w:rsidRDefault="0012790E">
            <w:pPr>
              <w:pStyle w:val="SummaryPortfolioTitle-BP2"/>
            </w:pPr>
            <w:r w:rsidRPr="0012790E">
              <w:t>PRIME MINISTER AND CABINET</w:t>
            </w:r>
          </w:p>
        </w:tc>
        <w:tc>
          <w:tcPr>
            <w:tcW w:w="851" w:type="dxa"/>
            <w:tcBorders>
              <w:top w:val="single" w:sz="4" w:space="0" w:color="293F5B"/>
            </w:tcBorders>
            <w:vAlign w:val="bottom"/>
          </w:tcPr>
          <w:p w14:paraId="11D5C08F" w14:textId="77777777" w:rsidR="0012790E" w:rsidRPr="0012790E" w:rsidRDefault="0012790E">
            <w:pPr>
              <w:pStyle w:val="MeasureTableTextRightAlignedBefore6ptAfter1pt"/>
              <w:rPr>
                <w:b/>
                <w:bCs/>
              </w:rPr>
            </w:pPr>
          </w:p>
        </w:tc>
        <w:tc>
          <w:tcPr>
            <w:tcW w:w="851" w:type="dxa"/>
            <w:tcBorders>
              <w:top w:val="single" w:sz="4" w:space="0" w:color="293F5B"/>
            </w:tcBorders>
            <w:shd w:val="clear" w:color="auto" w:fill="E6F2FF"/>
            <w:vAlign w:val="bottom"/>
          </w:tcPr>
          <w:p w14:paraId="5048E9D1"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183ED5CA"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3D9C5836"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31F0E171" w14:textId="77777777" w:rsidR="0012790E" w:rsidRPr="0012790E" w:rsidRDefault="0012790E">
            <w:pPr>
              <w:pStyle w:val="MeasureTableTextRightAlignedBefore6ptAfter1pt"/>
              <w:rPr>
                <w:b/>
                <w:bCs/>
              </w:rPr>
            </w:pPr>
          </w:p>
        </w:tc>
      </w:tr>
      <w:tr w:rsidR="0012790E" w:rsidRPr="0012790E" w14:paraId="3781FA19" w14:textId="77777777" w:rsidTr="54937204">
        <w:tc>
          <w:tcPr>
            <w:tcW w:w="3470" w:type="dxa"/>
            <w:shd w:val="clear" w:color="auto" w:fill="auto"/>
            <w:vAlign w:val="bottom"/>
          </w:tcPr>
          <w:p w14:paraId="4833F870" w14:textId="77777777" w:rsidR="0012790E" w:rsidRPr="0012790E" w:rsidRDefault="0012790E">
            <w:pPr>
              <w:pStyle w:val="SummaryAgencyTitle-BP2"/>
              <w:rPr>
                <w:iCs/>
              </w:rPr>
            </w:pPr>
            <w:r w:rsidRPr="0012790E">
              <w:rPr>
                <w:iCs/>
              </w:rPr>
              <w:t>Australian Institute of Aboriginal and Torres Strait Islander Studies</w:t>
            </w:r>
          </w:p>
        </w:tc>
        <w:tc>
          <w:tcPr>
            <w:tcW w:w="851" w:type="dxa"/>
            <w:vAlign w:val="bottom"/>
          </w:tcPr>
          <w:p w14:paraId="0CCEAD32" w14:textId="77777777" w:rsidR="0012790E" w:rsidRPr="0012790E" w:rsidRDefault="0012790E">
            <w:pPr>
              <w:pStyle w:val="SummaryAgencyTitle-BP2"/>
              <w:rPr>
                <w:iCs/>
              </w:rPr>
            </w:pPr>
          </w:p>
        </w:tc>
        <w:tc>
          <w:tcPr>
            <w:tcW w:w="851" w:type="dxa"/>
            <w:shd w:val="clear" w:color="auto" w:fill="E6F2FF"/>
            <w:vAlign w:val="bottom"/>
          </w:tcPr>
          <w:p w14:paraId="6FD70132" w14:textId="77777777" w:rsidR="0012790E" w:rsidRPr="0012790E" w:rsidRDefault="0012790E">
            <w:pPr>
              <w:pStyle w:val="SummaryAgencyTitle-BP2"/>
              <w:rPr>
                <w:iCs/>
              </w:rPr>
            </w:pPr>
          </w:p>
        </w:tc>
        <w:tc>
          <w:tcPr>
            <w:tcW w:w="851" w:type="dxa"/>
            <w:vAlign w:val="bottom"/>
          </w:tcPr>
          <w:p w14:paraId="2655D78C" w14:textId="77777777" w:rsidR="0012790E" w:rsidRPr="0012790E" w:rsidRDefault="0012790E">
            <w:pPr>
              <w:pStyle w:val="SummaryAgencyTitle-BP2"/>
              <w:rPr>
                <w:iCs/>
              </w:rPr>
            </w:pPr>
          </w:p>
        </w:tc>
        <w:tc>
          <w:tcPr>
            <w:tcW w:w="851" w:type="dxa"/>
            <w:vAlign w:val="bottom"/>
          </w:tcPr>
          <w:p w14:paraId="463ADD6A" w14:textId="77777777" w:rsidR="0012790E" w:rsidRPr="0012790E" w:rsidRDefault="0012790E">
            <w:pPr>
              <w:pStyle w:val="SummaryAgencyTitle-BP2"/>
              <w:rPr>
                <w:iCs/>
              </w:rPr>
            </w:pPr>
          </w:p>
        </w:tc>
        <w:tc>
          <w:tcPr>
            <w:tcW w:w="851" w:type="dxa"/>
            <w:vAlign w:val="bottom"/>
          </w:tcPr>
          <w:p w14:paraId="5B4D1741" w14:textId="77777777" w:rsidR="0012790E" w:rsidRPr="0012790E" w:rsidRDefault="0012790E">
            <w:pPr>
              <w:pStyle w:val="SummaryAgencyTitle-BP2"/>
              <w:rPr>
                <w:iCs/>
              </w:rPr>
            </w:pPr>
          </w:p>
        </w:tc>
      </w:tr>
      <w:tr w:rsidR="0012790E" w:rsidRPr="0012790E" w14:paraId="3E42637C" w14:textId="77777777" w:rsidTr="54937204">
        <w:tc>
          <w:tcPr>
            <w:tcW w:w="3470" w:type="dxa"/>
            <w:shd w:val="clear" w:color="auto" w:fill="auto"/>
            <w:vAlign w:val="bottom"/>
          </w:tcPr>
          <w:p w14:paraId="106450A0" w14:textId="77777777" w:rsidR="0012790E" w:rsidRPr="0012790E" w:rsidRDefault="0012790E">
            <w:pPr>
              <w:pStyle w:val="SummaryMeasureTitlewithTheme"/>
            </w:pPr>
            <w:r w:rsidRPr="0012790E">
              <w:t>Further Investment to Closing the Gap</w:t>
            </w:r>
          </w:p>
        </w:tc>
        <w:tc>
          <w:tcPr>
            <w:tcW w:w="851" w:type="dxa"/>
            <w:vAlign w:val="bottom"/>
          </w:tcPr>
          <w:p w14:paraId="7375BEC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7258C8D" w14:textId="5579BF1F" w:rsidR="0012790E" w:rsidRPr="0012790E" w:rsidRDefault="00ED69F3">
            <w:pPr>
              <w:pStyle w:val="Summarytabletextrightaligned"/>
              <w:rPr>
                <w:szCs w:val="16"/>
              </w:rPr>
            </w:pPr>
            <w:r>
              <w:rPr>
                <w:szCs w:val="16"/>
              </w:rPr>
              <w:t>2.5</w:t>
            </w:r>
          </w:p>
        </w:tc>
        <w:tc>
          <w:tcPr>
            <w:tcW w:w="851" w:type="dxa"/>
            <w:vAlign w:val="bottom"/>
          </w:tcPr>
          <w:p w14:paraId="468DBB30" w14:textId="77777777" w:rsidR="0012790E" w:rsidRPr="0012790E" w:rsidRDefault="0012790E">
            <w:pPr>
              <w:pStyle w:val="Summarytabletextrightaligned"/>
              <w:rPr>
                <w:szCs w:val="16"/>
              </w:rPr>
            </w:pPr>
            <w:r w:rsidRPr="0012790E">
              <w:rPr>
                <w:szCs w:val="16"/>
              </w:rPr>
              <w:t>2.6</w:t>
            </w:r>
          </w:p>
        </w:tc>
        <w:tc>
          <w:tcPr>
            <w:tcW w:w="851" w:type="dxa"/>
            <w:vAlign w:val="bottom"/>
          </w:tcPr>
          <w:p w14:paraId="46530298" w14:textId="77777777" w:rsidR="0012790E" w:rsidRPr="0012790E" w:rsidRDefault="0012790E">
            <w:pPr>
              <w:pStyle w:val="Summarytabletextrightaligned"/>
              <w:rPr>
                <w:szCs w:val="16"/>
              </w:rPr>
            </w:pPr>
            <w:r w:rsidRPr="0012790E">
              <w:rPr>
                <w:szCs w:val="16"/>
              </w:rPr>
              <w:t>2.6</w:t>
            </w:r>
          </w:p>
        </w:tc>
        <w:tc>
          <w:tcPr>
            <w:tcW w:w="851" w:type="dxa"/>
            <w:vAlign w:val="bottom"/>
          </w:tcPr>
          <w:p w14:paraId="7997591B" w14:textId="77777777" w:rsidR="0012790E" w:rsidRPr="0012790E" w:rsidRDefault="0012790E">
            <w:pPr>
              <w:pStyle w:val="Summarytabletextrightaligned"/>
              <w:rPr>
                <w:szCs w:val="16"/>
              </w:rPr>
            </w:pPr>
            <w:r w:rsidRPr="0012790E">
              <w:rPr>
                <w:szCs w:val="16"/>
              </w:rPr>
              <w:t>2.7</w:t>
            </w:r>
          </w:p>
        </w:tc>
      </w:tr>
      <w:tr w:rsidR="0012790E" w:rsidRPr="0012790E" w14:paraId="1ADA39FD" w14:textId="77777777" w:rsidTr="54937204">
        <w:tc>
          <w:tcPr>
            <w:tcW w:w="3470" w:type="dxa"/>
            <w:shd w:val="clear" w:color="auto" w:fill="auto"/>
            <w:vAlign w:val="bottom"/>
          </w:tcPr>
          <w:p w14:paraId="13EF5D7F" w14:textId="77777777" w:rsidR="0012790E" w:rsidRPr="0012790E" w:rsidRDefault="0012790E">
            <w:pPr>
              <w:pStyle w:val="SummaryAgencyTitle-BP2"/>
              <w:rPr>
                <w:iCs/>
              </w:rPr>
            </w:pPr>
            <w:r w:rsidRPr="0012790E">
              <w:rPr>
                <w:iCs/>
              </w:rPr>
              <w:t>Australian Public Service Commission</w:t>
            </w:r>
          </w:p>
        </w:tc>
        <w:tc>
          <w:tcPr>
            <w:tcW w:w="851" w:type="dxa"/>
            <w:vAlign w:val="bottom"/>
          </w:tcPr>
          <w:p w14:paraId="60E2959F" w14:textId="77777777" w:rsidR="0012790E" w:rsidRPr="0012790E" w:rsidRDefault="0012790E">
            <w:pPr>
              <w:pStyle w:val="SummaryAgencyTitle-BP2"/>
              <w:rPr>
                <w:iCs/>
              </w:rPr>
            </w:pPr>
          </w:p>
        </w:tc>
        <w:tc>
          <w:tcPr>
            <w:tcW w:w="851" w:type="dxa"/>
            <w:shd w:val="clear" w:color="auto" w:fill="E6F2FF"/>
            <w:vAlign w:val="bottom"/>
          </w:tcPr>
          <w:p w14:paraId="6F92CF59" w14:textId="77777777" w:rsidR="0012790E" w:rsidRPr="0012790E" w:rsidRDefault="0012790E">
            <w:pPr>
              <w:pStyle w:val="SummaryAgencyTitle-BP2"/>
              <w:rPr>
                <w:iCs/>
              </w:rPr>
            </w:pPr>
          </w:p>
        </w:tc>
        <w:tc>
          <w:tcPr>
            <w:tcW w:w="851" w:type="dxa"/>
            <w:vAlign w:val="bottom"/>
          </w:tcPr>
          <w:p w14:paraId="6E297A52" w14:textId="77777777" w:rsidR="0012790E" w:rsidRPr="0012790E" w:rsidRDefault="0012790E">
            <w:pPr>
              <w:pStyle w:val="SummaryAgencyTitle-BP2"/>
              <w:rPr>
                <w:iCs/>
              </w:rPr>
            </w:pPr>
          </w:p>
        </w:tc>
        <w:tc>
          <w:tcPr>
            <w:tcW w:w="851" w:type="dxa"/>
            <w:vAlign w:val="bottom"/>
          </w:tcPr>
          <w:p w14:paraId="484698B2" w14:textId="77777777" w:rsidR="0012790E" w:rsidRPr="0012790E" w:rsidRDefault="0012790E">
            <w:pPr>
              <w:pStyle w:val="SummaryAgencyTitle-BP2"/>
              <w:rPr>
                <w:iCs/>
              </w:rPr>
            </w:pPr>
          </w:p>
        </w:tc>
        <w:tc>
          <w:tcPr>
            <w:tcW w:w="851" w:type="dxa"/>
            <w:vAlign w:val="bottom"/>
          </w:tcPr>
          <w:p w14:paraId="575CB6B6" w14:textId="77777777" w:rsidR="0012790E" w:rsidRPr="0012790E" w:rsidRDefault="0012790E">
            <w:pPr>
              <w:pStyle w:val="SummaryAgencyTitle-BP2"/>
              <w:rPr>
                <w:iCs/>
              </w:rPr>
            </w:pPr>
          </w:p>
        </w:tc>
      </w:tr>
      <w:tr w:rsidR="0012790E" w:rsidRPr="0012790E" w14:paraId="14371095" w14:textId="77777777" w:rsidTr="54937204">
        <w:tc>
          <w:tcPr>
            <w:tcW w:w="3470" w:type="dxa"/>
            <w:shd w:val="clear" w:color="auto" w:fill="auto"/>
            <w:vAlign w:val="bottom"/>
          </w:tcPr>
          <w:p w14:paraId="40EF5888" w14:textId="77777777" w:rsidR="0012790E" w:rsidRPr="0012790E" w:rsidRDefault="0012790E">
            <w:pPr>
              <w:pStyle w:val="SummaryMeasureTitlewithTheme"/>
            </w:pPr>
            <w:r w:rsidRPr="0012790E">
              <w:t>APS Capability Reinvestment Fund: 2024</w:t>
            </w:r>
            <w:r w:rsidRPr="0012790E">
              <w:noBreakHyphen/>
              <w:t>25 projects funded under round two</w:t>
            </w:r>
          </w:p>
        </w:tc>
        <w:tc>
          <w:tcPr>
            <w:tcW w:w="851" w:type="dxa"/>
            <w:vAlign w:val="bottom"/>
          </w:tcPr>
          <w:p w14:paraId="3924270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AFA3EA4" w14:textId="3AA5DD3B" w:rsidR="0012790E" w:rsidRPr="0012790E" w:rsidRDefault="00B92B04">
            <w:pPr>
              <w:pStyle w:val="Summarytabletextrightaligned"/>
              <w:rPr>
                <w:szCs w:val="16"/>
              </w:rPr>
            </w:pPr>
            <w:r>
              <w:rPr>
                <w:szCs w:val="16"/>
              </w:rPr>
              <w:t>-</w:t>
            </w:r>
          </w:p>
        </w:tc>
        <w:tc>
          <w:tcPr>
            <w:tcW w:w="851" w:type="dxa"/>
            <w:vAlign w:val="bottom"/>
          </w:tcPr>
          <w:p w14:paraId="2D41E02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34162C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E775CFD" w14:textId="77777777" w:rsidR="0012790E" w:rsidRPr="0012790E" w:rsidRDefault="0012790E">
            <w:pPr>
              <w:pStyle w:val="Summarytabletextrightaligned"/>
              <w:rPr>
                <w:szCs w:val="16"/>
              </w:rPr>
            </w:pPr>
            <w:r w:rsidRPr="0012790E">
              <w:rPr>
                <w:szCs w:val="16"/>
              </w:rPr>
              <w:noBreakHyphen/>
            </w:r>
          </w:p>
        </w:tc>
      </w:tr>
      <w:tr w:rsidR="0012790E" w:rsidRPr="0012790E" w14:paraId="30BA5825" w14:textId="77777777" w:rsidTr="54937204">
        <w:tc>
          <w:tcPr>
            <w:tcW w:w="3470" w:type="dxa"/>
            <w:shd w:val="clear" w:color="auto" w:fill="auto"/>
            <w:vAlign w:val="bottom"/>
          </w:tcPr>
          <w:p w14:paraId="1F83E039" w14:textId="77777777" w:rsidR="0012790E" w:rsidRPr="0012790E" w:rsidRDefault="0012790E">
            <w:pPr>
              <w:pStyle w:val="SummaryMeasureTitlewithTheme"/>
            </w:pPr>
            <w:r w:rsidRPr="0012790E">
              <w:t>Prime Minister and Cabinet – additional resourcing</w:t>
            </w:r>
          </w:p>
        </w:tc>
        <w:tc>
          <w:tcPr>
            <w:tcW w:w="851" w:type="dxa"/>
            <w:vAlign w:val="bottom"/>
          </w:tcPr>
          <w:p w14:paraId="213DB81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7CCD600" w14:textId="77777777" w:rsidR="0012790E" w:rsidRPr="0012790E" w:rsidRDefault="0012790E">
            <w:pPr>
              <w:pStyle w:val="Summarytabletextrightaligned"/>
              <w:rPr>
                <w:szCs w:val="16"/>
              </w:rPr>
            </w:pPr>
            <w:r w:rsidRPr="0012790E">
              <w:rPr>
                <w:szCs w:val="16"/>
              </w:rPr>
              <w:t>4.8</w:t>
            </w:r>
          </w:p>
        </w:tc>
        <w:tc>
          <w:tcPr>
            <w:tcW w:w="851" w:type="dxa"/>
            <w:vAlign w:val="bottom"/>
          </w:tcPr>
          <w:p w14:paraId="683A90F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9D770A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90A71BE" w14:textId="77777777" w:rsidR="0012790E" w:rsidRPr="0012790E" w:rsidRDefault="0012790E">
            <w:pPr>
              <w:pStyle w:val="Summarytabletextrightaligned"/>
              <w:rPr>
                <w:szCs w:val="16"/>
              </w:rPr>
            </w:pPr>
            <w:r w:rsidRPr="0012790E">
              <w:rPr>
                <w:szCs w:val="16"/>
              </w:rPr>
              <w:noBreakHyphen/>
            </w:r>
          </w:p>
        </w:tc>
      </w:tr>
      <w:tr w:rsidR="0012790E" w:rsidRPr="0012790E" w14:paraId="66CF2CF9" w14:textId="77777777" w:rsidTr="54937204">
        <w:tc>
          <w:tcPr>
            <w:tcW w:w="3470" w:type="dxa"/>
            <w:shd w:val="clear" w:color="auto" w:fill="auto"/>
            <w:vAlign w:val="bottom"/>
          </w:tcPr>
          <w:p w14:paraId="77D46046" w14:textId="77777777" w:rsidR="0012790E" w:rsidRPr="0012790E" w:rsidRDefault="0012790E">
            <w:pPr>
              <w:pStyle w:val="SummaryAgencyTitle-BP2"/>
              <w:rPr>
                <w:iCs/>
              </w:rPr>
            </w:pPr>
            <w:r w:rsidRPr="0012790E">
              <w:rPr>
                <w:iCs/>
              </w:rPr>
              <w:t>Department of the Prime Minister and Cabinet</w:t>
            </w:r>
          </w:p>
        </w:tc>
        <w:tc>
          <w:tcPr>
            <w:tcW w:w="851" w:type="dxa"/>
            <w:vAlign w:val="bottom"/>
          </w:tcPr>
          <w:p w14:paraId="297E5FA8" w14:textId="77777777" w:rsidR="0012790E" w:rsidRPr="0012790E" w:rsidRDefault="0012790E">
            <w:pPr>
              <w:pStyle w:val="SummaryAgencyTitle-BP2"/>
              <w:rPr>
                <w:iCs/>
              </w:rPr>
            </w:pPr>
          </w:p>
        </w:tc>
        <w:tc>
          <w:tcPr>
            <w:tcW w:w="851" w:type="dxa"/>
            <w:shd w:val="clear" w:color="auto" w:fill="E6F2FF"/>
            <w:vAlign w:val="bottom"/>
          </w:tcPr>
          <w:p w14:paraId="70287E2E" w14:textId="77777777" w:rsidR="0012790E" w:rsidRPr="0012790E" w:rsidRDefault="0012790E">
            <w:pPr>
              <w:pStyle w:val="SummaryAgencyTitle-BP2"/>
              <w:rPr>
                <w:iCs/>
              </w:rPr>
            </w:pPr>
          </w:p>
        </w:tc>
        <w:tc>
          <w:tcPr>
            <w:tcW w:w="851" w:type="dxa"/>
            <w:vAlign w:val="bottom"/>
          </w:tcPr>
          <w:p w14:paraId="5C7D95DB" w14:textId="77777777" w:rsidR="0012790E" w:rsidRPr="0012790E" w:rsidRDefault="0012790E">
            <w:pPr>
              <w:pStyle w:val="SummaryAgencyTitle-BP2"/>
              <w:rPr>
                <w:iCs/>
              </w:rPr>
            </w:pPr>
          </w:p>
        </w:tc>
        <w:tc>
          <w:tcPr>
            <w:tcW w:w="851" w:type="dxa"/>
            <w:vAlign w:val="bottom"/>
          </w:tcPr>
          <w:p w14:paraId="58EAE92B" w14:textId="77777777" w:rsidR="0012790E" w:rsidRPr="0012790E" w:rsidRDefault="0012790E">
            <w:pPr>
              <w:pStyle w:val="SummaryAgencyTitle-BP2"/>
              <w:rPr>
                <w:iCs/>
              </w:rPr>
            </w:pPr>
          </w:p>
        </w:tc>
        <w:tc>
          <w:tcPr>
            <w:tcW w:w="851" w:type="dxa"/>
            <w:vAlign w:val="bottom"/>
          </w:tcPr>
          <w:p w14:paraId="47000511" w14:textId="77777777" w:rsidR="0012790E" w:rsidRPr="0012790E" w:rsidRDefault="0012790E">
            <w:pPr>
              <w:pStyle w:val="SummaryAgencyTitle-BP2"/>
              <w:rPr>
                <w:iCs/>
              </w:rPr>
            </w:pPr>
          </w:p>
        </w:tc>
      </w:tr>
      <w:tr w:rsidR="0012790E" w:rsidRPr="0012790E" w14:paraId="1D4E0972" w14:textId="77777777" w:rsidTr="54937204">
        <w:tc>
          <w:tcPr>
            <w:tcW w:w="3470" w:type="dxa"/>
            <w:shd w:val="clear" w:color="auto" w:fill="auto"/>
            <w:vAlign w:val="bottom"/>
          </w:tcPr>
          <w:p w14:paraId="34FD3775" w14:textId="77777777" w:rsidR="0012790E" w:rsidRPr="0012790E" w:rsidRDefault="0012790E">
            <w:pPr>
              <w:pStyle w:val="SummaryMeasureTitlewithTheme"/>
            </w:pPr>
            <w:r w:rsidRPr="0012790E">
              <w:t>APS Capability Reinvestment Fund: 2024</w:t>
            </w:r>
            <w:r w:rsidRPr="0012790E">
              <w:noBreakHyphen/>
              <w:t>25 projects funded under round two</w:t>
            </w:r>
          </w:p>
        </w:tc>
        <w:tc>
          <w:tcPr>
            <w:tcW w:w="851" w:type="dxa"/>
            <w:vAlign w:val="bottom"/>
          </w:tcPr>
          <w:p w14:paraId="714545AA"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98E7383" w14:textId="0824F987" w:rsidR="0012790E" w:rsidRPr="0012790E" w:rsidRDefault="00B92B04">
            <w:pPr>
              <w:pStyle w:val="Summarytabletextrightaligned"/>
              <w:rPr>
                <w:szCs w:val="16"/>
              </w:rPr>
            </w:pPr>
            <w:r>
              <w:rPr>
                <w:szCs w:val="16"/>
              </w:rPr>
              <w:t>-</w:t>
            </w:r>
          </w:p>
        </w:tc>
        <w:tc>
          <w:tcPr>
            <w:tcW w:w="851" w:type="dxa"/>
            <w:vAlign w:val="bottom"/>
          </w:tcPr>
          <w:p w14:paraId="38F219A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ACF8DF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786E6B8" w14:textId="77777777" w:rsidR="0012790E" w:rsidRPr="0012790E" w:rsidRDefault="0012790E">
            <w:pPr>
              <w:pStyle w:val="Summarytabletextrightaligned"/>
              <w:rPr>
                <w:szCs w:val="16"/>
              </w:rPr>
            </w:pPr>
            <w:r w:rsidRPr="0012790E">
              <w:rPr>
                <w:szCs w:val="16"/>
              </w:rPr>
              <w:noBreakHyphen/>
            </w:r>
          </w:p>
        </w:tc>
      </w:tr>
      <w:tr w:rsidR="0012790E" w:rsidRPr="0012790E" w14:paraId="7341D09C" w14:textId="77777777" w:rsidTr="54937204">
        <w:tc>
          <w:tcPr>
            <w:tcW w:w="3470" w:type="dxa"/>
            <w:shd w:val="clear" w:color="auto" w:fill="auto"/>
            <w:vAlign w:val="bottom"/>
          </w:tcPr>
          <w:p w14:paraId="55CD23C5" w14:textId="77777777" w:rsidR="0012790E" w:rsidRPr="0012790E" w:rsidRDefault="0012790E">
            <w:pPr>
              <w:pStyle w:val="SummaryMeasureTitlewithTheme"/>
            </w:pPr>
            <w:r w:rsidRPr="0012790E">
              <w:t>Ending Gender</w:t>
            </w:r>
            <w:r w:rsidRPr="0012790E">
              <w:noBreakHyphen/>
              <w:t>Based Violence – additional resourcing</w:t>
            </w:r>
          </w:p>
        </w:tc>
        <w:tc>
          <w:tcPr>
            <w:tcW w:w="851" w:type="dxa"/>
            <w:vAlign w:val="bottom"/>
          </w:tcPr>
          <w:p w14:paraId="39E20FBD" w14:textId="77777777" w:rsidR="0012790E" w:rsidRPr="0012790E" w:rsidRDefault="0012790E">
            <w:pPr>
              <w:pStyle w:val="Summarytabletextrightaligned"/>
              <w:rPr>
                <w:szCs w:val="16"/>
              </w:rPr>
            </w:pPr>
            <w:r w:rsidRPr="0012790E">
              <w:rPr>
                <w:szCs w:val="16"/>
              </w:rPr>
              <w:t>0.4</w:t>
            </w:r>
          </w:p>
        </w:tc>
        <w:tc>
          <w:tcPr>
            <w:tcW w:w="851" w:type="dxa"/>
            <w:shd w:val="clear" w:color="auto" w:fill="E6F2FF"/>
            <w:vAlign w:val="bottom"/>
          </w:tcPr>
          <w:p w14:paraId="308290F7" w14:textId="77777777" w:rsidR="0012790E" w:rsidRPr="0012790E" w:rsidRDefault="0012790E">
            <w:pPr>
              <w:pStyle w:val="Summarytabletextrightaligned"/>
              <w:rPr>
                <w:szCs w:val="16"/>
              </w:rPr>
            </w:pPr>
            <w:r w:rsidRPr="0012790E">
              <w:rPr>
                <w:szCs w:val="16"/>
              </w:rPr>
              <w:t>1.9</w:t>
            </w:r>
          </w:p>
        </w:tc>
        <w:tc>
          <w:tcPr>
            <w:tcW w:w="851" w:type="dxa"/>
            <w:vAlign w:val="bottom"/>
          </w:tcPr>
          <w:p w14:paraId="1C001C43" w14:textId="77777777" w:rsidR="0012790E" w:rsidRPr="0012790E" w:rsidRDefault="0012790E">
            <w:pPr>
              <w:pStyle w:val="Summarytabletextrightaligned"/>
              <w:rPr>
                <w:szCs w:val="16"/>
              </w:rPr>
            </w:pPr>
            <w:r w:rsidRPr="0012790E">
              <w:rPr>
                <w:szCs w:val="16"/>
              </w:rPr>
              <w:t>1.0</w:t>
            </w:r>
          </w:p>
        </w:tc>
        <w:tc>
          <w:tcPr>
            <w:tcW w:w="851" w:type="dxa"/>
            <w:vAlign w:val="bottom"/>
          </w:tcPr>
          <w:p w14:paraId="4B490996" w14:textId="77777777" w:rsidR="0012790E" w:rsidRPr="0012790E" w:rsidRDefault="0012790E">
            <w:pPr>
              <w:pStyle w:val="Summarytabletextrightaligned"/>
              <w:rPr>
                <w:szCs w:val="16"/>
              </w:rPr>
            </w:pPr>
            <w:r w:rsidRPr="0012790E">
              <w:rPr>
                <w:szCs w:val="16"/>
              </w:rPr>
              <w:t>1.0</w:t>
            </w:r>
          </w:p>
        </w:tc>
        <w:tc>
          <w:tcPr>
            <w:tcW w:w="851" w:type="dxa"/>
            <w:vAlign w:val="bottom"/>
          </w:tcPr>
          <w:p w14:paraId="4C0191C3" w14:textId="77777777" w:rsidR="0012790E" w:rsidRPr="0012790E" w:rsidRDefault="0012790E">
            <w:pPr>
              <w:pStyle w:val="Summarytabletextrightaligned"/>
              <w:rPr>
                <w:szCs w:val="16"/>
              </w:rPr>
            </w:pPr>
            <w:r w:rsidRPr="0012790E">
              <w:rPr>
                <w:szCs w:val="16"/>
              </w:rPr>
              <w:t>1.0</w:t>
            </w:r>
          </w:p>
        </w:tc>
      </w:tr>
      <w:tr w:rsidR="0012790E" w:rsidRPr="0012790E" w14:paraId="14C4B99A" w14:textId="77777777" w:rsidTr="54937204">
        <w:tc>
          <w:tcPr>
            <w:tcW w:w="3470" w:type="dxa"/>
            <w:shd w:val="clear" w:color="auto" w:fill="auto"/>
            <w:vAlign w:val="bottom"/>
          </w:tcPr>
          <w:p w14:paraId="3EECEAA8" w14:textId="77777777" w:rsidR="0012790E" w:rsidRPr="0012790E" w:rsidRDefault="0012790E">
            <w:pPr>
              <w:pStyle w:val="SummaryMeasureTitlewithTheme"/>
            </w:pPr>
            <w:r w:rsidRPr="0012790E">
              <w:t>Future Made in Australia – Attracting Investment in Key Industries</w:t>
            </w:r>
          </w:p>
        </w:tc>
        <w:tc>
          <w:tcPr>
            <w:tcW w:w="851" w:type="dxa"/>
            <w:vAlign w:val="bottom"/>
          </w:tcPr>
          <w:p w14:paraId="21F2FDC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1FEB7D4" w14:textId="77777777" w:rsidR="0012790E" w:rsidRPr="0012790E" w:rsidRDefault="0012790E">
            <w:pPr>
              <w:pStyle w:val="Summarytabletextrightaligned"/>
              <w:rPr>
                <w:szCs w:val="16"/>
              </w:rPr>
            </w:pPr>
            <w:r w:rsidRPr="0012790E">
              <w:rPr>
                <w:szCs w:val="16"/>
              </w:rPr>
              <w:t>1.0</w:t>
            </w:r>
          </w:p>
        </w:tc>
        <w:tc>
          <w:tcPr>
            <w:tcW w:w="851" w:type="dxa"/>
            <w:vAlign w:val="bottom"/>
          </w:tcPr>
          <w:p w14:paraId="23DEEF26"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A8941F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EB3DA26" w14:textId="77777777" w:rsidR="0012790E" w:rsidRPr="0012790E" w:rsidRDefault="0012790E">
            <w:pPr>
              <w:pStyle w:val="Summarytabletextrightaligned"/>
              <w:rPr>
                <w:szCs w:val="16"/>
              </w:rPr>
            </w:pPr>
            <w:r w:rsidRPr="0012790E">
              <w:rPr>
                <w:szCs w:val="16"/>
              </w:rPr>
              <w:noBreakHyphen/>
            </w:r>
          </w:p>
        </w:tc>
      </w:tr>
      <w:tr w:rsidR="0012790E" w:rsidRPr="0012790E" w14:paraId="2ECB2D18" w14:textId="77777777" w:rsidTr="54937204">
        <w:tc>
          <w:tcPr>
            <w:tcW w:w="3470" w:type="dxa"/>
            <w:shd w:val="clear" w:color="auto" w:fill="auto"/>
            <w:vAlign w:val="bottom"/>
          </w:tcPr>
          <w:p w14:paraId="5A10FB98" w14:textId="77777777" w:rsidR="0012790E" w:rsidRPr="0012790E" w:rsidRDefault="0012790E">
            <w:pPr>
              <w:pStyle w:val="SummaryMeasureTitlewithTheme"/>
            </w:pPr>
            <w:r w:rsidRPr="0012790E">
              <w:t>Initial funding for the Independent Parliamentary Standards Commission</w:t>
            </w:r>
          </w:p>
        </w:tc>
        <w:tc>
          <w:tcPr>
            <w:tcW w:w="851" w:type="dxa"/>
            <w:vAlign w:val="bottom"/>
          </w:tcPr>
          <w:p w14:paraId="5890EE5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B13ECE0" w14:textId="77777777" w:rsidR="0012790E" w:rsidRPr="0012790E" w:rsidRDefault="0012790E">
            <w:pPr>
              <w:pStyle w:val="Summarytabletextrightaligned"/>
              <w:rPr>
                <w:szCs w:val="16"/>
              </w:rPr>
            </w:pPr>
            <w:r w:rsidRPr="0012790E">
              <w:rPr>
                <w:szCs w:val="16"/>
              </w:rPr>
              <w:t>1.5</w:t>
            </w:r>
          </w:p>
        </w:tc>
        <w:tc>
          <w:tcPr>
            <w:tcW w:w="851" w:type="dxa"/>
            <w:vAlign w:val="bottom"/>
          </w:tcPr>
          <w:p w14:paraId="5673177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85895D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9781505" w14:textId="77777777" w:rsidR="0012790E" w:rsidRPr="0012790E" w:rsidRDefault="0012790E">
            <w:pPr>
              <w:pStyle w:val="Summarytabletextrightaligned"/>
              <w:rPr>
                <w:szCs w:val="16"/>
              </w:rPr>
            </w:pPr>
            <w:r w:rsidRPr="0012790E">
              <w:rPr>
                <w:szCs w:val="16"/>
              </w:rPr>
              <w:noBreakHyphen/>
            </w:r>
          </w:p>
        </w:tc>
      </w:tr>
      <w:tr w:rsidR="0012790E" w:rsidRPr="0012790E" w14:paraId="11A0921C" w14:textId="77777777" w:rsidTr="54937204">
        <w:tc>
          <w:tcPr>
            <w:tcW w:w="3470" w:type="dxa"/>
            <w:tcBorders>
              <w:bottom w:val="single" w:sz="4" w:space="0" w:color="293F5B"/>
            </w:tcBorders>
            <w:shd w:val="clear" w:color="auto" w:fill="auto"/>
            <w:vAlign w:val="bottom"/>
          </w:tcPr>
          <w:p w14:paraId="438DC81C" w14:textId="77777777" w:rsidR="0012790E" w:rsidRPr="0012790E" w:rsidRDefault="0012790E">
            <w:pPr>
              <w:pStyle w:val="SummaryMeasureTitlewithTheme"/>
            </w:pPr>
            <w:r w:rsidRPr="0012790E">
              <w:t>National Australia Day Council – additional resourcing</w:t>
            </w:r>
          </w:p>
        </w:tc>
        <w:tc>
          <w:tcPr>
            <w:tcW w:w="851" w:type="dxa"/>
            <w:tcBorders>
              <w:bottom w:val="single" w:sz="4" w:space="0" w:color="293F5B"/>
            </w:tcBorders>
            <w:vAlign w:val="bottom"/>
          </w:tcPr>
          <w:p w14:paraId="3142C492"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697BEC2E" w14:textId="77777777" w:rsidR="0012790E" w:rsidRPr="0012790E" w:rsidRDefault="0012790E">
            <w:pPr>
              <w:pStyle w:val="Summarytabletextrightaligned"/>
              <w:rPr>
                <w:szCs w:val="16"/>
              </w:rPr>
            </w:pPr>
            <w:r w:rsidRPr="0012790E">
              <w:rPr>
                <w:szCs w:val="16"/>
              </w:rPr>
              <w:t>11.5</w:t>
            </w:r>
          </w:p>
        </w:tc>
        <w:tc>
          <w:tcPr>
            <w:tcW w:w="851" w:type="dxa"/>
            <w:tcBorders>
              <w:bottom w:val="single" w:sz="4" w:space="0" w:color="293F5B"/>
            </w:tcBorders>
            <w:vAlign w:val="bottom"/>
          </w:tcPr>
          <w:p w14:paraId="52208411" w14:textId="77777777" w:rsidR="0012790E" w:rsidRPr="0012790E" w:rsidRDefault="0012790E">
            <w:pPr>
              <w:pStyle w:val="Summarytabletextrightaligned"/>
              <w:rPr>
                <w:szCs w:val="16"/>
              </w:rPr>
            </w:pPr>
            <w:r w:rsidRPr="0012790E">
              <w:rPr>
                <w:szCs w:val="16"/>
              </w:rPr>
              <w:t>1.5</w:t>
            </w:r>
          </w:p>
        </w:tc>
        <w:tc>
          <w:tcPr>
            <w:tcW w:w="851" w:type="dxa"/>
            <w:tcBorders>
              <w:bottom w:val="single" w:sz="4" w:space="0" w:color="293F5B"/>
            </w:tcBorders>
            <w:vAlign w:val="bottom"/>
          </w:tcPr>
          <w:p w14:paraId="44775478" w14:textId="77777777" w:rsidR="0012790E" w:rsidRPr="0012790E" w:rsidRDefault="0012790E">
            <w:pPr>
              <w:pStyle w:val="Summarytabletextrightaligned"/>
              <w:rPr>
                <w:szCs w:val="16"/>
              </w:rPr>
            </w:pPr>
            <w:r w:rsidRPr="0012790E">
              <w:rPr>
                <w:szCs w:val="16"/>
              </w:rPr>
              <w:t>1.6</w:t>
            </w:r>
          </w:p>
        </w:tc>
        <w:tc>
          <w:tcPr>
            <w:tcW w:w="851" w:type="dxa"/>
            <w:tcBorders>
              <w:bottom w:val="single" w:sz="4" w:space="0" w:color="293F5B"/>
            </w:tcBorders>
            <w:vAlign w:val="bottom"/>
          </w:tcPr>
          <w:p w14:paraId="30F066B2" w14:textId="77777777" w:rsidR="0012790E" w:rsidRPr="0012790E" w:rsidRDefault="0012790E">
            <w:pPr>
              <w:pStyle w:val="Summarytabletextrightaligned"/>
              <w:rPr>
                <w:szCs w:val="16"/>
              </w:rPr>
            </w:pPr>
            <w:r w:rsidRPr="0012790E">
              <w:rPr>
                <w:szCs w:val="16"/>
              </w:rPr>
              <w:t>1.6</w:t>
            </w:r>
          </w:p>
        </w:tc>
      </w:tr>
    </w:tbl>
    <w:p w14:paraId="5811EEAC" w14:textId="77777777" w:rsidR="0012790E" w:rsidRPr="0012790E" w:rsidRDefault="0012790E" w:rsidP="0012790E">
      <w:pPr>
        <w:pStyle w:val="TableHeadingcontinued"/>
        <w:sectPr w:rsidR="0012790E" w:rsidRPr="0012790E" w:rsidSect="00EA5BFE">
          <w:headerReference w:type="even" r:id="rId91"/>
          <w:headerReference w:type="default" r:id="rId92"/>
          <w:footerReference w:type="even" r:id="rId93"/>
          <w:footerReference w:type="default" r:id="rId94"/>
          <w:footerReference w:type="first" r:id="rId95"/>
          <w:pgSz w:w="11905" w:h="16837"/>
          <w:pgMar w:top="2835" w:right="2098" w:bottom="2466" w:left="2098" w:header="1814" w:footer="1814" w:gutter="0"/>
          <w:cols w:space="720"/>
          <w:noEndnote/>
          <w:docGrid w:linePitch="272"/>
        </w:sectPr>
      </w:pPr>
    </w:p>
    <w:p w14:paraId="6DE68FCF" w14:textId="77777777" w:rsidR="0012790E" w:rsidRPr="0012790E" w:rsidRDefault="0012790E" w:rsidP="0012790E">
      <w:pPr>
        <w:pStyle w:val="TableHeadingcontinued"/>
        <w:rPr>
          <w:szCs w:val="16"/>
        </w:rPr>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01E09DD7" w14:textId="77777777">
        <w:tc>
          <w:tcPr>
            <w:tcW w:w="3470" w:type="dxa"/>
            <w:tcBorders>
              <w:top w:val="single" w:sz="4" w:space="0" w:color="293F5B"/>
            </w:tcBorders>
            <w:shd w:val="clear" w:color="auto" w:fill="auto"/>
            <w:vAlign w:val="bottom"/>
          </w:tcPr>
          <w:p w14:paraId="4127F3E8"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34C4E0ED"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7FF5AF2C"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0F4E2B57"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44E161ED"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15769937"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3056564B" w14:textId="77777777">
        <w:tc>
          <w:tcPr>
            <w:tcW w:w="3470" w:type="dxa"/>
            <w:shd w:val="clear" w:color="auto" w:fill="auto"/>
            <w:vAlign w:val="bottom"/>
          </w:tcPr>
          <w:p w14:paraId="2113DFD4" w14:textId="77777777" w:rsidR="0012790E" w:rsidRPr="0012790E" w:rsidRDefault="0012790E">
            <w:pPr>
              <w:pStyle w:val="Summarytabletextrightaligned"/>
            </w:pPr>
          </w:p>
        </w:tc>
        <w:tc>
          <w:tcPr>
            <w:tcW w:w="851" w:type="dxa"/>
            <w:tcBorders>
              <w:bottom w:val="single" w:sz="4" w:space="0" w:color="293F5B"/>
            </w:tcBorders>
            <w:vAlign w:val="bottom"/>
          </w:tcPr>
          <w:p w14:paraId="127E8DA1"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1C0C1A27"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17541AA5"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108EE291"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5496981C" w14:textId="77777777" w:rsidR="0012790E" w:rsidRPr="0012790E" w:rsidRDefault="0012790E">
            <w:pPr>
              <w:pStyle w:val="Summarytabletextrightaligned"/>
            </w:pPr>
            <w:r w:rsidRPr="0012790E">
              <w:t>$m</w:t>
            </w:r>
          </w:p>
        </w:tc>
      </w:tr>
      <w:tr w:rsidR="0012790E" w:rsidRPr="0012790E" w14:paraId="7E125741" w14:textId="77777777">
        <w:tc>
          <w:tcPr>
            <w:tcW w:w="3470" w:type="dxa"/>
            <w:shd w:val="clear" w:color="auto" w:fill="auto"/>
            <w:vAlign w:val="bottom"/>
          </w:tcPr>
          <w:p w14:paraId="7B395934" w14:textId="77777777" w:rsidR="0012790E" w:rsidRPr="0012790E" w:rsidRDefault="0012790E" w:rsidP="000D3386">
            <w:pPr>
              <w:pStyle w:val="SummaryMeasureTitlewithTheme"/>
              <w:tabs>
                <w:tab w:val="clear" w:pos="285"/>
                <w:tab w:val="left" w:pos="0"/>
              </w:tabs>
              <w:ind w:left="0" w:firstLine="0"/>
              <w:rPr>
                <w:rFonts w:cs="Arial"/>
                <w:b/>
              </w:rPr>
            </w:pPr>
            <w:r w:rsidRPr="0012790E">
              <w:rPr>
                <w:rFonts w:cs="Arial"/>
                <w:b/>
              </w:rPr>
              <w:t>PRIME MINISTER AND CABINET (continued)</w:t>
            </w:r>
          </w:p>
        </w:tc>
        <w:tc>
          <w:tcPr>
            <w:tcW w:w="851" w:type="dxa"/>
            <w:vAlign w:val="bottom"/>
          </w:tcPr>
          <w:p w14:paraId="6220178D" w14:textId="77777777" w:rsidR="0012790E" w:rsidRPr="0012790E" w:rsidRDefault="0012790E">
            <w:pPr>
              <w:pStyle w:val="Summarytabletextrightaligned"/>
              <w:rPr>
                <w:szCs w:val="16"/>
              </w:rPr>
            </w:pPr>
          </w:p>
        </w:tc>
        <w:tc>
          <w:tcPr>
            <w:tcW w:w="851" w:type="dxa"/>
            <w:shd w:val="clear" w:color="auto" w:fill="E6F2FF"/>
            <w:vAlign w:val="bottom"/>
          </w:tcPr>
          <w:p w14:paraId="04345936" w14:textId="77777777" w:rsidR="0012790E" w:rsidRPr="0012790E" w:rsidRDefault="0012790E">
            <w:pPr>
              <w:pStyle w:val="Summarytabletextrightaligned"/>
              <w:rPr>
                <w:szCs w:val="16"/>
              </w:rPr>
            </w:pPr>
          </w:p>
        </w:tc>
        <w:tc>
          <w:tcPr>
            <w:tcW w:w="851" w:type="dxa"/>
            <w:vAlign w:val="bottom"/>
          </w:tcPr>
          <w:p w14:paraId="674F300D" w14:textId="77777777" w:rsidR="0012790E" w:rsidRPr="0012790E" w:rsidRDefault="0012790E">
            <w:pPr>
              <w:pStyle w:val="Summarytabletextrightaligned"/>
              <w:rPr>
                <w:szCs w:val="16"/>
              </w:rPr>
            </w:pPr>
          </w:p>
        </w:tc>
        <w:tc>
          <w:tcPr>
            <w:tcW w:w="851" w:type="dxa"/>
            <w:vAlign w:val="bottom"/>
          </w:tcPr>
          <w:p w14:paraId="63F34ED8" w14:textId="77777777" w:rsidR="0012790E" w:rsidRPr="0012790E" w:rsidRDefault="0012790E">
            <w:pPr>
              <w:pStyle w:val="Summarytabletextrightaligned"/>
              <w:rPr>
                <w:szCs w:val="16"/>
              </w:rPr>
            </w:pPr>
          </w:p>
        </w:tc>
        <w:tc>
          <w:tcPr>
            <w:tcW w:w="851" w:type="dxa"/>
            <w:vAlign w:val="bottom"/>
          </w:tcPr>
          <w:p w14:paraId="0824926F" w14:textId="77777777" w:rsidR="0012790E" w:rsidRPr="0012790E" w:rsidRDefault="0012790E">
            <w:pPr>
              <w:pStyle w:val="Summarytabletextrightaligned"/>
              <w:rPr>
                <w:szCs w:val="16"/>
              </w:rPr>
            </w:pPr>
          </w:p>
        </w:tc>
      </w:tr>
      <w:tr w:rsidR="0012790E" w:rsidRPr="0012790E" w14:paraId="2B874B11" w14:textId="77777777">
        <w:tc>
          <w:tcPr>
            <w:tcW w:w="3470" w:type="dxa"/>
            <w:shd w:val="clear" w:color="auto" w:fill="auto"/>
            <w:vAlign w:val="bottom"/>
          </w:tcPr>
          <w:p w14:paraId="20AA5BE4" w14:textId="77777777" w:rsidR="0012790E" w:rsidRPr="0012790E" w:rsidRDefault="0012790E">
            <w:pPr>
              <w:pStyle w:val="SummaryMeasureTitlewithTheme"/>
            </w:pPr>
            <w:r w:rsidRPr="0012790E">
              <w:t>Net Zero Economy</w:t>
            </w:r>
          </w:p>
        </w:tc>
        <w:tc>
          <w:tcPr>
            <w:tcW w:w="851" w:type="dxa"/>
            <w:vAlign w:val="bottom"/>
          </w:tcPr>
          <w:p w14:paraId="4293F64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15C8B7D" w14:textId="77777777" w:rsidR="0012790E" w:rsidRPr="0012790E" w:rsidRDefault="0012790E">
            <w:pPr>
              <w:pStyle w:val="Summarytabletextrightaligned"/>
              <w:rPr>
                <w:szCs w:val="16"/>
              </w:rPr>
            </w:pPr>
            <w:r w:rsidRPr="0012790E">
              <w:rPr>
                <w:szCs w:val="16"/>
              </w:rPr>
              <w:t>3.8</w:t>
            </w:r>
          </w:p>
        </w:tc>
        <w:tc>
          <w:tcPr>
            <w:tcW w:w="851" w:type="dxa"/>
            <w:vAlign w:val="bottom"/>
          </w:tcPr>
          <w:p w14:paraId="16601800" w14:textId="77777777" w:rsidR="0012790E" w:rsidRPr="0012790E" w:rsidRDefault="0012790E">
            <w:pPr>
              <w:pStyle w:val="Summarytabletextrightaligned"/>
              <w:rPr>
                <w:szCs w:val="16"/>
              </w:rPr>
            </w:pPr>
            <w:r w:rsidRPr="0012790E">
              <w:rPr>
                <w:szCs w:val="16"/>
              </w:rPr>
              <w:t>24.3</w:t>
            </w:r>
          </w:p>
        </w:tc>
        <w:tc>
          <w:tcPr>
            <w:tcW w:w="851" w:type="dxa"/>
            <w:vAlign w:val="bottom"/>
          </w:tcPr>
          <w:p w14:paraId="7F856674" w14:textId="77777777" w:rsidR="0012790E" w:rsidRPr="0012790E" w:rsidRDefault="0012790E">
            <w:pPr>
              <w:pStyle w:val="Summarytabletextrightaligned"/>
              <w:rPr>
                <w:szCs w:val="16"/>
              </w:rPr>
            </w:pPr>
            <w:r w:rsidRPr="0012790E">
              <w:rPr>
                <w:szCs w:val="16"/>
              </w:rPr>
              <w:t>7.8</w:t>
            </w:r>
          </w:p>
        </w:tc>
        <w:tc>
          <w:tcPr>
            <w:tcW w:w="851" w:type="dxa"/>
            <w:vAlign w:val="bottom"/>
          </w:tcPr>
          <w:p w14:paraId="3BB861A8" w14:textId="77777777" w:rsidR="0012790E" w:rsidRPr="0012790E" w:rsidRDefault="0012790E">
            <w:pPr>
              <w:pStyle w:val="Summarytabletextrightaligned"/>
              <w:rPr>
                <w:szCs w:val="16"/>
              </w:rPr>
            </w:pPr>
            <w:r w:rsidRPr="0012790E">
              <w:rPr>
                <w:szCs w:val="16"/>
              </w:rPr>
              <w:t>11.8</w:t>
            </w:r>
          </w:p>
        </w:tc>
      </w:tr>
      <w:tr w:rsidR="0012790E" w:rsidRPr="0012790E" w14:paraId="5DDDF923" w14:textId="77777777">
        <w:tc>
          <w:tcPr>
            <w:tcW w:w="3470" w:type="dxa"/>
            <w:shd w:val="clear" w:color="auto" w:fill="auto"/>
            <w:vAlign w:val="bottom"/>
          </w:tcPr>
          <w:p w14:paraId="00578746" w14:textId="77777777" w:rsidR="0012790E" w:rsidRPr="0012790E" w:rsidRDefault="0012790E">
            <w:pPr>
              <w:pStyle w:val="SummaryMeasureTitlewithTheme"/>
            </w:pPr>
            <w:r w:rsidRPr="0012790E">
              <w:t>Prime Minister and Cabinet – additional resourcing</w:t>
            </w:r>
          </w:p>
        </w:tc>
        <w:tc>
          <w:tcPr>
            <w:tcW w:w="851" w:type="dxa"/>
            <w:vAlign w:val="bottom"/>
          </w:tcPr>
          <w:p w14:paraId="38ED2F78" w14:textId="77777777" w:rsidR="0012790E" w:rsidRPr="0012790E" w:rsidRDefault="0012790E">
            <w:pPr>
              <w:pStyle w:val="Summarytabletextrightaligned"/>
              <w:rPr>
                <w:szCs w:val="16"/>
              </w:rPr>
            </w:pPr>
            <w:r w:rsidRPr="0012790E">
              <w:rPr>
                <w:szCs w:val="16"/>
              </w:rPr>
              <w:noBreakHyphen/>
              <w:t>0.9</w:t>
            </w:r>
          </w:p>
        </w:tc>
        <w:tc>
          <w:tcPr>
            <w:tcW w:w="851" w:type="dxa"/>
            <w:shd w:val="clear" w:color="auto" w:fill="E6F2FF"/>
            <w:vAlign w:val="bottom"/>
          </w:tcPr>
          <w:p w14:paraId="7E42DA6B" w14:textId="77777777" w:rsidR="0012790E" w:rsidRPr="0012790E" w:rsidRDefault="0012790E">
            <w:pPr>
              <w:pStyle w:val="Summarytabletextrightaligned"/>
              <w:rPr>
                <w:szCs w:val="16"/>
              </w:rPr>
            </w:pPr>
            <w:r w:rsidRPr="0012790E">
              <w:rPr>
                <w:szCs w:val="16"/>
              </w:rPr>
              <w:t>39.7</w:t>
            </w:r>
          </w:p>
        </w:tc>
        <w:tc>
          <w:tcPr>
            <w:tcW w:w="851" w:type="dxa"/>
            <w:vAlign w:val="bottom"/>
          </w:tcPr>
          <w:p w14:paraId="65C24290" w14:textId="77777777" w:rsidR="0012790E" w:rsidRPr="0012790E" w:rsidRDefault="0012790E">
            <w:pPr>
              <w:pStyle w:val="Summarytabletextrightaligned"/>
              <w:rPr>
                <w:szCs w:val="16"/>
              </w:rPr>
            </w:pPr>
            <w:r w:rsidRPr="0012790E">
              <w:rPr>
                <w:szCs w:val="16"/>
              </w:rPr>
              <w:t>5.6</w:t>
            </w:r>
          </w:p>
        </w:tc>
        <w:tc>
          <w:tcPr>
            <w:tcW w:w="851" w:type="dxa"/>
            <w:vAlign w:val="bottom"/>
          </w:tcPr>
          <w:p w14:paraId="68808CB7" w14:textId="77777777" w:rsidR="0012790E" w:rsidRPr="0012790E" w:rsidRDefault="0012790E">
            <w:pPr>
              <w:pStyle w:val="Summarytabletextrightaligned"/>
              <w:rPr>
                <w:szCs w:val="16"/>
              </w:rPr>
            </w:pPr>
            <w:r w:rsidRPr="0012790E">
              <w:rPr>
                <w:szCs w:val="16"/>
              </w:rPr>
              <w:t>5.3</w:t>
            </w:r>
          </w:p>
        </w:tc>
        <w:tc>
          <w:tcPr>
            <w:tcW w:w="851" w:type="dxa"/>
            <w:vAlign w:val="bottom"/>
          </w:tcPr>
          <w:p w14:paraId="26A332BB" w14:textId="77777777" w:rsidR="0012790E" w:rsidRPr="0012790E" w:rsidRDefault="0012790E">
            <w:pPr>
              <w:pStyle w:val="Summarytabletextrightaligned"/>
              <w:rPr>
                <w:szCs w:val="16"/>
              </w:rPr>
            </w:pPr>
            <w:r w:rsidRPr="0012790E">
              <w:rPr>
                <w:szCs w:val="16"/>
              </w:rPr>
              <w:t>4.9</w:t>
            </w:r>
          </w:p>
        </w:tc>
      </w:tr>
      <w:tr w:rsidR="0012790E" w:rsidRPr="0012790E" w14:paraId="1A2BC034" w14:textId="77777777">
        <w:tc>
          <w:tcPr>
            <w:tcW w:w="3470" w:type="dxa"/>
            <w:shd w:val="clear" w:color="auto" w:fill="auto"/>
            <w:vAlign w:val="bottom"/>
          </w:tcPr>
          <w:p w14:paraId="27AB9F50" w14:textId="77777777" w:rsidR="0012790E" w:rsidRPr="0012790E" w:rsidRDefault="0012790E">
            <w:pPr>
              <w:pStyle w:val="SummaryAgencyTitle-BP2"/>
              <w:rPr>
                <w:iCs/>
              </w:rPr>
            </w:pPr>
            <w:r w:rsidRPr="0012790E">
              <w:rPr>
                <w:iCs/>
              </w:rPr>
              <w:t>National Indigenous Australians Agency</w:t>
            </w:r>
          </w:p>
        </w:tc>
        <w:tc>
          <w:tcPr>
            <w:tcW w:w="851" w:type="dxa"/>
            <w:vAlign w:val="bottom"/>
          </w:tcPr>
          <w:p w14:paraId="7E0B939B" w14:textId="77777777" w:rsidR="0012790E" w:rsidRPr="0012790E" w:rsidRDefault="0012790E">
            <w:pPr>
              <w:pStyle w:val="SummaryAgencyTitle-BP2"/>
              <w:rPr>
                <w:iCs/>
              </w:rPr>
            </w:pPr>
          </w:p>
        </w:tc>
        <w:tc>
          <w:tcPr>
            <w:tcW w:w="851" w:type="dxa"/>
            <w:shd w:val="clear" w:color="auto" w:fill="E6F2FF"/>
            <w:vAlign w:val="bottom"/>
          </w:tcPr>
          <w:p w14:paraId="1D2A8F75" w14:textId="77777777" w:rsidR="0012790E" w:rsidRPr="0012790E" w:rsidRDefault="0012790E">
            <w:pPr>
              <w:pStyle w:val="SummaryAgencyTitle-BP2"/>
              <w:rPr>
                <w:iCs/>
              </w:rPr>
            </w:pPr>
          </w:p>
        </w:tc>
        <w:tc>
          <w:tcPr>
            <w:tcW w:w="851" w:type="dxa"/>
            <w:vAlign w:val="bottom"/>
          </w:tcPr>
          <w:p w14:paraId="04CE2F95" w14:textId="77777777" w:rsidR="0012790E" w:rsidRPr="0012790E" w:rsidRDefault="0012790E">
            <w:pPr>
              <w:pStyle w:val="SummaryAgencyTitle-BP2"/>
              <w:rPr>
                <w:iCs/>
              </w:rPr>
            </w:pPr>
          </w:p>
        </w:tc>
        <w:tc>
          <w:tcPr>
            <w:tcW w:w="851" w:type="dxa"/>
            <w:vAlign w:val="bottom"/>
          </w:tcPr>
          <w:p w14:paraId="750423D1" w14:textId="77777777" w:rsidR="0012790E" w:rsidRPr="0012790E" w:rsidRDefault="0012790E">
            <w:pPr>
              <w:pStyle w:val="SummaryAgencyTitle-BP2"/>
              <w:rPr>
                <w:iCs/>
              </w:rPr>
            </w:pPr>
          </w:p>
        </w:tc>
        <w:tc>
          <w:tcPr>
            <w:tcW w:w="851" w:type="dxa"/>
            <w:vAlign w:val="bottom"/>
          </w:tcPr>
          <w:p w14:paraId="3ADF0E13" w14:textId="77777777" w:rsidR="0012790E" w:rsidRPr="0012790E" w:rsidRDefault="0012790E">
            <w:pPr>
              <w:pStyle w:val="SummaryAgencyTitle-BP2"/>
              <w:rPr>
                <w:iCs/>
              </w:rPr>
            </w:pPr>
          </w:p>
        </w:tc>
      </w:tr>
      <w:tr w:rsidR="0012790E" w:rsidRPr="0012790E" w14:paraId="50C88F85" w14:textId="77777777">
        <w:tc>
          <w:tcPr>
            <w:tcW w:w="3470" w:type="dxa"/>
            <w:shd w:val="clear" w:color="auto" w:fill="auto"/>
            <w:vAlign w:val="bottom"/>
          </w:tcPr>
          <w:p w14:paraId="1B794171" w14:textId="77777777" w:rsidR="0012790E" w:rsidRPr="0012790E" w:rsidRDefault="0012790E">
            <w:pPr>
              <w:pStyle w:val="SummaryMeasureTitlewithTheme"/>
            </w:pPr>
            <w:r w:rsidRPr="0012790E">
              <w:t>APS Capability Reinvestment Fund: 2024</w:t>
            </w:r>
            <w:r w:rsidRPr="0012790E">
              <w:noBreakHyphen/>
              <w:t>25 projects funded under round two</w:t>
            </w:r>
          </w:p>
        </w:tc>
        <w:tc>
          <w:tcPr>
            <w:tcW w:w="851" w:type="dxa"/>
            <w:vAlign w:val="bottom"/>
          </w:tcPr>
          <w:p w14:paraId="15D0488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27AE031" w14:textId="0D856266" w:rsidR="0012790E" w:rsidRPr="0012790E" w:rsidRDefault="00B92B04">
            <w:pPr>
              <w:pStyle w:val="Summarytabletextrightaligned"/>
              <w:rPr>
                <w:szCs w:val="16"/>
              </w:rPr>
            </w:pPr>
            <w:r>
              <w:rPr>
                <w:szCs w:val="16"/>
              </w:rPr>
              <w:t>-</w:t>
            </w:r>
          </w:p>
        </w:tc>
        <w:tc>
          <w:tcPr>
            <w:tcW w:w="851" w:type="dxa"/>
            <w:vAlign w:val="bottom"/>
          </w:tcPr>
          <w:p w14:paraId="6EF7BBBF"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0EA89A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0AF5124" w14:textId="77777777" w:rsidR="0012790E" w:rsidRPr="0012790E" w:rsidRDefault="0012790E">
            <w:pPr>
              <w:pStyle w:val="Summarytabletextrightaligned"/>
              <w:rPr>
                <w:szCs w:val="16"/>
              </w:rPr>
            </w:pPr>
            <w:r w:rsidRPr="0012790E">
              <w:rPr>
                <w:szCs w:val="16"/>
              </w:rPr>
              <w:noBreakHyphen/>
            </w:r>
          </w:p>
        </w:tc>
      </w:tr>
      <w:tr w:rsidR="0012790E" w:rsidRPr="0012790E" w14:paraId="5FC1AAB2" w14:textId="77777777">
        <w:tc>
          <w:tcPr>
            <w:tcW w:w="3470" w:type="dxa"/>
            <w:shd w:val="clear" w:color="auto" w:fill="auto"/>
            <w:vAlign w:val="bottom"/>
          </w:tcPr>
          <w:p w14:paraId="3936B90F" w14:textId="77777777" w:rsidR="0012790E" w:rsidRPr="0012790E" w:rsidRDefault="0012790E">
            <w:pPr>
              <w:pStyle w:val="SummaryMeasureTitlewithTheme"/>
            </w:pPr>
            <w:r w:rsidRPr="0012790E">
              <w:t>First Nations Digital Inclusion</w:t>
            </w:r>
          </w:p>
        </w:tc>
        <w:tc>
          <w:tcPr>
            <w:tcW w:w="851" w:type="dxa"/>
            <w:vAlign w:val="bottom"/>
          </w:tcPr>
          <w:p w14:paraId="036642D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51E7258" w14:textId="77777777" w:rsidR="0012790E" w:rsidRPr="0012790E" w:rsidRDefault="0012790E">
            <w:pPr>
              <w:pStyle w:val="Summarytabletextrightaligned"/>
              <w:rPr>
                <w:szCs w:val="16"/>
              </w:rPr>
            </w:pPr>
            <w:r w:rsidRPr="0012790E">
              <w:rPr>
                <w:szCs w:val="16"/>
              </w:rPr>
              <w:noBreakHyphen/>
              <w:t>3.0</w:t>
            </w:r>
          </w:p>
        </w:tc>
        <w:tc>
          <w:tcPr>
            <w:tcW w:w="851" w:type="dxa"/>
            <w:vAlign w:val="bottom"/>
          </w:tcPr>
          <w:p w14:paraId="7C155DB3" w14:textId="77777777" w:rsidR="0012790E" w:rsidRPr="0012790E" w:rsidRDefault="0012790E">
            <w:pPr>
              <w:pStyle w:val="Summarytabletextrightaligned"/>
              <w:rPr>
                <w:szCs w:val="16"/>
              </w:rPr>
            </w:pPr>
            <w:r w:rsidRPr="0012790E">
              <w:rPr>
                <w:szCs w:val="16"/>
              </w:rPr>
              <w:noBreakHyphen/>
              <w:t>3.0</w:t>
            </w:r>
          </w:p>
        </w:tc>
        <w:tc>
          <w:tcPr>
            <w:tcW w:w="851" w:type="dxa"/>
            <w:vAlign w:val="bottom"/>
          </w:tcPr>
          <w:p w14:paraId="5AB8A405" w14:textId="77777777" w:rsidR="0012790E" w:rsidRPr="0012790E" w:rsidRDefault="0012790E">
            <w:pPr>
              <w:pStyle w:val="Summarytabletextrightaligned"/>
              <w:rPr>
                <w:szCs w:val="16"/>
              </w:rPr>
            </w:pPr>
            <w:r w:rsidRPr="0012790E">
              <w:rPr>
                <w:szCs w:val="16"/>
              </w:rPr>
              <w:noBreakHyphen/>
              <w:t>3.0</w:t>
            </w:r>
          </w:p>
        </w:tc>
        <w:tc>
          <w:tcPr>
            <w:tcW w:w="851" w:type="dxa"/>
            <w:vAlign w:val="bottom"/>
          </w:tcPr>
          <w:p w14:paraId="787947BA" w14:textId="77777777" w:rsidR="0012790E" w:rsidRPr="0012790E" w:rsidRDefault="0012790E">
            <w:pPr>
              <w:pStyle w:val="Summarytabletextrightaligned"/>
              <w:rPr>
                <w:szCs w:val="16"/>
              </w:rPr>
            </w:pPr>
            <w:r w:rsidRPr="0012790E">
              <w:rPr>
                <w:szCs w:val="16"/>
              </w:rPr>
              <w:noBreakHyphen/>
            </w:r>
          </w:p>
        </w:tc>
      </w:tr>
      <w:tr w:rsidR="0012790E" w:rsidRPr="0012790E" w14:paraId="3CA01D09" w14:textId="77777777">
        <w:tc>
          <w:tcPr>
            <w:tcW w:w="3470" w:type="dxa"/>
            <w:shd w:val="clear" w:color="auto" w:fill="auto"/>
            <w:vAlign w:val="bottom"/>
          </w:tcPr>
          <w:p w14:paraId="23BE5FE2" w14:textId="77777777" w:rsidR="0012790E" w:rsidRPr="0012790E" w:rsidRDefault="0012790E">
            <w:pPr>
              <w:pStyle w:val="SummaryMeasureTitlewithTheme"/>
            </w:pPr>
            <w:r w:rsidRPr="0012790E">
              <w:t>Further Investment to Closing the Gap</w:t>
            </w:r>
          </w:p>
        </w:tc>
        <w:tc>
          <w:tcPr>
            <w:tcW w:w="851" w:type="dxa"/>
            <w:vAlign w:val="bottom"/>
          </w:tcPr>
          <w:p w14:paraId="5971262F" w14:textId="77777777" w:rsidR="0012790E" w:rsidRPr="0012790E" w:rsidRDefault="0012790E">
            <w:pPr>
              <w:pStyle w:val="Summarytabletextrightaligned"/>
              <w:rPr>
                <w:szCs w:val="16"/>
              </w:rPr>
            </w:pPr>
            <w:r w:rsidRPr="0012790E">
              <w:rPr>
                <w:szCs w:val="16"/>
              </w:rPr>
              <w:noBreakHyphen/>
              <w:t>10.0</w:t>
            </w:r>
          </w:p>
        </w:tc>
        <w:tc>
          <w:tcPr>
            <w:tcW w:w="851" w:type="dxa"/>
            <w:shd w:val="clear" w:color="auto" w:fill="E6F2FF"/>
            <w:vAlign w:val="bottom"/>
          </w:tcPr>
          <w:p w14:paraId="64D2C50B" w14:textId="511C98ED" w:rsidR="0012790E" w:rsidRPr="0012790E" w:rsidRDefault="00F95E32">
            <w:pPr>
              <w:pStyle w:val="Summarytabletextrightaligned"/>
              <w:rPr>
                <w:szCs w:val="16"/>
              </w:rPr>
            </w:pPr>
            <w:r>
              <w:rPr>
                <w:szCs w:val="16"/>
              </w:rPr>
              <w:t>-12.5</w:t>
            </w:r>
          </w:p>
        </w:tc>
        <w:tc>
          <w:tcPr>
            <w:tcW w:w="851" w:type="dxa"/>
            <w:vAlign w:val="bottom"/>
          </w:tcPr>
          <w:p w14:paraId="04DE2D63" w14:textId="77777777" w:rsidR="0012790E" w:rsidRPr="0012790E" w:rsidRDefault="0012790E">
            <w:pPr>
              <w:pStyle w:val="Summarytabletextrightaligned"/>
              <w:rPr>
                <w:szCs w:val="16"/>
              </w:rPr>
            </w:pPr>
            <w:r w:rsidRPr="0012790E">
              <w:rPr>
                <w:szCs w:val="16"/>
              </w:rPr>
              <w:noBreakHyphen/>
              <w:t>2.6</w:t>
            </w:r>
          </w:p>
        </w:tc>
        <w:tc>
          <w:tcPr>
            <w:tcW w:w="851" w:type="dxa"/>
            <w:vAlign w:val="bottom"/>
          </w:tcPr>
          <w:p w14:paraId="5A7FE224" w14:textId="77777777" w:rsidR="0012790E" w:rsidRPr="0012790E" w:rsidRDefault="0012790E">
            <w:pPr>
              <w:pStyle w:val="Summarytabletextrightaligned"/>
              <w:rPr>
                <w:szCs w:val="16"/>
              </w:rPr>
            </w:pPr>
            <w:r w:rsidRPr="0012790E">
              <w:rPr>
                <w:szCs w:val="16"/>
              </w:rPr>
              <w:noBreakHyphen/>
              <w:t>2.6</w:t>
            </w:r>
          </w:p>
        </w:tc>
        <w:tc>
          <w:tcPr>
            <w:tcW w:w="851" w:type="dxa"/>
            <w:vAlign w:val="bottom"/>
          </w:tcPr>
          <w:p w14:paraId="77135B3D" w14:textId="77777777" w:rsidR="0012790E" w:rsidRPr="0012790E" w:rsidRDefault="0012790E">
            <w:pPr>
              <w:pStyle w:val="Summarytabletextrightaligned"/>
              <w:rPr>
                <w:szCs w:val="16"/>
              </w:rPr>
            </w:pPr>
            <w:r w:rsidRPr="0012790E">
              <w:rPr>
                <w:szCs w:val="16"/>
              </w:rPr>
              <w:noBreakHyphen/>
              <w:t>2.7</w:t>
            </w:r>
          </w:p>
        </w:tc>
      </w:tr>
      <w:tr w:rsidR="0012790E" w:rsidRPr="0012790E" w14:paraId="62D64632" w14:textId="77777777">
        <w:tc>
          <w:tcPr>
            <w:tcW w:w="3470" w:type="dxa"/>
            <w:shd w:val="clear" w:color="auto" w:fill="auto"/>
            <w:vAlign w:val="bottom"/>
          </w:tcPr>
          <w:p w14:paraId="6586AF12" w14:textId="77777777" w:rsidR="0012790E" w:rsidRPr="0012790E" w:rsidRDefault="0012790E">
            <w:pPr>
              <w:pStyle w:val="SummaryMeasureTitlewithTheme"/>
            </w:pPr>
            <w:r w:rsidRPr="0012790E">
              <w:t>Mental Health</w:t>
            </w:r>
          </w:p>
        </w:tc>
        <w:tc>
          <w:tcPr>
            <w:tcW w:w="851" w:type="dxa"/>
            <w:vAlign w:val="bottom"/>
          </w:tcPr>
          <w:p w14:paraId="7AF7265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686F1E1"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1FA44F1"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933A34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D0C7AF7" w14:textId="77777777" w:rsidR="0012790E" w:rsidRPr="0012790E" w:rsidRDefault="0012790E">
            <w:pPr>
              <w:pStyle w:val="Summarytabletextrightaligned"/>
              <w:rPr>
                <w:szCs w:val="16"/>
              </w:rPr>
            </w:pPr>
            <w:r w:rsidRPr="0012790E">
              <w:rPr>
                <w:szCs w:val="16"/>
              </w:rPr>
              <w:noBreakHyphen/>
            </w:r>
          </w:p>
        </w:tc>
      </w:tr>
      <w:tr w:rsidR="0012790E" w:rsidRPr="0012790E" w14:paraId="75924C52" w14:textId="77777777">
        <w:tc>
          <w:tcPr>
            <w:tcW w:w="3470" w:type="dxa"/>
            <w:shd w:val="clear" w:color="auto" w:fill="auto"/>
            <w:vAlign w:val="bottom"/>
          </w:tcPr>
          <w:p w14:paraId="514FDEBB" w14:textId="77777777" w:rsidR="0012790E" w:rsidRPr="0012790E" w:rsidRDefault="0012790E">
            <w:pPr>
              <w:pStyle w:val="SummaryMeasureTitlewithTheme"/>
            </w:pPr>
            <w:r w:rsidRPr="0012790E">
              <w:t>National Commissioner for Aboriginal and Torres Strait Islander Children and Young People</w:t>
            </w:r>
          </w:p>
        </w:tc>
        <w:tc>
          <w:tcPr>
            <w:tcW w:w="851" w:type="dxa"/>
            <w:vAlign w:val="bottom"/>
          </w:tcPr>
          <w:p w14:paraId="00207B5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9294093" w14:textId="77777777" w:rsidR="0012790E" w:rsidRPr="0012790E" w:rsidRDefault="0012790E">
            <w:pPr>
              <w:pStyle w:val="Summarytabletextrightaligned"/>
              <w:rPr>
                <w:szCs w:val="16"/>
              </w:rPr>
            </w:pPr>
            <w:r w:rsidRPr="0012790E">
              <w:rPr>
                <w:szCs w:val="16"/>
              </w:rPr>
              <w:noBreakHyphen/>
              <w:t>2.0</w:t>
            </w:r>
          </w:p>
        </w:tc>
        <w:tc>
          <w:tcPr>
            <w:tcW w:w="851" w:type="dxa"/>
            <w:vAlign w:val="bottom"/>
          </w:tcPr>
          <w:p w14:paraId="3E9F4489" w14:textId="77777777" w:rsidR="0012790E" w:rsidRPr="0012790E" w:rsidRDefault="0012790E">
            <w:pPr>
              <w:pStyle w:val="Summarytabletextrightaligned"/>
              <w:rPr>
                <w:szCs w:val="16"/>
              </w:rPr>
            </w:pPr>
            <w:r w:rsidRPr="0012790E">
              <w:rPr>
                <w:szCs w:val="16"/>
              </w:rPr>
              <w:noBreakHyphen/>
              <w:t>0.9</w:t>
            </w:r>
          </w:p>
        </w:tc>
        <w:tc>
          <w:tcPr>
            <w:tcW w:w="851" w:type="dxa"/>
            <w:vAlign w:val="bottom"/>
          </w:tcPr>
          <w:p w14:paraId="7F150AA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5472639" w14:textId="77777777" w:rsidR="0012790E" w:rsidRPr="0012790E" w:rsidRDefault="0012790E">
            <w:pPr>
              <w:pStyle w:val="Summarytabletextrightaligned"/>
              <w:rPr>
                <w:szCs w:val="16"/>
              </w:rPr>
            </w:pPr>
            <w:r w:rsidRPr="0012790E">
              <w:rPr>
                <w:szCs w:val="16"/>
              </w:rPr>
              <w:noBreakHyphen/>
            </w:r>
          </w:p>
        </w:tc>
      </w:tr>
      <w:tr w:rsidR="0012790E" w:rsidRPr="0012790E" w14:paraId="3E1F1656" w14:textId="77777777">
        <w:tc>
          <w:tcPr>
            <w:tcW w:w="3470" w:type="dxa"/>
            <w:shd w:val="clear" w:color="auto" w:fill="auto"/>
            <w:vAlign w:val="bottom"/>
          </w:tcPr>
          <w:p w14:paraId="0886CA0C" w14:textId="77777777" w:rsidR="0012790E" w:rsidRPr="0012790E" w:rsidRDefault="0012790E">
            <w:pPr>
              <w:pStyle w:val="SummaryMeasureTitlewithTheme"/>
            </w:pPr>
            <w:r w:rsidRPr="0012790E">
              <w:t>National Legal Assistance Partnership</w:t>
            </w:r>
          </w:p>
        </w:tc>
        <w:tc>
          <w:tcPr>
            <w:tcW w:w="851" w:type="dxa"/>
            <w:vAlign w:val="bottom"/>
          </w:tcPr>
          <w:p w14:paraId="3601E35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17B1DD5" w14:textId="77777777" w:rsidR="0012790E" w:rsidRPr="0012790E" w:rsidRDefault="0012790E">
            <w:pPr>
              <w:pStyle w:val="Summarytabletextrightaligned"/>
              <w:rPr>
                <w:szCs w:val="16"/>
              </w:rPr>
            </w:pPr>
            <w:r w:rsidRPr="0012790E">
              <w:rPr>
                <w:szCs w:val="16"/>
              </w:rPr>
              <w:t>8.6</w:t>
            </w:r>
          </w:p>
        </w:tc>
        <w:tc>
          <w:tcPr>
            <w:tcW w:w="851" w:type="dxa"/>
            <w:vAlign w:val="bottom"/>
          </w:tcPr>
          <w:p w14:paraId="6B3421B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9FE18D6"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40BA754" w14:textId="77777777" w:rsidR="0012790E" w:rsidRPr="0012790E" w:rsidRDefault="0012790E">
            <w:pPr>
              <w:pStyle w:val="Summarytabletextrightaligned"/>
              <w:rPr>
                <w:szCs w:val="16"/>
              </w:rPr>
            </w:pPr>
            <w:r w:rsidRPr="0012790E">
              <w:rPr>
                <w:szCs w:val="16"/>
              </w:rPr>
              <w:noBreakHyphen/>
            </w:r>
          </w:p>
        </w:tc>
      </w:tr>
      <w:tr w:rsidR="0012790E" w:rsidRPr="0012790E" w14:paraId="27543F2D" w14:textId="77777777">
        <w:tc>
          <w:tcPr>
            <w:tcW w:w="3470" w:type="dxa"/>
            <w:shd w:val="clear" w:color="auto" w:fill="auto"/>
            <w:vAlign w:val="bottom"/>
          </w:tcPr>
          <w:p w14:paraId="49A8AC65" w14:textId="77777777" w:rsidR="0012790E" w:rsidRPr="0012790E" w:rsidRDefault="0012790E">
            <w:pPr>
              <w:pStyle w:val="SummaryMeasureTitlewithTheme"/>
            </w:pPr>
            <w:r w:rsidRPr="0012790E">
              <w:t>Northern Territory Homelands and Housing</w:t>
            </w:r>
          </w:p>
        </w:tc>
        <w:tc>
          <w:tcPr>
            <w:tcW w:w="851" w:type="dxa"/>
            <w:vAlign w:val="bottom"/>
          </w:tcPr>
          <w:p w14:paraId="66EA7FA6" w14:textId="77777777" w:rsidR="0012790E" w:rsidRPr="0012790E" w:rsidRDefault="0012790E">
            <w:pPr>
              <w:pStyle w:val="Summarytabletextrightaligned"/>
              <w:rPr>
                <w:szCs w:val="16"/>
              </w:rPr>
            </w:pPr>
            <w:r w:rsidRPr="0012790E">
              <w:rPr>
                <w:szCs w:val="16"/>
              </w:rPr>
              <w:noBreakHyphen/>
              <w:t>20.0</w:t>
            </w:r>
          </w:p>
        </w:tc>
        <w:tc>
          <w:tcPr>
            <w:tcW w:w="851" w:type="dxa"/>
            <w:shd w:val="clear" w:color="auto" w:fill="E6F2FF"/>
            <w:vAlign w:val="bottom"/>
          </w:tcPr>
          <w:p w14:paraId="4D2FDECB" w14:textId="77777777" w:rsidR="0012790E" w:rsidRPr="0012790E" w:rsidRDefault="0012790E">
            <w:pPr>
              <w:pStyle w:val="Summarytabletextrightaligned"/>
              <w:rPr>
                <w:szCs w:val="16"/>
              </w:rPr>
            </w:pPr>
            <w:r w:rsidRPr="0012790E">
              <w:rPr>
                <w:szCs w:val="16"/>
              </w:rPr>
              <w:noBreakHyphen/>
              <w:t>114.3</w:t>
            </w:r>
          </w:p>
        </w:tc>
        <w:tc>
          <w:tcPr>
            <w:tcW w:w="851" w:type="dxa"/>
            <w:vAlign w:val="bottom"/>
          </w:tcPr>
          <w:p w14:paraId="4082E345" w14:textId="77777777" w:rsidR="0012790E" w:rsidRPr="0012790E" w:rsidRDefault="0012790E">
            <w:pPr>
              <w:pStyle w:val="Summarytabletextrightaligned"/>
              <w:rPr>
                <w:szCs w:val="16"/>
              </w:rPr>
            </w:pPr>
            <w:r w:rsidRPr="0012790E">
              <w:rPr>
                <w:szCs w:val="16"/>
              </w:rPr>
              <w:noBreakHyphen/>
              <w:t>117.3</w:t>
            </w:r>
          </w:p>
        </w:tc>
        <w:tc>
          <w:tcPr>
            <w:tcW w:w="851" w:type="dxa"/>
            <w:vAlign w:val="bottom"/>
          </w:tcPr>
          <w:p w14:paraId="78559984" w14:textId="77777777" w:rsidR="0012790E" w:rsidRPr="0012790E" w:rsidRDefault="0012790E">
            <w:pPr>
              <w:pStyle w:val="Summarytabletextrightaligned"/>
              <w:rPr>
                <w:szCs w:val="16"/>
              </w:rPr>
            </w:pPr>
            <w:r w:rsidRPr="0012790E">
              <w:rPr>
                <w:szCs w:val="16"/>
              </w:rPr>
              <w:noBreakHyphen/>
              <w:t>120.3</w:t>
            </w:r>
          </w:p>
        </w:tc>
        <w:tc>
          <w:tcPr>
            <w:tcW w:w="851" w:type="dxa"/>
            <w:vAlign w:val="bottom"/>
          </w:tcPr>
          <w:p w14:paraId="06EF59CA" w14:textId="77777777" w:rsidR="0012790E" w:rsidRPr="0012790E" w:rsidRDefault="0012790E">
            <w:pPr>
              <w:pStyle w:val="Summarytabletextrightaligned"/>
              <w:rPr>
                <w:szCs w:val="16"/>
              </w:rPr>
            </w:pPr>
            <w:r w:rsidRPr="0012790E">
              <w:rPr>
                <w:szCs w:val="16"/>
              </w:rPr>
              <w:noBreakHyphen/>
              <w:t>122.8</w:t>
            </w:r>
          </w:p>
        </w:tc>
      </w:tr>
      <w:tr w:rsidR="0012790E" w:rsidRPr="0012790E" w14:paraId="3827796A" w14:textId="77777777">
        <w:tc>
          <w:tcPr>
            <w:tcW w:w="3470" w:type="dxa"/>
            <w:shd w:val="clear" w:color="auto" w:fill="auto"/>
            <w:vAlign w:val="bottom"/>
          </w:tcPr>
          <w:p w14:paraId="66085BF1" w14:textId="77777777" w:rsidR="0012790E" w:rsidRPr="0012790E" w:rsidRDefault="0012790E">
            <w:pPr>
              <w:pStyle w:val="SummaryMeasureTitlewithTheme"/>
            </w:pPr>
            <w:r w:rsidRPr="0012790E">
              <w:t>Remote Jobs and Economic Development Program</w:t>
            </w:r>
          </w:p>
        </w:tc>
        <w:tc>
          <w:tcPr>
            <w:tcW w:w="851" w:type="dxa"/>
            <w:vAlign w:val="bottom"/>
          </w:tcPr>
          <w:p w14:paraId="69BC0809" w14:textId="77777777" w:rsidR="0012790E" w:rsidRPr="0012790E" w:rsidRDefault="0012790E">
            <w:pPr>
              <w:pStyle w:val="Summarytabletextrightaligned"/>
              <w:rPr>
                <w:szCs w:val="16"/>
              </w:rPr>
            </w:pPr>
            <w:r w:rsidRPr="0012790E">
              <w:rPr>
                <w:szCs w:val="16"/>
              </w:rPr>
              <w:t>1.0</w:t>
            </w:r>
          </w:p>
        </w:tc>
        <w:tc>
          <w:tcPr>
            <w:tcW w:w="851" w:type="dxa"/>
            <w:shd w:val="clear" w:color="auto" w:fill="E6F2FF"/>
            <w:vAlign w:val="bottom"/>
          </w:tcPr>
          <w:p w14:paraId="6D8D3927" w14:textId="77777777" w:rsidR="0012790E" w:rsidRPr="0012790E" w:rsidRDefault="0012790E">
            <w:pPr>
              <w:pStyle w:val="Summarytabletextrightaligned"/>
              <w:rPr>
                <w:szCs w:val="16"/>
              </w:rPr>
            </w:pPr>
            <w:r w:rsidRPr="0012790E">
              <w:rPr>
                <w:szCs w:val="16"/>
              </w:rPr>
              <w:t>105.8</w:t>
            </w:r>
          </w:p>
        </w:tc>
        <w:tc>
          <w:tcPr>
            <w:tcW w:w="851" w:type="dxa"/>
            <w:vAlign w:val="bottom"/>
          </w:tcPr>
          <w:p w14:paraId="5DD67EFC" w14:textId="77777777" w:rsidR="0012790E" w:rsidRPr="0012790E" w:rsidRDefault="0012790E">
            <w:pPr>
              <w:pStyle w:val="Summarytabletextrightaligned"/>
              <w:rPr>
                <w:szCs w:val="16"/>
              </w:rPr>
            </w:pPr>
            <w:r w:rsidRPr="0012790E">
              <w:rPr>
                <w:szCs w:val="16"/>
              </w:rPr>
              <w:t>145.0</w:t>
            </w:r>
          </w:p>
        </w:tc>
        <w:tc>
          <w:tcPr>
            <w:tcW w:w="851" w:type="dxa"/>
            <w:vAlign w:val="bottom"/>
          </w:tcPr>
          <w:p w14:paraId="08D26018" w14:textId="77777777" w:rsidR="0012790E" w:rsidRPr="0012790E" w:rsidRDefault="0012790E">
            <w:pPr>
              <w:pStyle w:val="Summarytabletextrightaligned"/>
              <w:rPr>
                <w:szCs w:val="16"/>
              </w:rPr>
            </w:pPr>
            <w:r w:rsidRPr="0012790E">
              <w:rPr>
                <w:szCs w:val="16"/>
              </w:rPr>
              <w:t>218.5</w:t>
            </w:r>
          </w:p>
        </w:tc>
        <w:tc>
          <w:tcPr>
            <w:tcW w:w="851" w:type="dxa"/>
            <w:vAlign w:val="bottom"/>
          </w:tcPr>
          <w:p w14:paraId="09BD2455" w14:textId="77777777" w:rsidR="0012790E" w:rsidRPr="0012790E" w:rsidRDefault="0012790E">
            <w:pPr>
              <w:pStyle w:val="Summarytabletextrightaligned"/>
              <w:rPr>
                <w:szCs w:val="16"/>
              </w:rPr>
            </w:pPr>
            <w:r w:rsidRPr="0012790E">
              <w:rPr>
                <w:szCs w:val="16"/>
              </w:rPr>
              <w:t>255.5</w:t>
            </w:r>
          </w:p>
        </w:tc>
      </w:tr>
      <w:tr w:rsidR="0067147D" w:rsidRPr="0012790E" w14:paraId="18957F1A" w14:textId="77777777">
        <w:tc>
          <w:tcPr>
            <w:tcW w:w="3470" w:type="dxa"/>
            <w:shd w:val="clear" w:color="auto" w:fill="auto"/>
            <w:vAlign w:val="bottom"/>
          </w:tcPr>
          <w:p w14:paraId="5D69BB9C" w14:textId="77777777" w:rsidR="0067147D" w:rsidRPr="0012790E" w:rsidRDefault="0067147D" w:rsidP="0067147D">
            <w:pPr>
              <w:pStyle w:val="SummaryMeasureTitlewithTheme"/>
            </w:pPr>
            <w:r w:rsidRPr="0012790E">
              <w:t>Youpla Support Program – continuation</w:t>
            </w:r>
          </w:p>
        </w:tc>
        <w:tc>
          <w:tcPr>
            <w:tcW w:w="851" w:type="dxa"/>
            <w:tcBorders>
              <w:bottom w:val="single" w:sz="4" w:space="0" w:color="293F5B"/>
            </w:tcBorders>
            <w:vAlign w:val="bottom"/>
          </w:tcPr>
          <w:p w14:paraId="3C4F4349" w14:textId="5123ACF0" w:rsidR="0067147D" w:rsidRPr="0012790E" w:rsidRDefault="0067147D" w:rsidP="0067147D">
            <w:pPr>
              <w:pStyle w:val="Summarytabletextrightaligned"/>
              <w:rPr>
                <w:szCs w:val="16"/>
              </w:rPr>
            </w:pPr>
            <w:r>
              <w:rPr>
                <w:szCs w:val="16"/>
              </w:rPr>
              <w:t>-</w:t>
            </w:r>
          </w:p>
        </w:tc>
        <w:tc>
          <w:tcPr>
            <w:tcW w:w="851" w:type="dxa"/>
            <w:tcBorders>
              <w:bottom w:val="single" w:sz="4" w:space="0" w:color="293F5B"/>
            </w:tcBorders>
            <w:shd w:val="clear" w:color="auto" w:fill="E6F2FF"/>
            <w:vAlign w:val="bottom"/>
          </w:tcPr>
          <w:p w14:paraId="47D52BC6" w14:textId="60AE6228" w:rsidR="0067147D" w:rsidRPr="0012790E" w:rsidRDefault="0067147D" w:rsidP="0067147D">
            <w:pPr>
              <w:pStyle w:val="Summarytabletextrightaligned"/>
              <w:rPr>
                <w:szCs w:val="16"/>
              </w:rPr>
            </w:pPr>
            <w:r>
              <w:rPr>
                <w:szCs w:val="16"/>
              </w:rPr>
              <w:t>-</w:t>
            </w:r>
          </w:p>
        </w:tc>
        <w:tc>
          <w:tcPr>
            <w:tcW w:w="851" w:type="dxa"/>
            <w:tcBorders>
              <w:bottom w:val="single" w:sz="4" w:space="0" w:color="293F5B"/>
            </w:tcBorders>
            <w:vAlign w:val="bottom"/>
          </w:tcPr>
          <w:p w14:paraId="57FD261E" w14:textId="1CF872BF" w:rsidR="0067147D" w:rsidRPr="0012790E" w:rsidRDefault="0067147D" w:rsidP="0067147D">
            <w:pPr>
              <w:pStyle w:val="Summarytabletextrightaligned"/>
              <w:rPr>
                <w:szCs w:val="16"/>
              </w:rPr>
            </w:pPr>
            <w:r>
              <w:rPr>
                <w:szCs w:val="16"/>
              </w:rPr>
              <w:t>-</w:t>
            </w:r>
          </w:p>
        </w:tc>
        <w:tc>
          <w:tcPr>
            <w:tcW w:w="851" w:type="dxa"/>
            <w:tcBorders>
              <w:bottom w:val="single" w:sz="4" w:space="0" w:color="293F5B"/>
            </w:tcBorders>
            <w:vAlign w:val="bottom"/>
          </w:tcPr>
          <w:p w14:paraId="25AC28EA" w14:textId="0256D78B" w:rsidR="0067147D" w:rsidRPr="0012790E" w:rsidRDefault="0067147D" w:rsidP="0067147D">
            <w:pPr>
              <w:pStyle w:val="Summarytabletextrightaligned"/>
              <w:rPr>
                <w:szCs w:val="16"/>
              </w:rPr>
            </w:pPr>
            <w:r>
              <w:rPr>
                <w:szCs w:val="16"/>
              </w:rPr>
              <w:t>-</w:t>
            </w:r>
          </w:p>
        </w:tc>
        <w:tc>
          <w:tcPr>
            <w:tcW w:w="851" w:type="dxa"/>
            <w:tcBorders>
              <w:bottom w:val="single" w:sz="4" w:space="0" w:color="293F5B"/>
            </w:tcBorders>
            <w:vAlign w:val="bottom"/>
          </w:tcPr>
          <w:p w14:paraId="58AA4E95" w14:textId="77777777" w:rsidR="0067147D" w:rsidRPr="0012790E" w:rsidRDefault="0067147D" w:rsidP="0067147D">
            <w:pPr>
              <w:pStyle w:val="Summarytabletextrightaligned"/>
              <w:rPr>
                <w:szCs w:val="16"/>
              </w:rPr>
            </w:pPr>
            <w:r w:rsidRPr="0012790E">
              <w:rPr>
                <w:szCs w:val="16"/>
              </w:rPr>
              <w:noBreakHyphen/>
            </w:r>
          </w:p>
        </w:tc>
      </w:tr>
      <w:tr w:rsidR="0012790E" w:rsidRPr="0012790E" w14:paraId="26F2A0C0" w14:textId="77777777">
        <w:tc>
          <w:tcPr>
            <w:tcW w:w="3470" w:type="dxa"/>
            <w:shd w:val="clear" w:color="auto" w:fill="auto"/>
            <w:vAlign w:val="bottom"/>
          </w:tcPr>
          <w:p w14:paraId="3A39BB2C" w14:textId="77777777" w:rsidR="0012790E" w:rsidRPr="0012790E" w:rsidRDefault="0012790E">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53CE5FB3" w14:textId="58978DEA" w:rsidR="0012790E" w:rsidRPr="0012790E" w:rsidRDefault="0012790E">
            <w:pPr>
              <w:pStyle w:val="Summarytabletextrightalignedbold"/>
              <w:rPr>
                <w:bCs/>
                <w:szCs w:val="16"/>
              </w:rPr>
            </w:pPr>
            <w:r w:rsidRPr="0012790E">
              <w:rPr>
                <w:bCs/>
                <w:szCs w:val="16"/>
              </w:rPr>
              <w:noBreakHyphen/>
            </w:r>
            <w:r w:rsidR="00746901">
              <w:rPr>
                <w:bCs/>
                <w:szCs w:val="16"/>
              </w:rPr>
              <w:t>29.5</w:t>
            </w:r>
          </w:p>
        </w:tc>
        <w:tc>
          <w:tcPr>
            <w:tcW w:w="851" w:type="dxa"/>
            <w:tcBorders>
              <w:top w:val="single" w:sz="4" w:space="0" w:color="293F5B"/>
              <w:bottom w:val="single" w:sz="4" w:space="0" w:color="293F5B"/>
            </w:tcBorders>
            <w:shd w:val="clear" w:color="auto" w:fill="E6F2FF"/>
            <w:vAlign w:val="bottom"/>
          </w:tcPr>
          <w:p w14:paraId="2F3A3244" w14:textId="492C4079" w:rsidR="0012790E" w:rsidRPr="0012790E" w:rsidRDefault="00746901">
            <w:pPr>
              <w:pStyle w:val="Summarytabletextrightalignedbold"/>
              <w:rPr>
                <w:bCs/>
                <w:szCs w:val="16"/>
              </w:rPr>
            </w:pPr>
            <w:r>
              <w:rPr>
                <w:bCs/>
                <w:szCs w:val="16"/>
              </w:rPr>
              <w:t>49.3</w:t>
            </w:r>
          </w:p>
        </w:tc>
        <w:tc>
          <w:tcPr>
            <w:tcW w:w="851" w:type="dxa"/>
            <w:tcBorders>
              <w:top w:val="single" w:sz="4" w:space="0" w:color="293F5B"/>
              <w:bottom w:val="single" w:sz="4" w:space="0" w:color="293F5B"/>
            </w:tcBorders>
            <w:vAlign w:val="bottom"/>
          </w:tcPr>
          <w:p w14:paraId="66A7252E" w14:textId="41B2331B" w:rsidR="0012790E" w:rsidRPr="0012790E" w:rsidRDefault="00746901">
            <w:pPr>
              <w:pStyle w:val="Summarytabletextrightalignedbold"/>
              <w:rPr>
                <w:bCs/>
                <w:szCs w:val="16"/>
              </w:rPr>
            </w:pPr>
            <w:r>
              <w:rPr>
                <w:bCs/>
                <w:szCs w:val="16"/>
              </w:rPr>
              <w:t>56.2</w:t>
            </w:r>
          </w:p>
        </w:tc>
        <w:tc>
          <w:tcPr>
            <w:tcW w:w="851" w:type="dxa"/>
            <w:tcBorders>
              <w:top w:val="single" w:sz="4" w:space="0" w:color="293F5B"/>
              <w:bottom w:val="single" w:sz="4" w:space="0" w:color="293F5B"/>
            </w:tcBorders>
            <w:vAlign w:val="bottom"/>
          </w:tcPr>
          <w:p w14:paraId="354A44AE" w14:textId="6C5F61C8" w:rsidR="0012790E" w:rsidRPr="0012790E" w:rsidRDefault="00746901">
            <w:pPr>
              <w:pStyle w:val="Summarytabletextrightalignedbold"/>
              <w:rPr>
                <w:bCs/>
                <w:szCs w:val="16"/>
              </w:rPr>
            </w:pPr>
            <w:r>
              <w:rPr>
                <w:bCs/>
                <w:szCs w:val="16"/>
              </w:rPr>
              <w:t>110.9</w:t>
            </w:r>
          </w:p>
        </w:tc>
        <w:tc>
          <w:tcPr>
            <w:tcW w:w="851" w:type="dxa"/>
            <w:tcBorders>
              <w:top w:val="single" w:sz="4" w:space="0" w:color="293F5B"/>
              <w:bottom w:val="single" w:sz="4" w:space="0" w:color="293F5B"/>
            </w:tcBorders>
            <w:vAlign w:val="bottom"/>
          </w:tcPr>
          <w:p w14:paraId="7D39A16C" w14:textId="223720BB" w:rsidR="0012790E" w:rsidRPr="0012790E" w:rsidRDefault="00746901">
            <w:pPr>
              <w:pStyle w:val="Summarytabletextrightalignedbold"/>
              <w:rPr>
                <w:bCs/>
                <w:szCs w:val="16"/>
              </w:rPr>
            </w:pPr>
            <w:r>
              <w:rPr>
                <w:bCs/>
                <w:szCs w:val="16"/>
              </w:rPr>
              <w:t>152.0</w:t>
            </w:r>
          </w:p>
        </w:tc>
      </w:tr>
      <w:tr w:rsidR="0012790E" w:rsidRPr="0012790E" w14:paraId="549642BE" w14:textId="77777777">
        <w:tc>
          <w:tcPr>
            <w:tcW w:w="3470" w:type="dxa"/>
            <w:shd w:val="clear" w:color="auto" w:fill="auto"/>
            <w:vAlign w:val="bottom"/>
          </w:tcPr>
          <w:p w14:paraId="450DAA9C" w14:textId="77777777" w:rsidR="0012790E" w:rsidRPr="0012790E" w:rsidRDefault="0012790E">
            <w:pPr>
              <w:pStyle w:val="SummaryPortfolioTitle-BP2"/>
            </w:pPr>
            <w:r w:rsidRPr="0012790E">
              <w:t>SOCIAL SERVICES</w:t>
            </w:r>
          </w:p>
        </w:tc>
        <w:tc>
          <w:tcPr>
            <w:tcW w:w="851" w:type="dxa"/>
            <w:tcBorders>
              <w:top w:val="single" w:sz="4" w:space="0" w:color="293F5B"/>
            </w:tcBorders>
            <w:vAlign w:val="bottom"/>
          </w:tcPr>
          <w:p w14:paraId="3856F9BD" w14:textId="77777777" w:rsidR="0012790E" w:rsidRPr="0012790E" w:rsidRDefault="0012790E">
            <w:pPr>
              <w:pStyle w:val="MeasureTableTextRightAlignedBefore6ptAfter1pt"/>
              <w:rPr>
                <w:b/>
                <w:bCs/>
              </w:rPr>
            </w:pPr>
          </w:p>
        </w:tc>
        <w:tc>
          <w:tcPr>
            <w:tcW w:w="851" w:type="dxa"/>
            <w:tcBorders>
              <w:top w:val="single" w:sz="4" w:space="0" w:color="293F5B"/>
            </w:tcBorders>
            <w:shd w:val="clear" w:color="auto" w:fill="E6F2FF"/>
            <w:vAlign w:val="bottom"/>
          </w:tcPr>
          <w:p w14:paraId="7BB7A40B"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4F1D38C6"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2F17EAA8"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439209FF" w14:textId="77777777" w:rsidR="0012790E" w:rsidRPr="0012790E" w:rsidRDefault="0012790E">
            <w:pPr>
              <w:pStyle w:val="MeasureTableTextRightAlignedBefore6ptAfter1pt"/>
              <w:rPr>
                <w:b/>
                <w:bCs/>
              </w:rPr>
            </w:pPr>
          </w:p>
        </w:tc>
      </w:tr>
      <w:tr w:rsidR="0012790E" w:rsidRPr="0012790E" w14:paraId="2856F7B7" w14:textId="77777777">
        <w:tc>
          <w:tcPr>
            <w:tcW w:w="3470" w:type="dxa"/>
            <w:shd w:val="clear" w:color="auto" w:fill="auto"/>
            <w:vAlign w:val="bottom"/>
          </w:tcPr>
          <w:p w14:paraId="238B5B53" w14:textId="77777777" w:rsidR="0012790E" w:rsidRPr="0012790E" w:rsidRDefault="0012790E">
            <w:pPr>
              <w:pStyle w:val="SummaryAgencyTitle-BP2"/>
              <w:rPr>
                <w:iCs/>
              </w:rPr>
            </w:pPr>
            <w:r w:rsidRPr="0012790E">
              <w:rPr>
                <w:iCs/>
              </w:rPr>
              <w:t>Department of Social Services</w:t>
            </w:r>
          </w:p>
        </w:tc>
        <w:tc>
          <w:tcPr>
            <w:tcW w:w="851" w:type="dxa"/>
            <w:vAlign w:val="bottom"/>
          </w:tcPr>
          <w:p w14:paraId="343B5300" w14:textId="77777777" w:rsidR="0012790E" w:rsidRPr="0012790E" w:rsidRDefault="0012790E">
            <w:pPr>
              <w:pStyle w:val="SummaryAgencyTitle-BP2"/>
              <w:rPr>
                <w:iCs/>
              </w:rPr>
            </w:pPr>
          </w:p>
        </w:tc>
        <w:tc>
          <w:tcPr>
            <w:tcW w:w="851" w:type="dxa"/>
            <w:shd w:val="clear" w:color="auto" w:fill="E6F2FF"/>
            <w:vAlign w:val="bottom"/>
          </w:tcPr>
          <w:p w14:paraId="62EBE44A" w14:textId="77777777" w:rsidR="0012790E" w:rsidRPr="0012790E" w:rsidRDefault="0012790E">
            <w:pPr>
              <w:pStyle w:val="SummaryAgencyTitle-BP2"/>
              <w:rPr>
                <w:iCs/>
              </w:rPr>
            </w:pPr>
          </w:p>
        </w:tc>
        <w:tc>
          <w:tcPr>
            <w:tcW w:w="851" w:type="dxa"/>
            <w:vAlign w:val="bottom"/>
          </w:tcPr>
          <w:p w14:paraId="0EA1DB0E" w14:textId="77777777" w:rsidR="0012790E" w:rsidRPr="0012790E" w:rsidRDefault="0012790E">
            <w:pPr>
              <w:pStyle w:val="SummaryAgencyTitle-BP2"/>
              <w:rPr>
                <w:iCs/>
              </w:rPr>
            </w:pPr>
          </w:p>
        </w:tc>
        <w:tc>
          <w:tcPr>
            <w:tcW w:w="851" w:type="dxa"/>
            <w:vAlign w:val="bottom"/>
          </w:tcPr>
          <w:p w14:paraId="725D5856" w14:textId="77777777" w:rsidR="0012790E" w:rsidRPr="0012790E" w:rsidRDefault="0012790E">
            <w:pPr>
              <w:pStyle w:val="SummaryAgencyTitle-BP2"/>
              <w:rPr>
                <w:iCs/>
              </w:rPr>
            </w:pPr>
          </w:p>
        </w:tc>
        <w:tc>
          <w:tcPr>
            <w:tcW w:w="851" w:type="dxa"/>
            <w:vAlign w:val="bottom"/>
          </w:tcPr>
          <w:p w14:paraId="0212DA8D" w14:textId="77777777" w:rsidR="0012790E" w:rsidRPr="0012790E" w:rsidRDefault="0012790E">
            <w:pPr>
              <w:pStyle w:val="SummaryAgencyTitle-BP2"/>
              <w:rPr>
                <w:iCs/>
              </w:rPr>
            </w:pPr>
          </w:p>
        </w:tc>
      </w:tr>
      <w:tr w:rsidR="0012790E" w:rsidRPr="0012790E" w14:paraId="1394EE88" w14:textId="77777777">
        <w:tc>
          <w:tcPr>
            <w:tcW w:w="3470" w:type="dxa"/>
            <w:shd w:val="clear" w:color="auto" w:fill="auto"/>
            <w:vAlign w:val="bottom"/>
          </w:tcPr>
          <w:p w14:paraId="2B69EC91" w14:textId="77777777" w:rsidR="0012790E" w:rsidRPr="0012790E" w:rsidRDefault="0012790E">
            <w:pPr>
              <w:pStyle w:val="SummaryMeasureTitlewithTheme"/>
            </w:pPr>
            <w:r w:rsidRPr="0012790E">
              <w:t>A Higher Rate of JobSeeker Payment for Participants with a Partial Capacity to Work (0</w:t>
            </w:r>
            <w:r w:rsidRPr="0012790E">
              <w:noBreakHyphen/>
              <w:t>14 hours)(b)</w:t>
            </w:r>
          </w:p>
        </w:tc>
        <w:tc>
          <w:tcPr>
            <w:tcW w:w="851" w:type="dxa"/>
            <w:vAlign w:val="bottom"/>
          </w:tcPr>
          <w:p w14:paraId="19A5534A"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67904D6" w14:textId="77777777" w:rsidR="0012790E" w:rsidRPr="0012790E" w:rsidRDefault="0012790E">
            <w:pPr>
              <w:pStyle w:val="Summarytabletextrightaligned"/>
              <w:rPr>
                <w:szCs w:val="16"/>
              </w:rPr>
            </w:pPr>
            <w:r w:rsidRPr="0012790E">
              <w:rPr>
                <w:szCs w:val="16"/>
              </w:rPr>
              <w:t>4.1</w:t>
            </w:r>
          </w:p>
        </w:tc>
        <w:tc>
          <w:tcPr>
            <w:tcW w:w="851" w:type="dxa"/>
            <w:vAlign w:val="bottom"/>
          </w:tcPr>
          <w:p w14:paraId="1BBB8679" w14:textId="77777777" w:rsidR="0012790E" w:rsidRPr="0012790E" w:rsidRDefault="0012790E">
            <w:pPr>
              <w:pStyle w:val="Summarytabletextrightaligned"/>
              <w:rPr>
                <w:szCs w:val="16"/>
              </w:rPr>
            </w:pPr>
            <w:r w:rsidRPr="0012790E">
              <w:rPr>
                <w:szCs w:val="16"/>
              </w:rPr>
              <w:t>5.2</w:t>
            </w:r>
          </w:p>
        </w:tc>
        <w:tc>
          <w:tcPr>
            <w:tcW w:w="851" w:type="dxa"/>
            <w:vAlign w:val="bottom"/>
          </w:tcPr>
          <w:p w14:paraId="042285D6" w14:textId="77777777" w:rsidR="0012790E" w:rsidRPr="0012790E" w:rsidRDefault="0012790E">
            <w:pPr>
              <w:pStyle w:val="Summarytabletextrightaligned"/>
              <w:rPr>
                <w:szCs w:val="16"/>
              </w:rPr>
            </w:pPr>
            <w:r w:rsidRPr="0012790E">
              <w:rPr>
                <w:szCs w:val="16"/>
              </w:rPr>
              <w:t>5.1</w:t>
            </w:r>
          </w:p>
        </w:tc>
        <w:tc>
          <w:tcPr>
            <w:tcW w:w="851" w:type="dxa"/>
            <w:vAlign w:val="bottom"/>
          </w:tcPr>
          <w:p w14:paraId="3B7506DC" w14:textId="77777777" w:rsidR="0012790E" w:rsidRPr="0012790E" w:rsidRDefault="0012790E">
            <w:pPr>
              <w:pStyle w:val="Summarytabletextrightaligned"/>
              <w:rPr>
                <w:szCs w:val="16"/>
              </w:rPr>
            </w:pPr>
            <w:r w:rsidRPr="0012790E">
              <w:rPr>
                <w:szCs w:val="16"/>
              </w:rPr>
              <w:t>5.3</w:t>
            </w:r>
          </w:p>
        </w:tc>
      </w:tr>
      <w:tr w:rsidR="0012790E" w:rsidRPr="0012790E" w14:paraId="1C80F917" w14:textId="77777777">
        <w:tc>
          <w:tcPr>
            <w:tcW w:w="3470" w:type="dxa"/>
            <w:shd w:val="clear" w:color="auto" w:fill="auto"/>
            <w:vAlign w:val="bottom"/>
          </w:tcPr>
          <w:p w14:paraId="538F8B41" w14:textId="77777777" w:rsidR="0012790E" w:rsidRPr="0012790E" w:rsidRDefault="0012790E">
            <w:pPr>
              <w:pStyle w:val="SummaryMeasureTitlewithTheme"/>
            </w:pPr>
            <w:r w:rsidRPr="0012790E">
              <w:t>A Stronger and More Diverse and Independent Community Sector</w:t>
            </w:r>
          </w:p>
        </w:tc>
        <w:tc>
          <w:tcPr>
            <w:tcW w:w="851" w:type="dxa"/>
            <w:vAlign w:val="bottom"/>
          </w:tcPr>
          <w:p w14:paraId="44DE312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B0F83C6"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D3F130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7C9D40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4D8CEC3" w14:textId="77777777" w:rsidR="0012790E" w:rsidRPr="0012790E" w:rsidRDefault="0012790E">
            <w:pPr>
              <w:pStyle w:val="Summarytabletextrightaligned"/>
              <w:rPr>
                <w:szCs w:val="16"/>
              </w:rPr>
            </w:pPr>
            <w:r w:rsidRPr="0012790E">
              <w:rPr>
                <w:szCs w:val="16"/>
              </w:rPr>
              <w:noBreakHyphen/>
            </w:r>
          </w:p>
        </w:tc>
      </w:tr>
      <w:tr w:rsidR="0012790E" w:rsidRPr="0012790E" w14:paraId="63B9E3D6" w14:textId="77777777">
        <w:tc>
          <w:tcPr>
            <w:tcW w:w="3470" w:type="dxa"/>
            <w:shd w:val="clear" w:color="auto" w:fill="auto"/>
            <w:vAlign w:val="bottom"/>
          </w:tcPr>
          <w:p w14:paraId="1AE0B090" w14:textId="77777777" w:rsidR="0012790E" w:rsidRPr="0012790E" w:rsidRDefault="0012790E">
            <w:pPr>
              <w:pStyle w:val="SummaryMeasureTitlewithTheme"/>
            </w:pPr>
            <w:r w:rsidRPr="0012790E">
              <w:t>Additional Funding to Expand Jindelara Cottage Ulladulla</w:t>
            </w:r>
          </w:p>
        </w:tc>
        <w:tc>
          <w:tcPr>
            <w:tcW w:w="851" w:type="dxa"/>
            <w:vAlign w:val="bottom"/>
          </w:tcPr>
          <w:p w14:paraId="38E2498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C2C536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B88849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F52629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69D8311" w14:textId="77777777" w:rsidR="0012790E" w:rsidRPr="0012790E" w:rsidRDefault="0012790E">
            <w:pPr>
              <w:pStyle w:val="Summarytabletextrightaligned"/>
              <w:rPr>
                <w:szCs w:val="16"/>
              </w:rPr>
            </w:pPr>
            <w:r w:rsidRPr="0012790E">
              <w:rPr>
                <w:szCs w:val="16"/>
              </w:rPr>
              <w:noBreakHyphen/>
            </w:r>
          </w:p>
        </w:tc>
      </w:tr>
      <w:tr w:rsidR="0012790E" w:rsidRPr="0012790E" w14:paraId="15540BF1" w14:textId="77777777">
        <w:tc>
          <w:tcPr>
            <w:tcW w:w="3470" w:type="dxa"/>
            <w:shd w:val="clear" w:color="auto" w:fill="auto"/>
            <w:vAlign w:val="bottom"/>
          </w:tcPr>
          <w:p w14:paraId="6D667F93" w14:textId="77777777" w:rsidR="0012790E" w:rsidRPr="0012790E" w:rsidRDefault="0012790E">
            <w:pPr>
              <w:pStyle w:val="SummaryMeasureTitlewithTheme"/>
            </w:pPr>
            <w:r w:rsidRPr="0012790E">
              <w:t>APS Capability Reinvestment Fund: 2024</w:t>
            </w:r>
            <w:r w:rsidRPr="0012790E">
              <w:noBreakHyphen/>
              <w:t>25 projects funded under round two</w:t>
            </w:r>
          </w:p>
        </w:tc>
        <w:tc>
          <w:tcPr>
            <w:tcW w:w="851" w:type="dxa"/>
            <w:vAlign w:val="bottom"/>
          </w:tcPr>
          <w:p w14:paraId="10392DC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C9D089F" w14:textId="37EF6F24" w:rsidR="0012790E" w:rsidRPr="0012790E" w:rsidRDefault="00B92B04">
            <w:pPr>
              <w:pStyle w:val="Summarytabletextrightaligned"/>
              <w:rPr>
                <w:szCs w:val="16"/>
              </w:rPr>
            </w:pPr>
            <w:r>
              <w:rPr>
                <w:szCs w:val="16"/>
              </w:rPr>
              <w:t>-</w:t>
            </w:r>
          </w:p>
        </w:tc>
        <w:tc>
          <w:tcPr>
            <w:tcW w:w="851" w:type="dxa"/>
            <w:vAlign w:val="bottom"/>
          </w:tcPr>
          <w:p w14:paraId="2F60AED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B20BB0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1B419F2" w14:textId="77777777" w:rsidR="0012790E" w:rsidRPr="0012790E" w:rsidRDefault="0012790E">
            <w:pPr>
              <w:pStyle w:val="Summarytabletextrightaligned"/>
              <w:rPr>
                <w:szCs w:val="16"/>
              </w:rPr>
            </w:pPr>
            <w:r w:rsidRPr="0012790E">
              <w:rPr>
                <w:szCs w:val="16"/>
              </w:rPr>
              <w:noBreakHyphen/>
            </w:r>
          </w:p>
        </w:tc>
      </w:tr>
      <w:tr w:rsidR="0012790E" w:rsidRPr="0012790E" w14:paraId="7D4A0024" w14:textId="77777777">
        <w:tc>
          <w:tcPr>
            <w:tcW w:w="3470" w:type="dxa"/>
            <w:shd w:val="clear" w:color="auto" w:fill="auto"/>
            <w:vAlign w:val="bottom"/>
          </w:tcPr>
          <w:p w14:paraId="545AEAC6" w14:textId="77777777" w:rsidR="0012790E" w:rsidRPr="0012790E" w:rsidRDefault="0012790E">
            <w:pPr>
              <w:pStyle w:val="SummaryMeasureTitlewithTheme"/>
            </w:pPr>
            <w:r w:rsidRPr="0012790E">
              <w:t>Australian Orphanage Museum – additional funding</w:t>
            </w:r>
          </w:p>
        </w:tc>
        <w:tc>
          <w:tcPr>
            <w:tcW w:w="851" w:type="dxa"/>
            <w:vAlign w:val="bottom"/>
          </w:tcPr>
          <w:p w14:paraId="3EEDA00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D21B856"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1A99C2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2D74C2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890FD16" w14:textId="77777777" w:rsidR="0012790E" w:rsidRPr="0012790E" w:rsidRDefault="0012790E">
            <w:pPr>
              <w:pStyle w:val="Summarytabletextrightaligned"/>
              <w:rPr>
                <w:szCs w:val="16"/>
              </w:rPr>
            </w:pPr>
            <w:r w:rsidRPr="0012790E">
              <w:rPr>
                <w:szCs w:val="16"/>
              </w:rPr>
              <w:noBreakHyphen/>
            </w:r>
          </w:p>
        </w:tc>
      </w:tr>
      <w:tr w:rsidR="0012790E" w:rsidRPr="0012790E" w14:paraId="1BE340D7" w14:textId="77777777">
        <w:tc>
          <w:tcPr>
            <w:tcW w:w="3470" w:type="dxa"/>
            <w:shd w:val="clear" w:color="auto" w:fill="auto"/>
            <w:vAlign w:val="bottom"/>
          </w:tcPr>
          <w:p w14:paraId="1AF46C67" w14:textId="77777777" w:rsidR="0012790E" w:rsidRPr="0012790E" w:rsidRDefault="0012790E">
            <w:pPr>
              <w:pStyle w:val="SummaryMeasureTitlewithTheme"/>
            </w:pPr>
            <w:r w:rsidRPr="0012790E">
              <w:t>Australian Universities Accord – tertiary education system reforms(b)</w:t>
            </w:r>
          </w:p>
        </w:tc>
        <w:tc>
          <w:tcPr>
            <w:tcW w:w="851" w:type="dxa"/>
            <w:vAlign w:val="bottom"/>
          </w:tcPr>
          <w:p w14:paraId="2DEF60B2"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35D45C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C4A0D0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FE382F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6231B82" w14:textId="77777777" w:rsidR="0012790E" w:rsidRPr="0012790E" w:rsidRDefault="0012790E">
            <w:pPr>
              <w:pStyle w:val="Summarytabletextrightaligned"/>
              <w:rPr>
                <w:szCs w:val="16"/>
              </w:rPr>
            </w:pPr>
            <w:r w:rsidRPr="0012790E">
              <w:rPr>
                <w:szCs w:val="16"/>
              </w:rPr>
              <w:noBreakHyphen/>
            </w:r>
          </w:p>
        </w:tc>
      </w:tr>
      <w:tr w:rsidR="0012790E" w:rsidRPr="0012790E" w14:paraId="1B579BA5" w14:textId="77777777">
        <w:tc>
          <w:tcPr>
            <w:tcW w:w="3470" w:type="dxa"/>
            <w:shd w:val="clear" w:color="auto" w:fill="auto"/>
            <w:vAlign w:val="bottom"/>
          </w:tcPr>
          <w:p w14:paraId="783B402F" w14:textId="77777777" w:rsidR="0012790E" w:rsidRPr="0012790E" w:rsidRDefault="0012790E">
            <w:pPr>
              <w:pStyle w:val="SummaryMeasureTitlewithTheme"/>
            </w:pPr>
            <w:r w:rsidRPr="0012790E">
              <w:t>Carer Payment – increased flexibility</w:t>
            </w:r>
          </w:p>
        </w:tc>
        <w:tc>
          <w:tcPr>
            <w:tcW w:w="851" w:type="dxa"/>
            <w:vAlign w:val="bottom"/>
          </w:tcPr>
          <w:p w14:paraId="141A413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E4585DE" w14:textId="77777777" w:rsidR="0012790E" w:rsidRPr="0012790E" w:rsidRDefault="0012790E">
            <w:pPr>
              <w:pStyle w:val="Summarytabletextrightaligned"/>
              <w:rPr>
                <w:szCs w:val="16"/>
              </w:rPr>
            </w:pPr>
            <w:r w:rsidRPr="0012790E">
              <w:rPr>
                <w:szCs w:val="16"/>
              </w:rPr>
              <w:t>0.6</w:t>
            </w:r>
          </w:p>
        </w:tc>
        <w:tc>
          <w:tcPr>
            <w:tcW w:w="851" w:type="dxa"/>
            <w:vAlign w:val="bottom"/>
          </w:tcPr>
          <w:p w14:paraId="5C2D8524" w14:textId="77777777" w:rsidR="0012790E" w:rsidRPr="0012790E" w:rsidRDefault="0012790E">
            <w:pPr>
              <w:pStyle w:val="Summarytabletextrightaligned"/>
              <w:rPr>
                <w:szCs w:val="16"/>
              </w:rPr>
            </w:pPr>
            <w:r w:rsidRPr="0012790E">
              <w:rPr>
                <w:szCs w:val="16"/>
              </w:rPr>
              <w:t>1.8</w:t>
            </w:r>
          </w:p>
        </w:tc>
        <w:tc>
          <w:tcPr>
            <w:tcW w:w="851" w:type="dxa"/>
            <w:vAlign w:val="bottom"/>
          </w:tcPr>
          <w:p w14:paraId="59599AB5" w14:textId="77777777" w:rsidR="0012790E" w:rsidRPr="0012790E" w:rsidRDefault="0012790E">
            <w:pPr>
              <w:pStyle w:val="Summarytabletextrightaligned"/>
              <w:rPr>
                <w:szCs w:val="16"/>
              </w:rPr>
            </w:pPr>
            <w:r w:rsidRPr="0012790E">
              <w:rPr>
                <w:szCs w:val="16"/>
              </w:rPr>
              <w:t>1.9</w:t>
            </w:r>
          </w:p>
        </w:tc>
        <w:tc>
          <w:tcPr>
            <w:tcW w:w="851" w:type="dxa"/>
            <w:vAlign w:val="bottom"/>
          </w:tcPr>
          <w:p w14:paraId="5D90E96B" w14:textId="77777777" w:rsidR="0012790E" w:rsidRPr="0012790E" w:rsidRDefault="0012790E">
            <w:pPr>
              <w:pStyle w:val="Summarytabletextrightaligned"/>
              <w:rPr>
                <w:szCs w:val="16"/>
              </w:rPr>
            </w:pPr>
            <w:r w:rsidRPr="0012790E">
              <w:rPr>
                <w:szCs w:val="16"/>
              </w:rPr>
              <w:t>2.0</w:t>
            </w:r>
          </w:p>
        </w:tc>
      </w:tr>
      <w:tr w:rsidR="0012790E" w:rsidRPr="0012790E" w14:paraId="1A4926E2" w14:textId="77777777">
        <w:tc>
          <w:tcPr>
            <w:tcW w:w="3470" w:type="dxa"/>
            <w:shd w:val="clear" w:color="auto" w:fill="auto"/>
            <w:vAlign w:val="bottom"/>
          </w:tcPr>
          <w:p w14:paraId="0AFAC064" w14:textId="77777777" w:rsidR="0012790E" w:rsidRPr="0012790E" w:rsidRDefault="0012790E">
            <w:pPr>
              <w:pStyle w:val="SummaryMeasureTitlewithTheme"/>
            </w:pPr>
            <w:r w:rsidRPr="0012790E">
              <w:t>Commonwealth Government</w:t>
            </w:r>
            <w:r w:rsidRPr="0012790E">
              <w:noBreakHyphen/>
              <w:t>Funded Paid Parental Leave – enhancement(b)</w:t>
            </w:r>
          </w:p>
        </w:tc>
        <w:tc>
          <w:tcPr>
            <w:tcW w:w="851" w:type="dxa"/>
            <w:vAlign w:val="bottom"/>
          </w:tcPr>
          <w:p w14:paraId="50B37FB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1366818"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F441C6F"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303C59D" w14:textId="77777777" w:rsidR="0012790E" w:rsidRPr="0012790E" w:rsidRDefault="0012790E">
            <w:pPr>
              <w:pStyle w:val="Summarytabletextrightaligned"/>
              <w:rPr>
                <w:szCs w:val="16"/>
              </w:rPr>
            </w:pPr>
            <w:r w:rsidRPr="0012790E">
              <w:rPr>
                <w:szCs w:val="16"/>
              </w:rPr>
              <w:t>435.0</w:t>
            </w:r>
          </w:p>
        </w:tc>
        <w:tc>
          <w:tcPr>
            <w:tcW w:w="851" w:type="dxa"/>
            <w:vAlign w:val="bottom"/>
          </w:tcPr>
          <w:p w14:paraId="62C0D21A" w14:textId="77777777" w:rsidR="0012790E" w:rsidRPr="0012790E" w:rsidRDefault="0012790E">
            <w:pPr>
              <w:pStyle w:val="Summarytabletextrightaligned"/>
              <w:rPr>
                <w:szCs w:val="16"/>
              </w:rPr>
            </w:pPr>
            <w:r w:rsidRPr="0012790E">
              <w:rPr>
                <w:szCs w:val="16"/>
              </w:rPr>
              <w:t>583.1</w:t>
            </w:r>
          </w:p>
        </w:tc>
      </w:tr>
      <w:tr w:rsidR="0012790E" w:rsidRPr="0012790E" w14:paraId="327B4805" w14:textId="77777777">
        <w:tc>
          <w:tcPr>
            <w:tcW w:w="3470" w:type="dxa"/>
            <w:shd w:val="clear" w:color="auto" w:fill="auto"/>
            <w:vAlign w:val="bottom"/>
          </w:tcPr>
          <w:p w14:paraId="0365741D" w14:textId="77777777" w:rsidR="0012790E" w:rsidRPr="0012790E" w:rsidRDefault="0012790E">
            <w:pPr>
              <w:pStyle w:val="SummaryMeasureTitlewithTheme"/>
            </w:pPr>
            <w:r w:rsidRPr="0012790E">
              <w:t>Commonwealth Rent Assistance – increase the maximum rates</w:t>
            </w:r>
          </w:p>
        </w:tc>
        <w:tc>
          <w:tcPr>
            <w:tcW w:w="851" w:type="dxa"/>
            <w:vAlign w:val="bottom"/>
          </w:tcPr>
          <w:p w14:paraId="66241F0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2C6321F" w14:textId="77777777" w:rsidR="0012790E" w:rsidRPr="0012790E" w:rsidRDefault="0012790E">
            <w:pPr>
              <w:pStyle w:val="Summarytabletextrightaligned"/>
              <w:rPr>
                <w:szCs w:val="16"/>
              </w:rPr>
            </w:pPr>
            <w:r w:rsidRPr="0012790E">
              <w:rPr>
                <w:szCs w:val="16"/>
              </w:rPr>
              <w:t>370.8</w:t>
            </w:r>
          </w:p>
        </w:tc>
        <w:tc>
          <w:tcPr>
            <w:tcW w:w="851" w:type="dxa"/>
            <w:vAlign w:val="bottom"/>
          </w:tcPr>
          <w:p w14:paraId="587D910C" w14:textId="77777777" w:rsidR="0012790E" w:rsidRPr="0012790E" w:rsidRDefault="0012790E">
            <w:pPr>
              <w:pStyle w:val="Summarytabletextrightaligned"/>
              <w:rPr>
                <w:szCs w:val="16"/>
              </w:rPr>
            </w:pPr>
            <w:r w:rsidRPr="0012790E">
              <w:rPr>
                <w:szCs w:val="16"/>
              </w:rPr>
              <w:t>490.1</w:t>
            </w:r>
          </w:p>
        </w:tc>
        <w:tc>
          <w:tcPr>
            <w:tcW w:w="851" w:type="dxa"/>
            <w:vAlign w:val="bottom"/>
          </w:tcPr>
          <w:p w14:paraId="643265A1" w14:textId="77777777" w:rsidR="0012790E" w:rsidRPr="0012790E" w:rsidRDefault="0012790E">
            <w:pPr>
              <w:pStyle w:val="Summarytabletextrightaligned"/>
              <w:rPr>
                <w:szCs w:val="16"/>
              </w:rPr>
            </w:pPr>
            <w:r w:rsidRPr="0012790E">
              <w:rPr>
                <w:szCs w:val="16"/>
              </w:rPr>
              <w:t>499.8</w:t>
            </w:r>
          </w:p>
        </w:tc>
        <w:tc>
          <w:tcPr>
            <w:tcW w:w="851" w:type="dxa"/>
            <w:vAlign w:val="bottom"/>
          </w:tcPr>
          <w:p w14:paraId="7C71BD62" w14:textId="77777777" w:rsidR="0012790E" w:rsidRPr="0012790E" w:rsidRDefault="0012790E">
            <w:pPr>
              <w:pStyle w:val="Summarytabletextrightaligned"/>
              <w:rPr>
                <w:szCs w:val="16"/>
              </w:rPr>
            </w:pPr>
            <w:r w:rsidRPr="0012790E">
              <w:rPr>
                <w:szCs w:val="16"/>
              </w:rPr>
              <w:t>514.8</w:t>
            </w:r>
          </w:p>
        </w:tc>
      </w:tr>
      <w:tr w:rsidR="0012790E" w:rsidRPr="0012790E" w14:paraId="40D6598E" w14:textId="77777777">
        <w:tc>
          <w:tcPr>
            <w:tcW w:w="3470" w:type="dxa"/>
            <w:shd w:val="clear" w:color="auto" w:fill="auto"/>
            <w:vAlign w:val="bottom"/>
          </w:tcPr>
          <w:p w14:paraId="3E86C58D" w14:textId="77777777" w:rsidR="0012790E" w:rsidRPr="0012790E" w:rsidRDefault="0012790E">
            <w:pPr>
              <w:pStyle w:val="SummaryMeasureTitlewithTheme"/>
            </w:pPr>
            <w:r w:rsidRPr="0012790E">
              <w:t>Disability Employment Services Reform</w:t>
            </w:r>
          </w:p>
        </w:tc>
        <w:tc>
          <w:tcPr>
            <w:tcW w:w="851" w:type="dxa"/>
            <w:vAlign w:val="bottom"/>
          </w:tcPr>
          <w:p w14:paraId="535594FA"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5412419" w14:textId="77777777" w:rsidR="0012790E" w:rsidRPr="0012790E" w:rsidRDefault="0012790E">
            <w:pPr>
              <w:pStyle w:val="Summarytabletextrightaligned"/>
              <w:rPr>
                <w:szCs w:val="16"/>
              </w:rPr>
            </w:pPr>
            <w:r w:rsidRPr="0012790E">
              <w:rPr>
                <w:szCs w:val="16"/>
              </w:rPr>
              <w:t>39.4</w:t>
            </w:r>
          </w:p>
        </w:tc>
        <w:tc>
          <w:tcPr>
            <w:tcW w:w="851" w:type="dxa"/>
            <w:vAlign w:val="bottom"/>
          </w:tcPr>
          <w:p w14:paraId="7F128E6C" w14:textId="77777777" w:rsidR="0012790E" w:rsidRPr="0012790E" w:rsidRDefault="0012790E">
            <w:pPr>
              <w:pStyle w:val="Summarytabletextrightaligned"/>
              <w:rPr>
                <w:szCs w:val="16"/>
              </w:rPr>
            </w:pPr>
            <w:r w:rsidRPr="0012790E">
              <w:rPr>
                <w:szCs w:val="16"/>
              </w:rPr>
              <w:noBreakHyphen/>
              <w:t>23.4</w:t>
            </w:r>
          </w:p>
        </w:tc>
        <w:tc>
          <w:tcPr>
            <w:tcW w:w="851" w:type="dxa"/>
            <w:vAlign w:val="bottom"/>
          </w:tcPr>
          <w:p w14:paraId="05EEC00C" w14:textId="77777777" w:rsidR="0012790E" w:rsidRPr="0012790E" w:rsidRDefault="0012790E">
            <w:pPr>
              <w:pStyle w:val="Summarytabletextrightaligned"/>
              <w:rPr>
                <w:szCs w:val="16"/>
              </w:rPr>
            </w:pPr>
            <w:r w:rsidRPr="0012790E">
              <w:rPr>
                <w:szCs w:val="16"/>
              </w:rPr>
              <w:t>21.9</w:t>
            </w:r>
          </w:p>
        </w:tc>
        <w:tc>
          <w:tcPr>
            <w:tcW w:w="851" w:type="dxa"/>
            <w:vAlign w:val="bottom"/>
          </w:tcPr>
          <w:p w14:paraId="334A34BF" w14:textId="77777777" w:rsidR="0012790E" w:rsidRPr="0012790E" w:rsidRDefault="0012790E">
            <w:pPr>
              <w:pStyle w:val="Summarytabletextrightaligned"/>
              <w:rPr>
                <w:szCs w:val="16"/>
              </w:rPr>
            </w:pPr>
            <w:r w:rsidRPr="0012790E">
              <w:rPr>
                <w:szCs w:val="16"/>
              </w:rPr>
              <w:t>53.9</w:t>
            </w:r>
          </w:p>
        </w:tc>
      </w:tr>
      <w:tr w:rsidR="0012790E" w:rsidRPr="0012790E" w14:paraId="5D728719" w14:textId="77777777">
        <w:tc>
          <w:tcPr>
            <w:tcW w:w="3470" w:type="dxa"/>
            <w:shd w:val="clear" w:color="auto" w:fill="auto"/>
            <w:vAlign w:val="bottom"/>
          </w:tcPr>
          <w:p w14:paraId="7A367213" w14:textId="77777777" w:rsidR="0012790E" w:rsidRPr="0012790E" w:rsidRDefault="0012790E">
            <w:pPr>
              <w:pStyle w:val="SummaryMeasureTitlewithTheme"/>
            </w:pPr>
            <w:r w:rsidRPr="0012790E">
              <w:t>Early Years Strategy – aligning investment</w:t>
            </w:r>
          </w:p>
        </w:tc>
        <w:tc>
          <w:tcPr>
            <w:tcW w:w="851" w:type="dxa"/>
            <w:vAlign w:val="bottom"/>
          </w:tcPr>
          <w:p w14:paraId="15C34CC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06503CD" w14:textId="77777777" w:rsidR="0012790E" w:rsidRPr="0012790E" w:rsidRDefault="0012790E">
            <w:pPr>
              <w:pStyle w:val="Summarytabletextrightaligned"/>
              <w:rPr>
                <w:szCs w:val="16"/>
              </w:rPr>
            </w:pPr>
            <w:r w:rsidRPr="0012790E">
              <w:rPr>
                <w:szCs w:val="16"/>
              </w:rPr>
              <w:t>6.4</w:t>
            </w:r>
          </w:p>
        </w:tc>
        <w:tc>
          <w:tcPr>
            <w:tcW w:w="851" w:type="dxa"/>
            <w:vAlign w:val="bottom"/>
          </w:tcPr>
          <w:p w14:paraId="3E4F87F8" w14:textId="77777777" w:rsidR="0012790E" w:rsidRPr="0012790E" w:rsidRDefault="0012790E">
            <w:pPr>
              <w:pStyle w:val="Summarytabletextrightaligned"/>
              <w:rPr>
                <w:szCs w:val="16"/>
              </w:rPr>
            </w:pPr>
            <w:r w:rsidRPr="0012790E">
              <w:rPr>
                <w:szCs w:val="16"/>
              </w:rPr>
              <w:t>7.5</w:t>
            </w:r>
          </w:p>
        </w:tc>
        <w:tc>
          <w:tcPr>
            <w:tcW w:w="851" w:type="dxa"/>
            <w:vAlign w:val="bottom"/>
          </w:tcPr>
          <w:p w14:paraId="0C200D4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4AA89BA" w14:textId="77777777" w:rsidR="0012790E" w:rsidRPr="0012790E" w:rsidRDefault="0012790E">
            <w:pPr>
              <w:pStyle w:val="Summarytabletextrightaligned"/>
              <w:rPr>
                <w:szCs w:val="16"/>
              </w:rPr>
            </w:pPr>
            <w:r w:rsidRPr="0012790E">
              <w:rPr>
                <w:szCs w:val="16"/>
              </w:rPr>
              <w:noBreakHyphen/>
            </w:r>
          </w:p>
        </w:tc>
      </w:tr>
      <w:tr w:rsidR="0012790E" w:rsidRPr="0012790E" w14:paraId="61F14E19" w14:textId="77777777">
        <w:tc>
          <w:tcPr>
            <w:tcW w:w="3470" w:type="dxa"/>
            <w:shd w:val="clear" w:color="auto" w:fill="auto"/>
            <w:vAlign w:val="bottom"/>
          </w:tcPr>
          <w:p w14:paraId="0DB5C4D1" w14:textId="77777777" w:rsidR="0012790E" w:rsidRPr="0012790E" w:rsidRDefault="0012790E">
            <w:pPr>
              <w:pStyle w:val="SummaryMeasureTitlewithTheme"/>
            </w:pPr>
            <w:r w:rsidRPr="0012790E">
              <w:t>Employment Services Reform</w:t>
            </w:r>
          </w:p>
        </w:tc>
        <w:tc>
          <w:tcPr>
            <w:tcW w:w="851" w:type="dxa"/>
            <w:vAlign w:val="bottom"/>
          </w:tcPr>
          <w:p w14:paraId="114C4DA3"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74B132C" w14:textId="77777777" w:rsidR="0012790E" w:rsidRPr="0012790E" w:rsidRDefault="0012790E">
            <w:pPr>
              <w:pStyle w:val="Summarytabletextrightaligned"/>
              <w:rPr>
                <w:szCs w:val="16"/>
              </w:rPr>
            </w:pPr>
            <w:r w:rsidRPr="0012790E">
              <w:rPr>
                <w:szCs w:val="16"/>
              </w:rPr>
              <w:t>..</w:t>
            </w:r>
          </w:p>
        </w:tc>
        <w:tc>
          <w:tcPr>
            <w:tcW w:w="851" w:type="dxa"/>
            <w:vAlign w:val="bottom"/>
          </w:tcPr>
          <w:p w14:paraId="562B5839" w14:textId="77777777" w:rsidR="0012790E" w:rsidRPr="0012790E" w:rsidRDefault="0012790E">
            <w:pPr>
              <w:pStyle w:val="Summarytabletextrightaligned"/>
              <w:rPr>
                <w:szCs w:val="16"/>
              </w:rPr>
            </w:pPr>
            <w:r w:rsidRPr="0012790E">
              <w:rPr>
                <w:szCs w:val="16"/>
              </w:rPr>
              <w:t>..</w:t>
            </w:r>
          </w:p>
        </w:tc>
        <w:tc>
          <w:tcPr>
            <w:tcW w:w="851" w:type="dxa"/>
            <w:vAlign w:val="bottom"/>
          </w:tcPr>
          <w:p w14:paraId="57E4695C" w14:textId="77777777" w:rsidR="0012790E" w:rsidRPr="0012790E" w:rsidRDefault="0012790E">
            <w:pPr>
              <w:pStyle w:val="Summarytabletextrightaligned"/>
              <w:rPr>
                <w:szCs w:val="16"/>
              </w:rPr>
            </w:pPr>
            <w:r w:rsidRPr="0012790E">
              <w:rPr>
                <w:szCs w:val="16"/>
              </w:rPr>
              <w:t>..</w:t>
            </w:r>
          </w:p>
        </w:tc>
        <w:tc>
          <w:tcPr>
            <w:tcW w:w="851" w:type="dxa"/>
            <w:vAlign w:val="bottom"/>
          </w:tcPr>
          <w:p w14:paraId="70AAC26A" w14:textId="77777777" w:rsidR="0012790E" w:rsidRPr="0012790E" w:rsidRDefault="0012790E">
            <w:pPr>
              <w:pStyle w:val="Summarytabletextrightaligned"/>
              <w:rPr>
                <w:szCs w:val="16"/>
              </w:rPr>
            </w:pPr>
            <w:r w:rsidRPr="0012790E">
              <w:rPr>
                <w:szCs w:val="16"/>
              </w:rPr>
              <w:t>..</w:t>
            </w:r>
          </w:p>
        </w:tc>
      </w:tr>
      <w:tr w:rsidR="0012790E" w:rsidRPr="0012790E" w14:paraId="35871C83" w14:textId="77777777">
        <w:tc>
          <w:tcPr>
            <w:tcW w:w="3470" w:type="dxa"/>
            <w:tcBorders>
              <w:bottom w:val="single" w:sz="4" w:space="0" w:color="293F5B"/>
            </w:tcBorders>
            <w:shd w:val="clear" w:color="auto" w:fill="auto"/>
            <w:vAlign w:val="bottom"/>
          </w:tcPr>
          <w:p w14:paraId="014DFD03" w14:textId="77777777" w:rsidR="0012790E" w:rsidRPr="0012790E" w:rsidRDefault="0012790E">
            <w:pPr>
              <w:pStyle w:val="SummaryMeasureTitlewithTheme"/>
            </w:pPr>
            <w:r w:rsidRPr="0012790E">
              <w:t>Ending Gender</w:t>
            </w:r>
            <w:r w:rsidRPr="0012790E">
              <w:noBreakHyphen/>
              <w:t>Based Violence – additional resourcing</w:t>
            </w:r>
          </w:p>
        </w:tc>
        <w:tc>
          <w:tcPr>
            <w:tcW w:w="851" w:type="dxa"/>
            <w:tcBorders>
              <w:bottom w:val="single" w:sz="4" w:space="0" w:color="293F5B"/>
            </w:tcBorders>
            <w:vAlign w:val="bottom"/>
          </w:tcPr>
          <w:p w14:paraId="27F00D18"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3F33239E" w14:textId="77777777" w:rsidR="0012790E" w:rsidRPr="0012790E" w:rsidRDefault="0012790E">
            <w:pPr>
              <w:pStyle w:val="Summarytabletextrightaligned"/>
              <w:rPr>
                <w:szCs w:val="16"/>
              </w:rPr>
            </w:pPr>
            <w:r w:rsidRPr="0012790E">
              <w:rPr>
                <w:szCs w:val="16"/>
              </w:rPr>
              <w:t>4.3</w:t>
            </w:r>
          </w:p>
        </w:tc>
        <w:tc>
          <w:tcPr>
            <w:tcW w:w="851" w:type="dxa"/>
            <w:tcBorders>
              <w:bottom w:val="single" w:sz="4" w:space="0" w:color="293F5B"/>
            </w:tcBorders>
            <w:vAlign w:val="bottom"/>
          </w:tcPr>
          <w:p w14:paraId="27EA37D5"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5F6CB6DA"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68AFA62E" w14:textId="77777777" w:rsidR="0012790E" w:rsidRPr="0012790E" w:rsidRDefault="0012790E">
            <w:pPr>
              <w:pStyle w:val="Summarytabletextrightaligned"/>
              <w:rPr>
                <w:szCs w:val="16"/>
              </w:rPr>
            </w:pPr>
            <w:r w:rsidRPr="0012790E">
              <w:rPr>
                <w:szCs w:val="16"/>
              </w:rPr>
              <w:noBreakHyphen/>
            </w:r>
          </w:p>
        </w:tc>
      </w:tr>
    </w:tbl>
    <w:p w14:paraId="1B5D935A" w14:textId="77777777" w:rsidR="0012790E" w:rsidRPr="0012790E" w:rsidRDefault="0012790E" w:rsidP="0012790E">
      <w:pPr>
        <w:pStyle w:val="TableHeadingcontinued"/>
        <w:sectPr w:rsidR="0012790E" w:rsidRPr="0012790E" w:rsidSect="00EA5BFE">
          <w:headerReference w:type="even" r:id="rId96"/>
          <w:headerReference w:type="default" r:id="rId97"/>
          <w:footerReference w:type="even" r:id="rId98"/>
          <w:footerReference w:type="default" r:id="rId99"/>
          <w:footerReference w:type="first" r:id="rId100"/>
          <w:pgSz w:w="11905" w:h="16837"/>
          <w:pgMar w:top="2835" w:right="2098" w:bottom="2466" w:left="2098" w:header="1814" w:footer="1814" w:gutter="0"/>
          <w:cols w:space="720"/>
          <w:noEndnote/>
          <w:docGrid w:linePitch="272"/>
        </w:sectPr>
      </w:pPr>
    </w:p>
    <w:p w14:paraId="305F706F" w14:textId="77777777" w:rsidR="0012790E" w:rsidRPr="0012790E" w:rsidRDefault="0012790E" w:rsidP="0012790E">
      <w:pPr>
        <w:pStyle w:val="TableHeadingcontinued"/>
        <w:rPr>
          <w:szCs w:val="16"/>
        </w:rPr>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77889F4D" w14:textId="77777777">
        <w:tc>
          <w:tcPr>
            <w:tcW w:w="3470" w:type="dxa"/>
            <w:tcBorders>
              <w:top w:val="single" w:sz="4" w:space="0" w:color="293F5B"/>
            </w:tcBorders>
            <w:shd w:val="clear" w:color="auto" w:fill="auto"/>
            <w:vAlign w:val="bottom"/>
          </w:tcPr>
          <w:p w14:paraId="58692ABD"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55997B63"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7C1F5FED"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5AAFF491"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2B46470D"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42209889"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79986793" w14:textId="77777777">
        <w:tc>
          <w:tcPr>
            <w:tcW w:w="3470" w:type="dxa"/>
            <w:shd w:val="clear" w:color="auto" w:fill="auto"/>
            <w:vAlign w:val="bottom"/>
          </w:tcPr>
          <w:p w14:paraId="4F543D84" w14:textId="77777777" w:rsidR="0012790E" w:rsidRPr="0012790E" w:rsidRDefault="0012790E">
            <w:pPr>
              <w:pStyle w:val="Summarytabletextrightaligned"/>
            </w:pPr>
          </w:p>
        </w:tc>
        <w:tc>
          <w:tcPr>
            <w:tcW w:w="851" w:type="dxa"/>
            <w:tcBorders>
              <w:bottom w:val="single" w:sz="4" w:space="0" w:color="293F5B"/>
            </w:tcBorders>
            <w:vAlign w:val="bottom"/>
          </w:tcPr>
          <w:p w14:paraId="6DC8C432"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4A1BAACC"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22743F09"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60A2F776"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66FC56BC" w14:textId="77777777" w:rsidR="0012790E" w:rsidRPr="0012790E" w:rsidRDefault="0012790E">
            <w:pPr>
              <w:pStyle w:val="Summarytabletextrightaligned"/>
            </w:pPr>
            <w:r w:rsidRPr="0012790E">
              <w:t>$m</w:t>
            </w:r>
          </w:p>
        </w:tc>
      </w:tr>
      <w:tr w:rsidR="0012790E" w:rsidRPr="0012790E" w14:paraId="7BE9F537" w14:textId="77777777">
        <w:tc>
          <w:tcPr>
            <w:tcW w:w="3470" w:type="dxa"/>
            <w:shd w:val="clear" w:color="auto" w:fill="auto"/>
            <w:vAlign w:val="bottom"/>
          </w:tcPr>
          <w:p w14:paraId="66CA6737" w14:textId="77777777" w:rsidR="0012790E" w:rsidRPr="0012790E" w:rsidRDefault="0012790E" w:rsidP="000D3386">
            <w:pPr>
              <w:pStyle w:val="SummaryMeasureTitlewithTheme"/>
              <w:ind w:hanging="340"/>
              <w:rPr>
                <w:rFonts w:cs="Arial"/>
                <w:b/>
              </w:rPr>
            </w:pPr>
            <w:r w:rsidRPr="0012790E">
              <w:rPr>
                <w:rFonts w:cs="Arial"/>
                <w:b/>
              </w:rPr>
              <w:t>SOCIAL SERVICES (continued)</w:t>
            </w:r>
          </w:p>
        </w:tc>
        <w:tc>
          <w:tcPr>
            <w:tcW w:w="851" w:type="dxa"/>
            <w:vAlign w:val="bottom"/>
          </w:tcPr>
          <w:p w14:paraId="7DE689B6" w14:textId="77777777" w:rsidR="0012790E" w:rsidRPr="0012790E" w:rsidRDefault="0012790E">
            <w:pPr>
              <w:pStyle w:val="Summarytabletextrightaligned"/>
              <w:rPr>
                <w:szCs w:val="16"/>
              </w:rPr>
            </w:pPr>
          </w:p>
        </w:tc>
        <w:tc>
          <w:tcPr>
            <w:tcW w:w="851" w:type="dxa"/>
            <w:shd w:val="clear" w:color="auto" w:fill="E6F2FF"/>
            <w:vAlign w:val="bottom"/>
          </w:tcPr>
          <w:p w14:paraId="103DF811" w14:textId="77777777" w:rsidR="0012790E" w:rsidRPr="0012790E" w:rsidRDefault="0012790E">
            <w:pPr>
              <w:pStyle w:val="Summarytabletextrightaligned"/>
              <w:rPr>
                <w:szCs w:val="16"/>
              </w:rPr>
            </w:pPr>
          </w:p>
        </w:tc>
        <w:tc>
          <w:tcPr>
            <w:tcW w:w="851" w:type="dxa"/>
            <w:vAlign w:val="bottom"/>
          </w:tcPr>
          <w:p w14:paraId="34625BD9" w14:textId="77777777" w:rsidR="0012790E" w:rsidRPr="0012790E" w:rsidRDefault="0012790E">
            <w:pPr>
              <w:pStyle w:val="Summarytabletextrightaligned"/>
              <w:rPr>
                <w:szCs w:val="16"/>
              </w:rPr>
            </w:pPr>
          </w:p>
        </w:tc>
        <w:tc>
          <w:tcPr>
            <w:tcW w:w="851" w:type="dxa"/>
            <w:vAlign w:val="bottom"/>
          </w:tcPr>
          <w:p w14:paraId="3C6A6C19" w14:textId="77777777" w:rsidR="0012790E" w:rsidRPr="0012790E" w:rsidRDefault="0012790E">
            <w:pPr>
              <w:pStyle w:val="Summarytabletextrightaligned"/>
              <w:rPr>
                <w:szCs w:val="16"/>
              </w:rPr>
            </w:pPr>
          </w:p>
        </w:tc>
        <w:tc>
          <w:tcPr>
            <w:tcW w:w="851" w:type="dxa"/>
            <w:vAlign w:val="bottom"/>
          </w:tcPr>
          <w:p w14:paraId="59C1D3DF" w14:textId="77777777" w:rsidR="0012790E" w:rsidRPr="0012790E" w:rsidRDefault="0012790E">
            <w:pPr>
              <w:pStyle w:val="Summarytabletextrightaligned"/>
              <w:rPr>
                <w:szCs w:val="16"/>
              </w:rPr>
            </w:pPr>
          </w:p>
        </w:tc>
      </w:tr>
      <w:tr w:rsidR="0012790E" w:rsidRPr="0012790E" w14:paraId="79F67E94" w14:textId="77777777">
        <w:tc>
          <w:tcPr>
            <w:tcW w:w="3470" w:type="dxa"/>
            <w:shd w:val="clear" w:color="auto" w:fill="auto"/>
            <w:vAlign w:val="bottom"/>
          </w:tcPr>
          <w:p w14:paraId="59712BB3" w14:textId="77777777" w:rsidR="0012790E" w:rsidRPr="0012790E" w:rsidRDefault="0012790E">
            <w:pPr>
              <w:pStyle w:val="SummaryMeasureTitlewithTheme"/>
            </w:pPr>
            <w:r w:rsidRPr="0012790E">
              <w:t>Endorsement of the Social Security Agreement between Australia and the Oriental Republic of Uruguay(b)</w:t>
            </w:r>
          </w:p>
        </w:tc>
        <w:tc>
          <w:tcPr>
            <w:tcW w:w="851" w:type="dxa"/>
            <w:vAlign w:val="bottom"/>
          </w:tcPr>
          <w:p w14:paraId="65A66172"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AF5301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B4224B0" w14:textId="77777777" w:rsidR="0012790E" w:rsidRPr="0012790E" w:rsidRDefault="0012790E">
            <w:pPr>
              <w:pStyle w:val="Summarytabletextrightaligned"/>
              <w:rPr>
                <w:szCs w:val="16"/>
              </w:rPr>
            </w:pPr>
            <w:r w:rsidRPr="0012790E">
              <w:rPr>
                <w:szCs w:val="16"/>
              </w:rPr>
              <w:t>1.2</w:t>
            </w:r>
          </w:p>
        </w:tc>
        <w:tc>
          <w:tcPr>
            <w:tcW w:w="851" w:type="dxa"/>
            <w:vAlign w:val="bottom"/>
          </w:tcPr>
          <w:p w14:paraId="63866155" w14:textId="77777777" w:rsidR="0012790E" w:rsidRPr="0012790E" w:rsidRDefault="0012790E">
            <w:pPr>
              <w:pStyle w:val="Summarytabletextrightaligned"/>
              <w:rPr>
                <w:szCs w:val="16"/>
              </w:rPr>
            </w:pPr>
            <w:r w:rsidRPr="0012790E">
              <w:rPr>
                <w:szCs w:val="16"/>
              </w:rPr>
              <w:t>3.2</w:t>
            </w:r>
          </w:p>
        </w:tc>
        <w:tc>
          <w:tcPr>
            <w:tcW w:w="851" w:type="dxa"/>
            <w:vAlign w:val="bottom"/>
          </w:tcPr>
          <w:p w14:paraId="3550DB36" w14:textId="77777777" w:rsidR="0012790E" w:rsidRPr="0012790E" w:rsidRDefault="0012790E">
            <w:pPr>
              <w:pStyle w:val="Summarytabletextrightaligned"/>
              <w:rPr>
                <w:szCs w:val="16"/>
              </w:rPr>
            </w:pPr>
            <w:r w:rsidRPr="0012790E">
              <w:rPr>
                <w:szCs w:val="16"/>
              </w:rPr>
              <w:t>3.6</w:t>
            </w:r>
          </w:p>
        </w:tc>
      </w:tr>
      <w:tr w:rsidR="0012790E" w:rsidRPr="0012790E" w14:paraId="516758C3" w14:textId="77777777">
        <w:tc>
          <w:tcPr>
            <w:tcW w:w="3470" w:type="dxa"/>
            <w:shd w:val="clear" w:color="auto" w:fill="auto"/>
            <w:vAlign w:val="bottom"/>
          </w:tcPr>
          <w:p w14:paraId="0062FD6A" w14:textId="77777777" w:rsidR="0012790E" w:rsidRPr="0012790E" w:rsidRDefault="0012790E">
            <w:pPr>
              <w:pStyle w:val="SummaryMeasureTitlewithTheme"/>
            </w:pPr>
            <w:r w:rsidRPr="0012790E">
              <w:t>Establishment of the Administrative Review Tribunal and Addressing Extremely High Migration Backlogs in the Courts(b)</w:t>
            </w:r>
          </w:p>
        </w:tc>
        <w:tc>
          <w:tcPr>
            <w:tcW w:w="851" w:type="dxa"/>
            <w:vAlign w:val="bottom"/>
          </w:tcPr>
          <w:p w14:paraId="70A0728B"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65730B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9F3B14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4E47C08"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C772231" w14:textId="77777777" w:rsidR="0012790E" w:rsidRPr="0012790E" w:rsidRDefault="0012790E">
            <w:pPr>
              <w:pStyle w:val="Summarytabletextrightaligned"/>
              <w:rPr>
                <w:szCs w:val="16"/>
              </w:rPr>
            </w:pPr>
            <w:r w:rsidRPr="0012790E">
              <w:rPr>
                <w:szCs w:val="16"/>
              </w:rPr>
              <w:noBreakHyphen/>
            </w:r>
          </w:p>
        </w:tc>
      </w:tr>
      <w:tr w:rsidR="0012790E" w:rsidRPr="0012790E" w14:paraId="7AF29712" w14:textId="77777777">
        <w:tc>
          <w:tcPr>
            <w:tcW w:w="3470" w:type="dxa"/>
            <w:shd w:val="clear" w:color="auto" w:fill="auto"/>
            <w:vAlign w:val="bottom"/>
          </w:tcPr>
          <w:p w14:paraId="04C51C11" w14:textId="77777777" w:rsidR="0012790E" w:rsidRPr="0012790E" w:rsidRDefault="0012790E">
            <w:pPr>
              <w:pStyle w:val="SummaryMeasureTitlewithTheme"/>
            </w:pPr>
            <w:r w:rsidRPr="0012790E">
              <w:t>Financial Wellbeing and Capability Activity – additional funding</w:t>
            </w:r>
          </w:p>
        </w:tc>
        <w:tc>
          <w:tcPr>
            <w:tcW w:w="851" w:type="dxa"/>
            <w:vAlign w:val="bottom"/>
          </w:tcPr>
          <w:p w14:paraId="18D268E2" w14:textId="77777777" w:rsidR="0012790E" w:rsidRPr="0012790E" w:rsidRDefault="0012790E">
            <w:pPr>
              <w:pStyle w:val="Summarytabletextrightaligned"/>
              <w:rPr>
                <w:szCs w:val="16"/>
              </w:rPr>
            </w:pPr>
            <w:r w:rsidRPr="0012790E">
              <w:rPr>
                <w:szCs w:val="16"/>
              </w:rPr>
              <w:t>7.8</w:t>
            </w:r>
          </w:p>
        </w:tc>
        <w:tc>
          <w:tcPr>
            <w:tcW w:w="851" w:type="dxa"/>
            <w:shd w:val="clear" w:color="auto" w:fill="E6F2FF"/>
            <w:vAlign w:val="bottom"/>
          </w:tcPr>
          <w:p w14:paraId="5B0E5C20" w14:textId="77777777" w:rsidR="0012790E" w:rsidRPr="0012790E" w:rsidRDefault="0012790E">
            <w:pPr>
              <w:pStyle w:val="Summarytabletextrightaligned"/>
              <w:rPr>
                <w:szCs w:val="16"/>
              </w:rPr>
            </w:pPr>
            <w:r w:rsidRPr="0012790E">
              <w:rPr>
                <w:szCs w:val="16"/>
              </w:rPr>
              <w:t>26.3</w:t>
            </w:r>
          </w:p>
        </w:tc>
        <w:tc>
          <w:tcPr>
            <w:tcW w:w="851" w:type="dxa"/>
            <w:vAlign w:val="bottom"/>
          </w:tcPr>
          <w:p w14:paraId="50F1100A" w14:textId="77777777" w:rsidR="0012790E" w:rsidRPr="0012790E" w:rsidRDefault="0012790E">
            <w:pPr>
              <w:pStyle w:val="Summarytabletextrightaligned"/>
              <w:rPr>
                <w:szCs w:val="16"/>
              </w:rPr>
            </w:pPr>
            <w:r w:rsidRPr="0012790E">
              <w:rPr>
                <w:szCs w:val="16"/>
              </w:rPr>
              <w:t>32.3</w:t>
            </w:r>
          </w:p>
        </w:tc>
        <w:tc>
          <w:tcPr>
            <w:tcW w:w="851" w:type="dxa"/>
            <w:vAlign w:val="bottom"/>
          </w:tcPr>
          <w:p w14:paraId="4B01365C" w14:textId="77777777" w:rsidR="0012790E" w:rsidRPr="0012790E" w:rsidRDefault="0012790E">
            <w:pPr>
              <w:pStyle w:val="Summarytabletextrightaligned"/>
              <w:rPr>
                <w:szCs w:val="16"/>
              </w:rPr>
            </w:pPr>
            <w:r w:rsidRPr="0012790E">
              <w:rPr>
                <w:szCs w:val="16"/>
              </w:rPr>
              <w:t>33.1</w:t>
            </w:r>
          </w:p>
        </w:tc>
        <w:tc>
          <w:tcPr>
            <w:tcW w:w="851" w:type="dxa"/>
            <w:vAlign w:val="bottom"/>
          </w:tcPr>
          <w:p w14:paraId="088F4263" w14:textId="77777777" w:rsidR="0012790E" w:rsidRPr="0012790E" w:rsidRDefault="0012790E">
            <w:pPr>
              <w:pStyle w:val="Summarytabletextrightaligned"/>
              <w:rPr>
                <w:szCs w:val="16"/>
              </w:rPr>
            </w:pPr>
            <w:r w:rsidRPr="0012790E">
              <w:rPr>
                <w:szCs w:val="16"/>
              </w:rPr>
              <w:t>33.8</w:t>
            </w:r>
          </w:p>
        </w:tc>
      </w:tr>
      <w:tr w:rsidR="0012790E" w:rsidRPr="0012790E" w14:paraId="69EFCE87" w14:textId="77777777">
        <w:tc>
          <w:tcPr>
            <w:tcW w:w="3470" w:type="dxa"/>
            <w:shd w:val="clear" w:color="auto" w:fill="auto"/>
            <w:vAlign w:val="bottom"/>
          </w:tcPr>
          <w:p w14:paraId="479A75D7" w14:textId="77777777" w:rsidR="0012790E" w:rsidRPr="0012790E" w:rsidRDefault="0012790E">
            <w:pPr>
              <w:pStyle w:val="SummaryMeasureTitlewithTheme"/>
            </w:pPr>
            <w:r w:rsidRPr="0012790E">
              <w:t>Freeze Social Security Deeming Rates</w:t>
            </w:r>
          </w:p>
        </w:tc>
        <w:tc>
          <w:tcPr>
            <w:tcW w:w="851" w:type="dxa"/>
            <w:vAlign w:val="bottom"/>
          </w:tcPr>
          <w:p w14:paraId="0BA78CF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5D729EF"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A707FA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8DD1A1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53F56C1" w14:textId="77777777" w:rsidR="0012790E" w:rsidRPr="0012790E" w:rsidRDefault="0012790E">
            <w:pPr>
              <w:pStyle w:val="Summarytabletextrightaligned"/>
              <w:rPr>
                <w:szCs w:val="16"/>
              </w:rPr>
            </w:pPr>
            <w:r w:rsidRPr="0012790E">
              <w:rPr>
                <w:szCs w:val="16"/>
              </w:rPr>
              <w:noBreakHyphen/>
            </w:r>
          </w:p>
        </w:tc>
      </w:tr>
      <w:tr w:rsidR="0012790E" w:rsidRPr="0012790E" w14:paraId="77BD0207" w14:textId="77777777">
        <w:tc>
          <w:tcPr>
            <w:tcW w:w="3470" w:type="dxa"/>
            <w:shd w:val="clear" w:color="auto" w:fill="auto"/>
            <w:vAlign w:val="bottom"/>
          </w:tcPr>
          <w:p w14:paraId="2FD2F586" w14:textId="77777777" w:rsidR="0012790E" w:rsidRPr="0012790E" w:rsidRDefault="0012790E">
            <w:pPr>
              <w:pStyle w:val="SummaryMeasureTitlewithTheme"/>
            </w:pPr>
            <w:r w:rsidRPr="0012790E">
              <w:t>National Commissioner for Aboriginal and Torres Strait Islander Children and Young People</w:t>
            </w:r>
          </w:p>
        </w:tc>
        <w:tc>
          <w:tcPr>
            <w:tcW w:w="851" w:type="dxa"/>
            <w:vAlign w:val="bottom"/>
          </w:tcPr>
          <w:p w14:paraId="4B21DF6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D848ECA" w14:textId="77777777" w:rsidR="0012790E" w:rsidRPr="0012790E" w:rsidRDefault="0012790E">
            <w:pPr>
              <w:pStyle w:val="Summarytabletextrightaligned"/>
              <w:rPr>
                <w:szCs w:val="16"/>
              </w:rPr>
            </w:pPr>
            <w:r w:rsidRPr="0012790E">
              <w:rPr>
                <w:szCs w:val="16"/>
              </w:rPr>
              <w:t>2.0</w:t>
            </w:r>
          </w:p>
        </w:tc>
        <w:tc>
          <w:tcPr>
            <w:tcW w:w="851" w:type="dxa"/>
            <w:vAlign w:val="bottom"/>
          </w:tcPr>
          <w:p w14:paraId="1166DECF" w14:textId="77777777" w:rsidR="0012790E" w:rsidRPr="0012790E" w:rsidRDefault="0012790E">
            <w:pPr>
              <w:pStyle w:val="Summarytabletextrightaligned"/>
              <w:rPr>
                <w:szCs w:val="16"/>
              </w:rPr>
            </w:pPr>
            <w:r w:rsidRPr="0012790E">
              <w:rPr>
                <w:szCs w:val="16"/>
              </w:rPr>
              <w:t>0.9</w:t>
            </w:r>
          </w:p>
        </w:tc>
        <w:tc>
          <w:tcPr>
            <w:tcW w:w="851" w:type="dxa"/>
            <w:vAlign w:val="bottom"/>
          </w:tcPr>
          <w:p w14:paraId="327E75C1"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8783CB0" w14:textId="77777777" w:rsidR="0012790E" w:rsidRPr="0012790E" w:rsidRDefault="0012790E">
            <w:pPr>
              <w:pStyle w:val="Summarytabletextrightaligned"/>
              <w:rPr>
                <w:szCs w:val="16"/>
              </w:rPr>
            </w:pPr>
            <w:r w:rsidRPr="0012790E">
              <w:rPr>
                <w:szCs w:val="16"/>
              </w:rPr>
              <w:noBreakHyphen/>
            </w:r>
          </w:p>
        </w:tc>
      </w:tr>
      <w:tr w:rsidR="00A241E2" w:rsidRPr="0012790E" w14:paraId="1AAA4994" w14:textId="77777777">
        <w:tc>
          <w:tcPr>
            <w:tcW w:w="3470" w:type="dxa"/>
            <w:shd w:val="clear" w:color="auto" w:fill="auto"/>
            <w:vAlign w:val="bottom"/>
          </w:tcPr>
          <w:p w14:paraId="2903BB6F" w14:textId="77777777" w:rsidR="00A241E2" w:rsidRPr="0012790E" w:rsidRDefault="00A241E2" w:rsidP="00A241E2">
            <w:pPr>
              <w:pStyle w:val="SummaryMeasureTitlewithTheme"/>
            </w:pPr>
            <w:r w:rsidRPr="0012790E">
              <w:t>National Disability Insurance Scheme – getting the NDIS back on track</w:t>
            </w:r>
          </w:p>
        </w:tc>
        <w:tc>
          <w:tcPr>
            <w:tcW w:w="851" w:type="dxa"/>
            <w:vAlign w:val="bottom"/>
          </w:tcPr>
          <w:p w14:paraId="0F3A5297" w14:textId="77877D4F" w:rsidR="00A241E2" w:rsidRPr="0012790E" w:rsidRDefault="00A241E2" w:rsidP="00A241E2">
            <w:pPr>
              <w:pStyle w:val="Summarytabletextrightaligned"/>
              <w:rPr>
                <w:szCs w:val="16"/>
              </w:rPr>
            </w:pPr>
            <w:r>
              <w:rPr>
                <w:szCs w:val="16"/>
              </w:rPr>
              <w:t>-0.5</w:t>
            </w:r>
          </w:p>
        </w:tc>
        <w:tc>
          <w:tcPr>
            <w:tcW w:w="851" w:type="dxa"/>
            <w:shd w:val="clear" w:color="auto" w:fill="E6F2FF"/>
            <w:vAlign w:val="bottom"/>
          </w:tcPr>
          <w:p w14:paraId="4B7F2659" w14:textId="23DF399C" w:rsidR="00A241E2" w:rsidRPr="0012790E" w:rsidRDefault="00A241E2" w:rsidP="00A241E2">
            <w:pPr>
              <w:pStyle w:val="Summarytabletextrightaligned"/>
              <w:rPr>
                <w:szCs w:val="16"/>
              </w:rPr>
            </w:pPr>
            <w:r>
              <w:rPr>
                <w:szCs w:val="16"/>
              </w:rPr>
              <w:t>7.9</w:t>
            </w:r>
          </w:p>
        </w:tc>
        <w:tc>
          <w:tcPr>
            <w:tcW w:w="851" w:type="dxa"/>
            <w:vAlign w:val="bottom"/>
          </w:tcPr>
          <w:p w14:paraId="67EF06B6" w14:textId="77777777" w:rsidR="00A241E2" w:rsidRPr="0012790E" w:rsidRDefault="00A241E2" w:rsidP="00A241E2">
            <w:pPr>
              <w:pStyle w:val="Summarytabletextrightaligned"/>
              <w:rPr>
                <w:szCs w:val="16"/>
              </w:rPr>
            </w:pPr>
            <w:r w:rsidRPr="0012790E">
              <w:rPr>
                <w:szCs w:val="16"/>
              </w:rPr>
              <w:t>13.7</w:t>
            </w:r>
          </w:p>
        </w:tc>
        <w:tc>
          <w:tcPr>
            <w:tcW w:w="851" w:type="dxa"/>
            <w:vAlign w:val="bottom"/>
          </w:tcPr>
          <w:p w14:paraId="57E160E9" w14:textId="77777777" w:rsidR="00A241E2" w:rsidRPr="0012790E" w:rsidRDefault="00A241E2" w:rsidP="00A241E2">
            <w:pPr>
              <w:pStyle w:val="Summarytabletextrightaligned"/>
              <w:rPr>
                <w:szCs w:val="16"/>
              </w:rPr>
            </w:pPr>
            <w:r w:rsidRPr="0012790E">
              <w:rPr>
                <w:szCs w:val="16"/>
              </w:rPr>
              <w:t>12.9</w:t>
            </w:r>
          </w:p>
        </w:tc>
        <w:tc>
          <w:tcPr>
            <w:tcW w:w="851" w:type="dxa"/>
            <w:vAlign w:val="bottom"/>
          </w:tcPr>
          <w:p w14:paraId="7C4FC0F4" w14:textId="77777777" w:rsidR="00A241E2" w:rsidRPr="0012790E" w:rsidRDefault="00A241E2" w:rsidP="00A241E2">
            <w:pPr>
              <w:pStyle w:val="Summarytabletextrightaligned"/>
              <w:rPr>
                <w:szCs w:val="16"/>
              </w:rPr>
            </w:pPr>
            <w:r w:rsidRPr="0012790E">
              <w:rPr>
                <w:szCs w:val="16"/>
              </w:rPr>
              <w:t>13.3</w:t>
            </w:r>
          </w:p>
        </w:tc>
      </w:tr>
      <w:tr w:rsidR="0012790E" w:rsidRPr="0012790E" w14:paraId="221471E5" w14:textId="77777777">
        <w:tc>
          <w:tcPr>
            <w:tcW w:w="3470" w:type="dxa"/>
            <w:shd w:val="clear" w:color="auto" w:fill="auto"/>
            <w:vAlign w:val="bottom"/>
          </w:tcPr>
          <w:p w14:paraId="11D56CD7" w14:textId="77777777" w:rsidR="0012790E" w:rsidRPr="0012790E" w:rsidRDefault="0012790E">
            <w:pPr>
              <w:pStyle w:val="SummaryMeasureTitlewithTheme"/>
            </w:pPr>
            <w:r w:rsidRPr="0012790E">
              <w:t>National Redress Scheme – further support</w:t>
            </w:r>
          </w:p>
        </w:tc>
        <w:tc>
          <w:tcPr>
            <w:tcW w:w="851" w:type="dxa"/>
            <w:vAlign w:val="bottom"/>
          </w:tcPr>
          <w:p w14:paraId="43BD1ED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953FFEE" w14:textId="77777777" w:rsidR="0012790E" w:rsidRPr="0012790E" w:rsidRDefault="0012790E">
            <w:pPr>
              <w:pStyle w:val="Summarytabletextrightaligned"/>
              <w:rPr>
                <w:szCs w:val="16"/>
              </w:rPr>
            </w:pPr>
            <w:r w:rsidRPr="0012790E">
              <w:rPr>
                <w:szCs w:val="16"/>
              </w:rPr>
              <w:t>3.5</w:t>
            </w:r>
          </w:p>
        </w:tc>
        <w:tc>
          <w:tcPr>
            <w:tcW w:w="851" w:type="dxa"/>
            <w:vAlign w:val="bottom"/>
          </w:tcPr>
          <w:p w14:paraId="368E3CA8" w14:textId="77777777" w:rsidR="0012790E" w:rsidRPr="0012790E" w:rsidRDefault="0012790E">
            <w:pPr>
              <w:pStyle w:val="Summarytabletextrightaligned"/>
              <w:rPr>
                <w:szCs w:val="16"/>
              </w:rPr>
            </w:pPr>
            <w:r w:rsidRPr="0012790E">
              <w:rPr>
                <w:szCs w:val="16"/>
              </w:rPr>
              <w:t>8.6</w:t>
            </w:r>
          </w:p>
        </w:tc>
        <w:tc>
          <w:tcPr>
            <w:tcW w:w="851" w:type="dxa"/>
            <w:vAlign w:val="bottom"/>
          </w:tcPr>
          <w:p w14:paraId="09B9C1CA" w14:textId="77777777" w:rsidR="0012790E" w:rsidRPr="0012790E" w:rsidRDefault="0012790E">
            <w:pPr>
              <w:pStyle w:val="Summarytabletextrightaligned"/>
              <w:rPr>
                <w:szCs w:val="16"/>
              </w:rPr>
            </w:pPr>
            <w:r w:rsidRPr="0012790E">
              <w:rPr>
                <w:szCs w:val="16"/>
              </w:rPr>
              <w:t>8.8</w:t>
            </w:r>
          </w:p>
        </w:tc>
        <w:tc>
          <w:tcPr>
            <w:tcW w:w="851" w:type="dxa"/>
            <w:vAlign w:val="bottom"/>
          </w:tcPr>
          <w:p w14:paraId="364C242C" w14:textId="77777777" w:rsidR="0012790E" w:rsidRPr="0012790E" w:rsidRDefault="0012790E">
            <w:pPr>
              <w:pStyle w:val="Summarytabletextrightaligned"/>
              <w:rPr>
                <w:szCs w:val="16"/>
              </w:rPr>
            </w:pPr>
            <w:r w:rsidRPr="0012790E">
              <w:rPr>
                <w:szCs w:val="16"/>
              </w:rPr>
              <w:t>5.2</w:t>
            </w:r>
          </w:p>
        </w:tc>
      </w:tr>
      <w:tr w:rsidR="0012790E" w:rsidRPr="0012790E" w14:paraId="3121972C" w14:textId="77777777">
        <w:tc>
          <w:tcPr>
            <w:tcW w:w="3470" w:type="dxa"/>
            <w:shd w:val="clear" w:color="auto" w:fill="auto"/>
            <w:vAlign w:val="bottom"/>
          </w:tcPr>
          <w:p w14:paraId="056223BB" w14:textId="77777777" w:rsidR="0012790E" w:rsidRPr="0012790E" w:rsidRDefault="0012790E">
            <w:pPr>
              <w:pStyle w:val="SummaryMeasureTitlewithTheme"/>
            </w:pPr>
            <w:r w:rsidRPr="0012790E">
              <w:t>Outcomes Fund</w:t>
            </w:r>
          </w:p>
        </w:tc>
        <w:tc>
          <w:tcPr>
            <w:tcW w:w="851" w:type="dxa"/>
            <w:vAlign w:val="bottom"/>
          </w:tcPr>
          <w:p w14:paraId="21015FA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CBE5AC9" w14:textId="77777777" w:rsidR="0012790E" w:rsidRPr="0012790E" w:rsidRDefault="0012790E">
            <w:pPr>
              <w:pStyle w:val="Summarytabletextrightaligned"/>
              <w:rPr>
                <w:szCs w:val="16"/>
              </w:rPr>
            </w:pPr>
            <w:r w:rsidRPr="0012790E">
              <w:rPr>
                <w:szCs w:val="16"/>
              </w:rPr>
              <w:t>1.1</w:t>
            </w:r>
          </w:p>
        </w:tc>
        <w:tc>
          <w:tcPr>
            <w:tcW w:w="851" w:type="dxa"/>
            <w:vAlign w:val="bottom"/>
          </w:tcPr>
          <w:p w14:paraId="3DADACCF" w14:textId="77777777" w:rsidR="0012790E" w:rsidRPr="0012790E" w:rsidRDefault="0012790E">
            <w:pPr>
              <w:pStyle w:val="Summarytabletextrightaligned"/>
              <w:rPr>
                <w:szCs w:val="16"/>
              </w:rPr>
            </w:pPr>
            <w:r w:rsidRPr="0012790E">
              <w:rPr>
                <w:szCs w:val="16"/>
              </w:rPr>
              <w:t>1.8</w:t>
            </w:r>
          </w:p>
        </w:tc>
        <w:tc>
          <w:tcPr>
            <w:tcW w:w="851" w:type="dxa"/>
            <w:vAlign w:val="bottom"/>
          </w:tcPr>
          <w:p w14:paraId="4ACB483B" w14:textId="77777777" w:rsidR="0012790E" w:rsidRPr="0012790E" w:rsidRDefault="0012790E">
            <w:pPr>
              <w:pStyle w:val="Summarytabletextrightaligned"/>
              <w:rPr>
                <w:szCs w:val="16"/>
              </w:rPr>
            </w:pPr>
            <w:r w:rsidRPr="0012790E">
              <w:rPr>
                <w:szCs w:val="16"/>
              </w:rPr>
              <w:t>1.8</w:t>
            </w:r>
          </w:p>
        </w:tc>
        <w:tc>
          <w:tcPr>
            <w:tcW w:w="851" w:type="dxa"/>
            <w:vAlign w:val="bottom"/>
          </w:tcPr>
          <w:p w14:paraId="739EE0C3" w14:textId="77777777" w:rsidR="0012790E" w:rsidRPr="0012790E" w:rsidRDefault="0012790E">
            <w:pPr>
              <w:pStyle w:val="Summarytabletextrightaligned"/>
              <w:rPr>
                <w:szCs w:val="16"/>
              </w:rPr>
            </w:pPr>
            <w:r w:rsidRPr="0012790E">
              <w:rPr>
                <w:szCs w:val="16"/>
              </w:rPr>
              <w:noBreakHyphen/>
            </w:r>
          </w:p>
        </w:tc>
      </w:tr>
      <w:tr w:rsidR="0012790E" w:rsidRPr="0012790E" w14:paraId="374F6C47" w14:textId="77777777">
        <w:tc>
          <w:tcPr>
            <w:tcW w:w="3470" w:type="dxa"/>
            <w:shd w:val="clear" w:color="auto" w:fill="auto"/>
            <w:vAlign w:val="bottom"/>
          </w:tcPr>
          <w:p w14:paraId="70B1300C" w14:textId="77777777" w:rsidR="0012790E" w:rsidRPr="0012790E" w:rsidRDefault="0012790E">
            <w:pPr>
              <w:pStyle w:val="SummaryMeasureTitlewithTheme"/>
            </w:pPr>
            <w:r w:rsidRPr="0012790E">
              <w:t>Permanent Migration Program – 2024</w:t>
            </w:r>
            <w:r w:rsidRPr="0012790E">
              <w:noBreakHyphen/>
              <w:t>25 planning levels and multi</w:t>
            </w:r>
            <w:r w:rsidRPr="0012790E">
              <w:noBreakHyphen/>
              <w:t>year planning(b)</w:t>
            </w:r>
          </w:p>
        </w:tc>
        <w:tc>
          <w:tcPr>
            <w:tcW w:w="851" w:type="dxa"/>
            <w:vAlign w:val="bottom"/>
          </w:tcPr>
          <w:p w14:paraId="588D3DF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D8FCFAD" w14:textId="77777777" w:rsidR="0012790E" w:rsidRPr="0012790E" w:rsidRDefault="0012790E">
            <w:pPr>
              <w:pStyle w:val="Summarytabletextrightaligned"/>
              <w:rPr>
                <w:szCs w:val="16"/>
              </w:rPr>
            </w:pPr>
            <w:r w:rsidRPr="0012790E">
              <w:rPr>
                <w:szCs w:val="16"/>
              </w:rPr>
              <w:noBreakHyphen/>
              <w:t>3.4</w:t>
            </w:r>
          </w:p>
        </w:tc>
        <w:tc>
          <w:tcPr>
            <w:tcW w:w="851" w:type="dxa"/>
            <w:vAlign w:val="bottom"/>
          </w:tcPr>
          <w:p w14:paraId="511F0599" w14:textId="77777777" w:rsidR="0012790E" w:rsidRPr="0012790E" w:rsidRDefault="0012790E">
            <w:pPr>
              <w:pStyle w:val="Summarytabletextrightaligned"/>
              <w:rPr>
                <w:szCs w:val="16"/>
              </w:rPr>
            </w:pPr>
            <w:r w:rsidRPr="0012790E">
              <w:rPr>
                <w:szCs w:val="16"/>
              </w:rPr>
              <w:noBreakHyphen/>
              <w:t>8.3</w:t>
            </w:r>
          </w:p>
        </w:tc>
        <w:tc>
          <w:tcPr>
            <w:tcW w:w="851" w:type="dxa"/>
            <w:vAlign w:val="bottom"/>
          </w:tcPr>
          <w:p w14:paraId="2E26B20C" w14:textId="77777777" w:rsidR="0012790E" w:rsidRPr="0012790E" w:rsidRDefault="0012790E">
            <w:pPr>
              <w:pStyle w:val="Summarytabletextrightaligned"/>
              <w:rPr>
                <w:szCs w:val="16"/>
              </w:rPr>
            </w:pPr>
            <w:r w:rsidRPr="0012790E">
              <w:rPr>
                <w:szCs w:val="16"/>
              </w:rPr>
              <w:noBreakHyphen/>
              <w:t>13.2</w:t>
            </w:r>
          </w:p>
        </w:tc>
        <w:tc>
          <w:tcPr>
            <w:tcW w:w="851" w:type="dxa"/>
            <w:vAlign w:val="bottom"/>
          </w:tcPr>
          <w:p w14:paraId="1D894CAE" w14:textId="77777777" w:rsidR="0012790E" w:rsidRPr="0012790E" w:rsidRDefault="0012790E">
            <w:pPr>
              <w:pStyle w:val="Summarytabletextrightaligned"/>
              <w:rPr>
                <w:szCs w:val="16"/>
              </w:rPr>
            </w:pPr>
            <w:r w:rsidRPr="0012790E">
              <w:rPr>
                <w:szCs w:val="16"/>
              </w:rPr>
              <w:noBreakHyphen/>
              <w:t>15.1</w:t>
            </w:r>
          </w:p>
        </w:tc>
      </w:tr>
      <w:tr w:rsidR="0012790E" w:rsidRPr="0012790E" w14:paraId="795EE35E" w14:textId="77777777">
        <w:tc>
          <w:tcPr>
            <w:tcW w:w="3470" w:type="dxa"/>
            <w:shd w:val="clear" w:color="auto" w:fill="auto"/>
            <w:vAlign w:val="bottom"/>
          </w:tcPr>
          <w:p w14:paraId="7CF9BB0D" w14:textId="77777777" w:rsidR="0012790E" w:rsidRPr="0012790E" w:rsidRDefault="0012790E">
            <w:pPr>
              <w:pStyle w:val="SummaryMeasureTitlewithTheme"/>
            </w:pPr>
            <w:r w:rsidRPr="0012790E">
              <w:t>Reform of Veterans' Compensation Legislation</w:t>
            </w:r>
          </w:p>
        </w:tc>
        <w:tc>
          <w:tcPr>
            <w:tcW w:w="851" w:type="dxa"/>
            <w:vAlign w:val="bottom"/>
          </w:tcPr>
          <w:p w14:paraId="1389EB12"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D0BC311"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7473F7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35B6FDB" w14:textId="45B1DD87" w:rsidR="0012790E" w:rsidRPr="0012790E" w:rsidRDefault="00C22066">
            <w:pPr>
              <w:pStyle w:val="Summarytabletextrightaligned"/>
              <w:rPr>
                <w:szCs w:val="16"/>
              </w:rPr>
            </w:pPr>
            <w:r>
              <w:rPr>
                <w:szCs w:val="16"/>
              </w:rPr>
              <w:t>-</w:t>
            </w:r>
          </w:p>
        </w:tc>
        <w:tc>
          <w:tcPr>
            <w:tcW w:w="851" w:type="dxa"/>
            <w:vAlign w:val="bottom"/>
          </w:tcPr>
          <w:p w14:paraId="25DF0F69" w14:textId="538C654D" w:rsidR="0012790E" w:rsidRPr="0012790E" w:rsidRDefault="00C22066">
            <w:pPr>
              <w:pStyle w:val="Summarytabletextrightaligned"/>
              <w:rPr>
                <w:szCs w:val="16"/>
              </w:rPr>
            </w:pPr>
            <w:r>
              <w:rPr>
                <w:szCs w:val="16"/>
              </w:rPr>
              <w:t>-</w:t>
            </w:r>
          </w:p>
        </w:tc>
      </w:tr>
      <w:tr w:rsidR="0012790E" w:rsidRPr="0012790E" w14:paraId="4BC496AE" w14:textId="77777777">
        <w:tc>
          <w:tcPr>
            <w:tcW w:w="3470" w:type="dxa"/>
            <w:shd w:val="clear" w:color="auto" w:fill="auto"/>
            <w:vAlign w:val="bottom"/>
          </w:tcPr>
          <w:p w14:paraId="48457E24" w14:textId="77777777" w:rsidR="0012790E" w:rsidRPr="0012790E" w:rsidRDefault="0012790E">
            <w:pPr>
              <w:pStyle w:val="SummaryMeasureTitlewithTheme"/>
            </w:pPr>
            <w:r w:rsidRPr="0012790E">
              <w:t>Remote Jobs and Economic Development Program</w:t>
            </w:r>
          </w:p>
        </w:tc>
        <w:tc>
          <w:tcPr>
            <w:tcW w:w="851" w:type="dxa"/>
            <w:vAlign w:val="bottom"/>
          </w:tcPr>
          <w:p w14:paraId="2D05019F" w14:textId="77777777" w:rsidR="0012790E" w:rsidRPr="0012790E" w:rsidRDefault="0012790E">
            <w:pPr>
              <w:pStyle w:val="Summarytabletextrightaligned"/>
              <w:rPr>
                <w:szCs w:val="16"/>
              </w:rPr>
            </w:pPr>
            <w:r w:rsidRPr="0012790E">
              <w:rPr>
                <w:szCs w:val="16"/>
              </w:rPr>
              <w:t>2.6</w:t>
            </w:r>
          </w:p>
        </w:tc>
        <w:tc>
          <w:tcPr>
            <w:tcW w:w="851" w:type="dxa"/>
            <w:shd w:val="clear" w:color="auto" w:fill="E6F2FF"/>
            <w:vAlign w:val="bottom"/>
          </w:tcPr>
          <w:p w14:paraId="341C02BC" w14:textId="77777777" w:rsidR="0012790E" w:rsidRPr="0012790E" w:rsidRDefault="0012790E">
            <w:pPr>
              <w:pStyle w:val="Summarytabletextrightaligned"/>
              <w:rPr>
                <w:szCs w:val="16"/>
              </w:rPr>
            </w:pPr>
            <w:r w:rsidRPr="0012790E">
              <w:rPr>
                <w:szCs w:val="16"/>
              </w:rPr>
              <w:t>11.8</w:t>
            </w:r>
          </w:p>
        </w:tc>
        <w:tc>
          <w:tcPr>
            <w:tcW w:w="851" w:type="dxa"/>
            <w:vAlign w:val="bottom"/>
          </w:tcPr>
          <w:p w14:paraId="31A1B53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3B1234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DA2DB51" w14:textId="77777777" w:rsidR="0012790E" w:rsidRPr="0012790E" w:rsidRDefault="0012790E">
            <w:pPr>
              <w:pStyle w:val="Summarytabletextrightaligned"/>
              <w:rPr>
                <w:szCs w:val="16"/>
              </w:rPr>
            </w:pPr>
            <w:r w:rsidRPr="0012790E">
              <w:rPr>
                <w:szCs w:val="16"/>
              </w:rPr>
              <w:noBreakHyphen/>
            </w:r>
          </w:p>
        </w:tc>
      </w:tr>
      <w:tr w:rsidR="0012790E" w:rsidRPr="0012790E" w14:paraId="5C686313" w14:textId="77777777">
        <w:tc>
          <w:tcPr>
            <w:tcW w:w="3470" w:type="dxa"/>
            <w:shd w:val="clear" w:color="auto" w:fill="auto"/>
            <w:vAlign w:val="bottom"/>
          </w:tcPr>
          <w:p w14:paraId="4FD56C66" w14:textId="77777777" w:rsidR="0012790E" w:rsidRPr="0012790E" w:rsidRDefault="0012790E">
            <w:pPr>
              <w:pStyle w:val="SummaryMeasureTitlewithTheme"/>
            </w:pPr>
            <w:r w:rsidRPr="0012790E">
              <w:t>The Leaving Violence Program – financial support for victim</w:t>
            </w:r>
            <w:r w:rsidRPr="0012790E">
              <w:noBreakHyphen/>
              <w:t>survivors of intimate partner violence</w:t>
            </w:r>
          </w:p>
        </w:tc>
        <w:tc>
          <w:tcPr>
            <w:tcW w:w="851" w:type="dxa"/>
            <w:vAlign w:val="bottom"/>
          </w:tcPr>
          <w:p w14:paraId="49AC611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514A51C" w14:textId="77777777" w:rsidR="0012790E" w:rsidRPr="0012790E" w:rsidRDefault="0012790E">
            <w:pPr>
              <w:pStyle w:val="Summarytabletextrightaligned"/>
              <w:rPr>
                <w:szCs w:val="16"/>
              </w:rPr>
            </w:pPr>
            <w:r w:rsidRPr="0012790E">
              <w:rPr>
                <w:szCs w:val="16"/>
              </w:rPr>
              <w:t>198.6</w:t>
            </w:r>
          </w:p>
        </w:tc>
        <w:tc>
          <w:tcPr>
            <w:tcW w:w="851" w:type="dxa"/>
            <w:vAlign w:val="bottom"/>
          </w:tcPr>
          <w:p w14:paraId="340F1E81" w14:textId="77777777" w:rsidR="0012790E" w:rsidRPr="0012790E" w:rsidRDefault="0012790E">
            <w:pPr>
              <w:pStyle w:val="Summarytabletextrightaligned"/>
              <w:rPr>
                <w:szCs w:val="16"/>
              </w:rPr>
            </w:pPr>
            <w:r w:rsidRPr="0012790E">
              <w:rPr>
                <w:szCs w:val="16"/>
              </w:rPr>
              <w:t>185.2</w:t>
            </w:r>
          </w:p>
        </w:tc>
        <w:tc>
          <w:tcPr>
            <w:tcW w:w="851" w:type="dxa"/>
            <w:vAlign w:val="bottom"/>
          </w:tcPr>
          <w:p w14:paraId="4312141A" w14:textId="77777777" w:rsidR="0012790E" w:rsidRPr="0012790E" w:rsidRDefault="0012790E">
            <w:pPr>
              <w:pStyle w:val="Summarytabletextrightaligned"/>
              <w:rPr>
                <w:szCs w:val="16"/>
              </w:rPr>
            </w:pPr>
            <w:r w:rsidRPr="0012790E">
              <w:rPr>
                <w:szCs w:val="16"/>
              </w:rPr>
              <w:t>251.4</w:t>
            </w:r>
          </w:p>
        </w:tc>
        <w:tc>
          <w:tcPr>
            <w:tcW w:w="851" w:type="dxa"/>
            <w:vAlign w:val="bottom"/>
          </w:tcPr>
          <w:p w14:paraId="279A1019" w14:textId="77777777" w:rsidR="0012790E" w:rsidRPr="0012790E" w:rsidRDefault="0012790E">
            <w:pPr>
              <w:pStyle w:val="Summarytabletextrightaligned"/>
              <w:rPr>
                <w:szCs w:val="16"/>
              </w:rPr>
            </w:pPr>
            <w:r w:rsidRPr="0012790E">
              <w:rPr>
                <w:szCs w:val="16"/>
              </w:rPr>
              <w:t>257.5</w:t>
            </w:r>
          </w:p>
        </w:tc>
      </w:tr>
      <w:tr w:rsidR="0012790E" w:rsidRPr="0012790E" w14:paraId="0A1AECC4" w14:textId="77777777">
        <w:tc>
          <w:tcPr>
            <w:tcW w:w="3470" w:type="dxa"/>
            <w:shd w:val="clear" w:color="auto" w:fill="auto"/>
            <w:vAlign w:val="bottom"/>
          </w:tcPr>
          <w:p w14:paraId="2BADC17F" w14:textId="77777777" w:rsidR="0012790E" w:rsidRPr="0012790E" w:rsidRDefault="0012790E">
            <w:pPr>
              <w:pStyle w:val="SummaryAgencyTitle-BP2"/>
              <w:rPr>
                <w:iCs/>
              </w:rPr>
            </w:pPr>
            <w:r w:rsidRPr="0012790E">
              <w:rPr>
                <w:iCs/>
              </w:rPr>
              <w:t>National Disability Insurance Agency</w:t>
            </w:r>
          </w:p>
        </w:tc>
        <w:tc>
          <w:tcPr>
            <w:tcW w:w="851" w:type="dxa"/>
            <w:vAlign w:val="bottom"/>
          </w:tcPr>
          <w:p w14:paraId="43E4E6B3" w14:textId="77777777" w:rsidR="0012790E" w:rsidRPr="0012790E" w:rsidRDefault="0012790E">
            <w:pPr>
              <w:pStyle w:val="SummaryAgencyTitle-BP2"/>
              <w:rPr>
                <w:iCs/>
              </w:rPr>
            </w:pPr>
          </w:p>
        </w:tc>
        <w:tc>
          <w:tcPr>
            <w:tcW w:w="851" w:type="dxa"/>
            <w:shd w:val="clear" w:color="auto" w:fill="E6F2FF"/>
            <w:vAlign w:val="bottom"/>
          </w:tcPr>
          <w:p w14:paraId="3F733865" w14:textId="77777777" w:rsidR="0012790E" w:rsidRPr="0012790E" w:rsidRDefault="0012790E">
            <w:pPr>
              <w:pStyle w:val="SummaryAgencyTitle-BP2"/>
              <w:rPr>
                <w:iCs/>
              </w:rPr>
            </w:pPr>
          </w:p>
        </w:tc>
        <w:tc>
          <w:tcPr>
            <w:tcW w:w="851" w:type="dxa"/>
            <w:vAlign w:val="bottom"/>
          </w:tcPr>
          <w:p w14:paraId="42474C97" w14:textId="77777777" w:rsidR="0012790E" w:rsidRPr="0012790E" w:rsidRDefault="0012790E">
            <w:pPr>
              <w:pStyle w:val="SummaryAgencyTitle-BP2"/>
              <w:rPr>
                <w:iCs/>
              </w:rPr>
            </w:pPr>
          </w:p>
        </w:tc>
        <w:tc>
          <w:tcPr>
            <w:tcW w:w="851" w:type="dxa"/>
            <w:vAlign w:val="bottom"/>
          </w:tcPr>
          <w:p w14:paraId="445204C9" w14:textId="77777777" w:rsidR="0012790E" w:rsidRPr="0012790E" w:rsidRDefault="0012790E">
            <w:pPr>
              <w:pStyle w:val="SummaryAgencyTitle-BP2"/>
              <w:rPr>
                <w:iCs/>
              </w:rPr>
            </w:pPr>
          </w:p>
        </w:tc>
        <w:tc>
          <w:tcPr>
            <w:tcW w:w="851" w:type="dxa"/>
            <w:vAlign w:val="bottom"/>
          </w:tcPr>
          <w:p w14:paraId="198E7B3F" w14:textId="77777777" w:rsidR="0012790E" w:rsidRPr="0012790E" w:rsidRDefault="0012790E">
            <w:pPr>
              <w:pStyle w:val="SummaryAgencyTitle-BP2"/>
              <w:rPr>
                <w:iCs/>
              </w:rPr>
            </w:pPr>
          </w:p>
        </w:tc>
      </w:tr>
      <w:tr w:rsidR="0012790E" w:rsidRPr="0012790E" w14:paraId="4B2C07BF" w14:textId="77777777">
        <w:tc>
          <w:tcPr>
            <w:tcW w:w="3470" w:type="dxa"/>
            <w:shd w:val="clear" w:color="auto" w:fill="auto"/>
            <w:vAlign w:val="bottom"/>
          </w:tcPr>
          <w:p w14:paraId="45F9DC9E" w14:textId="77777777" w:rsidR="0012790E" w:rsidRPr="0012790E" w:rsidRDefault="0012790E">
            <w:pPr>
              <w:pStyle w:val="SummaryMeasureTitlewithTheme"/>
            </w:pPr>
            <w:r w:rsidRPr="0012790E">
              <w:t>Establishment of the Administrative Review Tribunal and Addressing Extremely High Migration Backlogs in the Courts(b)</w:t>
            </w:r>
          </w:p>
        </w:tc>
        <w:tc>
          <w:tcPr>
            <w:tcW w:w="851" w:type="dxa"/>
            <w:vAlign w:val="bottom"/>
          </w:tcPr>
          <w:p w14:paraId="1D9162D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D89392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4627AB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10A878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BFE706E" w14:textId="77777777" w:rsidR="0012790E" w:rsidRPr="0012790E" w:rsidRDefault="0012790E">
            <w:pPr>
              <w:pStyle w:val="Summarytabletextrightaligned"/>
              <w:rPr>
                <w:szCs w:val="16"/>
              </w:rPr>
            </w:pPr>
            <w:r w:rsidRPr="0012790E">
              <w:rPr>
                <w:szCs w:val="16"/>
              </w:rPr>
              <w:noBreakHyphen/>
            </w:r>
          </w:p>
        </w:tc>
      </w:tr>
      <w:tr w:rsidR="00777216" w:rsidRPr="0012790E" w14:paraId="589C255F" w14:textId="77777777">
        <w:tc>
          <w:tcPr>
            <w:tcW w:w="3470" w:type="dxa"/>
            <w:shd w:val="clear" w:color="auto" w:fill="auto"/>
            <w:vAlign w:val="bottom"/>
          </w:tcPr>
          <w:p w14:paraId="733217C7" w14:textId="7EC24E79" w:rsidR="00777216" w:rsidRPr="0012790E" w:rsidRDefault="00777216" w:rsidP="00777216">
            <w:pPr>
              <w:pStyle w:val="SummaryMeasureTitlewithTheme"/>
            </w:pPr>
            <w:r w:rsidRPr="0012790E">
              <w:t>National Disability Insurance Scheme – getting the NDIS back on track</w:t>
            </w:r>
            <w:r w:rsidR="00FD06B2" w:rsidRPr="00A65328">
              <w:t>(</w:t>
            </w:r>
            <w:r w:rsidR="00D87DB0" w:rsidRPr="00A65328">
              <w:t>d)</w:t>
            </w:r>
          </w:p>
        </w:tc>
        <w:tc>
          <w:tcPr>
            <w:tcW w:w="851" w:type="dxa"/>
            <w:vAlign w:val="bottom"/>
          </w:tcPr>
          <w:p w14:paraId="63C734FC" w14:textId="4C170BF8" w:rsidR="00777216" w:rsidRPr="0012790E" w:rsidRDefault="00777216" w:rsidP="00777216">
            <w:pPr>
              <w:pStyle w:val="Summarytabletextrightaligned"/>
              <w:rPr>
                <w:szCs w:val="16"/>
              </w:rPr>
            </w:pPr>
            <w:r>
              <w:rPr>
                <w:szCs w:val="16"/>
              </w:rPr>
              <w:t>-</w:t>
            </w:r>
          </w:p>
        </w:tc>
        <w:tc>
          <w:tcPr>
            <w:tcW w:w="851" w:type="dxa"/>
            <w:shd w:val="clear" w:color="auto" w:fill="E6F2FF"/>
            <w:vAlign w:val="bottom"/>
          </w:tcPr>
          <w:p w14:paraId="6C48A5F3" w14:textId="2B33107F" w:rsidR="00777216" w:rsidRPr="0012790E" w:rsidRDefault="00777216" w:rsidP="00777216">
            <w:pPr>
              <w:pStyle w:val="Summarytabletextrightaligned"/>
              <w:rPr>
                <w:szCs w:val="16"/>
              </w:rPr>
            </w:pPr>
            <w:r w:rsidRPr="0012790E">
              <w:rPr>
                <w:szCs w:val="16"/>
              </w:rPr>
              <w:noBreakHyphen/>
              <w:t>1,</w:t>
            </w:r>
            <w:r>
              <w:rPr>
                <w:szCs w:val="16"/>
              </w:rPr>
              <w:t>964.6</w:t>
            </w:r>
          </w:p>
        </w:tc>
        <w:tc>
          <w:tcPr>
            <w:tcW w:w="851" w:type="dxa"/>
            <w:vAlign w:val="bottom"/>
          </w:tcPr>
          <w:p w14:paraId="3A134587" w14:textId="77777777" w:rsidR="00777216" w:rsidRPr="0012790E" w:rsidRDefault="00777216" w:rsidP="00777216">
            <w:pPr>
              <w:pStyle w:val="Summarytabletextrightaligned"/>
              <w:rPr>
                <w:szCs w:val="16"/>
              </w:rPr>
            </w:pPr>
            <w:r w:rsidRPr="0012790E">
              <w:rPr>
                <w:szCs w:val="16"/>
              </w:rPr>
              <w:noBreakHyphen/>
              <w:t>3,808.7</w:t>
            </w:r>
          </w:p>
        </w:tc>
        <w:tc>
          <w:tcPr>
            <w:tcW w:w="851" w:type="dxa"/>
            <w:vAlign w:val="bottom"/>
          </w:tcPr>
          <w:p w14:paraId="105F1567" w14:textId="77777777" w:rsidR="00777216" w:rsidRPr="0012790E" w:rsidRDefault="00777216" w:rsidP="00777216">
            <w:pPr>
              <w:pStyle w:val="Summarytabletextrightaligned"/>
              <w:rPr>
                <w:szCs w:val="16"/>
              </w:rPr>
            </w:pPr>
            <w:r w:rsidRPr="0012790E">
              <w:rPr>
                <w:szCs w:val="16"/>
              </w:rPr>
              <w:noBreakHyphen/>
              <w:t>4,121.5</w:t>
            </w:r>
          </w:p>
        </w:tc>
        <w:tc>
          <w:tcPr>
            <w:tcW w:w="851" w:type="dxa"/>
            <w:vAlign w:val="bottom"/>
          </w:tcPr>
          <w:p w14:paraId="2AC4BD3A" w14:textId="77777777" w:rsidR="00777216" w:rsidRPr="0012790E" w:rsidRDefault="00777216" w:rsidP="00777216">
            <w:pPr>
              <w:pStyle w:val="Summarytabletextrightaligned"/>
              <w:rPr>
                <w:szCs w:val="16"/>
              </w:rPr>
            </w:pPr>
            <w:r w:rsidRPr="0012790E">
              <w:rPr>
                <w:szCs w:val="16"/>
              </w:rPr>
              <w:noBreakHyphen/>
              <w:t>4,451.3</w:t>
            </w:r>
          </w:p>
        </w:tc>
      </w:tr>
      <w:tr w:rsidR="0012790E" w:rsidRPr="0012790E" w14:paraId="40517302" w14:textId="77777777">
        <w:tc>
          <w:tcPr>
            <w:tcW w:w="3470" w:type="dxa"/>
            <w:shd w:val="clear" w:color="auto" w:fill="auto"/>
            <w:vAlign w:val="bottom"/>
          </w:tcPr>
          <w:p w14:paraId="79529C67" w14:textId="77777777" w:rsidR="0012790E" w:rsidRPr="0012790E" w:rsidRDefault="0012790E">
            <w:pPr>
              <w:pStyle w:val="SummaryMeasureTitlewithTheme"/>
            </w:pPr>
            <w:r w:rsidRPr="0012790E">
              <w:t>Permanent Migration Program – 2024</w:t>
            </w:r>
            <w:r w:rsidRPr="0012790E">
              <w:noBreakHyphen/>
              <w:t>25 planning levels and multi</w:t>
            </w:r>
            <w:r w:rsidRPr="0012790E">
              <w:noBreakHyphen/>
              <w:t>year planning(b)</w:t>
            </w:r>
          </w:p>
        </w:tc>
        <w:tc>
          <w:tcPr>
            <w:tcW w:w="851" w:type="dxa"/>
            <w:vAlign w:val="bottom"/>
          </w:tcPr>
          <w:p w14:paraId="7147150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EFE7FE3" w14:textId="77777777" w:rsidR="0012790E" w:rsidRPr="0012790E" w:rsidRDefault="0012790E">
            <w:pPr>
              <w:pStyle w:val="Summarytabletextrightaligned"/>
              <w:rPr>
                <w:szCs w:val="16"/>
              </w:rPr>
            </w:pPr>
            <w:r w:rsidRPr="0012790E">
              <w:rPr>
                <w:szCs w:val="16"/>
              </w:rPr>
              <w:t>2.6</w:t>
            </w:r>
          </w:p>
        </w:tc>
        <w:tc>
          <w:tcPr>
            <w:tcW w:w="851" w:type="dxa"/>
            <w:vAlign w:val="bottom"/>
          </w:tcPr>
          <w:p w14:paraId="147D1949" w14:textId="77777777" w:rsidR="0012790E" w:rsidRPr="0012790E" w:rsidRDefault="0012790E">
            <w:pPr>
              <w:pStyle w:val="Summarytabletextrightaligned"/>
              <w:rPr>
                <w:szCs w:val="16"/>
              </w:rPr>
            </w:pPr>
            <w:r w:rsidRPr="0012790E">
              <w:rPr>
                <w:szCs w:val="16"/>
              </w:rPr>
              <w:t>8.2</w:t>
            </w:r>
          </w:p>
        </w:tc>
        <w:tc>
          <w:tcPr>
            <w:tcW w:w="851" w:type="dxa"/>
            <w:vAlign w:val="bottom"/>
          </w:tcPr>
          <w:p w14:paraId="1E3FB5A0" w14:textId="77777777" w:rsidR="0012790E" w:rsidRPr="0012790E" w:rsidRDefault="0012790E">
            <w:pPr>
              <w:pStyle w:val="Summarytabletextrightaligned"/>
              <w:rPr>
                <w:szCs w:val="16"/>
              </w:rPr>
            </w:pPr>
            <w:r w:rsidRPr="0012790E">
              <w:rPr>
                <w:szCs w:val="16"/>
              </w:rPr>
              <w:t>8.3</w:t>
            </w:r>
          </w:p>
        </w:tc>
        <w:tc>
          <w:tcPr>
            <w:tcW w:w="851" w:type="dxa"/>
            <w:vAlign w:val="bottom"/>
          </w:tcPr>
          <w:p w14:paraId="0D278622" w14:textId="77777777" w:rsidR="0012790E" w:rsidRPr="0012790E" w:rsidRDefault="0012790E">
            <w:pPr>
              <w:pStyle w:val="Summarytabletextrightaligned"/>
              <w:rPr>
                <w:szCs w:val="16"/>
              </w:rPr>
            </w:pPr>
            <w:r w:rsidRPr="0012790E">
              <w:rPr>
                <w:szCs w:val="16"/>
              </w:rPr>
              <w:t>1.4</w:t>
            </w:r>
          </w:p>
        </w:tc>
      </w:tr>
      <w:tr w:rsidR="0012790E" w:rsidRPr="0012790E" w14:paraId="74A51FCB" w14:textId="77777777">
        <w:tc>
          <w:tcPr>
            <w:tcW w:w="3470" w:type="dxa"/>
            <w:shd w:val="clear" w:color="auto" w:fill="auto"/>
            <w:vAlign w:val="bottom"/>
          </w:tcPr>
          <w:p w14:paraId="0FB5F776" w14:textId="77777777" w:rsidR="0012790E" w:rsidRPr="0012790E" w:rsidRDefault="0012790E">
            <w:pPr>
              <w:pStyle w:val="SummaryAgencyTitle-BP2"/>
              <w:rPr>
                <w:iCs/>
              </w:rPr>
            </w:pPr>
            <w:r w:rsidRPr="0012790E">
              <w:rPr>
                <w:iCs/>
              </w:rPr>
              <w:t>NDIS Quality and Safeguards Commission</w:t>
            </w:r>
          </w:p>
        </w:tc>
        <w:tc>
          <w:tcPr>
            <w:tcW w:w="851" w:type="dxa"/>
            <w:vAlign w:val="bottom"/>
          </w:tcPr>
          <w:p w14:paraId="52E31447" w14:textId="77777777" w:rsidR="0012790E" w:rsidRPr="0012790E" w:rsidRDefault="0012790E">
            <w:pPr>
              <w:pStyle w:val="SummaryAgencyTitle-BP2"/>
              <w:rPr>
                <w:iCs/>
              </w:rPr>
            </w:pPr>
          </w:p>
        </w:tc>
        <w:tc>
          <w:tcPr>
            <w:tcW w:w="851" w:type="dxa"/>
            <w:shd w:val="clear" w:color="auto" w:fill="E6F2FF"/>
            <w:vAlign w:val="bottom"/>
          </w:tcPr>
          <w:p w14:paraId="6C8DBA49" w14:textId="77777777" w:rsidR="0012790E" w:rsidRPr="0012790E" w:rsidRDefault="0012790E">
            <w:pPr>
              <w:pStyle w:val="SummaryAgencyTitle-BP2"/>
              <w:rPr>
                <w:iCs/>
              </w:rPr>
            </w:pPr>
          </w:p>
        </w:tc>
        <w:tc>
          <w:tcPr>
            <w:tcW w:w="851" w:type="dxa"/>
            <w:vAlign w:val="bottom"/>
          </w:tcPr>
          <w:p w14:paraId="14308233" w14:textId="77777777" w:rsidR="0012790E" w:rsidRPr="0012790E" w:rsidRDefault="0012790E">
            <w:pPr>
              <w:pStyle w:val="SummaryAgencyTitle-BP2"/>
              <w:rPr>
                <w:iCs/>
              </w:rPr>
            </w:pPr>
          </w:p>
        </w:tc>
        <w:tc>
          <w:tcPr>
            <w:tcW w:w="851" w:type="dxa"/>
            <w:vAlign w:val="bottom"/>
          </w:tcPr>
          <w:p w14:paraId="23FFA5C9" w14:textId="77777777" w:rsidR="0012790E" w:rsidRPr="0012790E" w:rsidRDefault="0012790E">
            <w:pPr>
              <w:pStyle w:val="SummaryAgencyTitle-BP2"/>
              <w:rPr>
                <w:iCs/>
              </w:rPr>
            </w:pPr>
          </w:p>
        </w:tc>
        <w:tc>
          <w:tcPr>
            <w:tcW w:w="851" w:type="dxa"/>
            <w:vAlign w:val="bottom"/>
          </w:tcPr>
          <w:p w14:paraId="2187DFE5" w14:textId="77777777" w:rsidR="0012790E" w:rsidRPr="0012790E" w:rsidRDefault="0012790E">
            <w:pPr>
              <w:pStyle w:val="SummaryAgencyTitle-BP2"/>
              <w:rPr>
                <w:iCs/>
              </w:rPr>
            </w:pPr>
          </w:p>
        </w:tc>
      </w:tr>
      <w:tr w:rsidR="000329B7" w:rsidRPr="0012790E" w14:paraId="01AFEC0C" w14:textId="77777777">
        <w:tc>
          <w:tcPr>
            <w:tcW w:w="3470" w:type="dxa"/>
            <w:shd w:val="clear" w:color="auto" w:fill="auto"/>
            <w:vAlign w:val="bottom"/>
          </w:tcPr>
          <w:p w14:paraId="7DC19326" w14:textId="77777777" w:rsidR="000329B7" w:rsidRPr="0012790E" w:rsidRDefault="000329B7" w:rsidP="000329B7">
            <w:pPr>
              <w:pStyle w:val="SummaryMeasureTitlewithTheme"/>
            </w:pPr>
            <w:r w:rsidRPr="0012790E">
              <w:t>National Disability Insurance Scheme – getting the NDIS back on track</w:t>
            </w:r>
          </w:p>
        </w:tc>
        <w:tc>
          <w:tcPr>
            <w:tcW w:w="851" w:type="dxa"/>
            <w:vAlign w:val="bottom"/>
          </w:tcPr>
          <w:p w14:paraId="063701EF" w14:textId="610CA516" w:rsidR="000329B7" w:rsidRPr="0012790E" w:rsidRDefault="000329B7" w:rsidP="000329B7">
            <w:pPr>
              <w:pStyle w:val="Summarytabletextrightaligned"/>
              <w:rPr>
                <w:szCs w:val="16"/>
              </w:rPr>
            </w:pPr>
            <w:r>
              <w:rPr>
                <w:szCs w:val="16"/>
              </w:rPr>
              <w:t>-</w:t>
            </w:r>
          </w:p>
        </w:tc>
        <w:tc>
          <w:tcPr>
            <w:tcW w:w="851" w:type="dxa"/>
            <w:shd w:val="clear" w:color="auto" w:fill="E6F2FF"/>
            <w:vAlign w:val="bottom"/>
          </w:tcPr>
          <w:p w14:paraId="0751DB4F" w14:textId="3D262BBD" w:rsidR="000329B7" w:rsidRPr="0012790E" w:rsidRDefault="000329B7" w:rsidP="000329B7">
            <w:pPr>
              <w:pStyle w:val="Summarytabletextrightaligned"/>
              <w:rPr>
                <w:szCs w:val="16"/>
              </w:rPr>
            </w:pPr>
            <w:r>
              <w:rPr>
                <w:szCs w:val="16"/>
              </w:rPr>
              <w:t>37.2</w:t>
            </w:r>
          </w:p>
        </w:tc>
        <w:tc>
          <w:tcPr>
            <w:tcW w:w="851" w:type="dxa"/>
            <w:vAlign w:val="bottom"/>
          </w:tcPr>
          <w:p w14:paraId="6A5722FD" w14:textId="77777777" w:rsidR="000329B7" w:rsidRPr="0012790E" w:rsidRDefault="000329B7" w:rsidP="000329B7">
            <w:pPr>
              <w:pStyle w:val="Summarytabletextrightaligned"/>
              <w:rPr>
                <w:szCs w:val="16"/>
              </w:rPr>
            </w:pPr>
            <w:r w:rsidRPr="0012790E">
              <w:rPr>
                <w:szCs w:val="16"/>
              </w:rPr>
              <w:t>53.4</w:t>
            </w:r>
          </w:p>
        </w:tc>
        <w:tc>
          <w:tcPr>
            <w:tcW w:w="851" w:type="dxa"/>
            <w:vAlign w:val="bottom"/>
          </w:tcPr>
          <w:p w14:paraId="2BE63414" w14:textId="77777777" w:rsidR="000329B7" w:rsidRPr="0012790E" w:rsidRDefault="000329B7" w:rsidP="000329B7">
            <w:pPr>
              <w:pStyle w:val="Summarytabletextrightaligned"/>
              <w:rPr>
                <w:szCs w:val="16"/>
              </w:rPr>
            </w:pPr>
            <w:r w:rsidRPr="0012790E">
              <w:rPr>
                <w:szCs w:val="16"/>
              </w:rPr>
              <w:t>47.6</w:t>
            </w:r>
          </w:p>
        </w:tc>
        <w:tc>
          <w:tcPr>
            <w:tcW w:w="851" w:type="dxa"/>
            <w:vAlign w:val="bottom"/>
          </w:tcPr>
          <w:p w14:paraId="3968B9E2" w14:textId="77777777" w:rsidR="000329B7" w:rsidRPr="0012790E" w:rsidRDefault="000329B7" w:rsidP="000329B7">
            <w:pPr>
              <w:pStyle w:val="Summarytabletextrightaligned"/>
              <w:rPr>
                <w:szCs w:val="16"/>
              </w:rPr>
            </w:pPr>
            <w:r w:rsidRPr="0012790E">
              <w:rPr>
                <w:szCs w:val="16"/>
              </w:rPr>
              <w:t>24.6</w:t>
            </w:r>
          </w:p>
        </w:tc>
      </w:tr>
      <w:tr w:rsidR="0012790E" w:rsidRPr="0012790E" w14:paraId="47232761" w14:textId="77777777">
        <w:tc>
          <w:tcPr>
            <w:tcW w:w="3470" w:type="dxa"/>
            <w:shd w:val="clear" w:color="auto" w:fill="auto"/>
            <w:vAlign w:val="bottom"/>
          </w:tcPr>
          <w:p w14:paraId="54FF2CC6" w14:textId="77777777" w:rsidR="0012790E" w:rsidRPr="0012790E" w:rsidRDefault="0012790E">
            <w:pPr>
              <w:pStyle w:val="SummaryAgencyTitle-BP2"/>
              <w:rPr>
                <w:iCs/>
              </w:rPr>
            </w:pPr>
            <w:r w:rsidRPr="0012790E">
              <w:rPr>
                <w:iCs/>
              </w:rPr>
              <w:t>Services Australia</w:t>
            </w:r>
          </w:p>
        </w:tc>
        <w:tc>
          <w:tcPr>
            <w:tcW w:w="851" w:type="dxa"/>
            <w:vAlign w:val="bottom"/>
          </w:tcPr>
          <w:p w14:paraId="5C658C69" w14:textId="77777777" w:rsidR="0012790E" w:rsidRPr="0012790E" w:rsidRDefault="0012790E">
            <w:pPr>
              <w:pStyle w:val="SummaryAgencyTitle-BP2"/>
              <w:rPr>
                <w:iCs/>
              </w:rPr>
            </w:pPr>
          </w:p>
        </w:tc>
        <w:tc>
          <w:tcPr>
            <w:tcW w:w="851" w:type="dxa"/>
            <w:shd w:val="clear" w:color="auto" w:fill="E6F2FF"/>
            <w:vAlign w:val="bottom"/>
          </w:tcPr>
          <w:p w14:paraId="3EC878E1" w14:textId="77777777" w:rsidR="0012790E" w:rsidRPr="0012790E" w:rsidRDefault="0012790E">
            <w:pPr>
              <w:pStyle w:val="SummaryAgencyTitle-BP2"/>
              <w:rPr>
                <w:iCs/>
              </w:rPr>
            </w:pPr>
          </w:p>
        </w:tc>
        <w:tc>
          <w:tcPr>
            <w:tcW w:w="851" w:type="dxa"/>
            <w:vAlign w:val="bottom"/>
          </w:tcPr>
          <w:p w14:paraId="2BD21653" w14:textId="77777777" w:rsidR="0012790E" w:rsidRPr="0012790E" w:rsidRDefault="0012790E">
            <w:pPr>
              <w:pStyle w:val="SummaryAgencyTitle-BP2"/>
              <w:rPr>
                <w:iCs/>
              </w:rPr>
            </w:pPr>
          </w:p>
        </w:tc>
        <w:tc>
          <w:tcPr>
            <w:tcW w:w="851" w:type="dxa"/>
            <w:vAlign w:val="bottom"/>
          </w:tcPr>
          <w:p w14:paraId="35AF25AD" w14:textId="77777777" w:rsidR="0012790E" w:rsidRPr="0012790E" w:rsidRDefault="0012790E">
            <w:pPr>
              <w:pStyle w:val="SummaryAgencyTitle-BP2"/>
              <w:rPr>
                <w:iCs/>
              </w:rPr>
            </w:pPr>
          </w:p>
        </w:tc>
        <w:tc>
          <w:tcPr>
            <w:tcW w:w="851" w:type="dxa"/>
            <w:vAlign w:val="bottom"/>
          </w:tcPr>
          <w:p w14:paraId="1B45282E" w14:textId="77777777" w:rsidR="0012790E" w:rsidRPr="0012790E" w:rsidRDefault="0012790E">
            <w:pPr>
              <w:pStyle w:val="SummaryAgencyTitle-BP2"/>
              <w:rPr>
                <w:iCs/>
              </w:rPr>
            </w:pPr>
          </w:p>
        </w:tc>
      </w:tr>
      <w:tr w:rsidR="0012790E" w:rsidRPr="0012790E" w14:paraId="74A739B3" w14:textId="77777777">
        <w:tc>
          <w:tcPr>
            <w:tcW w:w="3470" w:type="dxa"/>
            <w:shd w:val="clear" w:color="auto" w:fill="auto"/>
            <w:vAlign w:val="bottom"/>
          </w:tcPr>
          <w:p w14:paraId="2AAA96B2" w14:textId="77777777" w:rsidR="0012790E" w:rsidRPr="0012790E" w:rsidRDefault="0012790E">
            <w:pPr>
              <w:pStyle w:val="SummaryMeasureTitlewithTheme"/>
            </w:pPr>
            <w:r w:rsidRPr="0012790E">
              <w:t>A Higher Rate of JobSeeker Payment for Participants with a Partial Capacity to Work (0</w:t>
            </w:r>
            <w:r w:rsidRPr="0012790E">
              <w:noBreakHyphen/>
              <w:t>14 hours)(b)</w:t>
            </w:r>
          </w:p>
        </w:tc>
        <w:tc>
          <w:tcPr>
            <w:tcW w:w="851" w:type="dxa"/>
            <w:vAlign w:val="bottom"/>
          </w:tcPr>
          <w:p w14:paraId="6D63F810" w14:textId="77777777" w:rsidR="0012790E" w:rsidRPr="0012790E" w:rsidRDefault="0012790E">
            <w:pPr>
              <w:pStyle w:val="Summarytabletextrightaligned"/>
              <w:rPr>
                <w:szCs w:val="16"/>
              </w:rPr>
            </w:pPr>
            <w:r w:rsidRPr="0012790E">
              <w:rPr>
                <w:szCs w:val="16"/>
              </w:rPr>
              <w:t>0.9</w:t>
            </w:r>
          </w:p>
        </w:tc>
        <w:tc>
          <w:tcPr>
            <w:tcW w:w="851" w:type="dxa"/>
            <w:shd w:val="clear" w:color="auto" w:fill="E6F2FF"/>
            <w:vAlign w:val="bottom"/>
          </w:tcPr>
          <w:p w14:paraId="2F307001" w14:textId="77777777" w:rsidR="0012790E" w:rsidRPr="0012790E" w:rsidRDefault="0012790E">
            <w:pPr>
              <w:pStyle w:val="Summarytabletextrightaligned"/>
              <w:rPr>
                <w:szCs w:val="16"/>
              </w:rPr>
            </w:pPr>
            <w:r w:rsidRPr="0012790E">
              <w:rPr>
                <w:szCs w:val="16"/>
              </w:rPr>
              <w:t>11.3</w:t>
            </w:r>
          </w:p>
        </w:tc>
        <w:tc>
          <w:tcPr>
            <w:tcW w:w="851" w:type="dxa"/>
            <w:vAlign w:val="bottom"/>
          </w:tcPr>
          <w:p w14:paraId="7045A94E" w14:textId="77777777" w:rsidR="0012790E" w:rsidRPr="0012790E" w:rsidRDefault="0012790E">
            <w:pPr>
              <w:pStyle w:val="Summarytabletextrightaligned"/>
              <w:rPr>
                <w:szCs w:val="16"/>
              </w:rPr>
            </w:pPr>
            <w:r w:rsidRPr="0012790E">
              <w:rPr>
                <w:szCs w:val="16"/>
              </w:rPr>
              <w:t>5.2</w:t>
            </w:r>
          </w:p>
        </w:tc>
        <w:tc>
          <w:tcPr>
            <w:tcW w:w="851" w:type="dxa"/>
            <w:vAlign w:val="bottom"/>
          </w:tcPr>
          <w:p w14:paraId="3B7D1876" w14:textId="77777777" w:rsidR="0012790E" w:rsidRPr="0012790E" w:rsidRDefault="0012790E">
            <w:pPr>
              <w:pStyle w:val="Summarytabletextrightaligned"/>
              <w:rPr>
                <w:szCs w:val="16"/>
              </w:rPr>
            </w:pPr>
            <w:r w:rsidRPr="0012790E">
              <w:rPr>
                <w:szCs w:val="16"/>
              </w:rPr>
              <w:t>2.4</w:t>
            </w:r>
          </w:p>
        </w:tc>
        <w:tc>
          <w:tcPr>
            <w:tcW w:w="851" w:type="dxa"/>
            <w:vAlign w:val="bottom"/>
          </w:tcPr>
          <w:p w14:paraId="49203BE9" w14:textId="77777777" w:rsidR="0012790E" w:rsidRPr="0012790E" w:rsidRDefault="0012790E">
            <w:pPr>
              <w:pStyle w:val="Summarytabletextrightaligned"/>
              <w:rPr>
                <w:szCs w:val="16"/>
              </w:rPr>
            </w:pPr>
            <w:r w:rsidRPr="0012790E">
              <w:rPr>
                <w:szCs w:val="16"/>
              </w:rPr>
              <w:t>1.7</w:t>
            </w:r>
          </w:p>
        </w:tc>
      </w:tr>
      <w:tr w:rsidR="0012790E" w:rsidRPr="0012790E" w14:paraId="3D05FE1A" w14:textId="77777777">
        <w:tc>
          <w:tcPr>
            <w:tcW w:w="3470" w:type="dxa"/>
            <w:shd w:val="clear" w:color="auto" w:fill="auto"/>
            <w:vAlign w:val="bottom"/>
          </w:tcPr>
          <w:p w14:paraId="4E5D82FC" w14:textId="77777777" w:rsidR="0012790E" w:rsidRPr="0012790E" w:rsidRDefault="0012790E">
            <w:pPr>
              <w:pStyle w:val="SummaryMeasureTitlewithTheme"/>
            </w:pPr>
            <w:r w:rsidRPr="0012790E">
              <w:t>ABS – delivering Census and modernising operations</w:t>
            </w:r>
          </w:p>
        </w:tc>
        <w:tc>
          <w:tcPr>
            <w:tcW w:w="851" w:type="dxa"/>
            <w:vAlign w:val="bottom"/>
          </w:tcPr>
          <w:p w14:paraId="7476DA3B"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E9EFDBA" w14:textId="77777777" w:rsidR="0012790E" w:rsidRPr="0012790E" w:rsidRDefault="0012790E">
            <w:pPr>
              <w:pStyle w:val="Summarytabletextrightaligned"/>
              <w:rPr>
                <w:szCs w:val="16"/>
              </w:rPr>
            </w:pPr>
            <w:r w:rsidRPr="0012790E">
              <w:rPr>
                <w:szCs w:val="16"/>
              </w:rPr>
              <w:t>6.4</w:t>
            </w:r>
          </w:p>
        </w:tc>
        <w:tc>
          <w:tcPr>
            <w:tcW w:w="851" w:type="dxa"/>
            <w:vAlign w:val="bottom"/>
          </w:tcPr>
          <w:p w14:paraId="04787874" w14:textId="77777777" w:rsidR="0012790E" w:rsidRPr="0012790E" w:rsidRDefault="0012790E">
            <w:pPr>
              <w:pStyle w:val="Summarytabletextrightaligned"/>
              <w:rPr>
                <w:szCs w:val="16"/>
              </w:rPr>
            </w:pPr>
            <w:r w:rsidRPr="0012790E">
              <w:rPr>
                <w:szCs w:val="16"/>
              </w:rPr>
              <w:t>1.6</w:t>
            </w:r>
          </w:p>
        </w:tc>
        <w:tc>
          <w:tcPr>
            <w:tcW w:w="851" w:type="dxa"/>
            <w:vAlign w:val="bottom"/>
          </w:tcPr>
          <w:p w14:paraId="1CB1B03E" w14:textId="77777777" w:rsidR="0012790E" w:rsidRPr="0012790E" w:rsidRDefault="0012790E">
            <w:pPr>
              <w:pStyle w:val="Summarytabletextrightaligned"/>
              <w:rPr>
                <w:szCs w:val="16"/>
              </w:rPr>
            </w:pPr>
            <w:r w:rsidRPr="0012790E">
              <w:rPr>
                <w:szCs w:val="16"/>
              </w:rPr>
              <w:t>1.0</w:t>
            </w:r>
          </w:p>
        </w:tc>
        <w:tc>
          <w:tcPr>
            <w:tcW w:w="851" w:type="dxa"/>
            <w:vAlign w:val="bottom"/>
          </w:tcPr>
          <w:p w14:paraId="67C2F38B" w14:textId="77777777" w:rsidR="0012790E" w:rsidRPr="0012790E" w:rsidRDefault="0012790E">
            <w:pPr>
              <w:pStyle w:val="Summarytabletextrightaligned"/>
              <w:rPr>
                <w:szCs w:val="16"/>
              </w:rPr>
            </w:pPr>
            <w:r w:rsidRPr="0012790E">
              <w:rPr>
                <w:szCs w:val="16"/>
              </w:rPr>
              <w:noBreakHyphen/>
            </w:r>
          </w:p>
        </w:tc>
      </w:tr>
      <w:tr w:rsidR="0012790E" w:rsidRPr="0012790E" w14:paraId="714CDF76" w14:textId="77777777">
        <w:tc>
          <w:tcPr>
            <w:tcW w:w="3470" w:type="dxa"/>
            <w:shd w:val="clear" w:color="auto" w:fill="auto"/>
            <w:vAlign w:val="bottom"/>
          </w:tcPr>
          <w:p w14:paraId="29F206C9" w14:textId="77777777" w:rsidR="0012790E" w:rsidRPr="0012790E" w:rsidRDefault="0012790E">
            <w:pPr>
              <w:pStyle w:val="SummaryMeasureTitlewithTheme"/>
            </w:pPr>
            <w:r w:rsidRPr="0012790E">
              <w:t>Australian Universities Accord – tertiary education system reforms(b)</w:t>
            </w:r>
          </w:p>
        </w:tc>
        <w:tc>
          <w:tcPr>
            <w:tcW w:w="851" w:type="dxa"/>
            <w:vAlign w:val="bottom"/>
          </w:tcPr>
          <w:p w14:paraId="44FB109B" w14:textId="77777777" w:rsidR="0012790E" w:rsidRPr="0012790E" w:rsidRDefault="0012790E">
            <w:pPr>
              <w:pStyle w:val="Summarytabletextrightaligned"/>
              <w:rPr>
                <w:szCs w:val="16"/>
              </w:rPr>
            </w:pPr>
            <w:r w:rsidRPr="0012790E">
              <w:rPr>
                <w:szCs w:val="16"/>
              </w:rPr>
              <w:t>0.3</w:t>
            </w:r>
          </w:p>
        </w:tc>
        <w:tc>
          <w:tcPr>
            <w:tcW w:w="851" w:type="dxa"/>
            <w:shd w:val="clear" w:color="auto" w:fill="E6F2FF"/>
            <w:vAlign w:val="bottom"/>
          </w:tcPr>
          <w:p w14:paraId="6EB8DE00" w14:textId="77777777" w:rsidR="0012790E" w:rsidRPr="0012790E" w:rsidRDefault="0012790E">
            <w:pPr>
              <w:pStyle w:val="Summarytabletextrightaligned"/>
              <w:rPr>
                <w:szCs w:val="16"/>
              </w:rPr>
            </w:pPr>
            <w:r w:rsidRPr="0012790E">
              <w:rPr>
                <w:szCs w:val="16"/>
              </w:rPr>
              <w:t>0.2</w:t>
            </w:r>
          </w:p>
        </w:tc>
        <w:tc>
          <w:tcPr>
            <w:tcW w:w="851" w:type="dxa"/>
            <w:vAlign w:val="bottom"/>
          </w:tcPr>
          <w:p w14:paraId="4529A21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93BD1A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6E7AFB7" w14:textId="77777777" w:rsidR="0012790E" w:rsidRPr="0012790E" w:rsidRDefault="0012790E">
            <w:pPr>
              <w:pStyle w:val="Summarytabletextrightaligned"/>
              <w:rPr>
                <w:szCs w:val="16"/>
              </w:rPr>
            </w:pPr>
            <w:r w:rsidRPr="0012790E">
              <w:rPr>
                <w:szCs w:val="16"/>
              </w:rPr>
              <w:noBreakHyphen/>
            </w:r>
          </w:p>
        </w:tc>
      </w:tr>
      <w:tr w:rsidR="0012790E" w:rsidRPr="0012790E" w14:paraId="3253B2D4" w14:textId="77777777">
        <w:tc>
          <w:tcPr>
            <w:tcW w:w="3470" w:type="dxa"/>
            <w:shd w:val="clear" w:color="auto" w:fill="auto"/>
            <w:vAlign w:val="bottom"/>
          </w:tcPr>
          <w:p w14:paraId="2D25A5DC" w14:textId="77777777" w:rsidR="0012790E" w:rsidRPr="0012790E" w:rsidRDefault="0012790E">
            <w:pPr>
              <w:pStyle w:val="SummaryMeasureTitlewithTheme"/>
            </w:pPr>
            <w:r w:rsidRPr="0012790E">
              <w:t>Carer Payment – increased flexibility</w:t>
            </w:r>
          </w:p>
        </w:tc>
        <w:tc>
          <w:tcPr>
            <w:tcW w:w="851" w:type="dxa"/>
            <w:vAlign w:val="bottom"/>
          </w:tcPr>
          <w:p w14:paraId="1858A34B" w14:textId="77777777" w:rsidR="0012790E" w:rsidRPr="0012790E" w:rsidRDefault="0012790E">
            <w:pPr>
              <w:pStyle w:val="Summarytabletextrightaligned"/>
              <w:rPr>
                <w:szCs w:val="16"/>
              </w:rPr>
            </w:pPr>
            <w:r w:rsidRPr="0012790E">
              <w:rPr>
                <w:szCs w:val="16"/>
              </w:rPr>
              <w:t>0.1</w:t>
            </w:r>
          </w:p>
        </w:tc>
        <w:tc>
          <w:tcPr>
            <w:tcW w:w="851" w:type="dxa"/>
            <w:shd w:val="clear" w:color="auto" w:fill="E6F2FF"/>
            <w:vAlign w:val="bottom"/>
          </w:tcPr>
          <w:p w14:paraId="1B7D3AD5" w14:textId="77777777" w:rsidR="0012790E" w:rsidRPr="0012790E" w:rsidRDefault="0012790E">
            <w:pPr>
              <w:pStyle w:val="Summarytabletextrightaligned"/>
              <w:rPr>
                <w:szCs w:val="16"/>
              </w:rPr>
            </w:pPr>
            <w:r w:rsidRPr="0012790E">
              <w:rPr>
                <w:szCs w:val="16"/>
              </w:rPr>
              <w:t>8.7</w:t>
            </w:r>
          </w:p>
        </w:tc>
        <w:tc>
          <w:tcPr>
            <w:tcW w:w="851" w:type="dxa"/>
            <w:vAlign w:val="bottom"/>
          </w:tcPr>
          <w:p w14:paraId="2E46B4E7" w14:textId="77777777" w:rsidR="0012790E" w:rsidRPr="0012790E" w:rsidRDefault="0012790E">
            <w:pPr>
              <w:pStyle w:val="Summarytabletextrightaligned"/>
              <w:rPr>
                <w:szCs w:val="16"/>
              </w:rPr>
            </w:pPr>
            <w:r w:rsidRPr="0012790E">
              <w:rPr>
                <w:szCs w:val="16"/>
              </w:rPr>
              <w:t>1.4</w:t>
            </w:r>
          </w:p>
        </w:tc>
        <w:tc>
          <w:tcPr>
            <w:tcW w:w="851" w:type="dxa"/>
            <w:vAlign w:val="bottom"/>
          </w:tcPr>
          <w:p w14:paraId="6996CC3F" w14:textId="77777777" w:rsidR="0012790E" w:rsidRPr="0012790E" w:rsidRDefault="0012790E">
            <w:pPr>
              <w:pStyle w:val="Summarytabletextrightaligned"/>
              <w:rPr>
                <w:szCs w:val="16"/>
              </w:rPr>
            </w:pPr>
            <w:r w:rsidRPr="0012790E">
              <w:rPr>
                <w:szCs w:val="16"/>
              </w:rPr>
              <w:t>1.0</w:t>
            </w:r>
          </w:p>
        </w:tc>
        <w:tc>
          <w:tcPr>
            <w:tcW w:w="851" w:type="dxa"/>
            <w:vAlign w:val="bottom"/>
          </w:tcPr>
          <w:p w14:paraId="59266DEB" w14:textId="77777777" w:rsidR="0012790E" w:rsidRPr="0012790E" w:rsidRDefault="0012790E">
            <w:pPr>
              <w:pStyle w:val="Summarytabletextrightaligned"/>
              <w:rPr>
                <w:szCs w:val="16"/>
              </w:rPr>
            </w:pPr>
            <w:r w:rsidRPr="0012790E">
              <w:rPr>
                <w:szCs w:val="16"/>
              </w:rPr>
              <w:t>1.0</w:t>
            </w:r>
          </w:p>
        </w:tc>
      </w:tr>
      <w:tr w:rsidR="0012790E" w:rsidRPr="0012790E" w14:paraId="21EB4FC7" w14:textId="77777777">
        <w:tc>
          <w:tcPr>
            <w:tcW w:w="3470" w:type="dxa"/>
            <w:tcBorders>
              <w:bottom w:val="single" w:sz="4" w:space="0" w:color="293F5B"/>
            </w:tcBorders>
            <w:shd w:val="clear" w:color="auto" w:fill="auto"/>
            <w:vAlign w:val="bottom"/>
          </w:tcPr>
          <w:p w14:paraId="50003C6A" w14:textId="77777777" w:rsidR="0012790E" w:rsidRPr="0012790E" w:rsidRDefault="0012790E">
            <w:pPr>
              <w:pStyle w:val="SummaryMeasureTitlewithTheme"/>
            </w:pPr>
            <w:r w:rsidRPr="0012790E">
              <w:t>Child Care Subsidy Reform – further measures for strong and sustainable foundations</w:t>
            </w:r>
          </w:p>
        </w:tc>
        <w:tc>
          <w:tcPr>
            <w:tcW w:w="851" w:type="dxa"/>
            <w:tcBorders>
              <w:bottom w:val="single" w:sz="4" w:space="0" w:color="293F5B"/>
            </w:tcBorders>
            <w:vAlign w:val="bottom"/>
          </w:tcPr>
          <w:p w14:paraId="341AA0B3"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7C93C5F8" w14:textId="77777777" w:rsidR="0012790E" w:rsidRPr="0012790E" w:rsidRDefault="0012790E">
            <w:pPr>
              <w:pStyle w:val="Summarytabletextrightaligned"/>
              <w:rPr>
                <w:szCs w:val="16"/>
              </w:rPr>
            </w:pPr>
            <w:r w:rsidRPr="0012790E">
              <w:rPr>
                <w:szCs w:val="16"/>
              </w:rPr>
              <w:t>5.6</w:t>
            </w:r>
          </w:p>
        </w:tc>
        <w:tc>
          <w:tcPr>
            <w:tcW w:w="851" w:type="dxa"/>
            <w:tcBorders>
              <w:bottom w:val="single" w:sz="4" w:space="0" w:color="293F5B"/>
            </w:tcBorders>
            <w:vAlign w:val="bottom"/>
          </w:tcPr>
          <w:p w14:paraId="4C1EBE38" w14:textId="77777777" w:rsidR="0012790E" w:rsidRPr="0012790E" w:rsidRDefault="0012790E">
            <w:pPr>
              <w:pStyle w:val="Summarytabletextrightaligned"/>
              <w:rPr>
                <w:szCs w:val="16"/>
              </w:rPr>
            </w:pPr>
            <w:r w:rsidRPr="0012790E">
              <w:rPr>
                <w:szCs w:val="16"/>
              </w:rPr>
              <w:t>1.5</w:t>
            </w:r>
          </w:p>
        </w:tc>
        <w:tc>
          <w:tcPr>
            <w:tcW w:w="851" w:type="dxa"/>
            <w:tcBorders>
              <w:bottom w:val="single" w:sz="4" w:space="0" w:color="293F5B"/>
            </w:tcBorders>
            <w:vAlign w:val="bottom"/>
          </w:tcPr>
          <w:p w14:paraId="52743F63" w14:textId="77777777" w:rsidR="0012790E" w:rsidRPr="0012790E" w:rsidRDefault="0012790E">
            <w:pPr>
              <w:pStyle w:val="Summarytabletextrightaligned"/>
              <w:rPr>
                <w:szCs w:val="16"/>
              </w:rPr>
            </w:pPr>
            <w:r w:rsidRPr="0012790E">
              <w:rPr>
                <w:szCs w:val="16"/>
              </w:rPr>
              <w:t>1.2</w:t>
            </w:r>
          </w:p>
        </w:tc>
        <w:tc>
          <w:tcPr>
            <w:tcW w:w="851" w:type="dxa"/>
            <w:tcBorders>
              <w:bottom w:val="single" w:sz="4" w:space="0" w:color="293F5B"/>
            </w:tcBorders>
            <w:vAlign w:val="bottom"/>
          </w:tcPr>
          <w:p w14:paraId="50B09906" w14:textId="77777777" w:rsidR="0012790E" w:rsidRPr="0012790E" w:rsidRDefault="0012790E">
            <w:pPr>
              <w:pStyle w:val="Summarytabletextrightaligned"/>
              <w:rPr>
                <w:szCs w:val="16"/>
              </w:rPr>
            </w:pPr>
            <w:r w:rsidRPr="0012790E">
              <w:rPr>
                <w:szCs w:val="16"/>
              </w:rPr>
              <w:t>1.2</w:t>
            </w:r>
          </w:p>
        </w:tc>
      </w:tr>
    </w:tbl>
    <w:p w14:paraId="5B603B8A" w14:textId="77777777" w:rsidR="0012790E" w:rsidRPr="0012790E" w:rsidRDefault="0012790E" w:rsidP="0012790E">
      <w:pPr>
        <w:pStyle w:val="TableHeadingcontinued"/>
        <w:sectPr w:rsidR="0012790E" w:rsidRPr="0012790E" w:rsidSect="00EA5BFE">
          <w:headerReference w:type="even" r:id="rId101"/>
          <w:headerReference w:type="default" r:id="rId102"/>
          <w:footerReference w:type="even" r:id="rId103"/>
          <w:footerReference w:type="default" r:id="rId104"/>
          <w:footerReference w:type="first" r:id="rId105"/>
          <w:pgSz w:w="11905" w:h="16837"/>
          <w:pgMar w:top="2835" w:right="2098" w:bottom="2466" w:left="2098" w:header="1814" w:footer="1814" w:gutter="0"/>
          <w:cols w:space="720"/>
          <w:noEndnote/>
          <w:docGrid w:linePitch="272"/>
        </w:sectPr>
      </w:pPr>
    </w:p>
    <w:p w14:paraId="7A1923B9" w14:textId="77777777" w:rsidR="0012790E" w:rsidRPr="0012790E" w:rsidRDefault="0012790E" w:rsidP="0012790E">
      <w:pPr>
        <w:pStyle w:val="TableHeadingcontinued"/>
        <w:rPr>
          <w:szCs w:val="16"/>
        </w:rPr>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3B286F1A" w14:textId="77777777">
        <w:tc>
          <w:tcPr>
            <w:tcW w:w="3470" w:type="dxa"/>
            <w:tcBorders>
              <w:top w:val="single" w:sz="4" w:space="0" w:color="293F5B"/>
            </w:tcBorders>
            <w:shd w:val="clear" w:color="auto" w:fill="auto"/>
            <w:vAlign w:val="bottom"/>
          </w:tcPr>
          <w:p w14:paraId="317C5DD4"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0B285DF8"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26A99F4E"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54512D41"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4942001D"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040B28CA"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60838CAD" w14:textId="77777777">
        <w:tc>
          <w:tcPr>
            <w:tcW w:w="3470" w:type="dxa"/>
            <w:shd w:val="clear" w:color="auto" w:fill="auto"/>
            <w:vAlign w:val="bottom"/>
          </w:tcPr>
          <w:p w14:paraId="193B083F" w14:textId="77777777" w:rsidR="0012790E" w:rsidRPr="0012790E" w:rsidRDefault="0012790E">
            <w:pPr>
              <w:pStyle w:val="Summarytabletextrightaligned"/>
            </w:pPr>
          </w:p>
        </w:tc>
        <w:tc>
          <w:tcPr>
            <w:tcW w:w="851" w:type="dxa"/>
            <w:tcBorders>
              <w:bottom w:val="single" w:sz="4" w:space="0" w:color="293F5B"/>
            </w:tcBorders>
            <w:vAlign w:val="bottom"/>
          </w:tcPr>
          <w:p w14:paraId="08B81D86"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1A515FD8"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3ED6A3DB"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4B58DFDA"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2B907920" w14:textId="77777777" w:rsidR="0012790E" w:rsidRPr="0012790E" w:rsidRDefault="0012790E">
            <w:pPr>
              <w:pStyle w:val="Summarytabletextrightaligned"/>
            </w:pPr>
            <w:r w:rsidRPr="0012790E">
              <w:t>$m</w:t>
            </w:r>
          </w:p>
        </w:tc>
      </w:tr>
      <w:tr w:rsidR="0012790E" w:rsidRPr="0012790E" w14:paraId="38A24851" w14:textId="77777777">
        <w:tc>
          <w:tcPr>
            <w:tcW w:w="3470" w:type="dxa"/>
            <w:shd w:val="clear" w:color="auto" w:fill="auto"/>
            <w:vAlign w:val="bottom"/>
          </w:tcPr>
          <w:p w14:paraId="31B8B0B3" w14:textId="77777777" w:rsidR="0012790E" w:rsidRPr="0012790E" w:rsidRDefault="0012790E" w:rsidP="000D3386">
            <w:pPr>
              <w:pStyle w:val="SummaryMeasureTitlewithTheme"/>
              <w:ind w:hanging="340"/>
              <w:rPr>
                <w:rFonts w:cs="Arial"/>
                <w:b/>
              </w:rPr>
            </w:pPr>
            <w:r w:rsidRPr="0012790E">
              <w:rPr>
                <w:rFonts w:cs="Arial"/>
                <w:b/>
              </w:rPr>
              <w:t>SOCIAL SERVICES (continued)</w:t>
            </w:r>
          </w:p>
        </w:tc>
        <w:tc>
          <w:tcPr>
            <w:tcW w:w="851" w:type="dxa"/>
            <w:vAlign w:val="bottom"/>
          </w:tcPr>
          <w:p w14:paraId="155F936E" w14:textId="77777777" w:rsidR="0012790E" w:rsidRPr="0012790E" w:rsidRDefault="0012790E">
            <w:pPr>
              <w:pStyle w:val="Summarytabletextrightaligned"/>
              <w:rPr>
                <w:szCs w:val="16"/>
              </w:rPr>
            </w:pPr>
          </w:p>
        </w:tc>
        <w:tc>
          <w:tcPr>
            <w:tcW w:w="851" w:type="dxa"/>
            <w:shd w:val="clear" w:color="auto" w:fill="E6F2FF"/>
            <w:vAlign w:val="bottom"/>
          </w:tcPr>
          <w:p w14:paraId="0EA7929E" w14:textId="77777777" w:rsidR="0012790E" w:rsidRPr="0012790E" w:rsidRDefault="0012790E">
            <w:pPr>
              <w:pStyle w:val="Summarytabletextrightaligned"/>
              <w:rPr>
                <w:szCs w:val="16"/>
              </w:rPr>
            </w:pPr>
          </w:p>
        </w:tc>
        <w:tc>
          <w:tcPr>
            <w:tcW w:w="851" w:type="dxa"/>
            <w:vAlign w:val="bottom"/>
          </w:tcPr>
          <w:p w14:paraId="4DB07EF4" w14:textId="77777777" w:rsidR="0012790E" w:rsidRPr="0012790E" w:rsidRDefault="0012790E">
            <w:pPr>
              <w:pStyle w:val="Summarytabletextrightaligned"/>
              <w:rPr>
                <w:szCs w:val="16"/>
              </w:rPr>
            </w:pPr>
          </w:p>
        </w:tc>
        <w:tc>
          <w:tcPr>
            <w:tcW w:w="851" w:type="dxa"/>
            <w:vAlign w:val="bottom"/>
          </w:tcPr>
          <w:p w14:paraId="07034264" w14:textId="77777777" w:rsidR="0012790E" w:rsidRPr="0012790E" w:rsidRDefault="0012790E">
            <w:pPr>
              <w:pStyle w:val="Summarytabletextrightaligned"/>
              <w:rPr>
                <w:szCs w:val="16"/>
              </w:rPr>
            </w:pPr>
          </w:p>
        </w:tc>
        <w:tc>
          <w:tcPr>
            <w:tcW w:w="851" w:type="dxa"/>
            <w:vAlign w:val="bottom"/>
          </w:tcPr>
          <w:p w14:paraId="2316B173" w14:textId="77777777" w:rsidR="0012790E" w:rsidRPr="0012790E" w:rsidRDefault="0012790E">
            <w:pPr>
              <w:pStyle w:val="Summarytabletextrightaligned"/>
              <w:rPr>
                <w:szCs w:val="16"/>
              </w:rPr>
            </w:pPr>
          </w:p>
        </w:tc>
      </w:tr>
      <w:tr w:rsidR="0012790E" w:rsidRPr="0012790E" w14:paraId="4E32EE82" w14:textId="77777777">
        <w:tc>
          <w:tcPr>
            <w:tcW w:w="3470" w:type="dxa"/>
            <w:shd w:val="clear" w:color="auto" w:fill="auto"/>
            <w:vAlign w:val="bottom"/>
          </w:tcPr>
          <w:p w14:paraId="44BD2677" w14:textId="77777777" w:rsidR="0012790E" w:rsidRPr="0012790E" w:rsidRDefault="0012790E">
            <w:pPr>
              <w:pStyle w:val="SummaryMeasureTitlewithTheme"/>
            </w:pPr>
            <w:r w:rsidRPr="0012790E">
              <w:t>Commonwealth Government</w:t>
            </w:r>
            <w:r w:rsidRPr="0012790E">
              <w:noBreakHyphen/>
              <w:t>Funded Paid Parental Leave – enhancement(b)</w:t>
            </w:r>
          </w:p>
        </w:tc>
        <w:tc>
          <w:tcPr>
            <w:tcW w:w="851" w:type="dxa"/>
            <w:vAlign w:val="bottom"/>
          </w:tcPr>
          <w:p w14:paraId="2779714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8FCA183" w14:textId="77777777" w:rsidR="0012790E" w:rsidRPr="0012790E" w:rsidRDefault="0012790E">
            <w:pPr>
              <w:pStyle w:val="Summarytabletextrightaligned"/>
              <w:rPr>
                <w:szCs w:val="16"/>
              </w:rPr>
            </w:pPr>
            <w:r w:rsidRPr="0012790E">
              <w:rPr>
                <w:szCs w:val="16"/>
              </w:rPr>
              <w:t>9.9</w:t>
            </w:r>
          </w:p>
        </w:tc>
        <w:tc>
          <w:tcPr>
            <w:tcW w:w="851" w:type="dxa"/>
            <w:vAlign w:val="bottom"/>
          </w:tcPr>
          <w:p w14:paraId="0ECD192D" w14:textId="77777777" w:rsidR="0012790E" w:rsidRPr="0012790E" w:rsidRDefault="0012790E">
            <w:pPr>
              <w:pStyle w:val="Summarytabletextrightaligned"/>
              <w:rPr>
                <w:szCs w:val="16"/>
              </w:rPr>
            </w:pPr>
            <w:r w:rsidRPr="0012790E">
              <w:rPr>
                <w:szCs w:val="16"/>
              </w:rPr>
              <w:t>10.4</w:t>
            </w:r>
          </w:p>
        </w:tc>
        <w:tc>
          <w:tcPr>
            <w:tcW w:w="851" w:type="dxa"/>
            <w:vAlign w:val="bottom"/>
          </w:tcPr>
          <w:p w14:paraId="6D4B8D1D" w14:textId="77777777" w:rsidR="0012790E" w:rsidRPr="0012790E" w:rsidRDefault="0012790E">
            <w:pPr>
              <w:pStyle w:val="Summarytabletextrightaligned"/>
              <w:rPr>
                <w:szCs w:val="16"/>
              </w:rPr>
            </w:pPr>
            <w:r w:rsidRPr="0012790E">
              <w:rPr>
                <w:szCs w:val="16"/>
              </w:rPr>
              <w:t>1.9</w:t>
            </w:r>
          </w:p>
        </w:tc>
        <w:tc>
          <w:tcPr>
            <w:tcW w:w="851" w:type="dxa"/>
            <w:vAlign w:val="bottom"/>
          </w:tcPr>
          <w:p w14:paraId="06719377" w14:textId="77777777" w:rsidR="0012790E" w:rsidRPr="0012790E" w:rsidRDefault="0012790E">
            <w:pPr>
              <w:pStyle w:val="Summarytabletextrightaligned"/>
              <w:rPr>
                <w:szCs w:val="16"/>
              </w:rPr>
            </w:pPr>
            <w:r w:rsidRPr="0012790E">
              <w:rPr>
                <w:szCs w:val="16"/>
              </w:rPr>
              <w:t>1.9</w:t>
            </w:r>
          </w:p>
        </w:tc>
      </w:tr>
      <w:tr w:rsidR="0012790E" w:rsidRPr="0012790E" w14:paraId="260E5BC8" w14:textId="77777777">
        <w:tc>
          <w:tcPr>
            <w:tcW w:w="3470" w:type="dxa"/>
            <w:shd w:val="clear" w:color="auto" w:fill="auto"/>
            <w:vAlign w:val="bottom"/>
          </w:tcPr>
          <w:p w14:paraId="12F4C67F" w14:textId="77777777" w:rsidR="0012790E" w:rsidRPr="0012790E" w:rsidRDefault="0012790E">
            <w:pPr>
              <w:pStyle w:val="SummaryMeasureTitlewithTheme"/>
            </w:pPr>
            <w:r w:rsidRPr="0012790E">
              <w:t>Commonwealth Rent Assistance – increase the maximum rates</w:t>
            </w:r>
          </w:p>
        </w:tc>
        <w:tc>
          <w:tcPr>
            <w:tcW w:w="851" w:type="dxa"/>
            <w:vAlign w:val="bottom"/>
          </w:tcPr>
          <w:p w14:paraId="536FC4BC" w14:textId="77777777" w:rsidR="0012790E" w:rsidRPr="0012790E" w:rsidRDefault="0012790E">
            <w:pPr>
              <w:pStyle w:val="Summarytabletextrightaligned"/>
              <w:rPr>
                <w:szCs w:val="16"/>
              </w:rPr>
            </w:pPr>
            <w:r w:rsidRPr="0012790E">
              <w:rPr>
                <w:szCs w:val="16"/>
              </w:rPr>
              <w:t>6.2</w:t>
            </w:r>
          </w:p>
        </w:tc>
        <w:tc>
          <w:tcPr>
            <w:tcW w:w="851" w:type="dxa"/>
            <w:shd w:val="clear" w:color="auto" w:fill="E6F2FF"/>
            <w:vAlign w:val="bottom"/>
          </w:tcPr>
          <w:p w14:paraId="01DB4EE5" w14:textId="77777777" w:rsidR="0012790E" w:rsidRPr="0012790E" w:rsidRDefault="0012790E">
            <w:pPr>
              <w:pStyle w:val="Summarytabletextrightaligned"/>
              <w:rPr>
                <w:szCs w:val="16"/>
              </w:rPr>
            </w:pPr>
            <w:r w:rsidRPr="0012790E">
              <w:rPr>
                <w:szCs w:val="16"/>
              </w:rPr>
              <w:t>11.4</w:t>
            </w:r>
          </w:p>
        </w:tc>
        <w:tc>
          <w:tcPr>
            <w:tcW w:w="851" w:type="dxa"/>
            <w:vAlign w:val="bottom"/>
          </w:tcPr>
          <w:p w14:paraId="556E5E90" w14:textId="77777777" w:rsidR="0012790E" w:rsidRPr="0012790E" w:rsidRDefault="0012790E">
            <w:pPr>
              <w:pStyle w:val="Summarytabletextrightaligned"/>
              <w:rPr>
                <w:szCs w:val="16"/>
              </w:rPr>
            </w:pPr>
            <w:r w:rsidRPr="0012790E">
              <w:rPr>
                <w:szCs w:val="16"/>
              </w:rPr>
              <w:t>0.4</w:t>
            </w:r>
          </w:p>
        </w:tc>
        <w:tc>
          <w:tcPr>
            <w:tcW w:w="851" w:type="dxa"/>
            <w:vAlign w:val="bottom"/>
          </w:tcPr>
          <w:p w14:paraId="062E9D13" w14:textId="77777777" w:rsidR="0012790E" w:rsidRPr="0012790E" w:rsidRDefault="0012790E">
            <w:pPr>
              <w:pStyle w:val="Summarytabletextrightaligned"/>
              <w:rPr>
                <w:szCs w:val="16"/>
              </w:rPr>
            </w:pPr>
            <w:r w:rsidRPr="0012790E">
              <w:rPr>
                <w:szCs w:val="16"/>
              </w:rPr>
              <w:t>0.3</w:t>
            </w:r>
          </w:p>
        </w:tc>
        <w:tc>
          <w:tcPr>
            <w:tcW w:w="851" w:type="dxa"/>
            <w:vAlign w:val="bottom"/>
          </w:tcPr>
          <w:p w14:paraId="454C9574" w14:textId="77777777" w:rsidR="0012790E" w:rsidRPr="0012790E" w:rsidRDefault="0012790E">
            <w:pPr>
              <w:pStyle w:val="Summarytabletextrightaligned"/>
              <w:rPr>
                <w:szCs w:val="16"/>
              </w:rPr>
            </w:pPr>
            <w:r w:rsidRPr="0012790E">
              <w:rPr>
                <w:szCs w:val="16"/>
              </w:rPr>
              <w:noBreakHyphen/>
            </w:r>
          </w:p>
        </w:tc>
      </w:tr>
      <w:tr w:rsidR="0012790E" w:rsidRPr="0012790E" w14:paraId="559ADE1E" w14:textId="77777777">
        <w:tc>
          <w:tcPr>
            <w:tcW w:w="3470" w:type="dxa"/>
            <w:shd w:val="clear" w:color="auto" w:fill="auto"/>
            <w:vAlign w:val="bottom"/>
          </w:tcPr>
          <w:p w14:paraId="0FE3DCEE" w14:textId="77777777" w:rsidR="0012790E" w:rsidRPr="0012790E" w:rsidRDefault="0012790E">
            <w:pPr>
              <w:pStyle w:val="SummaryMeasureTitlewithTheme"/>
            </w:pPr>
            <w:r w:rsidRPr="0012790E">
              <w:t>Digital ID</w:t>
            </w:r>
          </w:p>
        </w:tc>
        <w:tc>
          <w:tcPr>
            <w:tcW w:w="851" w:type="dxa"/>
            <w:vAlign w:val="bottom"/>
          </w:tcPr>
          <w:p w14:paraId="339F3EB3"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F352141" w14:textId="77777777" w:rsidR="0012790E" w:rsidRPr="0012790E" w:rsidRDefault="0012790E">
            <w:pPr>
              <w:pStyle w:val="Summarytabletextrightaligned"/>
              <w:rPr>
                <w:szCs w:val="16"/>
              </w:rPr>
            </w:pPr>
            <w:r w:rsidRPr="0012790E">
              <w:rPr>
                <w:szCs w:val="16"/>
              </w:rPr>
              <w:t>35.4</w:t>
            </w:r>
          </w:p>
        </w:tc>
        <w:tc>
          <w:tcPr>
            <w:tcW w:w="851" w:type="dxa"/>
            <w:vAlign w:val="bottom"/>
          </w:tcPr>
          <w:p w14:paraId="3449BEB7" w14:textId="77777777" w:rsidR="0012790E" w:rsidRPr="0012790E" w:rsidRDefault="0012790E">
            <w:pPr>
              <w:pStyle w:val="Summarytabletextrightaligned"/>
              <w:rPr>
                <w:szCs w:val="16"/>
              </w:rPr>
            </w:pPr>
            <w:r w:rsidRPr="0012790E">
              <w:rPr>
                <w:szCs w:val="16"/>
              </w:rPr>
              <w:t>22.0</w:t>
            </w:r>
          </w:p>
        </w:tc>
        <w:tc>
          <w:tcPr>
            <w:tcW w:w="851" w:type="dxa"/>
            <w:vAlign w:val="bottom"/>
          </w:tcPr>
          <w:p w14:paraId="0C262EF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FE3EA28" w14:textId="77777777" w:rsidR="0012790E" w:rsidRPr="0012790E" w:rsidRDefault="0012790E">
            <w:pPr>
              <w:pStyle w:val="Summarytabletextrightaligned"/>
              <w:rPr>
                <w:szCs w:val="16"/>
              </w:rPr>
            </w:pPr>
            <w:r w:rsidRPr="0012790E">
              <w:rPr>
                <w:szCs w:val="16"/>
              </w:rPr>
              <w:noBreakHyphen/>
            </w:r>
          </w:p>
        </w:tc>
      </w:tr>
      <w:tr w:rsidR="0012790E" w:rsidRPr="0012790E" w14:paraId="38973CBA" w14:textId="77777777">
        <w:tc>
          <w:tcPr>
            <w:tcW w:w="3470" w:type="dxa"/>
            <w:shd w:val="clear" w:color="auto" w:fill="auto"/>
            <w:vAlign w:val="bottom"/>
          </w:tcPr>
          <w:p w14:paraId="3147F9B8" w14:textId="77777777" w:rsidR="0012790E" w:rsidRPr="0012790E" w:rsidRDefault="0012790E">
            <w:pPr>
              <w:pStyle w:val="SummaryMeasureTitlewithTheme"/>
            </w:pPr>
            <w:r w:rsidRPr="0012790E">
              <w:t>Disability Employment Services Reform</w:t>
            </w:r>
          </w:p>
        </w:tc>
        <w:tc>
          <w:tcPr>
            <w:tcW w:w="851" w:type="dxa"/>
            <w:vAlign w:val="bottom"/>
          </w:tcPr>
          <w:p w14:paraId="3143D300" w14:textId="77777777" w:rsidR="0012790E" w:rsidRPr="0012790E" w:rsidRDefault="0012790E">
            <w:pPr>
              <w:pStyle w:val="Summarytabletextrightaligned"/>
              <w:rPr>
                <w:szCs w:val="16"/>
              </w:rPr>
            </w:pPr>
            <w:r w:rsidRPr="0012790E">
              <w:rPr>
                <w:szCs w:val="16"/>
              </w:rPr>
              <w:t>0.5</w:t>
            </w:r>
          </w:p>
        </w:tc>
        <w:tc>
          <w:tcPr>
            <w:tcW w:w="851" w:type="dxa"/>
            <w:shd w:val="clear" w:color="auto" w:fill="E6F2FF"/>
            <w:vAlign w:val="bottom"/>
          </w:tcPr>
          <w:p w14:paraId="12026199" w14:textId="77777777" w:rsidR="0012790E" w:rsidRPr="0012790E" w:rsidRDefault="0012790E">
            <w:pPr>
              <w:pStyle w:val="Summarytabletextrightaligned"/>
              <w:rPr>
                <w:szCs w:val="16"/>
              </w:rPr>
            </w:pPr>
            <w:r w:rsidRPr="0012790E">
              <w:rPr>
                <w:szCs w:val="16"/>
              </w:rPr>
              <w:t>16.7</w:t>
            </w:r>
          </w:p>
        </w:tc>
        <w:tc>
          <w:tcPr>
            <w:tcW w:w="851" w:type="dxa"/>
            <w:vAlign w:val="bottom"/>
          </w:tcPr>
          <w:p w14:paraId="0066DFB6" w14:textId="77777777" w:rsidR="0012790E" w:rsidRPr="0012790E" w:rsidRDefault="0012790E">
            <w:pPr>
              <w:pStyle w:val="Summarytabletextrightaligned"/>
              <w:rPr>
                <w:szCs w:val="16"/>
              </w:rPr>
            </w:pPr>
            <w:r w:rsidRPr="0012790E">
              <w:rPr>
                <w:szCs w:val="16"/>
              </w:rPr>
              <w:t>35.4</w:t>
            </w:r>
          </w:p>
        </w:tc>
        <w:tc>
          <w:tcPr>
            <w:tcW w:w="851" w:type="dxa"/>
            <w:vAlign w:val="bottom"/>
          </w:tcPr>
          <w:p w14:paraId="05A0F448" w14:textId="77777777" w:rsidR="0012790E" w:rsidRPr="0012790E" w:rsidRDefault="0012790E">
            <w:pPr>
              <w:pStyle w:val="Summarytabletextrightaligned"/>
              <w:rPr>
                <w:szCs w:val="16"/>
              </w:rPr>
            </w:pPr>
            <w:r w:rsidRPr="0012790E">
              <w:rPr>
                <w:szCs w:val="16"/>
              </w:rPr>
              <w:t>24.7</w:t>
            </w:r>
          </w:p>
        </w:tc>
        <w:tc>
          <w:tcPr>
            <w:tcW w:w="851" w:type="dxa"/>
            <w:vAlign w:val="bottom"/>
          </w:tcPr>
          <w:p w14:paraId="0AC81340" w14:textId="77777777" w:rsidR="0012790E" w:rsidRPr="0012790E" w:rsidRDefault="0012790E">
            <w:pPr>
              <w:pStyle w:val="Summarytabletextrightaligned"/>
              <w:rPr>
                <w:szCs w:val="16"/>
              </w:rPr>
            </w:pPr>
            <w:r w:rsidRPr="0012790E">
              <w:rPr>
                <w:szCs w:val="16"/>
              </w:rPr>
              <w:t>9.1</w:t>
            </w:r>
          </w:p>
        </w:tc>
      </w:tr>
      <w:tr w:rsidR="0012790E" w:rsidRPr="0012790E" w14:paraId="65B89579" w14:textId="77777777">
        <w:tc>
          <w:tcPr>
            <w:tcW w:w="3470" w:type="dxa"/>
            <w:shd w:val="clear" w:color="auto" w:fill="auto"/>
            <w:vAlign w:val="bottom"/>
          </w:tcPr>
          <w:p w14:paraId="1D018141" w14:textId="77777777" w:rsidR="0012790E" w:rsidRPr="0012790E" w:rsidRDefault="0012790E">
            <w:pPr>
              <w:pStyle w:val="SummaryMeasureTitlewithTheme"/>
            </w:pPr>
            <w:r w:rsidRPr="0012790E">
              <w:t>Employment Services Reform</w:t>
            </w:r>
          </w:p>
        </w:tc>
        <w:tc>
          <w:tcPr>
            <w:tcW w:w="851" w:type="dxa"/>
            <w:vAlign w:val="bottom"/>
          </w:tcPr>
          <w:p w14:paraId="5DC855F4" w14:textId="77777777" w:rsidR="0012790E" w:rsidRPr="0012790E" w:rsidRDefault="0012790E">
            <w:pPr>
              <w:pStyle w:val="Summarytabletextrightaligned"/>
              <w:rPr>
                <w:szCs w:val="16"/>
              </w:rPr>
            </w:pPr>
            <w:r w:rsidRPr="0012790E">
              <w:rPr>
                <w:szCs w:val="16"/>
              </w:rPr>
              <w:t>0.5</w:t>
            </w:r>
          </w:p>
        </w:tc>
        <w:tc>
          <w:tcPr>
            <w:tcW w:w="851" w:type="dxa"/>
            <w:shd w:val="clear" w:color="auto" w:fill="E6F2FF"/>
            <w:vAlign w:val="bottom"/>
          </w:tcPr>
          <w:p w14:paraId="69966C72" w14:textId="77777777" w:rsidR="0012790E" w:rsidRPr="0012790E" w:rsidRDefault="0012790E">
            <w:pPr>
              <w:pStyle w:val="Summarytabletextrightaligned"/>
              <w:rPr>
                <w:szCs w:val="16"/>
              </w:rPr>
            </w:pPr>
            <w:r w:rsidRPr="0012790E">
              <w:rPr>
                <w:szCs w:val="16"/>
              </w:rPr>
              <w:t>16.2</w:t>
            </w:r>
          </w:p>
        </w:tc>
        <w:tc>
          <w:tcPr>
            <w:tcW w:w="851" w:type="dxa"/>
            <w:vAlign w:val="bottom"/>
          </w:tcPr>
          <w:p w14:paraId="4ACB4674" w14:textId="77777777" w:rsidR="0012790E" w:rsidRPr="0012790E" w:rsidRDefault="0012790E">
            <w:pPr>
              <w:pStyle w:val="Summarytabletextrightaligned"/>
              <w:rPr>
                <w:szCs w:val="16"/>
              </w:rPr>
            </w:pPr>
            <w:r w:rsidRPr="0012790E">
              <w:rPr>
                <w:szCs w:val="16"/>
              </w:rPr>
              <w:t>0.1</w:t>
            </w:r>
          </w:p>
        </w:tc>
        <w:tc>
          <w:tcPr>
            <w:tcW w:w="851" w:type="dxa"/>
            <w:vAlign w:val="bottom"/>
          </w:tcPr>
          <w:p w14:paraId="735A9F56" w14:textId="77777777" w:rsidR="0012790E" w:rsidRPr="0012790E" w:rsidRDefault="0012790E">
            <w:pPr>
              <w:pStyle w:val="Summarytabletextrightaligned"/>
              <w:rPr>
                <w:szCs w:val="16"/>
              </w:rPr>
            </w:pPr>
            <w:r w:rsidRPr="0012790E">
              <w:rPr>
                <w:szCs w:val="16"/>
              </w:rPr>
              <w:t>..</w:t>
            </w:r>
          </w:p>
        </w:tc>
        <w:tc>
          <w:tcPr>
            <w:tcW w:w="851" w:type="dxa"/>
            <w:vAlign w:val="bottom"/>
          </w:tcPr>
          <w:p w14:paraId="769FA637" w14:textId="77777777" w:rsidR="0012790E" w:rsidRPr="0012790E" w:rsidRDefault="0012790E">
            <w:pPr>
              <w:pStyle w:val="Summarytabletextrightaligned"/>
              <w:rPr>
                <w:szCs w:val="16"/>
              </w:rPr>
            </w:pPr>
            <w:r w:rsidRPr="0012790E">
              <w:rPr>
                <w:szCs w:val="16"/>
              </w:rPr>
              <w:t>..</w:t>
            </w:r>
          </w:p>
        </w:tc>
      </w:tr>
      <w:tr w:rsidR="0012790E" w:rsidRPr="0012790E" w14:paraId="27C45F9F" w14:textId="77777777">
        <w:tc>
          <w:tcPr>
            <w:tcW w:w="3470" w:type="dxa"/>
            <w:shd w:val="clear" w:color="auto" w:fill="auto"/>
            <w:vAlign w:val="bottom"/>
          </w:tcPr>
          <w:p w14:paraId="754B28C8" w14:textId="77777777" w:rsidR="0012790E" w:rsidRPr="0012790E" w:rsidRDefault="0012790E">
            <w:pPr>
              <w:pStyle w:val="SummaryMeasureTitlewithTheme"/>
            </w:pPr>
            <w:r w:rsidRPr="0012790E">
              <w:t>Endorsement of the Social Security Agreement between Australia and the Oriental Republic of Uruguay(b)</w:t>
            </w:r>
          </w:p>
        </w:tc>
        <w:tc>
          <w:tcPr>
            <w:tcW w:w="851" w:type="dxa"/>
            <w:vAlign w:val="bottom"/>
          </w:tcPr>
          <w:p w14:paraId="5F687B1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646F3B4" w14:textId="77777777" w:rsidR="0012790E" w:rsidRPr="0012790E" w:rsidRDefault="0012790E">
            <w:pPr>
              <w:pStyle w:val="Summarytabletextrightaligned"/>
              <w:rPr>
                <w:szCs w:val="16"/>
              </w:rPr>
            </w:pPr>
            <w:r w:rsidRPr="0012790E">
              <w:rPr>
                <w:szCs w:val="16"/>
              </w:rPr>
              <w:t>0.4</w:t>
            </w:r>
          </w:p>
        </w:tc>
        <w:tc>
          <w:tcPr>
            <w:tcW w:w="851" w:type="dxa"/>
            <w:vAlign w:val="bottom"/>
          </w:tcPr>
          <w:p w14:paraId="2B000BC5" w14:textId="77777777" w:rsidR="0012790E" w:rsidRPr="0012790E" w:rsidRDefault="0012790E">
            <w:pPr>
              <w:pStyle w:val="Summarytabletextrightaligned"/>
              <w:rPr>
                <w:szCs w:val="16"/>
              </w:rPr>
            </w:pPr>
            <w:r w:rsidRPr="0012790E">
              <w:rPr>
                <w:szCs w:val="16"/>
              </w:rPr>
              <w:t>11.5</w:t>
            </w:r>
          </w:p>
        </w:tc>
        <w:tc>
          <w:tcPr>
            <w:tcW w:w="851" w:type="dxa"/>
            <w:vAlign w:val="bottom"/>
          </w:tcPr>
          <w:p w14:paraId="3BD05411" w14:textId="77777777" w:rsidR="0012790E" w:rsidRPr="0012790E" w:rsidRDefault="0012790E">
            <w:pPr>
              <w:pStyle w:val="Summarytabletextrightaligned"/>
              <w:rPr>
                <w:szCs w:val="16"/>
              </w:rPr>
            </w:pPr>
            <w:r w:rsidRPr="0012790E">
              <w:rPr>
                <w:szCs w:val="16"/>
              </w:rPr>
              <w:t>1.6</w:t>
            </w:r>
          </w:p>
        </w:tc>
        <w:tc>
          <w:tcPr>
            <w:tcW w:w="851" w:type="dxa"/>
            <w:vAlign w:val="bottom"/>
          </w:tcPr>
          <w:p w14:paraId="4235DF4D" w14:textId="77777777" w:rsidR="0012790E" w:rsidRPr="0012790E" w:rsidRDefault="0012790E">
            <w:pPr>
              <w:pStyle w:val="Summarytabletextrightaligned"/>
              <w:rPr>
                <w:szCs w:val="16"/>
              </w:rPr>
            </w:pPr>
            <w:r w:rsidRPr="0012790E">
              <w:rPr>
                <w:szCs w:val="16"/>
              </w:rPr>
              <w:t>1.6</w:t>
            </w:r>
          </w:p>
        </w:tc>
      </w:tr>
      <w:tr w:rsidR="0012790E" w:rsidRPr="0012790E" w14:paraId="4AE5F3ED" w14:textId="77777777">
        <w:tc>
          <w:tcPr>
            <w:tcW w:w="3470" w:type="dxa"/>
            <w:shd w:val="clear" w:color="auto" w:fill="auto"/>
            <w:vAlign w:val="bottom"/>
          </w:tcPr>
          <w:p w14:paraId="339517A7" w14:textId="77777777" w:rsidR="0012790E" w:rsidRPr="0012790E" w:rsidRDefault="0012790E">
            <w:pPr>
              <w:pStyle w:val="SummaryMeasureTitlewithTheme"/>
            </w:pPr>
            <w:r w:rsidRPr="0012790E">
              <w:t>Establishment of the Administrative Review Tribunal and Addressing Extremely High Migration Backlogs in the Courts(b)</w:t>
            </w:r>
          </w:p>
        </w:tc>
        <w:tc>
          <w:tcPr>
            <w:tcW w:w="851" w:type="dxa"/>
            <w:vAlign w:val="bottom"/>
          </w:tcPr>
          <w:p w14:paraId="79B920AE" w14:textId="77777777" w:rsidR="0012790E" w:rsidRPr="0012790E" w:rsidRDefault="0012790E">
            <w:pPr>
              <w:pStyle w:val="Summarytabletextrightaligned"/>
              <w:rPr>
                <w:szCs w:val="16"/>
              </w:rPr>
            </w:pPr>
            <w:r w:rsidRPr="0012790E">
              <w:rPr>
                <w:szCs w:val="16"/>
              </w:rPr>
              <w:t>7.3</w:t>
            </w:r>
          </w:p>
        </w:tc>
        <w:tc>
          <w:tcPr>
            <w:tcW w:w="851" w:type="dxa"/>
            <w:shd w:val="clear" w:color="auto" w:fill="E6F2FF"/>
            <w:vAlign w:val="bottom"/>
          </w:tcPr>
          <w:p w14:paraId="4E27AA32" w14:textId="77777777" w:rsidR="0012790E" w:rsidRPr="0012790E" w:rsidRDefault="0012790E">
            <w:pPr>
              <w:pStyle w:val="Summarytabletextrightaligned"/>
              <w:rPr>
                <w:szCs w:val="16"/>
              </w:rPr>
            </w:pPr>
            <w:r w:rsidRPr="0012790E">
              <w:rPr>
                <w:szCs w:val="16"/>
              </w:rPr>
              <w:t>24.4</w:t>
            </w:r>
          </w:p>
        </w:tc>
        <w:tc>
          <w:tcPr>
            <w:tcW w:w="851" w:type="dxa"/>
            <w:vAlign w:val="bottom"/>
          </w:tcPr>
          <w:p w14:paraId="62B92B16" w14:textId="77777777" w:rsidR="0012790E" w:rsidRPr="0012790E" w:rsidRDefault="0012790E">
            <w:pPr>
              <w:pStyle w:val="Summarytabletextrightaligned"/>
              <w:rPr>
                <w:szCs w:val="16"/>
              </w:rPr>
            </w:pPr>
            <w:r w:rsidRPr="0012790E">
              <w:rPr>
                <w:szCs w:val="16"/>
              </w:rPr>
              <w:t>12.2</w:t>
            </w:r>
          </w:p>
        </w:tc>
        <w:tc>
          <w:tcPr>
            <w:tcW w:w="851" w:type="dxa"/>
            <w:vAlign w:val="bottom"/>
          </w:tcPr>
          <w:p w14:paraId="74B6CC8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3D203BB" w14:textId="77777777" w:rsidR="0012790E" w:rsidRPr="0012790E" w:rsidRDefault="0012790E">
            <w:pPr>
              <w:pStyle w:val="Summarytabletextrightaligned"/>
              <w:rPr>
                <w:szCs w:val="16"/>
              </w:rPr>
            </w:pPr>
            <w:r w:rsidRPr="0012790E">
              <w:rPr>
                <w:szCs w:val="16"/>
              </w:rPr>
              <w:noBreakHyphen/>
            </w:r>
          </w:p>
        </w:tc>
      </w:tr>
      <w:tr w:rsidR="0012790E" w:rsidRPr="0012790E" w14:paraId="7141B1F0" w14:textId="77777777">
        <w:tc>
          <w:tcPr>
            <w:tcW w:w="3470" w:type="dxa"/>
            <w:shd w:val="clear" w:color="auto" w:fill="auto"/>
            <w:vAlign w:val="bottom"/>
          </w:tcPr>
          <w:p w14:paraId="72CBA083" w14:textId="77777777" w:rsidR="0012790E" w:rsidRPr="0012790E" w:rsidRDefault="0012790E">
            <w:pPr>
              <w:pStyle w:val="SummaryMeasureTitlewithTheme"/>
            </w:pPr>
            <w:r w:rsidRPr="0012790E">
              <w:t>First Nations Prison to Employment Program</w:t>
            </w:r>
          </w:p>
        </w:tc>
        <w:tc>
          <w:tcPr>
            <w:tcW w:w="851" w:type="dxa"/>
            <w:vAlign w:val="bottom"/>
          </w:tcPr>
          <w:p w14:paraId="08D9C47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553D5D7" w14:textId="77777777" w:rsidR="0012790E" w:rsidRPr="0012790E" w:rsidRDefault="0012790E">
            <w:pPr>
              <w:pStyle w:val="Summarytabletextrightaligned"/>
              <w:rPr>
                <w:szCs w:val="16"/>
              </w:rPr>
            </w:pPr>
            <w:r w:rsidRPr="0012790E">
              <w:rPr>
                <w:szCs w:val="16"/>
              </w:rPr>
              <w:t>6.8</w:t>
            </w:r>
          </w:p>
        </w:tc>
        <w:tc>
          <w:tcPr>
            <w:tcW w:w="851" w:type="dxa"/>
            <w:vAlign w:val="bottom"/>
          </w:tcPr>
          <w:p w14:paraId="1C3F5833" w14:textId="77777777" w:rsidR="0012790E" w:rsidRPr="0012790E" w:rsidRDefault="0012790E">
            <w:pPr>
              <w:pStyle w:val="Summarytabletextrightaligned"/>
              <w:rPr>
                <w:szCs w:val="16"/>
              </w:rPr>
            </w:pPr>
            <w:r w:rsidRPr="0012790E">
              <w:rPr>
                <w:szCs w:val="16"/>
              </w:rPr>
              <w:t>3.3</w:t>
            </w:r>
          </w:p>
        </w:tc>
        <w:tc>
          <w:tcPr>
            <w:tcW w:w="851" w:type="dxa"/>
            <w:vAlign w:val="bottom"/>
          </w:tcPr>
          <w:p w14:paraId="45274DC1" w14:textId="77777777" w:rsidR="0012790E" w:rsidRPr="0012790E" w:rsidRDefault="0012790E">
            <w:pPr>
              <w:pStyle w:val="Summarytabletextrightaligned"/>
              <w:rPr>
                <w:szCs w:val="16"/>
              </w:rPr>
            </w:pPr>
            <w:r w:rsidRPr="0012790E">
              <w:rPr>
                <w:szCs w:val="16"/>
              </w:rPr>
              <w:t>3.2</w:t>
            </w:r>
          </w:p>
        </w:tc>
        <w:tc>
          <w:tcPr>
            <w:tcW w:w="851" w:type="dxa"/>
            <w:vAlign w:val="bottom"/>
          </w:tcPr>
          <w:p w14:paraId="0FDECBEB" w14:textId="77777777" w:rsidR="0012790E" w:rsidRPr="0012790E" w:rsidRDefault="0012790E">
            <w:pPr>
              <w:pStyle w:val="Summarytabletextrightaligned"/>
              <w:rPr>
                <w:szCs w:val="16"/>
              </w:rPr>
            </w:pPr>
            <w:r w:rsidRPr="0012790E">
              <w:rPr>
                <w:szCs w:val="16"/>
              </w:rPr>
              <w:t>3.2</w:t>
            </w:r>
          </w:p>
        </w:tc>
      </w:tr>
      <w:tr w:rsidR="0012790E" w:rsidRPr="0012790E" w14:paraId="49E2B3A5" w14:textId="77777777">
        <w:tc>
          <w:tcPr>
            <w:tcW w:w="3470" w:type="dxa"/>
            <w:shd w:val="clear" w:color="auto" w:fill="auto"/>
            <w:vAlign w:val="bottom"/>
          </w:tcPr>
          <w:p w14:paraId="00542D8A" w14:textId="77777777" w:rsidR="0012790E" w:rsidRPr="0012790E" w:rsidRDefault="0012790E">
            <w:pPr>
              <w:pStyle w:val="SummaryMeasureTitlewithTheme"/>
            </w:pPr>
            <w:r w:rsidRPr="0012790E">
              <w:t>Funding for the Alfred Hospital</w:t>
            </w:r>
          </w:p>
        </w:tc>
        <w:tc>
          <w:tcPr>
            <w:tcW w:w="851" w:type="dxa"/>
            <w:vAlign w:val="bottom"/>
          </w:tcPr>
          <w:p w14:paraId="3863C99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739AA7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A4E05E1" w14:textId="77777777" w:rsidR="0012790E" w:rsidRPr="0012790E" w:rsidRDefault="0012790E">
            <w:pPr>
              <w:pStyle w:val="Summarytabletextrightaligned"/>
              <w:rPr>
                <w:szCs w:val="16"/>
              </w:rPr>
            </w:pPr>
            <w:r w:rsidRPr="0012790E">
              <w:rPr>
                <w:szCs w:val="16"/>
              </w:rPr>
              <w:t>..</w:t>
            </w:r>
          </w:p>
        </w:tc>
        <w:tc>
          <w:tcPr>
            <w:tcW w:w="851" w:type="dxa"/>
            <w:vAlign w:val="bottom"/>
          </w:tcPr>
          <w:p w14:paraId="0E445060" w14:textId="77777777" w:rsidR="0012790E" w:rsidRPr="0012790E" w:rsidRDefault="0012790E">
            <w:pPr>
              <w:pStyle w:val="Summarytabletextrightaligned"/>
              <w:rPr>
                <w:szCs w:val="16"/>
              </w:rPr>
            </w:pPr>
            <w:r w:rsidRPr="0012790E">
              <w:rPr>
                <w:szCs w:val="16"/>
              </w:rPr>
              <w:t>..</w:t>
            </w:r>
          </w:p>
        </w:tc>
        <w:tc>
          <w:tcPr>
            <w:tcW w:w="851" w:type="dxa"/>
            <w:vAlign w:val="bottom"/>
          </w:tcPr>
          <w:p w14:paraId="6DCC18DC" w14:textId="77777777" w:rsidR="0012790E" w:rsidRPr="0012790E" w:rsidRDefault="0012790E">
            <w:pPr>
              <w:pStyle w:val="Summarytabletextrightaligned"/>
              <w:rPr>
                <w:szCs w:val="16"/>
              </w:rPr>
            </w:pPr>
            <w:r w:rsidRPr="0012790E">
              <w:rPr>
                <w:szCs w:val="16"/>
              </w:rPr>
              <w:t>..</w:t>
            </w:r>
          </w:p>
        </w:tc>
      </w:tr>
      <w:tr w:rsidR="0012790E" w:rsidRPr="0012790E" w14:paraId="52AE682C" w14:textId="77777777">
        <w:tc>
          <w:tcPr>
            <w:tcW w:w="3470" w:type="dxa"/>
            <w:shd w:val="clear" w:color="auto" w:fill="auto"/>
            <w:vAlign w:val="bottom"/>
          </w:tcPr>
          <w:p w14:paraId="1912A75F" w14:textId="77777777" w:rsidR="0012790E" w:rsidRPr="0012790E" w:rsidRDefault="0012790E">
            <w:pPr>
              <w:pStyle w:val="SummaryMeasureTitlewithTheme"/>
            </w:pPr>
            <w:r w:rsidRPr="0012790E">
              <w:t>Health Workforce</w:t>
            </w:r>
          </w:p>
        </w:tc>
        <w:tc>
          <w:tcPr>
            <w:tcW w:w="851" w:type="dxa"/>
            <w:vAlign w:val="bottom"/>
          </w:tcPr>
          <w:p w14:paraId="7BABA699" w14:textId="77777777" w:rsidR="0012790E" w:rsidRPr="0012790E" w:rsidRDefault="0012790E">
            <w:pPr>
              <w:pStyle w:val="Summarytabletextrightaligned"/>
              <w:rPr>
                <w:szCs w:val="16"/>
              </w:rPr>
            </w:pPr>
            <w:r w:rsidRPr="0012790E">
              <w:rPr>
                <w:szCs w:val="16"/>
              </w:rPr>
              <w:t>1.8</w:t>
            </w:r>
          </w:p>
        </w:tc>
        <w:tc>
          <w:tcPr>
            <w:tcW w:w="851" w:type="dxa"/>
            <w:shd w:val="clear" w:color="auto" w:fill="E6F2FF"/>
            <w:vAlign w:val="bottom"/>
          </w:tcPr>
          <w:p w14:paraId="0323398A" w14:textId="77777777" w:rsidR="0012790E" w:rsidRPr="0012790E" w:rsidRDefault="0012790E">
            <w:pPr>
              <w:pStyle w:val="Summarytabletextrightaligned"/>
              <w:rPr>
                <w:szCs w:val="16"/>
              </w:rPr>
            </w:pPr>
            <w:r w:rsidRPr="0012790E">
              <w:rPr>
                <w:szCs w:val="16"/>
              </w:rPr>
              <w:t>10.5</w:t>
            </w:r>
          </w:p>
        </w:tc>
        <w:tc>
          <w:tcPr>
            <w:tcW w:w="851" w:type="dxa"/>
            <w:vAlign w:val="bottom"/>
          </w:tcPr>
          <w:p w14:paraId="796323A5" w14:textId="77777777" w:rsidR="0012790E" w:rsidRPr="0012790E" w:rsidRDefault="0012790E">
            <w:pPr>
              <w:pStyle w:val="Summarytabletextrightaligned"/>
              <w:rPr>
                <w:szCs w:val="16"/>
              </w:rPr>
            </w:pPr>
            <w:r w:rsidRPr="0012790E">
              <w:rPr>
                <w:szCs w:val="16"/>
              </w:rPr>
              <w:t>2.7</w:t>
            </w:r>
          </w:p>
        </w:tc>
        <w:tc>
          <w:tcPr>
            <w:tcW w:w="851" w:type="dxa"/>
            <w:vAlign w:val="bottom"/>
          </w:tcPr>
          <w:p w14:paraId="6B5B59D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A92896A" w14:textId="77777777" w:rsidR="0012790E" w:rsidRPr="0012790E" w:rsidRDefault="0012790E">
            <w:pPr>
              <w:pStyle w:val="Summarytabletextrightaligned"/>
              <w:rPr>
                <w:szCs w:val="16"/>
              </w:rPr>
            </w:pPr>
            <w:r w:rsidRPr="0012790E">
              <w:rPr>
                <w:szCs w:val="16"/>
              </w:rPr>
              <w:noBreakHyphen/>
            </w:r>
          </w:p>
        </w:tc>
      </w:tr>
      <w:tr w:rsidR="0012790E" w:rsidRPr="0012790E" w14:paraId="65184A8B" w14:textId="77777777">
        <w:tc>
          <w:tcPr>
            <w:tcW w:w="3470" w:type="dxa"/>
            <w:shd w:val="clear" w:color="auto" w:fill="auto"/>
            <w:vAlign w:val="bottom"/>
          </w:tcPr>
          <w:p w14:paraId="07DF3076" w14:textId="77777777" w:rsidR="0012790E" w:rsidRPr="0012790E" w:rsidRDefault="0012790E">
            <w:pPr>
              <w:pStyle w:val="SummaryMeasureTitlewithTheme"/>
            </w:pPr>
            <w:r w:rsidRPr="0012790E">
              <w:t>Impact of the Douglas Decision on Social Security Means Testing</w:t>
            </w:r>
          </w:p>
        </w:tc>
        <w:tc>
          <w:tcPr>
            <w:tcW w:w="851" w:type="dxa"/>
            <w:vAlign w:val="bottom"/>
          </w:tcPr>
          <w:p w14:paraId="1852D57E" w14:textId="77777777" w:rsidR="0012790E" w:rsidRPr="0012790E" w:rsidRDefault="0012790E">
            <w:pPr>
              <w:pStyle w:val="Summarytabletextrightaligned"/>
              <w:rPr>
                <w:szCs w:val="16"/>
              </w:rPr>
            </w:pPr>
            <w:r w:rsidRPr="0012790E">
              <w:rPr>
                <w:szCs w:val="16"/>
              </w:rPr>
              <w:t>2.1</w:t>
            </w:r>
          </w:p>
        </w:tc>
        <w:tc>
          <w:tcPr>
            <w:tcW w:w="851" w:type="dxa"/>
            <w:shd w:val="clear" w:color="auto" w:fill="E6F2FF"/>
            <w:vAlign w:val="bottom"/>
          </w:tcPr>
          <w:p w14:paraId="3CD50636" w14:textId="77777777" w:rsidR="0012790E" w:rsidRPr="0012790E" w:rsidRDefault="0012790E">
            <w:pPr>
              <w:pStyle w:val="Summarytabletextrightaligned"/>
              <w:rPr>
                <w:szCs w:val="16"/>
              </w:rPr>
            </w:pPr>
            <w:r w:rsidRPr="0012790E">
              <w:rPr>
                <w:szCs w:val="16"/>
              </w:rPr>
              <w:t>7.2</w:t>
            </w:r>
          </w:p>
        </w:tc>
        <w:tc>
          <w:tcPr>
            <w:tcW w:w="851" w:type="dxa"/>
            <w:vAlign w:val="bottom"/>
          </w:tcPr>
          <w:p w14:paraId="535C0B60" w14:textId="77777777" w:rsidR="0012790E" w:rsidRPr="0012790E" w:rsidRDefault="0012790E">
            <w:pPr>
              <w:pStyle w:val="Summarytabletextrightaligned"/>
              <w:rPr>
                <w:szCs w:val="16"/>
              </w:rPr>
            </w:pPr>
            <w:r w:rsidRPr="0012790E">
              <w:rPr>
                <w:szCs w:val="16"/>
              </w:rPr>
              <w:t>0.9</w:t>
            </w:r>
          </w:p>
        </w:tc>
        <w:tc>
          <w:tcPr>
            <w:tcW w:w="851" w:type="dxa"/>
            <w:vAlign w:val="bottom"/>
          </w:tcPr>
          <w:p w14:paraId="0D2D3FD7" w14:textId="77777777" w:rsidR="0012790E" w:rsidRPr="0012790E" w:rsidRDefault="0012790E">
            <w:pPr>
              <w:pStyle w:val="Summarytabletextrightaligned"/>
              <w:rPr>
                <w:szCs w:val="16"/>
              </w:rPr>
            </w:pPr>
            <w:r w:rsidRPr="0012790E">
              <w:rPr>
                <w:szCs w:val="16"/>
              </w:rPr>
              <w:t>0.9</w:t>
            </w:r>
          </w:p>
        </w:tc>
        <w:tc>
          <w:tcPr>
            <w:tcW w:w="851" w:type="dxa"/>
            <w:vAlign w:val="bottom"/>
          </w:tcPr>
          <w:p w14:paraId="1BF6C60B" w14:textId="77777777" w:rsidR="0012790E" w:rsidRPr="0012790E" w:rsidRDefault="0012790E">
            <w:pPr>
              <w:pStyle w:val="Summarytabletextrightaligned"/>
              <w:rPr>
                <w:szCs w:val="16"/>
              </w:rPr>
            </w:pPr>
            <w:r w:rsidRPr="0012790E">
              <w:rPr>
                <w:szCs w:val="16"/>
              </w:rPr>
              <w:t>0.9</w:t>
            </w:r>
          </w:p>
        </w:tc>
      </w:tr>
      <w:tr w:rsidR="0012790E" w:rsidRPr="0012790E" w14:paraId="568D1D9F" w14:textId="77777777">
        <w:tc>
          <w:tcPr>
            <w:tcW w:w="3470" w:type="dxa"/>
            <w:shd w:val="clear" w:color="auto" w:fill="auto"/>
            <w:vAlign w:val="bottom"/>
          </w:tcPr>
          <w:p w14:paraId="6FF09953" w14:textId="77777777" w:rsidR="0012790E" w:rsidRPr="0012790E" w:rsidRDefault="0012790E">
            <w:pPr>
              <w:pStyle w:val="SummaryMeasureTitlewithTheme"/>
            </w:pPr>
            <w:r w:rsidRPr="0012790E">
              <w:t>Improving Aged Care Support</w:t>
            </w:r>
          </w:p>
        </w:tc>
        <w:tc>
          <w:tcPr>
            <w:tcW w:w="851" w:type="dxa"/>
            <w:vAlign w:val="bottom"/>
          </w:tcPr>
          <w:p w14:paraId="7C36F564" w14:textId="77777777" w:rsidR="0012790E" w:rsidRPr="0012790E" w:rsidRDefault="0012790E">
            <w:pPr>
              <w:pStyle w:val="Summarytabletextrightaligned"/>
              <w:rPr>
                <w:szCs w:val="16"/>
              </w:rPr>
            </w:pPr>
            <w:r w:rsidRPr="0012790E">
              <w:rPr>
                <w:szCs w:val="16"/>
              </w:rPr>
              <w:t>0.2</w:t>
            </w:r>
          </w:p>
        </w:tc>
        <w:tc>
          <w:tcPr>
            <w:tcW w:w="851" w:type="dxa"/>
            <w:shd w:val="clear" w:color="auto" w:fill="E6F2FF"/>
            <w:vAlign w:val="bottom"/>
          </w:tcPr>
          <w:p w14:paraId="6371016D" w14:textId="77777777" w:rsidR="0012790E" w:rsidRPr="0012790E" w:rsidRDefault="0012790E">
            <w:pPr>
              <w:pStyle w:val="Summarytabletextrightaligned"/>
              <w:rPr>
                <w:szCs w:val="16"/>
              </w:rPr>
            </w:pPr>
            <w:r w:rsidRPr="0012790E">
              <w:rPr>
                <w:szCs w:val="16"/>
              </w:rPr>
              <w:t>85.5</w:t>
            </w:r>
          </w:p>
        </w:tc>
        <w:tc>
          <w:tcPr>
            <w:tcW w:w="851" w:type="dxa"/>
            <w:vAlign w:val="bottom"/>
          </w:tcPr>
          <w:p w14:paraId="0150956F" w14:textId="77777777" w:rsidR="0012790E" w:rsidRPr="0012790E" w:rsidRDefault="0012790E">
            <w:pPr>
              <w:pStyle w:val="Summarytabletextrightaligned"/>
              <w:rPr>
                <w:szCs w:val="16"/>
              </w:rPr>
            </w:pPr>
            <w:r w:rsidRPr="0012790E">
              <w:rPr>
                <w:szCs w:val="16"/>
              </w:rPr>
              <w:t>49.6</w:t>
            </w:r>
          </w:p>
        </w:tc>
        <w:tc>
          <w:tcPr>
            <w:tcW w:w="851" w:type="dxa"/>
            <w:vAlign w:val="bottom"/>
          </w:tcPr>
          <w:p w14:paraId="0B8166D8" w14:textId="77777777" w:rsidR="0012790E" w:rsidRPr="0012790E" w:rsidRDefault="0012790E">
            <w:pPr>
              <w:pStyle w:val="Summarytabletextrightaligned"/>
              <w:rPr>
                <w:szCs w:val="16"/>
              </w:rPr>
            </w:pPr>
            <w:r w:rsidRPr="0012790E">
              <w:rPr>
                <w:szCs w:val="16"/>
              </w:rPr>
              <w:t>12.3</w:t>
            </w:r>
          </w:p>
        </w:tc>
        <w:tc>
          <w:tcPr>
            <w:tcW w:w="851" w:type="dxa"/>
            <w:vAlign w:val="bottom"/>
          </w:tcPr>
          <w:p w14:paraId="7E5323B0" w14:textId="77777777" w:rsidR="0012790E" w:rsidRPr="0012790E" w:rsidRDefault="0012790E">
            <w:pPr>
              <w:pStyle w:val="Summarytabletextrightaligned"/>
              <w:rPr>
                <w:szCs w:val="16"/>
              </w:rPr>
            </w:pPr>
            <w:r w:rsidRPr="0012790E">
              <w:rPr>
                <w:szCs w:val="16"/>
              </w:rPr>
              <w:t>12.1</w:t>
            </w:r>
          </w:p>
        </w:tc>
      </w:tr>
      <w:tr w:rsidR="0012790E" w:rsidRPr="0012790E" w14:paraId="3B3F2C06" w14:textId="77777777">
        <w:tc>
          <w:tcPr>
            <w:tcW w:w="3470" w:type="dxa"/>
            <w:shd w:val="clear" w:color="auto" w:fill="auto"/>
            <w:vAlign w:val="bottom"/>
          </w:tcPr>
          <w:p w14:paraId="7EB63699" w14:textId="77777777" w:rsidR="0012790E" w:rsidRPr="0012790E" w:rsidRDefault="0012790E">
            <w:pPr>
              <w:pStyle w:val="SummaryMeasureTitlewithTheme"/>
            </w:pPr>
            <w:r w:rsidRPr="0012790E">
              <w:t>Mental Health</w:t>
            </w:r>
          </w:p>
        </w:tc>
        <w:tc>
          <w:tcPr>
            <w:tcW w:w="851" w:type="dxa"/>
            <w:vAlign w:val="bottom"/>
          </w:tcPr>
          <w:p w14:paraId="2F59839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81B1DF1" w14:textId="77777777" w:rsidR="0012790E" w:rsidRPr="0012790E" w:rsidRDefault="0012790E">
            <w:pPr>
              <w:pStyle w:val="Summarytabletextrightaligned"/>
              <w:rPr>
                <w:szCs w:val="16"/>
              </w:rPr>
            </w:pPr>
            <w:r w:rsidRPr="0012790E">
              <w:rPr>
                <w:szCs w:val="16"/>
              </w:rPr>
              <w:t>0.7</w:t>
            </w:r>
          </w:p>
        </w:tc>
        <w:tc>
          <w:tcPr>
            <w:tcW w:w="851" w:type="dxa"/>
            <w:vAlign w:val="bottom"/>
          </w:tcPr>
          <w:p w14:paraId="63585C59" w14:textId="77777777" w:rsidR="0012790E" w:rsidRPr="0012790E" w:rsidRDefault="0012790E">
            <w:pPr>
              <w:pStyle w:val="Summarytabletextrightaligned"/>
              <w:rPr>
                <w:szCs w:val="16"/>
              </w:rPr>
            </w:pPr>
            <w:r w:rsidRPr="0012790E">
              <w:rPr>
                <w:szCs w:val="16"/>
              </w:rPr>
              <w:t>0.9</w:t>
            </w:r>
          </w:p>
        </w:tc>
        <w:tc>
          <w:tcPr>
            <w:tcW w:w="851" w:type="dxa"/>
            <w:vAlign w:val="bottom"/>
          </w:tcPr>
          <w:p w14:paraId="4FDBAC34" w14:textId="77777777" w:rsidR="0012790E" w:rsidRPr="0012790E" w:rsidRDefault="0012790E">
            <w:pPr>
              <w:pStyle w:val="Summarytabletextrightaligned"/>
              <w:rPr>
                <w:szCs w:val="16"/>
              </w:rPr>
            </w:pPr>
            <w:r w:rsidRPr="0012790E">
              <w:rPr>
                <w:szCs w:val="16"/>
              </w:rPr>
              <w:t>0.1</w:t>
            </w:r>
          </w:p>
        </w:tc>
        <w:tc>
          <w:tcPr>
            <w:tcW w:w="851" w:type="dxa"/>
            <w:vAlign w:val="bottom"/>
          </w:tcPr>
          <w:p w14:paraId="396A39FB" w14:textId="77777777" w:rsidR="0012790E" w:rsidRPr="0012790E" w:rsidRDefault="0012790E">
            <w:pPr>
              <w:pStyle w:val="Summarytabletextrightaligned"/>
              <w:rPr>
                <w:szCs w:val="16"/>
              </w:rPr>
            </w:pPr>
            <w:r w:rsidRPr="0012790E">
              <w:rPr>
                <w:szCs w:val="16"/>
              </w:rPr>
              <w:noBreakHyphen/>
              <w:t>0.6</w:t>
            </w:r>
          </w:p>
        </w:tc>
      </w:tr>
      <w:tr w:rsidR="0012790E" w:rsidRPr="0012790E" w14:paraId="299CE320" w14:textId="77777777">
        <w:tc>
          <w:tcPr>
            <w:tcW w:w="3470" w:type="dxa"/>
            <w:shd w:val="clear" w:color="auto" w:fill="auto"/>
            <w:vAlign w:val="bottom"/>
          </w:tcPr>
          <w:p w14:paraId="0188B3DB" w14:textId="77777777" w:rsidR="0012790E" w:rsidRPr="0012790E" w:rsidRDefault="0012790E">
            <w:pPr>
              <w:pStyle w:val="SummaryMeasureTitlewithTheme"/>
            </w:pPr>
            <w:r w:rsidRPr="0012790E">
              <w:t>National Disability Insurance Scheme – getting the NDIS back on track</w:t>
            </w:r>
          </w:p>
        </w:tc>
        <w:tc>
          <w:tcPr>
            <w:tcW w:w="851" w:type="dxa"/>
            <w:vAlign w:val="bottom"/>
          </w:tcPr>
          <w:p w14:paraId="74688B9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9BFC7B7" w14:textId="77777777" w:rsidR="0012790E" w:rsidRPr="0012790E" w:rsidRDefault="0012790E">
            <w:pPr>
              <w:pStyle w:val="Summarytabletextrightaligned"/>
              <w:rPr>
                <w:szCs w:val="16"/>
              </w:rPr>
            </w:pPr>
            <w:r w:rsidRPr="0012790E">
              <w:rPr>
                <w:szCs w:val="16"/>
              </w:rPr>
              <w:t>11.7</w:t>
            </w:r>
          </w:p>
        </w:tc>
        <w:tc>
          <w:tcPr>
            <w:tcW w:w="851" w:type="dxa"/>
            <w:vAlign w:val="bottom"/>
          </w:tcPr>
          <w:p w14:paraId="7D5DB522" w14:textId="77777777" w:rsidR="0012790E" w:rsidRPr="0012790E" w:rsidRDefault="0012790E">
            <w:pPr>
              <w:pStyle w:val="Summarytabletextrightaligned"/>
              <w:rPr>
                <w:szCs w:val="16"/>
              </w:rPr>
            </w:pPr>
            <w:r w:rsidRPr="0012790E">
              <w:rPr>
                <w:szCs w:val="16"/>
              </w:rPr>
              <w:t>11.8</w:t>
            </w:r>
          </w:p>
        </w:tc>
        <w:tc>
          <w:tcPr>
            <w:tcW w:w="851" w:type="dxa"/>
            <w:vAlign w:val="bottom"/>
          </w:tcPr>
          <w:p w14:paraId="0EFACAA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63CE7FE" w14:textId="77777777" w:rsidR="0012790E" w:rsidRPr="0012790E" w:rsidRDefault="0012790E">
            <w:pPr>
              <w:pStyle w:val="Summarytabletextrightaligned"/>
              <w:rPr>
                <w:szCs w:val="16"/>
              </w:rPr>
            </w:pPr>
            <w:r w:rsidRPr="0012790E">
              <w:rPr>
                <w:szCs w:val="16"/>
              </w:rPr>
              <w:noBreakHyphen/>
            </w:r>
          </w:p>
        </w:tc>
      </w:tr>
      <w:tr w:rsidR="0012790E" w:rsidRPr="0012790E" w14:paraId="26091AA8" w14:textId="77777777">
        <w:tc>
          <w:tcPr>
            <w:tcW w:w="3470" w:type="dxa"/>
            <w:shd w:val="clear" w:color="auto" w:fill="auto"/>
            <w:vAlign w:val="bottom"/>
          </w:tcPr>
          <w:p w14:paraId="02C21307" w14:textId="77777777" w:rsidR="0012790E" w:rsidRPr="0012790E" w:rsidRDefault="0012790E">
            <w:pPr>
              <w:pStyle w:val="SummaryMeasureTitlewithTheme"/>
            </w:pPr>
            <w:r w:rsidRPr="0012790E">
              <w:t>Permanent Migration Program – 2024</w:t>
            </w:r>
            <w:r w:rsidRPr="0012790E">
              <w:noBreakHyphen/>
              <w:t>25 planning levels and multi</w:t>
            </w:r>
            <w:r w:rsidRPr="0012790E">
              <w:noBreakHyphen/>
              <w:t>year planning(b)</w:t>
            </w:r>
          </w:p>
        </w:tc>
        <w:tc>
          <w:tcPr>
            <w:tcW w:w="851" w:type="dxa"/>
            <w:vAlign w:val="bottom"/>
          </w:tcPr>
          <w:p w14:paraId="6A60A332"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861A317" w14:textId="77777777" w:rsidR="0012790E" w:rsidRPr="0012790E" w:rsidRDefault="0012790E">
            <w:pPr>
              <w:pStyle w:val="Summarytabletextrightaligned"/>
              <w:rPr>
                <w:szCs w:val="16"/>
              </w:rPr>
            </w:pPr>
            <w:r w:rsidRPr="0012790E">
              <w:rPr>
                <w:szCs w:val="16"/>
              </w:rPr>
              <w:t>..</w:t>
            </w:r>
          </w:p>
        </w:tc>
        <w:tc>
          <w:tcPr>
            <w:tcW w:w="851" w:type="dxa"/>
            <w:vAlign w:val="bottom"/>
          </w:tcPr>
          <w:p w14:paraId="74BA5F60" w14:textId="77777777" w:rsidR="0012790E" w:rsidRPr="0012790E" w:rsidRDefault="0012790E">
            <w:pPr>
              <w:pStyle w:val="Summarytabletextrightaligned"/>
              <w:rPr>
                <w:szCs w:val="16"/>
              </w:rPr>
            </w:pPr>
            <w:r w:rsidRPr="0012790E">
              <w:rPr>
                <w:szCs w:val="16"/>
              </w:rPr>
              <w:noBreakHyphen/>
              <w:t>0.1</w:t>
            </w:r>
          </w:p>
        </w:tc>
        <w:tc>
          <w:tcPr>
            <w:tcW w:w="851" w:type="dxa"/>
            <w:vAlign w:val="bottom"/>
          </w:tcPr>
          <w:p w14:paraId="2CE9E4A8" w14:textId="77777777" w:rsidR="0012790E" w:rsidRPr="0012790E" w:rsidRDefault="0012790E">
            <w:pPr>
              <w:pStyle w:val="Summarytabletextrightaligned"/>
              <w:rPr>
                <w:szCs w:val="16"/>
              </w:rPr>
            </w:pPr>
            <w:r w:rsidRPr="0012790E">
              <w:rPr>
                <w:szCs w:val="16"/>
              </w:rPr>
              <w:noBreakHyphen/>
              <w:t>0.1</w:t>
            </w:r>
          </w:p>
        </w:tc>
        <w:tc>
          <w:tcPr>
            <w:tcW w:w="851" w:type="dxa"/>
            <w:vAlign w:val="bottom"/>
          </w:tcPr>
          <w:p w14:paraId="23F5C166" w14:textId="77777777" w:rsidR="0012790E" w:rsidRPr="0012790E" w:rsidRDefault="0012790E">
            <w:pPr>
              <w:pStyle w:val="Summarytabletextrightaligned"/>
              <w:rPr>
                <w:szCs w:val="16"/>
              </w:rPr>
            </w:pPr>
            <w:r w:rsidRPr="0012790E">
              <w:rPr>
                <w:szCs w:val="16"/>
              </w:rPr>
              <w:noBreakHyphen/>
              <w:t>0.1</w:t>
            </w:r>
          </w:p>
        </w:tc>
      </w:tr>
      <w:tr w:rsidR="0012790E" w:rsidRPr="0012790E" w14:paraId="397E3F48" w14:textId="77777777">
        <w:tc>
          <w:tcPr>
            <w:tcW w:w="3470" w:type="dxa"/>
            <w:shd w:val="clear" w:color="auto" w:fill="auto"/>
            <w:vAlign w:val="bottom"/>
          </w:tcPr>
          <w:p w14:paraId="46506623" w14:textId="77777777" w:rsidR="0012790E" w:rsidRPr="0012790E" w:rsidRDefault="0012790E">
            <w:pPr>
              <w:pStyle w:val="SummaryMeasureTitlewithTheme"/>
            </w:pPr>
            <w:r w:rsidRPr="0012790E">
              <w:t>Pharmaceutical Benefits Scheme (PBS) – new and amended listings(b)</w:t>
            </w:r>
          </w:p>
        </w:tc>
        <w:tc>
          <w:tcPr>
            <w:tcW w:w="851" w:type="dxa"/>
            <w:vAlign w:val="bottom"/>
          </w:tcPr>
          <w:p w14:paraId="156B3505" w14:textId="77777777" w:rsidR="0012790E" w:rsidRPr="0012790E" w:rsidRDefault="0012790E">
            <w:pPr>
              <w:pStyle w:val="Summarytabletextrightaligned"/>
              <w:rPr>
                <w:szCs w:val="16"/>
              </w:rPr>
            </w:pPr>
            <w:r w:rsidRPr="0012790E">
              <w:rPr>
                <w:szCs w:val="16"/>
              </w:rPr>
              <w:t>0.6</w:t>
            </w:r>
          </w:p>
        </w:tc>
        <w:tc>
          <w:tcPr>
            <w:tcW w:w="851" w:type="dxa"/>
            <w:shd w:val="clear" w:color="auto" w:fill="E6F2FF"/>
            <w:vAlign w:val="bottom"/>
          </w:tcPr>
          <w:p w14:paraId="4CDDAE4C" w14:textId="77777777" w:rsidR="0012790E" w:rsidRPr="0012790E" w:rsidRDefault="0012790E">
            <w:pPr>
              <w:pStyle w:val="Summarytabletextrightaligned"/>
              <w:rPr>
                <w:szCs w:val="16"/>
              </w:rPr>
            </w:pPr>
            <w:r w:rsidRPr="0012790E">
              <w:rPr>
                <w:szCs w:val="16"/>
              </w:rPr>
              <w:t>0.2</w:t>
            </w:r>
          </w:p>
        </w:tc>
        <w:tc>
          <w:tcPr>
            <w:tcW w:w="851" w:type="dxa"/>
            <w:vAlign w:val="bottom"/>
          </w:tcPr>
          <w:p w14:paraId="6F747D43" w14:textId="77777777" w:rsidR="0012790E" w:rsidRPr="0012790E" w:rsidRDefault="0012790E">
            <w:pPr>
              <w:pStyle w:val="Summarytabletextrightaligned"/>
              <w:rPr>
                <w:szCs w:val="16"/>
              </w:rPr>
            </w:pPr>
            <w:r w:rsidRPr="0012790E">
              <w:rPr>
                <w:szCs w:val="16"/>
              </w:rPr>
              <w:t>0.2</w:t>
            </w:r>
          </w:p>
        </w:tc>
        <w:tc>
          <w:tcPr>
            <w:tcW w:w="851" w:type="dxa"/>
            <w:vAlign w:val="bottom"/>
          </w:tcPr>
          <w:p w14:paraId="62F66381" w14:textId="77777777" w:rsidR="0012790E" w:rsidRPr="0012790E" w:rsidRDefault="0012790E">
            <w:pPr>
              <w:pStyle w:val="Summarytabletextrightaligned"/>
              <w:rPr>
                <w:szCs w:val="16"/>
              </w:rPr>
            </w:pPr>
            <w:r w:rsidRPr="0012790E">
              <w:rPr>
                <w:szCs w:val="16"/>
              </w:rPr>
              <w:t>0.2</w:t>
            </w:r>
          </w:p>
        </w:tc>
        <w:tc>
          <w:tcPr>
            <w:tcW w:w="851" w:type="dxa"/>
            <w:vAlign w:val="bottom"/>
          </w:tcPr>
          <w:p w14:paraId="215448EC" w14:textId="77777777" w:rsidR="0012790E" w:rsidRPr="0012790E" w:rsidRDefault="0012790E">
            <w:pPr>
              <w:pStyle w:val="Summarytabletextrightaligned"/>
              <w:rPr>
                <w:szCs w:val="16"/>
              </w:rPr>
            </w:pPr>
            <w:r w:rsidRPr="0012790E">
              <w:rPr>
                <w:szCs w:val="16"/>
              </w:rPr>
              <w:t>0.2</w:t>
            </w:r>
          </w:p>
        </w:tc>
      </w:tr>
      <w:tr w:rsidR="0012790E" w:rsidRPr="0012790E" w14:paraId="05E83F9C" w14:textId="77777777">
        <w:tc>
          <w:tcPr>
            <w:tcW w:w="3470" w:type="dxa"/>
            <w:shd w:val="clear" w:color="auto" w:fill="auto"/>
            <w:vAlign w:val="bottom"/>
          </w:tcPr>
          <w:p w14:paraId="3B4E73D0" w14:textId="77777777" w:rsidR="0012790E" w:rsidRPr="0012790E" w:rsidRDefault="0012790E">
            <w:pPr>
              <w:pStyle w:val="SummaryMeasureTitlewithTheme"/>
            </w:pPr>
            <w:r w:rsidRPr="0012790E">
              <w:t>Reforms to Migrant and Refugee Settlement Services</w:t>
            </w:r>
          </w:p>
        </w:tc>
        <w:tc>
          <w:tcPr>
            <w:tcW w:w="851" w:type="dxa"/>
            <w:vAlign w:val="bottom"/>
          </w:tcPr>
          <w:p w14:paraId="4BBDD76A" w14:textId="77777777" w:rsidR="0012790E" w:rsidRPr="0012790E" w:rsidRDefault="0012790E">
            <w:pPr>
              <w:pStyle w:val="Summarytabletextrightaligned"/>
              <w:rPr>
                <w:szCs w:val="16"/>
              </w:rPr>
            </w:pPr>
            <w:r w:rsidRPr="0012790E">
              <w:rPr>
                <w:szCs w:val="16"/>
              </w:rPr>
              <w:t>0.3</w:t>
            </w:r>
          </w:p>
        </w:tc>
        <w:tc>
          <w:tcPr>
            <w:tcW w:w="851" w:type="dxa"/>
            <w:shd w:val="clear" w:color="auto" w:fill="E6F2FF"/>
            <w:vAlign w:val="bottom"/>
          </w:tcPr>
          <w:p w14:paraId="4CFDEA14" w14:textId="77777777" w:rsidR="0012790E" w:rsidRPr="0012790E" w:rsidRDefault="0012790E">
            <w:pPr>
              <w:pStyle w:val="Summarytabletextrightaligned"/>
              <w:rPr>
                <w:szCs w:val="16"/>
              </w:rPr>
            </w:pPr>
            <w:r w:rsidRPr="0012790E">
              <w:rPr>
                <w:szCs w:val="16"/>
              </w:rPr>
              <w:t>..</w:t>
            </w:r>
          </w:p>
        </w:tc>
        <w:tc>
          <w:tcPr>
            <w:tcW w:w="851" w:type="dxa"/>
            <w:vAlign w:val="bottom"/>
          </w:tcPr>
          <w:p w14:paraId="4409E2A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A49BF6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A414B09" w14:textId="77777777" w:rsidR="0012790E" w:rsidRPr="0012790E" w:rsidRDefault="0012790E">
            <w:pPr>
              <w:pStyle w:val="Summarytabletextrightaligned"/>
              <w:rPr>
                <w:szCs w:val="16"/>
              </w:rPr>
            </w:pPr>
            <w:r w:rsidRPr="0012790E">
              <w:rPr>
                <w:szCs w:val="16"/>
              </w:rPr>
              <w:noBreakHyphen/>
            </w:r>
          </w:p>
        </w:tc>
      </w:tr>
      <w:tr w:rsidR="0012790E" w:rsidRPr="0012790E" w14:paraId="029147AF" w14:textId="77777777">
        <w:tc>
          <w:tcPr>
            <w:tcW w:w="3470" w:type="dxa"/>
            <w:shd w:val="clear" w:color="auto" w:fill="auto"/>
            <w:vAlign w:val="bottom"/>
          </w:tcPr>
          <w:p w14:paraId="39DD0503" w14:textId="77777777" w:rsidR="0012790E" w:rsidRPr="0012790E" w:rsidRDefault="0012790E">
            <w:pPr>
              <w:pStyle w:val="SummaryMeasureTitlewithTheme"/>
            </w:pPr>
            <w:r w:rsidRPr="0012790E">
              <w:t>Remote Jobs and Economic Development Program</w:t>
            </w:r>
          </w:p>
        </w:tc>
        <w:tc>
          <w:tcPr>
            <w:tcW w:w="851" w:type="dxa"/>
            <w:vAlign w:val="bottom"/>
          </w:tcPr>
          <w:p w14:paraId="6F16068C" w14:textId="77777777" w:rsidR="0012790E" w:rsidRPr="0012790E" w:rsidRDefault="0012790E">
            <w:pPr>
              <w:pStyle w:val="Summarytabletextrightaligned"/>
              <w:rPr>
                <w:szCs w:val="16"/>
              </w:rPr>
            </w:pPr>
            <w:r w:rsidRPr="0012790E">
              <w:rPr>
                <w:szCs w:val="16"/>
              </w:rPr>
              <w:t>0.3</w:t>
            </w:r>
          </w:p>
        </w:tc>
        <w:tc>
          <w:tcPr>
            <w:tcW w:w="851" w:type="dxa"/>
            <w:shd w:val="clear" w:color="auto" w:fill="E6F2FF"/>
            <w:vAlign w:val="bottom"/>
          </w:tcPr>
          <w:p w14:paraId="3B062D7C" w14:textId="77777777" w:rsidR="0012790E" w:rsidRPr="0012790E" w:rsidRDefault="0012790E">
            <w:pPr>
              <w:pStyle w:val="Summarytabletextrightaligned"/>
              <w:rPr>
                <w:szCs w:val="16"/>
              </w:rPr>
            </w:pPr>
            <w:r w:rsidRPr="0012790E">
              <w:rPr>
                <w:szCs w:val="16"/>
              </w:rPr>
              <w:t>11.2</w:t>
            </w:r>
          </w:p>
        </w:tc>
        <w:tc>
          <w:tcPr>
            <w:tcW w:w="851" w:type="dxa"/>
            <w:vAlign w:val="bottom"/>
          </w:tcPr>
          <w:p w14:paraId="770BB500" w14:textId="77777777" w:rsidR="0012790E" w:rsidRPr="0012790E" w:rsidRDefault="0012790E">
            <w:pPr>
              <w:pStyle w:val="Summarytabletextrightaligned"/>
              <w:rPr>
                <w:szCs w:val="16"/>
              </w:rPr>
            </w:pPr>
            <w:r w:rsidRPr="0012790E">
              <w:rPr>
                <w:szCs w:val="16"/>
              </w:rPr>
              <w:t>..</w:t>
            </w:r>
          </w:p>
        </w:tc>
        <w:tc>
          <w:tcPr>
            <w:tcW w:w="851" w:type="dxa"/>
            <w:vAlign w:val="bottom"/>
          </w:tcPr>
          <w:p w14:paraId="172BC1BB" w14:textId="77777777" w:rsidR="0012790E" w:rsidRPr="0012790E" w:rsidRDefault="0012790E">
            <w:pPr>
              <w:pStyle w:val="Summarytabletextrightaligned"/>
              <w:rPr>
                <w:szCs w:val="16"/>
              </w:rPr>
            </w:pPr>
            <w:r w:rsidRPr="0012790E">
              <w:rPr>
                <w:szCs w:val="16"/>
              </w:rPr>
              <w:t>..</w:t>
            </w:r>
          </w:p>
        </w:tc>
        <w:tc>
          <w:tcPr>
            <w:tcW w:w="851" w:type="dxa"/>
            <w:vAlign w:val="bottom"/>
          </w:tcPr>
          <w:p w14:paraId="04B3D8D0" w14:textId="77777777" w:rsidR="0012790E" w:rsidRPr="0012790E" w:rsidRDefault="0012790E">
            <w:pPr>
              <w:pStyle w:val="Summarytabletextrightaligned"/>
              <w:rPr>
                <w:szCs w:val="16"/>
              </w:rPr>
            </w:pPr>
            <w:r w:rsidRPr="0012790E">
              <w:rPr>
                <w:szCs w:val="16"/>
              </w:rPr>
              <w:noBreakHyphen/>
            </w:r>
          </w:p>
        </w:tc>
      </w:tr>
      <w:tr w:rsidR="0012790E" w:rsidRPr="0012790E" w14:paraId="68CDBBEB" w14:textId="77777777">
        <w:tc>
          <w:tcPr>
            <w:tcW w:w="3470" w:type="dxa"/>
            <w:shd w:val="clear" w:color="auto" w:fill="auto"/>
            <w:vAlign w:val="bottom"/>
          </w:tcPr>
          <w:p w14:paraId="1A77A6D2" w14:textId="77777777" w:rsidR="0012790E" w:rsidRPr="0012790E" w:rsidRDefault="0012790E">
            <w:pPr>
              <w:pStyle w:val="SummaryMeasureTitlewithTheme"/>
            </w:pPr>
            <w:r w:rsidRPr="0012790E">
              <w:t>Securing Cheaper Medicines(b)</w:t>
            </w:r>
          </w:p>
        </w:tc>
        <w:tc>
          <w:tcPr>
            <w:tcW w:w="851" w:type="dxa"/>
            <w:vAlign w:val="bottom"/>
          </w:tcPr>
          <w:p w14:paraId="7B477A23" w14:textId="77777777" w:rsidR="0012790E" w:rsidRPr="0012790E" w:rsidRDefault="0012790E">
            <w:pPr>
              <w:pStyle w:val="Summarytabletextrightaligned"/>
              <w:rPr>
                <w:szCs w:val="16"/>
              </w:rPr>
            </w:pPr>
            <w:r w:rsidRPr="0012790E">
              <w:rPr>
                <w:szCs w:val="16"/>
              </w:rPr>
              <w:t>0.5</w:t>
            </w:r>
          </w:p>
        </w:tc>
        <w:tc>
          <w:tcPr>
            <w:tcW w:w="851" w:type="dxa"/>
            <w:shd w:val="clear" w:color="auto" w:fill="E6F2FF"/>
            <w:vAlign w:val="bottom"/>
          </w:tcPr>
          <w:p w14:paraId="00259C3C" w14:textId="77777777" w:rsidR="0012790E" w:rsidRPr="0012790E" w:rsidRDefault="0012790E">
            <w:pPr>
              <w:pStyle w:val="Summarytabletextrightaligned"/>
              <w:rPr>
                <w:szCs w:val="16"/>
              </w:rPr>
            </w:pPr>
            <w:r w:rsidRPr="0012790E">
              <w:rPr>
                <w:szCs w:val="16"/>
              </w:rPr>
              <w:t>1.1</w:t>
            </w:r>
          </w:p>
        </w:tc>
        <w:tc>
          <w:tcPr>
            <w:tcW w:w="851" w:type="dxa"/>
            <w:vAlign w:val="bottom"/>
          </w:tcPr>
          <w:p w14:paraId="3DE765A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134099E"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461D8F9" w14:textId="77777777" w:rsidR="0012790E" w:rsidRPr="0012790E" w:rsidRDefault="0012790E">
            <w:pPr>
              <w:pStyle w:val="Summarytabletextrightaligned"/>
              <w:rPr>
                <w:szCs w:val="16"/>
              </w:rPr>
            </w:pPr>
            <w:r w:rsidRPr="0012790E">
              <w:rPr>
                <w:szCs w:val="16"/>
              </w:rPr>
              <w:noBreakHyphen/>
            </w:r>
          </w:p>
        </w:tc>
      </w:tr>
      <w:tr w:rsidR="0012790E" w:rsidRPr="0012790E" w14:paraId="7BE9B57E" w14:textId="77777777">
        <w:tc>
          <w:tcPr>
            <w:tcW w:w="3470" w:type="dxa"/>
            <w:shd w:val="clear" w:color="auto" w:fill="auto"/>
            <w:vAlign w:val="bottom"/>
          </w:tcPr>
          <w:p w14:paraId="37AF2321" w14:textId="77777777" w:rsidR="0012790E" w:rsidRPr="0012790E" w:rsidRDefault="0012790E">
            <w:pPr>
              <w:pStyle w:val="SummaryMeasureTitlewithTheme"/>
            </w:pPr>
            <w:r w:rsidRPr="0012790E">
              <w:t>Services Australia – additional resourcing</w:t>
            </w:r>
          </w:p>
        </w:tc>
        <w:tc>
          <w:tcPr>
            <w:tcW w:w="851" w:type="dxa"/>
            <w:vAlign w:val="bottom"/>
          </w:tcPr>
          <w:p w14:paraId="54E36D06" w14:textId="77777777" w:rsidR="0012790E" w:rsidRPr="0012790E" w:rsidRDefault="0012790E">
            <w:pPr>
              <w:pStyle w:val="Summarytabletextrightaligned"/>
              <w:rPr>
                <w:szCs w:val="16"/>
              </w:rPr>
            </w:pPr>
            <w:r w:rsidRPr="0012790E">
              <w:rPr>
                <w:szCs w:val="16"/>
              </w:rPr>
              <w:t>105.0</w:t>
            </w:r>
          </w:p>
        </w:tc>
        <w:tc>
          <w:tcPr>
            <w:tcW w:w="851" w:type="dxa"/>
            <w:shd w:val="clear" w:color="auto" w:fill="E6F2FF"/>
            <w:vAlign w:val="bottom"/>
          </w:tcPr>
          <w:p w14:paraId="33DA5653" w14:textId="77777777" w:rsidR="0012790E" w:rsidRPr="0012790E" w:rsidRDefault="0012790E">
            <w:pPr>
              <w:pStyle w:val="Summarytabletextrightaligned"/>
              <w:rPr>
                <w:szCs w:val="16"/>
              </w:rPr>
            </w:pPr>
            <w:r w:rsidRPr="0012790E">
              <w:rPr>
                <w:szCs w:val="16"/>
              </w:rPr>
              <w:t>1,199.5</w:t>
            </w:r>
          </w:p>
        </w:tc>
        <w:tc>
          <w:tcPr>
            <w:tcW w:w="851" w:type="dxa"/>
            <w:vAlign w:val="bottom"/>
          </w:tcPr>
          <w:p w14:paraId="5A2E6B25" w14:textId="77777777" w:rsidR="0012790E" w:rsidRPr="0012790E" w:rsidRDefault="0012790E">
            <w:pPr>
              <w:pStyle w:val="Summarytabletextrightaligned"/>
              <w:rPr>
                <w:szCs w:val="16"/>
              </w:rPr>
            </w:pPr>
            <w:r w:rsidRPr="0012790E">
              <w:rPr>
                <w:szCs w:val="16"/>
              </w:rPr>
              <w:t>1,146.4</w:t>
            </w:r>
          </w:p>
        </w:tc>
        <w:tc>
          <w:tcPr>
            <w:tcW w:w="851" w:type="dxa"/>
            <w:vAlign w:val="bottom"/>
          </w:tcPr>
          <w:p w14:paraId="41D13EBC" w14:textId="77777777" w:rsidR="0012790E" w:rsidRPr="0012790E" w:rsidRDefault="0012790E">
            <w:pPr>
              <w:pStyle w:val="Summarytabletextrightaligned"/>
              <w:rPr>
                <w:szCs w:val="16"/>
              </w:rPr>
            </w:pPr>
            <w:r w:rsidRPr="0012790E">
              <w:rPr>
                <w:szCs w:val="16"/>
              </w:rPr>
              <w:t>152.5</w:t>
            </w:r>
          </w:p>
        </w:tc>
        <w:tc>
          <w:tcPr>
            <w:tcW w:w="851" w:type="dxa"/>
            <w:vAlign w:val="bottom"/>
          </w:tcPr>
          <w:p w14:paraId="13609967" w14:textId="77777777" w:rsidR="0012790E" w:rsidRPr="0012790E" w:rsidRDefault="0012790E">
            <w:pPr>
              <w:pStyle w:val="Summarytabletextrightaligned"/>
              <w:rPr>
                <w:szCs w:val="16"/>
              </w:rPr>
            </w:pPr>
            <w:r w:rsidRPr="0012790E">
              <w:rPr>
                <w:szCs w:val="16"/>
              </w:rPr>
              <w:t>153.5</w:t>
            </w:r>
          </w:p>
        </w:tc>
      </w:tr>
      <w:tr w:rsidR="0012790E" w:rsidRPr="0012790E" w14:paraId="7232D676" w14:textId="77777777">
        <w:tc>
          <w:tcPr>
            <w:tcW w:w="3470" w:type="dxa"/>
            <w:shd w:val="clear" w:color="auto" w:fill="auto"/>
            <w:vAlign w:val="bottom"/>
          </w:tcPr>
          <w:p w14:paraId="4FE4A200" w14:textId="77777777" w:rsidR="0012790E" w:rsidRPr="0012790E" w:rsidRDefault="0012790E">
            <w:pPr>
              <w:pStyle w:val="SummaryMeasureTitlewithTheme"/>
            </w:pPr>
            <w:r w:rsidRPr="0012790E">
              <w:t>Strengthening Medicare(b)</w:t>
            </w:r>
          </w:p>
        </w:tc>
        <w:tc>
          <w:tcPr>
            <w:tcW w:w="851" w:type="dxa"/>
            <w:vAlign w:val="bottom"/>
          </w:tcPr>
          <w:p w14:paraId="1127C45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DA37453" w14:textId="77777777" w:rsidR="0012790E" w:rsidRPr="0012790E" w:rsidRDefault="0012790E">
            <w:pPr>
              <w:pStyle w:val="Summarytabletextrightaligned"/>
              <w:rPr>
                <w:szCs w:val="16"/>
              </w:rPr>
            </w:pPr>
            <w:r w:rsidRPr="0012790E">
              <w:rPr>
                <w:szCs w:val="16"/>
              </w:rPr>
              <w:t>52.0</w:t>
            </w:r>
          </w:p>
        </w:tc>
        <w:tc>
          <w:tcPr>
            <w:tcW w:w="851" w:type="dxa"/>
            <w:vAlign w:val="bottom"/>
          </w:tcPr>
          <w:p w14:paraId="42B27BA1" w14:textId="77777777" w:rsidR="0012790E" w:rsidRPr="0012790E" w:rsidRDefault="0012790E">
            <w:pPr>
              <w:pStyle w:val="Summarytabletextrightaligned"/>
              <w:rPr>
                <w:szCs w:val="16"/>
              </w:rPr>
            </w:pPr>
            <w:r w:rsidRPr="0012790E">
              <w:rPr>
                <w:szCs w:val="16"/>
              </w:rPr>
              <w:t>3.2</w:t>
            </w:r>
          </w:p>
        </w:tc>
        <w:tc>
          <w:tcPr>
            <w:tcW w:w="851" w:type="dxa"/>
            <w:vAlign w:val="bottom"/>
          </w:tcPr>
          <w:p w14:paraId="543DA368" w14:textId="77777777" w:rsidR="0012790E" w:rsidRPr="0012790E" w:rsidRDefault="0012790E">
            <w:pPr>
              <w:pStyle w:val="Summarytabletextrightaligned"/>
              <w:rPr>
                <w:szCs w:val="16"/>
              </w:rPr>
            </w:pPr>
            <w:r w:rsidRPr="0012790E">
              <w:rPr>
                <w:szCs w:val="16"/>
              </w:rPr>
              <w:t>1.8</w:t>
            </w:r>
          </w:p>
        </w:tc>
        <w:tc>
          <w:tcPr>
            <w:tcW w:w="851" w:type="dxa"/>
            <w:vAlign w:val="bottom"/>
          </w:tcPr>
          <w:p w14:paraId="5BB2B767" w14:textId="77777777" w:rsidR="0012790E" w:rsidRPr="0012790E" w:rsidRDefault="0012790E">
            <w:pPr>
              <w:pStyle w:val="Summarytabletextrightaligned"/>
              <w:rPr>
                <w:szCs w:val="16"/>
              </w:rPr>
            </w:pPr>
            <w:r w:rsidRPr="0012790E">
              <w:rPr>
                <w:szCs w:val="16"/>
              </w:rPr>
              <w:t>1.3</w:t>
            </w:r>
          </w:p>
        </w:tc>
      </w:tr>
      <w:tr w:rsidR="0012790E" w:rsidRPr="0012790E" w14:paraId="1DF20C0B" w14:textId="77777777">
        <w:tc>
          <w:tcPr>
            <w:tcW w:w="3470" w:type="dxa"/>
            <w:shd w:val="clear" w:color="auto" w:fill="auto"/>
            <w:vAlign w:val="bottom"/>
          </w:tcPr>
          <w:p w14:paraId="235A6A39" w14:textId="77777777" w:rsidR="0012790E" w:rsidRPr="0012790E" w:rsidRDefault="0012790E">
            <w:pPr>
              <w:pStyle w:val="SummaryMeasureTitlewithTheme"/>
            </w:pPr>
            <w:r w:rsidRPr="0012790E">
              <w:t>Strengthening Medicare – Medicare Urgent Care Clinics – additional funding</w:t>
            </w:r>
          </w:p>
        </w:tc>
        <w:tc>
          <w:tcPr>
            <w:tcW w:w="851" w:type="dxa"/>
            <w:vAlign w:val="bottom"/>
          </w:tcPr>
          <w:p w14:paraId="5EA9E233" w14:textId="77777777" w:rsidR="0012790E" w:rsidRPr="0012790E" w:rsidRDefault="0012790E">
            <w:pPr>
              <w:pStyle w:val="Summarytabletextrightaligned"/>
              <w:rPr>
                <w:szCs w:val="16"/>
              </w:rPr>
            </w:pPr>
            <w:r w:rsidRPr="0012790E">
              <w:rPr>
                <w:szCs w:val="16"/>
              </w:rPr>
              <w:t>..</w:t>
            </w:r>
          </w:p>
        </w:tc>
        <w:tc>
          <w:tcPr>
            <w:tcW w:w="851" w:type="dxa"/>
            <w:shd w:val="clear" w:color="auto" w:fill="E6F2FF"/>
            <w:vAlign w:val="bottom"/>
          </w:tcPr>
          <w:p w14:paraId="3657A208" w14:textId="77777777" w:rsidR="0012790E" w:rsidRPr="0012790E" w:rsidRDefault="0012790E">
            <w:pPr>
              <w:pStyle w:val="Summarytabletextrightaligned"/>
              <w:rPr>
                <w:szCs w:val="16"/>
              </w:rPr>
            </w:pPr>
            <w:r w:rsidRPr="0012790E">
              <w:rPr>
                <w:szCs w:val="16"/>
              </w:rPr>
              <w:t>1.7</w:t>
            </w:r>
          </w:p>
        </w:tc>
        <w:tc>
          <w:tcPr>
            <w:tcW w:w="851" w:type="dxa"/>
            <w:vAlign w:val="bottom"/>
          </w:tcPr>
          <w:p w14:paraId="5AEFEF23" w14:textId="77777777" w:rsidR="0012790E" w:rsidRPr="0012790E" w:rsidRDefault="0012790E">
            <w:pPr>
              <w:pStyle w:val="Summarytabletextrightaligned"/>
              <w:rPr>
                <w:szCs w:val="16"/>
              </w:rPr>
            </w:pPr>
            <w:r w:rsidRPr="0012790E">
              <w:rPr>
                <w:szCs w:val="16"/>
              </w:rPr>
              <w:t>1.5</w:t>
            </w:r>
          </w:p>
        </w:tc>
        <w:tc>
          <w:tcPr>
            <w:tcW w:w="851" w:type="dxa"/>
            <w:vAlign w:val="bottom"/>
          </w:tcPr>
          <w:p w14:paraId="41B5F09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BDB0F97" w14:textId="77777777" w:rsidR="0012790E" w:rsidRPr="0012790E" w:rsidRDefault="0012790E">
            <w:pPr>
              <w:pStyle w:val="Summarytabletextrightaligned"/>
              <w:rPr>
                <w:szCs w:val="16"/>
              </w:rPr>
            </w:pPr>
            <w:r w:rsidRPr="0012790E">
              <w:rPr>
                <w:szCs w:val="16"/>
              </w:rPr>
              <w:noBreakHyphen/>
            </w:r>
          </w:p>
        </w:tc>
      </w:tr>
      <w:tr w:rsidR="0012790E" w:rsidRPr="0012790E" w14:paraId="11EF2CDE" w14:textId="77777777">
        <w:tc>
          <w:tcPr>
            <w:tcW w:w="3470" w:type="dxa"/>
            <w:shd w:val="clear" w:color="auto" w:fill="auto"/>
            <w:vAlign w:val="bottom"/>
          </w:tcPr>
          <w:p w14:paraId="69C4C2F5" w14:textId="77777777" w:rsidR="0012790E" w:rsidRPr="0012790E" w:rsidRDefault="0012790E">
            <w:pPr>
              <w:pStyle w:val="SummaryMeasureTitlewithTheme"/>
            </w:pPr>
            <w:r w:rsidRPr="0012790E">
              <w:t>Strengthening Medicare – an effective and clinically appropriate Medicare Benefits Schedule (MBS)</w:t>
            </w:r>
          </w:p>
        </w:tc>
        <w:tc>
          <w:tcPr>
            <w:tcW w:w="851" w:type="dxa"/>
            <w:vAlign w:val="bottom"/>
          </w:tcPr>
          <w:p w14:paraId="3C781D5A"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70AD232" w14:textId="77777777" w:rsidR="0012790E" w:rsidRPr="0012790E" w:rsidRDefault="0012790E">
            <w:pPr>
              <w:pStyle w:val="Summarytabletextrightaligned"/>
              <w:rPr>
                <w:szCs w:val="16"/>
              </w:rPr>
            </w:pPr>
            <w:r w:rsidRPr="0012790E">
              <w:rPr>
                <w:szCs w:val="16"/>
              </w:rPr>
              <w:t>4.1</w:t>
            </w:r>
          </w:p>
        </w:tc>
        <w:tc>
          <w:tcPr>
            <w:tcW w:w="851" w:type="dxa"/>
            <w:vAlign w:val="bottom"/>
          </w:tcPr>
          <w:p w14:paraId="252EB377" w14:textId="77777777" w:rsidR="0012790E" w:rsidRPr="0012790E" w:rsidRDefault="0012790E">
            <w:pPr>
              <w:pStyle w:val="Summarytabletextrightaligned"/>
              <w:rPr>
                <w:szCs w:val="16"/>
              </w:rPr>
            </w:pPr>
            <w:r w:rsidRPr="0012790E">
              <w:rPr>
                <w:szCs w:val="16"/>
              </w:rPr>
              <w:noBreakHyphen/>
              <w:t>1.5</w:t>
            </w:r>
          </w:p>
        </w:tc>
        <w:tc>
          <w:tcPr>
            <w:tcW w:w="851" w:type="dxa"/>
            <w:vAlign w:val="bottom"/>
          </w:tcPr>
          <w:p w14:paraId="0BA793E8" w14:textId="77777777" w:rsidR="0012790E" w:rsidRPr="0012790E" w:rsidRDefault="0012790E">
            <w:pPr>
              <w:pStyle w:val="Summarytabletextrightaligned"/>
              <w:rPr>
                <w:szCs w:val="16"/>
              </w:rPr>
            </w:pPr>
            <w:r w:rsidRPr="0012790E">
              <w:rPr>
                <w:szCs w:val="16"/>
              </w:rPr>
              <w:noBreakHyphen/>
              <w:t>1.9</w:t>
            </w:r>
          </w:p>
        </w:tc>
        <w:tc>
          <w:tcPr>
            <w:tcW w:w="851" w:type="dxa"/>
            <w:vAlign w:val="bottom"/>
          </w:tcPr>
          <w:p w14:paraId="36E1DD2F" w14:textId="77777777" w:rsidR="0012790E" w:rsidRPr="0012790E" w:rsidRDefault="0012790E">
            <w:pPr>
              <w:pStyle w:val="Summarytabletextrightaligned"/>
              <w:rPr>
                <w:szCs w:val="16"/>
              </w:rPr>
            </w:pPr>
            <w:r w:rsidRPr="0012790E">
              <w:rPr>
                <w:szCs w:val="16"/>
              </w:rPr>
              <w:noBreakHyphen/>
              <w:t>2.3</w:t>
            </w:r>
          </w:p>
        </w:tc>
      </w:tr>
      <w:tr w:rsidR="0012790E" w:rsidRPr="0012790E" w14:paraId="75DEB2AD" w14:textId="77777777">
        <w:tc>
          <w:tcPr>
            <w:tcW w:w="3470" w:type="dxa"/>
            <w:shd w:val="clear" w:color="auto" w:fill="auto"/>
            <w:vAlign w:val="bottom"/>
          </w:tcPr>
          <w:p w14:paraId="1F98FD7E" w14:textId="77777777" w:rsidR="0012790E" w:rsidRPr="0012790E" w:rsidRDefault="0012790E">
            <w:pPr>
              <w:pStyle w:val="SummaryMeasureTitlewithTheme"/>
            </w:pPr>
            <w:r w:rsidRPr="0012790E">
              <w:t>Support to Individuals from Israel and Occupied Palestinian Territories affected by the Hamas</w:t>
            </w:r>
            <w:r w:rsidRPr="0012790E">
              <w:noBreakHyphen/>
              <w:t>Israel conflict</w:t>
            </w:r>
          </w:p>
        </w:tc>
        <w:tc>
          <w:tcPr>
            <w:tcW w:w="851" w:type="dxa"/>
            <w:vAlign w:val="bottom"/>
          </w:tcPr>
          <w:p w14:paraId="4B419121" w14:textId="77777777" w:rsidR="0012790E" w:rsidRPr="0012790E" w:rsidRDefault="0012790E">
            <w:pPr>
              <w:pStyle w:val="Summarytabletextrightaligned"/>
              <w:rPr>
                <w:szCs w:val="16"/>
              </w:rPr>
            </w:pPr>
            <w:r w:rsidRPr="0012790E">
              <w:rPr>
                <w:szCs w:val="16"/>
              </w:rPr>
              <w:t>..</w:t>
            </w:r>
          </w:p>
        </w:tc>
        <w:tc>
          <w:tcPr>
            <w:tcW w:w="851" w:type="dxa"/>
            <w:shd w:val="clear" w:color="auto" w:fill="E6F2FF"/>
            <w:vAlign w:val="bottom"/>
          </w:tcPr>
          <w:p w14:paraId="2D698E55" w14:textId="77777777" w:rsidR="0012790E" w:rsidRPr="0012790E" w:rsidRDefault="0012790E">
            <w:pPr>
              <w:pStyle w:val="Summarytabletextrightaligned"/>
              <w:rPr>
                <w:szCs w:val="16"/>
              </w:rPr>
            </w:pPr>
            <w:r w:rsidRPr="0012790E">
              <w:rPr>
                <w:szCs w:val="16"/>
              </w:rPr>
              <w:t>0.7</w:t>
            </w:r>
          </w:p>
        </w:tc>
        <w:tc>
          <w:tcPr>
            <w:tcW w:w="851" w:type="dxa"/>
            <w:vAlign w:val="bottom"/>
          </w:tcPr>
          <w:p w14:paraId="4586299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6F5A5F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8EC21EF" w14:textId="77777777" w:rsidR="0012790E" w:rsidRPr="0012790E" w:rsidRDefault="0012790E">
            <w:pPr>
              <w:pStyle w:val="Summarytabletextrightaligned"/>
              <w:rPr>
                <w:szCs w:val="16"/>
              </w:rPr>
            </w:pPr>
            <w:r w:rsidRPr="0012790E">
              <w:rPr>
                <w:szCs w:val="16"/>
              </w:rPr>
              <w:noBreakHyphen/>
            </w:r>
          </w:p>
        </w:tc>
      </w:tr>
      <w:tr w:rsidR="0012790E" w:rsidRPr="0012790E" w14:paraId="36451A87" w14:textId="77777777">
        <w:tc>
          <w:tcPr>
            <w:tcW w:w="3470" w:type="dxa"/>
            <w:shd w:val="clear" w:color="auto" w:fill="auto"/>
            <w:vAlign w:val="bottom"/>
          </w:tcPr>
          <w:p w14:paraId="7B79836A" w14:textId="77777777" w:rsidR="0012790E" w:rsidRPr="0012790E" w:rsidRDefault="0012790E">
            <w:pPr>
              <w:pStyle w:val="SummaryMeasureTitlewithTheme"/>
            </w:pPr>
            <w:r w:rsidRPr="0012790E">
              <w:t>Supporting Ongoing Access to Vaccines</w:t>
            </w:r>
          </w:p>
        </w:tc>
        <w:tc>
          <w:tcPr>
            <w:tcW w:w="851" w:type="dxa"/>
            <w:vAlign w:val="bottom"/>
          </w:tcPr>
          <w:p w14:paraId="7FB3815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4763FAD" w14:textId="77777777" w:rsidR="0012790E" w:rsidRPr="0012790E" w:rsidRDefault="0012790E">
            <w:pPr>
              <w:pStyle w:val="Summarytabletextrightaligned"/>
              <w:rPr>
                <w:szCs w:val="16"/>
              </w:rPr>
            </w:pPr>
            <w:r w:rsidRPr="0012790E">
              <w:rPr>
                <w:szCs w:val="16"/>
              </w:rPr>
              <w:t>6.9</w:t>
            </w:r>
          </w:p>
        </w:tc>
        <w:tc>
          <w:tcPr>
            <w:tcW w:w="851" w:type="dxa"/>
            <w:vAlign w:val="bottom"/>
          </w:tcPr>
          <w:p w14:paraId="67758B90" w14:textId="77777777" w:rsidR="0012790E" w:rsidRPr="0012790E" w:rsidRDefault="0012790E">
            <w:pPr>
              <w:pStyle w:val="Summarytabletextrightaligned"/>
              <w:rPr>
                <w:szCs w:val="16"/>
              </w:rPr>
            </w:pPr>
            <w:r w:rsidRPr="0012790E">
              <w:rPr>
                <w:szCs w:val="16"/>
              </w:rPr>
              <w:t>3.3</w:t>
            </w:r>
          </w:p>
        </w:tc>
        <w:tc>
          <w:tcPr>
            <w:tcW w:w="851" w:type="dxa"/>
            <w:vAlign w:val="bottom"/>
          </w:tcPr>
          <w:p w14:paraId="23780A9A" w14:textId="77777777" w:rsidR="0012790E" w:rsidRPr="0012790E" w:rsidRDefault="0012790E">
            <w:pPr>
              <w:pStyle w:val="Summarytabletextrightaligned"/>
              <w:rPr>
                <w:szCs w:val="16"/>
              </w:rPr>
            </w:pPr>
            <w:r w:rsidRPr="0012790E">
              <w:rPr>
                <w:szCs w:val="16"/>
              </w:rPr>
              <w:t>2.9</w:t>
            </w:r>
          </w:p>
        </w:tc>
        <w:tc>
          <w:tcPr>
            <w:tcW w:w="851" w:type="dxa"/>
            <w:vAlign w:val="bottom"/>
          </w:tcPr>
          <w:p w14:paraId="4F3B7004" w14:textId="77777777" w:rsidR="0012790E" w:rsidRPr="0012790E" w:rsidRDefault="0012790E">
            <w:pPr>
              <w:pStyle w:val="Summarytabletextrightaligned"/>
              <w:rPr>
                <w:szCs w:val="16"/>
              </w:rPr>
            </w:pPr>
            <w:r w:rsidRPr="0012790E">
              <w:rPr>
                <w:szCs w:val="16"/>
              </w:rPr>
              <w:t>3.0</w:t>
            </w:r>
          </w:p>
        </w:tc>
      </w:tr>
      <w:tr w:rsidR="0012790E" w:rsidRPr="0012790E" w14:paraId="0148A7DB" w14:textId="77777777">
        <w:tc>
          <w:tcPr>
            <w:tcW w:w="3470" w:type="dxa"/>
            <w:shd w:val="clear" w:color="auto" w:fill="auto"/>
            <w:vAlign w:val="bottom"/>
          </w:tcPr>
          <w:p w14:paraId="1417750D" w14:textId="77777777" w:rsidR="0012790E" w:rsidRPr="0012790E" w:rsidRDefault="0012790E">
            <w:pPr>
              <w:pStyle w:val="SummaryMeasureTitlewithTheme"/>
            </w:pPr>
            <w:r w:rsidRPr="0012790E">
              <w:t>Women's Health</w:t>
            </w:r>
          </w:p>
        </w:tc>
        <w:tc>
          <w:tcPr>
            <w:tcW w:w="851" w:type="dxa"/>
            <w:vAlign w:val="bottom"/>
          </w:tcPr>
          <w:p w14:paraId="62F23C8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209DC58" w14:textId="77777777" w:rsidR="0012790E" w:rsidRPr="0012790E" w:rsidRDefault="0012790E">
            <w:pPr>
              <w:pStyle w:val="Summarytabletextrightaligned"/>
              <w:rPr>
                <w:szCs w:val="16"/>
              </w:rPr>
            </w:pPr>
            <w:r w:rsidRPr="0012790E">
              <w:rPr>
                <w:szCs w:val="16"/>
              </w:rPr>
              <w:t>2.0</w:t>
            </w:r>
          </w:p>
        </w:tc>
        <w:tc>
          <w:tcPr>
            <w:tcW w:w="851" w:type="dxa"/>
            <w:vAlign w:val="bottom"/>
          </w:tcPr>
          <w:p w14:paraId="4F56DDC1" w14:textId="77777777" w:rsidR="0012790E" w:rsidRPr="0012790E" w:rsidRDefault="0012790E">
            <w:pPr>
              <w:pStyle w:val="Summarytabletextrightaligned"/>
              <w:rPr>
                <w:szCs w:val="16"/>
              </w:rPr>
            </w:pPr>
            <w:r w:rsidRPr="0012790E">
              <w:rPr>
                <w:szCs w:val="16"/>
              </w:rPr>
              <w:t>0.3</w:t>
            </w:r>
          </w:p>
        </w:tc>
        <w:tc>
          <w:tcPr>
            <w:tcW w:w="851" w:type="dxa"/>
            <w:vAlign w:val="bottom"/>
          </w:tcPr>
          <w:p w14:paraId="52862163" w14:textId="77777777" w:rsidR="0012790E" w:rsidRPr="0012790E" w:rsidRDefault="0012790E">
            <w:pPr>
              <w:pStyle w:val="Summarytabletextrightaligned"/>
              <w:rPr>
                <w:szCs w:val="16"/>
              </w:rPr>
            </w:pPr>
            <w:r w:rsidRPr="0012790E">
              <w:rPr>
                <w:szCs w:val="16"/>
              </w:rPr>
              <w:t>0.3</w:t>
            </w:r>
          </w:p>
        </w:tc>
        <w:tc>
          <w:tcPr>
            <w:tcW w:w="851" w:type="dxa"/>
            <w:vAlign w:val="bottom"/>
          </w:tcPr>
          <w:p w14:paraId="7EBBAF7F" w14:textId="77777777" w:rsidR="0012790E" w:rsidRPr="0012790E" w:rsidRDefault="0012790E">
            <w:pPr>
              <w:pStyle w:val="Summarytabletextrightaligned"/>
              <w:rPr>
                <w:szCs w:val="16"/>
              </w:rPr>
            </w:pPr>
            <w:r w:rsidRPr="0012790E">
              <w:rPr>
                <w:szCs w:val="16"/>
              </w:rPr>
              <w:t>0.2</w:t>
            </w:r>
          </w:p>
        </w:tc>
      </w:tr>
      <w:tr w:rsidR="0012790E" w:rsidRPr="0012790E" w14:paraId="61772A9C" w14:textId="77777777">
        <w:tc>
          <w:tcPr>
            <w:tcW w:w="3470" w:type="dxa"/>
            <w:shd w:val="clear" w:color="auto" w:fill="auto"/>
            <w:vAlign w:val="bottom"/>
          </w:tcPr>
          <w:p w14:paraId="5B5C34D4" w14:textId="77777777" w:rsidR="0012790E" w:rsidRPr="0012790E" w:rsidRDefault="0012790E">
            <w:pPr>
              <w:pStyle w:val="SummaryMeasureTitlewithTheme"/>
            </w:pPr>
            <w:r w:rsidRPr="0012790E">
              <w:t>Youpla Support Program – continuation</w:t>
            </w:r>
          </w:p>
        </w:tc>
        <w:tc>
          <w:tcPr>
            <w:tcW w:w="851" w:type="dxa"/>
            <w:tcBorders>
              <w:bottom w:val="single" w:sz="4" w:space="0" w:color="293F5B"/>
            </w:tcBorders>
            <w:vAlign w:val="bottom"/>
          </w:tcPr>
          <w:p w14:paraId="7B6392AA" w14:textId="7C68B6F7" w:rsidR="0012790E" w:rsidRPr="0012790E" w:rsidRDefault="000329B7">
            <w:pPr>
              <w:pStyle w:val="Summarytabletextrightaligned"/>
              <w:rPr>
                <w:szCs w:val="16"/>
              </w:rPr>
            </w:pPr>
            <w:r>
              <w:rPr>
                <w:szCs w:val="16"/>
              </w:rPr>
              <w:t>-</w:t>
            </w:r>
          </w:p>
        </w:tc>
        <w:tc>
          <w:tcPr>
            <w:tcW w:w="851" w:type="dxa"/>
            <w:tcBorders>
              <w:bottom w:val="single" w:sz="4" w:space="0" w:color="293F5B"/>
            </w:tcBorders>
            <w:shd w:val="clear" w:color="auto" w:fill="E6F2FF"/>
            <w:vAlign w:val="bottom"/>
          </w:tcPr>
          <w:p w14:paraId="35FE6D68" w14:textId="5840229B" w:rsidR="0012790E" w:rsidRPr="0012790E" w:rsidRDefault="000329B7">
            <w:pPr>
              <w:pStyle w:val="Summarytabletextrightaligned"/>
              <w:rPr>
                <w:szCs w:val="16"/>
              </w:rPr>
            </w:pPr>
            <w:r>
              <w:rPr>
                <w:szCs w:val="16"/>
              </w:rPr>
              <w:t>-</w:t>
            </w:r>
          </w:p>
        </w:tc>
        <w:tc>
          <w:tcPr>
            <w:tcW w:w="851" w:type="dxa"/>
            <w:tcBorders>
              <w:bottom w:val="single" w:sz="4" w:space="0" w:color="293F5B"/>
            </w:tcBorders>
            <w:vAlign w:val="bottom"/>
          </w:tcPr>
          <w:p w14:paraId="7CB80D1D" w14:textId="2F7C7E55" w:rsidR="0012790E" w:rsidRPr="0012790E" w:rsidRDefault="000329B7">
            <w:pPr>
              <w:pStyle w:val="Summarytabletextrightaligned"/>
              <w:rPr>
                <w:szCs w:val="16"/>
              </w:rPr>
            </w:pPr>
            <w:r>
              <w:rPr>
                <w:szCs w:val="16"/>
              </w:rPr>
              <w:t>-</w:t>
            </w:r>
          </w:p>
        </w:tc>
        <w:tc>
          <w:tcPr>
            <w:tcW w:w="851" w:type="dxa"/>
            <w:tcBorders>
              <w:bottom w:val="single" w:sz="4" w:space="0" w:color="293F5B"/>
            </w:tcBorders>
            <w:vAlign w:val="bottom"/>
          </w:tcPr>
          <w:p w14:paraId="3BDC05AD" w14:textId="56075D8B" w:rsidR="0012790E" w:rsidRPr="0012790E" w:rsidRDefault="000329B7">
            <w:pPr>
              <w:pStyle w:val="Summarytabletextrightaligned"/>
              <w:rPr>
                <w:szCs w:val="16"/>
              </w:rPr>
            </w:pPr>
            <w:r>
              <w:rPr>
                <w:szCs w:val="16"/>
              </w:rPr>
              <w:t>-</w:t>
            </w:r>
          </w:p>
        </w:tc>
        <w:tc>
          <w:tcPr>
            <w:tcW w:w="851" w:type="dxa"/>
            <w:tcBorders>
              <w:bottom w:val="single" w:sz="4" w:space="0" w:color="293F5B"/>
            </w:tcBorders>
            <w:vAlign w:val="bottom"/>
          </w:tcPr>
          <w:p w14:paraId="02D2864F" w14:textId="77777777" w:rsidR="0012790E" w:rsidRPr="0012790E" w:rsidRDefault="0012790E">
            <w:pPr>
              <w:pStyle w:val="Summarytabletextrightaligned"/>
              <w:rPr>
                <w:szCs w:val="16"/>
              </w:rPr>
            </w:pPr>
            <w:r w:rsidRPr="0012790E">
              <w:rPr>
                <w:szCs w:val="16"/>
              </w:rPr>
              <w:noBreakHyphen/>
            </w:r>
          </w:p>
        </w:tc>
      </w:tr>
      <w:tr w:rsidR="0012790E" w:rsidRPr="0012790E" w14:paraId="1D610F30" w14:textId="77777777">
        <w:tc>
          <w:tcPr>
            <w:tcW w:w="3470" w:type="dxa"/>
            <w:tcBorders>
              <w:bottom w:val="single" w:sz="4" w:space="0" w:color="293F5B"/>
            </w:tcBorders>
            <w:shd w:val="clear" w:color="auto" w:fill="auto"/>
            <w:vAlign w:val="bottom"/>
          </w:tcPr>
          <w:p w14:paraId="33AA9F6E" w14:textId="77777777" w:rsidR="0012790E" w:rsidRPr="0012790E" w:rsidRDefault="0012790E">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33B31A00" w14:textId="739C6F17" w:rsidR="0012790E" w:rsidRPr="0012790E" w:rsidRDefault="004F4022">
            <w:pPr>
              <w:pStyle w:val="Summarytabletextrightalignedbold"/>
              <w:rPr>
                <w:bCs/>
                <w:szCs w:val="16"/>
              </w:rPr>
            </w:pPr>
            <w:r>
              <w:rPr>
                <w:bCs/>
                <w:szCs w:val="16"/>
              </w:rPr>
              <w:t>136.5</w:t>
            </w:r>
          </w:p>
        </w:tc>
        <w:tc>
          <w:tcPr>
            <w:tcW w:w="851" w:type="dxa"/>
            <w:tcBorders>
              <w:top w:val="single" w:sz="4" w:space="0" w:color="293F5B"/>
              <w:bottom w:val="single" w:sz="4" w:space="0" w:color="293F5B"/>
            </w:tcBorders>
            <w:shd w:val="clear" w:color="auto" w:fill="E6F2FF"/>
            <w:vAlign w:val="bottom"/>
          </w:tcPr>
          <w:p w14:paraId="78F94012" w14:textId="535EBE24" w:rsidR="0012790E" w:rsidRPr="0012790E" w:rsidRDefault="004F4022">
            <w:pPr>
              <w:pStyle w:val="Summarytabletextrightalignedbold"/>
              <w:rPr>
                <w:bCs/>
                <w:szCs w:val="16"/>
              </w:rPr>
            </w:pPr>
            <w:r>
              <w:rPr>
                <w:bCs/>
                <w:szCs w:val="16"/>
              </w:rPr>
              <w:t>297.0</w:t>
            </w:r>
          </w:p>
        </w:tc>
        <w:tc>
          <w:tcPr>
            <w:tcW w:w="851" w:type="dxa"/>
            <w:tcBorders>
              <w:top w:val="single" w:sz="4" w:space="0" w:color="293F5B"/>
              <w:bottom w:val="single" w:sz="4" w:space="0" w:color="293F5B"/>
            </w:tcBorders>
            <w:vAlign w:val="bottom"/>
          </w:tcPr>
          <w:p w14:paraId="0D1BFD16" w14:textId="74B13D6C" w:rsidR="0012790E" w:rsidRPr="0012790E" w:rsidRDefault="004F4022">
            <w:pPr>
              <w:pStyle w:val="Summarytabletextrightalignedbold"/>
              <w:rPr>
                <w:bCs/>
                <w:szCs w:val="16"/>
              </w:rPr>
            </w:pPr>
            <w:r>
              <w:rPr>
                <w:bCs/>
                <w:szCs w:val="16"/>
              </w:rPr>
              <w:t>-1,706.3</w:t>
            </w:r>
          </w:p>
        </w:tc>
        <w:tc>
          <w:tcPr>
            <w:tcW w:w="851" w:type="dxa"/>
            <w:tcBorders>
              <w:top w:val="single" w:sz="4" w:space="0" w:color="293F5B"/>
              <w:bottom w:val="single" w:sz="4" w:space="0" w:color="293F5B"/>
            </w:tcBorders>
            <w:vAlign w:val="bottom"/>
          </w:tcPr>
          <w:p w14:paraId="05C8E2ED" w14:textId="4E8E49FA" w:rsidR="0012790E" w:rsidRPr="0012790E" w:rsidRDefault="004F4022">
            <w:pPr>
              <w:pStyle w:val="Summarytabletextrightalignedbold"/>
              <w:rPr>
                <w:bCs/>
                <w:szCs w:val="16"/>
              </w:rPr>
            </w:pPr>
            <w:r>
              <w:rPr>
                <w:bCs/>
                <w:szCs w:val="16"/>
              </w:rPr>
              <w:t>-</w:t>
            </w:r>
            <w:r w:rsidR="00C9074A">
              <w:rPr>
                <w:bCs/>
                <w:szCs w:val="16"/>
              </w:rPr>
              <w:t>2,597.6</w:t>
            </w:r>
          </w:p>
        </w:tc>
        <w:tc>
          <w:tcPr>
            <w:tcW w:w="851" w:type="dxa"/>
            <w:tcBorders>
              <w:top w:val="single" w:sz="4" w:space="0" w:color="293F5B"/>
              <w:bottom w:val="single" w:sz="4" w:space="0" w:color="293F5B"/>
            </w:tcBorders>
            <w:vAlign w:val="bottom"/>
          </w:tcPr>
          <w:p w14:paraId="06B65ED7" w14:textId="43B8CB78" w:rsidR="0012790E" w:rsidRPr="0012790E" w:rsidRDefault="004F4022">
            <w:pPr>
              <w:pStyle w:val="Summarytabletextrightalignedbold"/>
              <w:rPr>
                <w:bCs/>
                <w:szCs w:val="16"/>
              </w:rPr>
            </w:pPr>
            <w:r>
              <w:rPr>
                <w:bCs/>
                <w:szCs w:val="16"/>
              </w:rPr>
              <w:t>-2,78</w:t>
            </w:r>
            <w:r w:rsidR="00C9074A">
              <w:rPr>
                <w:bCs/>
                <w:szCs w:val="16"/>
              </w:rPr>
              <w:t>0.0</w:t>
            </w:r>
          </w:p>
        </w:tc>
      </w:tr>
    </w:tbl>
    <w:p w14:paraId="2F9056F1" w14:textId="77777777" w:rsidR="0012790E" w:rsidRPr="0012790E" w:rsidRDefault="0012790E" w:rsidP="0012790E">
      <w:pPr>
        <w:pStyle w:val="TableHeadingcontinued"/>
        <w:sectPr w:rsidR="0012790E" w:rsidRPr="0012790E" w:rsidSect="00EA5BFE">
          <w:headerReference w:type="even" r:id="rId106"/>
          <w:headerReference w:type="default" r:id="rId107"/>
          <w:footerReference w:type="even" r:id="rId108"/>
          <w:footerReference w:type="default" r:id="rId109"/>
          <w:footerReference w:type="first" r:id="rId110"/>
          <w:pgSz w:w="11905" w:h="16837"/>
          <w:pgMar w:top="2835" w:right="2098" w:bottom="2466" w:left="2098" w:header="1814" w:footer="1814" w:gutter="0"/>
          <w:cols w:space="720"/>
          <w:noEndnote/>
          <w:docGrid w:linePitch="272"/>
        </w:sectPr>
      </w:pPr>
    </w:p>
    <w:p w14:paraId="3A6F150C" w14:textId="77777777" w:rsidR="0012790E" w:rsidRPr="0012790E" w:rsidRDefault="0012790E" w:rsidP="0012790E">
      <w:pPr>
        <w:pStyle w:val="TableHeadingcontinued"/>
        <w:rPr>
          <w:bCs/>
        </w:rPr>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2E56E237" w14:textId="77777777">
        <w:tc>
          <w:tcPr>
            <w:tcW w:w="3470" w:type="dxa"/>
            <w:tcBorders>
              <w:top w:val="single" w:sz="4" w:space="0" w:color="293F5B"/>
            </w:tcBorders>
            <w:shd w:val="clear" w:color="auto" w:fill="auto"/>
            <w:vAlign w:val="bottom"/>
          </w:tcPr>
          <w:p w14:paraId="52872DF2"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26FA8CC9"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74F7B5C3"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5E04E343"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7C8F710E"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25F11F9F"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268FBEE1" w14:textId="77777777">
        <w:tc>
          <w:tcPr>
            <w:tcW w:w="3470" w:type="dxa"/>
            <w:shd w:val="clear" w:color="auto" w:fill="auto"/>
            <w:vAlign w:val="bottom"/>
          </w:tcPr>
          <w:p w14:paraId="56312E72" w14:textId="77777777" w:rsidR="0012790E" w:rsidRPr="0012790E" w:rsidRDefault="0012790E">
            <w:pPr>
              <w:pStyle w:val="Summarytabletextrightaligned"/>
            </w:pPr>
          </w:p>
        </w:tc>
        <w:tc>
          <w:tcPr>
            <w:tcW w:w="851" w:type="dxa"/>
            <w:tcBorders>
              <w:bottom w:val="single" w:sz="4" w:space="0" w:color="293F5B"/>
            </w:tcBorders>
            <w:vAlign w:val="bottom"/>
          </w:tcPr>
          <w:p w14:paraId="37CFBCC8"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378A17AD"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47BB2B94"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72839D89"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3E3F89A1" w14:textId="77777777" w:rsidR="0012790E" w:rsidRPr="0012790E" w:rsidRDefault="0012790E">
            <w:pPr>
              <w:pStyle w:val="Summarytabletextrightaligned"/>
            </w:pPr>
            <w:r w:rsidRPr="0012790E">
              <w:t>$m</w:t>
            </w:r>
          </w:p>
        </w:tc>
      </w:tr>
      <w:tr w:rsidR="0012790E" w:rsidRPr="0012790E" w14:paraId="1E9568E9" w14:textId="77777777">
        <w:tc>
          <w:tcPr>
            <w:tcW w:w="3470" w:type="dxa"/>
            <w:shd w:val="clear" w:color="auto" w:fill="auto"/>
            <w:vAlign w:val="bottom"/>
          </w:tcPr>
          <w:p w14:paraId="739A8BF6" w14:textId="77777777" w:rsidR="0012790E" w:rsidRPr="0012790E" w:rsidRDefault="0012790E">
            <w:pPr>
              <w:pStyle w:val="SummaryPortfolioTitle-BP2"/>
            </w:pPr>
            <w:r w:rsidRPr="0012790E">
              <w:t>TREASURY</w:t>
            </w:r>
          </w:p>
        </w:tc>
        <w:tc>
          <w:tcPr>
            <w:tcW w:w="851" w:type="dxa"/>
            <w:tcBorders>
              <w:top w:val="single" w:sz="4" w:space="0" w:color="293F5B"/>
            </w:tcBorders>
            <w:vAlign w:val="bottom"/>
          </w:tcPr>
          <w:p w14:paraId="0AF84E7D" w14:textId="77777777" w:rsidR="0012790E" w:rsidRPr="0012790E" w:rsidRDefault="0012790E">
            <w:pPr>
              <w:pStyle w:val="MeasureTableTextRightAlignedBefore6ptAfter1pt"/>
              <w:rPr>
                <w:b/>
                <w:bCs/>
              </w:rPr>
            </w:pPr>
          </w:p>
        </w:tc>
        <w:tc>
          <w:tcPr>
            <w:tcW w:w="851" w:type="dxa"/>
            <w:tcBorders>
              <w:top w:val="single" w:sz="4" w:space="0" w:color="293F5B"/>
            </w:tcBorders>
            <w:shd w:val="clear" w:color="auto" w:fill="E6F2FF"/>
            <w:vAlign w:val="bottom"/>
          </w:tcPr>
          <w:p w14:paraId="72E7B719"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3E6821EF"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3BEA9E5F" w14:textId="77777777" w:rsidR="0012790E" w:rsidRPr="0012790E" w:rsidRDefault="0012790E">
            <w:pPr>
              <w:pStyle w:val="MeasureTableTextRightAlignedBefore6ptAfter1pt"/>
              <w:rPr>
                <w:b/>
                <w:bCs/>
              </w:rPr>
            </w:pPr>
          </w:p>
        </w:tc>
        <w:tc>
          <w:tcPr>
            <w:tcW w:w="851" w:type="dxa"/>
            <w:tcBorders>
              <w:top w:val="single" w:sz="4" w:space="0" w:color="293F5B"/>
            </w:tcBorders>
            <w:vAlign w:val="bottom"/>
          </w:tcPr>
          <w:p w14:paraId="32CA8678" w14:textId="77777777" w:rsidR="0012790E" w:rsidRPr="0012790E" w:rsidRDefault="0012790E">
            <w:pPr>
              <w:pStyle w:val="MeasureTableTextRightAlignedBefore6ptAfter1pt"/>
              <w:rPr>
                <w:b/>
                <w:bCs/>
              </w:rPr>
            </w:pPr>
          </w:p>
        </w:tc>
      </w:tr>
      <w:tr w:rsidR="0012790E" w:rsidRPr="0012790E" w14:paraId="392EB824" w14:textId="77777777">
        <w:tc>
          <w:tcPr>
            <w:tcW w:w="3470" w:type="dxa"/>
            <w:shd w:val="clear" w:color="auto" w:fill="auto"/>
            <w:vAlign w:val="bottom"/>
          </w:tcPr>
          <w:p w14:paraId="64E678C7" w14:textId="77777777" w:rsidR="0012790E" w:rsidRPr="0012790E" w:rsidRDefault="0012790E">
            <w:pPr>
              <w:pStyle w:val="SummaryAgencyTitle-BP2"/>
              <w:rPr>
                <w:iCs/>
              </w:rPr>
            </w:pPr>
            <w:r w:rsidRPr="0012790E">
              <w:rPr>
                <w:iCs/>
              </w:rPr>
              <w:t>Australian Bureau of Statistics</w:t>
            </w:r>
          </w:p>
        </w:tc>
        <w:tc>
          <w:tcPr>
            <w:tcW w:w="851" w:type="dxa"/>
            <w:vAlign w:val="bottom"/>
          </w:tcPr>
          <w:p w14:paraId="78B444BA" w14:textId="77777777" w:rsidR="0012790E" w:rsidRPr="0012790E" w:rsidRDefault="0012790E">
            <w:pPr>
              <w:pStyle w:val="SummaryAgencyTitle-BP2"/>
              <w:rPr>
                <w:iCs/>
              </w:rPr>
            </w:pPr>
          </w:p>
        </w:tc>
        <w:tc>
          <w:tcPr>
            <w:tcW w:w="851" w:type="dxa"/>
            <w:shd w:val="clear" w:color="auto" w:fill="E6F2FF"/>
            <w:vAlign w:val="bottom"/>
          </w:tcPr>
          <w:p w14:paraId="36BD9CFD" w14:textId="77777777" w:rsidR="0012790E" w:rsidRPr="0012790E" w:rsidRDefault="0012790E">
            <w:pPr>
              <w:pStyle w:val="SummaryAgencyTitle-BP2"/>
              <w:rPr>
                <w:iCs/>
              </w:rPr>
            </w:pPr>
          </w:p>
        </w:tc>
        <w:tc>
          <w:tcPr>
            <w:tcW w:w="851" w:type="dxa"/>
            <w:vAlign w:val="bottom"/>
          </w:tcPr>
          <w:p w14:paraId="233C74D9" w14:textId="77777777" w:rsidR="0012790E" w:rsidRPr="0012790E" w:rsidRDefault="0012790E">
            <w:pPr>
              <w:pStyle w:val="SummaryAgencyTitle-BP2"/>
              <w:rPr>
                <w:iCs/>
              </w:rPr>
            </w:pPr>
          </w:p>
        </w:tc>
        <w:tc>
          <w:tcPr>
            <w:tcW w:w="851" w:type="dxa"/>
            <w:vAlign w:val="bottom"/>
          </w:tcPr>
          <w:p w14:paraId="615B61A0" w14:textId="77777777" w:rsidR="0012790E" w:rsidRPr="0012790E" w:rsidRDefault="0012790E">
            <w:pPr>
              <w:pStyle w:val="SummaryAgencyTitle-BP2"/>
              <w:rPr>
                <w:iCs/>
              </w:rPr>
            </w:pPr>
          </w:p>
        </w:tc>
        <w:tc>
          <w:tcPr>
            <w:tcW w:w="851" w:type="dxa"/>
            <w:vAlign w:val="bottom"/>
          </w:tcPr>
          <w:p w14:paraId="09BD2B31" w14:textId="77777777" w:rsidR="0012790E" w:rsidRPr="0012790E" w:rsidRDefault="0012790E">
            <w:pPr>
              <w:pStyle w:val="SummaryAgencyTitle-BP2"/>
              <w:rPr>
                <w:iCs/>
              </w:rPr>
            </w:pPr>
          </w:p>
        </w:tc>
      </w:tr>
      <w:tr w:rsidR="0012790E" w:rsidRPr="0012790E" w14:paraId="3226E4E0" w14:textId="77777777">
        <w:tc>
          <w:tcPr>
            <w:tcW w:w="3470" w:type="dxa"/>
            <w:shd w:val="clear" w:color="auto" w:fill="auto"/>
            <w:vAlign w:val="bottom"/>
          </w:tcPr>
          <w:p w14:paraId="505AFF8A" w14:textId="77777777" w:rsidR="0012790E" w:rsidRPr="0012790E" w:rsidRDefault="0012790E">
            <w:pPr>
              <w:pStyle w:val="SummaryMeasureTitlewithTheme"/>
            </w:pPr>
            <w:r w:rsidRPr="0012790E">
              <w:t>ABS – delivering Census and modernising operations</w:t>
            </w:r>
          </w:p>
        </w:tc>
        <w:tc>
          <w:tcPr>
            <w:tcW w:w="851" w:type="dxa"/>
            <w:vAlign w:val="bottom"/>
          </w:tcPr>
          <w:p w14:paraId="4E0A2F64" w14:textId="77777777" w:rsidR="0012790E" w:rsidRPr="0012790E" w:rsidRDefault="0012790E">
            <w:pPr>
              <w:pStyle w:val="Summarytabletextrightaligned"/>
              <w:rPr>
                <w:szCs w:val="16"/>
              </w:rPr>
            </w:pPr>
            <w:r w:rsidRPr="0012790E">
              <w:rPr>
                <w:szCs w:val="16"/>
              </w:rPr>
              <w:t>0.7</w:t>
            </w:r>
          </w:p>
        </w:tc>
        <w:tc>
          <w:tcPr>
            <w:tcW w:w="851" w:type="dxa"/>
            <w:shd w:val="clear" w:color="auto" w:fill="E6F2FF"/>
            <w:vAlign w:val="bottom"/>
          </w:tcPr>
          <w:p w14:paraId="77C8FC7F" w14:textId="77777777" w:rsidR="0012790E" w:rsidRPr="0012790E" w:rsidRDefault="0012790E">
            <w:pPr>
              <w:pStyle w:val="Summarytabletextrightaligned"/>
              <w:rPr>
                <w:szCs w:val="16"/>
              </w:rPr>
            </w:pPr>
            <w:r w:rsidRPr="0012790E">
              <w:rPr>
                <w:szCs w:val="16"/>
              </w:rPr>
              <w:t>63.9</w:t>
            </w:r>
          </w:p>
        </w:tc>
        <w:tc>
          <w:tcPr>
            <w:tcW w:w="851" w:type="dxa"/>
            <w:vAlign w:val="bottom"/>
          </w:tcPr>
          <w:p w14:paraId="748B86ED" w14:textId="77777777" w:rsidR="0012790E" w:rsidRPr="0012790E" w:rsidRDefault="0012790E">
            <w:pPr>
              <w:pStyle w:val="Summarytabletextrightaligned"/>
              <w:rPr>
                <w:szCs w:val="16"/>
              </w:rPr>
            </w:pPr>
            <w:r w:rsidRPr="0012790E">
              <w:rPr>
                <w:szCs w:val="16"/>
              </w:rPr>
              <w:t>54.0</w:t>
            </w:r>
          </w:p>
        </w:tc>
        <w:tc>
          <w:tcPr>
            <w:tcW w:w="851" w:type="dxa"/>
            <w:vAlign w:val="bottom"/>
          </w:tcPr>
          <w:p w14:paraId="27C4166E" w14:textId="77777777" w:rsidR="0012790E" w:rsidRPr="0012790E" w:rsidRDefault="0012790E">
            <w:pPr>
              <w:pStyle w:val="Summarytabletextrightaligned"/>
              <w:rPr>
                <w:szCs w:val="16"/>
              </w:rPr>
            </w:pPr>
            <w:r w:rsidRPr="0012790E">
              <w:rPr>
                <w:szCs w:val="16"/>
              </w:rPr>
              <w:t>111.7</w:t>
            </w:r>
          </w:p>
        </w:tc>
        <w:tc>
          <w:tcPr>
            <w:tcW w:w="851" w:type="dxa"/>
            <w:vAlign w:val="bottom"/>
          </w:tcPr>
          <w:p w14:paraId="289D35D5" w14:textId="77777777" w:rsidR="0012790E" w:rsidRPr="0012790E" w:rsidRDefault="0012790E">
            <w:pPr>
              <w:pStyle w:val="Summarytabletextrightaligned"/>
              <w:rPr>
                <w:szCs w:val="16"/>
              </w:rPr>
            </w:pPr>
            <w:r w:rsidRPr="0012790E">
              <w:rPr>
                <w:szCs w:val="16"/>
              </w:rPr>
              <w:t>10.1</w:t>
            </w:r>
          </w:p>
        </w:tc>
      </w:tr>
      <w:tr w:rsidR="0012790E" w:rsidRPr="0012790E" w14:paraId="1BCF6139" w14:textId="77777777">
        <w:tc>
          <w:tcPr>
            <w:tcW w:w="3470" w:type="dxa"/>
            <w:shd w:val="clear" w:color="auto" w:fill="auto"/>
            <w:vAlign w:val="bottom"/>
          </w:tcPr>
          <w:p w14:paraId="19273D91" w14:textId="77777777" w:rsidR="0012790E" w:rsidRPr="0012790E" w:rsidRDefault="0012790E">
            <w:pPr>
              <w:pStyle w:val="SummaryMeasureTitlewithTheme"/>
            </w:pPr>
            <w:r w:rsidRPr="0012790E">
              <w:t>APS Capability Reinvestment Fund: 2024</w:t>
            </w:r>
            <w:r w:rsidRPr="0012790E">
              <w:noBreakHyphen/>
              <w:t>25 projects funded under round two</w:t>
            </w:r>
          </w:p>
        </w:tc>
        <w:tc>
          <w:tcPr>
            <w:tcW w:w="851" w:type="dxa"/>
            <w:vAlign w:val="bottom"/>
          </w:tcPr>
          <w:p w14:paraId="1171B58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24CB076" w14:textId="236297A8" w:rsidR="0012790E" w:rsidRPr="0012790E" w:rsidRDefault="00B92B04">
            <w:pPr>
              <w:pStyle w:val="Summarytabletextrightaligned"/>
              <w:rPr>
                <w:szCs w:val="16"/>
              </w:rPr>
            </w:pPr>
            <w:r>
              <w:rPr>
                <w:szCs w:val="16"/>
              </w:rPr>
              <w:t>-</w:t>
            </w:r>
          </w:p>
        </w:tc>
        <w:tc>
          <w:tcPr>
            <w:tcW w:w="851" w:type="dxa"/>
            <w:vAlign w:val="bottom"/>
          </w:tcPr>
          <w:p w14:paraId="631A8B36"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C5B897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EB61EFB" w14:textId="77777777" w:rsidR="0012790E" w:rsidRPr="0012790E" w:rsidRDefault="0012790E">
            <w:pPr>
              <w:pStyle w:val="Summarytabletextrightaligned"/>
              <w:rPr>
                <w:szCs w:val="16"/>
              </w:rPr>
            </w:pPr>
            <w:r w:rsidRPr="0012790E">
              <w:rPr>
                <w:szCs w:val="16"/>
              </w:rPr>
              <w:noBreakHyphen/>
            </w:r>
          </w:p>
        </w:tc>
      </w:tr>
      <w:tr w:rsidR="0012790E" w:rsidRPr="0012790E" w14:paraId="0AB653F7" w14:textId="77777777">
        <w:tc>
          <w:tcPr>
            <w:tcW w:w="3470" w:type="dxa"/>
            <w:shd w:val="clear" w:color="auto" w:fill="auto"/>
            <w:vAlign w:val="bottom"/>
          </w:tcPr>
          <w:p w14:paraId="7DD1799B" w14:textId="77777777" w:rsidR="0012790E" w:rsidRPr="0012790E" w:rsidRDefault="0012790E">
            <w:pPr>
              <w:pStyle w:val="SummaryMeasureTitlewithTheme"/>
            </w:pPr>
            <w:r w:rsidRPr="0012790E">
              <w:t>Child Care Subsidy Reform – further measures for strong and sustainable foundations</w:t>
            </w:r>
          </w:p>
        </w:tc>
        <w:tc>
          <w:tcPr>
            <w:tcW w:w="851" w:type="dxa"/>
            <w:vAlign w:val="bottom"/>
          </w:tcPr>
          <w:p w14:paraId="68332E7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E8A4827" w14:textId="77777777" w:rsidR="0012790E" w:rsidRPr="0012790E" w:rsidRDefault="0012790E">
            <w:pPr>
              <w:pStyle w:val="Summarytabletextrightaligned"/>
              <w:rPr>
                <w:szCs w:val="16"/>
              </w:rPr>
            </w:pPr>
            <w:r w:rsidRPr="0012790E">
              <w:rPr>
                <w:szCs w:val="16"/>
              </w:rPr>
              <w:t>0.5</w:t>
            </w:r>
          </w:p>
        </w:tc>
        <w:tc>
          <w:tcPr>
            <w:tcW w:w="851" w:type="dxa"/>
            <w:vAlign w:val="bottom"/>
          </w:tcPr>
          <w:p w14:paraId="69FEA721"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95E883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A9C56AE" w14:textId="77777777" w:rsidR="0012790E" w:rsidRPr="0012790E" w:rsidRDefault="0012790E">
            <w:pPr>
              <w:pStyle w:val="Summarytabletextrightaligned"/>
              <w:rPr>
                <w:szCs w:val="16"/>
              </w:rPr>
            </w:pPr>
            <w:r w:rsidRPr="0012790E">
              <w:rPr>
                <w:szCs w:val="16"/>
              </w:rPr>
              <w:noBreakHyphen/>
            </w:r>
          </w:p>
        </w:tc>
      </w:tr>
      <w:tr w:rsidR="0012790E" w:rsidRPr="0012790E" w14:paraId="1362D240" w14:textId="77777777">
        <w:tc>
          <w:tcPr>
            <w:tcW w:w="3470" w:type="dxa"/>
            <w:shd w:val="clear" w:color="auto" w:fill="auto"/>
            <w:vAlign w:val="bottom"/>
          </w:tcPr>
          <w:p w14:paraId="0FBFDCC9" w14:textId="77777777" w:rsidR="0012790E" w:rsidRPr="0012790E" w:rsidRDefault="0012790E">
            <w:pPr>
              <w:pStyle w:val="SummaryMeasureTitlewithTheme"/>
            </w:pPr>
            <w:r w:rsidRPr="0012790E">
              <w:t>Competition Reform(b)</w:t>
            </w:r>
          </w:p>
        </w:tc>
        <w:tc>
          <w:tcPr>
            <w:tcW w:w="851" w:type="dxa"/>
            <w:vAlign w:val="bottom"/>
          </w:tcPr>
          <w:p w14:paraId="4E85CB62"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DD84990" w14:textId="77777777" w:rsidR="0012790E" w:rsidRPr="0012790E" w:rsidRDefault="0012790E">
            <w:pPr>
              <w:pStyle w:val="Summarytabletextrightaligned"/>
              <w:rPr>
                <w:szCs w:val="16"/>
              </w:rPr>
            </w:pPr>
            <w:r w:rsidRPr="0012790E">
              <w:rPr>
                <w:szCs w:val="16"/>
              </w:rPr>
              <w:t>0.6</w:t>
            </w:r>
          </w:p>
        </w:tc>
        <w:tc>
          <w:tcPr>
            <w:tcW w:w="851" w:type="dxa"/>
            <w:vAlign w:val="bottom"/>
          </w:tcPr>
          <w:p w14:paraId="6D8B06C8" w14:textId="77777777" w:rsidR="0012790E" w:rsidRPr="0012790E" w:rsidRDefault="0012790E">
            <w:pPr>
              <w:pStyle w:val="Summarytabletextrightaligned"/>
              <w:rPr>
                <w:szCs w:val="16"/>
              </w:rPr>
            </w:pPr>
            <w:r w:rsidRPr="0012790E">
              <w:rPr>
                <w:szCs w:val="16"/>
              </w:rPr>
              <w:t>0.2</w:t>
            </w:r>
          </w:p>
        </w:tc>
        <w:tc>
          <w:tcPr>
            <w:tcW w:w="851" w:type="dxa"/>
            <w:vAlign w:val="bottom"/>
          </w:tcPr>
          <w:p w14:paraId="09900F09" w14:textId="77777777" w:rsidR="0012790E" w:rsidRPr="0012790E" w:rsidRDefault="0012790E">
            <w:pPr>
              <w:pStyle w:val="Summarytabletextrightaligned"/>
              <w:rPr>
                <w:szCs w:val="16"/>
              </w:rPr>
            </w:pPr>
            <w:r w:rsidRPr="0012790E">
              <w:rPr>
                <w:szCs w:val="16"/>
              </w:rPr>
              <w:t>0.3</w:t>
            </w:r>
          </w:p>
        </w:tc>
        <w:tc>
          <w:tcPr>
            <w:tcW w:w="851" w:type="dxa"/>
            <w:vAlign w:val="bottom"/>
          </w:tcPr>
          <w:p w14:paraId="769D80CB" w14:textId="77777777" w:rsidR="0012790E" w:rsidRPr="0012790E" w:rsidRDefault="0012790E">
            <w:pPr>
              <w:pStyle w:val="Summarytabletextrightaligned"/>
              <w:rPr>
                <w:szCs w:val="16"/>
              </w:rPr>
            </w:pPr>
            <w:r w:rsidRPr="0012790E">
              <w:rPr>
                <w:szCs w:val="16"/>
              </w:rPr>
              <w:t>0.2</w:t>
            </w:r>
          </w:p>
        </w:tc>
      </w:tr>
      <w:tr w:rsidR="0012790E" w:rsidRPr="0012790E" w14:paraId="4A5CD4B7" w14:textId="77777777">
        <w:tc>
          <w:tcPr>
            <w:tcW w:w="3470" w:type="dxa"/>
            <w:shd w:val="clear" w:color="auto" w:fill="auto"/>
            <w:vAlign w:val="bottom"/>
          </w:tcPr>
          <w:p w14:paraId="5128A74F" w14:textId="77777777" w:rsidR="0012790E" w:rsidRPr="0012790E" w:rsidRDefault="0012790E">
            <w:pPr>
              <w:pStyle w:val="SummaryAgencyTitle-BP2"/>
              <w:rPr>
                <w:iCs/>
              </w:rPr>
            </w:pPr>
            <w:r w:rsidRPr="0012790E">
              <w:rPr>
                <w:iCs/>
              </w:rPr>
              <w:t>Australian Competition and Consumer Commission</w:t>
            </w:r>
          </w:p>
        </w:tc>
        <w:tc>
          <w:tcPr>
            <w:tcW w:w="851" w:type="dxa"/>
            <w:vAlign w:val="bottom"/>
          </w:tcPr>
          <w:p w14:paraId="1FA7552C" w14:textId="77777777" w:rsidR="0012790E" w:rsidRPr="0012790E" w:rsidRDefault="0012790E">
            <w:pPr>
              <w:pStyle w:val="SummaryAgencyTitle-BP2"/>
              <w:rPr>
                <w:iCs/>
              </w:rPr>
            </w:pPr>
          </w:p>
        </w:tc>
        <w:tc>
          <w:tcPr>
            <w:tcW w:w="851" w:type="dxa"/>
            <w:shd w:val="clear" w:color="auto" w:fill="E6F2FF"/>
            <w:vAlign w:val="bottom"/>
          </w:tcPr>
          <w:p w14:paraId="717B39CB" w14:textId="77777777" w:rsidR="0012790E" w:rsidRPr="0012790E" w:rsidRDefault="0012790E">
            <w:pPr>
              <w:pStyle w:val="SummaryAgencyTitle-BP2"/>
              <w:rPr>
                <w:iCs/>
              </w:rPr>
            </w:pPr>
          </w:p>
        </w:tc>
        <w:tc>
          <w:tcPr>
            <w:tcW w:w="851" w:type="dxa"/>
            <w:vAlign w:val="bottom"/>
          </w:tcPr>
          <w:p w14:paraId="1F652585" w14:textId="77777777" w:rsidR="0012790E" w:rsidRPr="0012790E" w:rsidRDefault="0012790E">
            <w:pPr>
              <w:pStyle w:val="SummaryAgencyTitle-BP2"/>
              <w:rPr>
                <w:iCs/>
              </w:rPr>
            </w:pPr>
          </w:p>
        </w:tc>
        <w:tc>
          <w:tcPr>
            <w:tcW w:w="851" w:type="dxa"/>
            <w:vAlign w:val="bottom"/>
          </w:tcPr>
          <w:p w14:paraId="065D3410" w14:textId="77777777" w:rsidR="0012790E" w:rsidRPr="0012790E" w:rsidRDefault="0012790E">
            <w:pPr>
              <w:pStyle w:val="SummaryAgencyTitle-BP2"/>
              <w:rPr>
                <w:iCs/>
              </w:rPr>
            </w:pPr>
          </w:p>
        </w:tc>
        <w:tc>
          <w:tcPr>
            <w:tcW w:w="851" w:type="dxa"/>
            <w:vAlign w:val="bottom"/>
          </w:tcPr>
          <w:p w14:paraId="40A30DFF" w14:textId="77777777" w:rsidR="0012790E" w:rsidRPr="0012790E" w:rsidRDefault="0012790E">
            <w:pPr>
              <w:pStyle w:val="SummaryAgencyTitle-BP2"/>
              <w:rPr>
                <w:iCs/>
              </w:rPr>
            </w:pPr>
          </w:p>
        </w:tc>
      </w:tr>
      <w:tr w:rsidR="0012790E" w:rsidRPr="0012790E" w14:paraId="462F16C5" w14:textId="77777777">
        <w:tc>
          <w:tcPr>
            <w:tcW w:w="3470" w:type="dxa"/>
            <w:shd w:val="clear" w:color="auto" w:fill="auto"/>
            <w:vAlign w:val="bottom"/>
          </w:tcPr>
          <w:p w14:paraId="66594B97" w14:textId="77777777" w:rsidR="0012790E" w:rsidRPr="0012790E" w:rsidRDefault="0012790E">
            <w:pPr>
              <w:pStyle w:val="SummaryMeasureTitlewithTheme"/>
            </w:pPr>
            <w:r w:rsidRPr="0012790E">
              <w:t>Competition Reform(b)</w:t>
            </w:r>
          </w:p>
        </w:tc>
        <w:tc>
          <w:tcPr>
            <w:tcW w:w="851" w:type="dxa"/>
            <w:vAlign w:val="bottom"/>
          </w:tcPr>
          <w:p w14:paraId="0AB5DB4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DA97965" w14:textId="77777777" w:rsidR="0012790E" w:rsidRPr="0012790E" w:rsidRDefault="0012790E">
            <w:pPr>
              <w:pStyle w:val="Summarytabletextrightaligned"/>
              <w:rPr>
                <w:szCs w:val="16"/>
              </w:rPr>
            </w:pPr>
            <w:r w:rsidRPr="0012790E">
              <w:rPr>
                <w:szCs w:val="16"/>
              </w:rPr>
              <w:t>3.3</w:t>
            </w:r>
          </w:p>
        </w:tc>
        <w:tc>
          <w:tcPr>
            <w:tcW w:w="851" w:type="dxa"/>
            <w:vAlign w:val="bottom"/>
          </w:tcPr>
          <w:p w14:paraId="69A312A6" w14:textId="1860D270" w:rsidR="0012790E" w:rsidRPr="0012790E" w:rsidRDefault="009E2AF6">
            <w:pPr>
              <w:pStyle w:val="Summarytabletextrightaligned"/>
              <w:rPr>
                <w:szCs w:val="16"/>
              </w:rPr>
            </w:pPr>
            <w:r>
              <w:rPr>
                <w:szCs w:val="16"/>
              </w:rPr>
              <w:t>15.5</w:t>
            </w:r>
          </w:p>
        </w:tc>
        <w:tc>
          <w:tcPr>
            <w:tcW w:w="851" w:type="dxa"/>
            <w:vAlign w:val="bottom"/>
          </w:tcPr>
          <w:p w14:paraId="300F46FE" w14:textId="5575D453" w:rsidR="0012790E" w:rsidRPr="0012790E" w:rsidRDefault="009E2AF6">
            <w:pPr>
              <w:pStyle w:val="Summarytabletextrightaligned"/>
              <w:rPr>
                <w:szCs w:val="16"/>
              </w:rPr>
            </w:pPr>
            <w:r>
              <w:rPr>
                <w:szCs w:val="16"/>
              </w:rPr>
              <w:t>20.4</w:t>
            </w:r>
          </w:p>
        </w:tc>
        <w:tc>
          <w:tcPr>
            <w:tcW w:w="851" w:type="dxa"/>
            <w:vAlign w:val="bottom"/>
          </w:tcPr>
          <w:p w14:paraId="55234C33" w14:textId="245F527D" w:rsidR="0012790E" w:rsidRPr="0012790E" w:rsidRDefault="009E2AF6">
            <w:pPr>
              <w:pStyle w:val="Summarytabletextrightaligned"/>
              <w:rPr>
                <w:szCs w:val="16"/>
              </w:rPr>
            </w:pPr>
            <w:r>
              <w:rPr>
                <w:szCs w:val="16"/>
              </w:rPr>
              <w:t>21.1</w:t>
            </w:r>
          </w:p>
        </w:tc>
      </w:tr>
      <w:tr w:rsidR="0012790E" w:rsidRPr="0012790E" w14:paraId="4F05AC8C" w14:textId="77777777">
        <w:tc>
          <w:tcPr>
            <w:tcW w:w="3470" w:type="dxa"/>
            <w:shd w:val="clear" w:color="auto" w:fill="auto"/>
            <w:vAlign w:val="bottom"/>
          </w:tcPr>
          <w:p w14:paraId="17896008" w14:textId="77777777" w:rsidR="0012790E" w:rsidRPr="0012790E" w:rsidRDefault="0012790E">
            <w:pPr>
              <w:pStyle w:val="SummaryMeasureTitlewithTheme"/>
            </w:pPr>
            <w:r w:rsidRPr="0012790E">
              <w:t>Fighting Scams(b)</w:t>
            </w:r>
          </w:p>
        </w:tc>
        <w:tc>
          <w:tcPr>
            <w:tcW w:w="851" w:type="dxa"/>
            <w:vAlign w:val="bottom"/>
          </w:tcPr>
          <w:p w14:paraId="0C35CBE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6DD25B5" w14:textId="77777777" w:rsidR="0012790E" w:rsidRPr="0012790E" w:rsidRDefault="0012790E">
            <w:pPr>
              <w:pStyle w:val="Summarytabletextrightaligned"/>
              <w:rPr>
                <w:szCs w:val="16"/>
              </w:rPr>
            </w:pPr>
            <w:r w:rsidRPr="0012790E">
              <w:rPr>
                <w:szCs w:val="16"/>
              </w:rPr>
              <w:t>9.6</w:t>
            </w:r>
          </w:p>
        </w:tc>
        <w:tc>
          <w:tcPr>
            <w:tcW w:w="851" w:type="dxa"/>
            <w:vAlign w:val="bottom"/>
          </w:tcPr>
          <w:p w14:paraId="6CFC45BA" w14:textId="77777777" w:rsidR="0012790E" w:rsidRPr="0012790E" w:rsidRDefault="0012790E">
            <w:pPr>
              <w:pStyle w:val="Summarytabletextrightaligned"/>
              <w:rPr>
                <w:szCs w:val="16"/>
              </w:rPr>
            </w:pPr>
            <w:r w:rsidRPr="0012790E">
              <w:rPr>
                <w:szCs w:val="16"/>
              </w:rPr>
              <w:t>3.8</w:t>
            </w:r>
          </w:p>
        </w:tc>
        <w:tc>
          <w:tcPr>
            <w:tcW w:w="851" w:type="dxa"/>
            <w:vAlign w:val="bottom"/>
          </w:tcPr>
          <w:p w14:paraId="250BDA85" w14:textId="77777777" w:rsidR="0012790E" w:rsidRPr="0012790E" w:rsidRDefault="0012790E">
            <w:pPr>
              <w:pStyle w:val="Summarytabletextrightaligned"/>
              <w:rPr>
                <w:szCs w:val="16"/>
              </w:rPr>
            </w:pPr>
            <w:r w:rsidRPr="0012790E">
              <w:rPr>
                <w:szCs w:val="16"/>
              </w:rPr>
              <w:t>3.7</w:t>
            </w:r>
          </w:p>
        </w:tc>
        <w:tc>
          <w:tcPr>
            <w:tcW w:w="851" w:type="dxa"/>
            <w:vAlign w:val="bottom"/>
          </w:tcPr>
          <w:p w14:paraId="52CAF429" w14:textId="77777777" w:rsidR="0012790E" w:rsidRPr="0012790E" w:rsidRDefault="0012790E">
            <w:pPr>
              <w:pStyle w:val="Summarytabletextrightaligned"/>
              <w:rPr>
                <w:szCs w:val="16"/>
              </w:rPr>
            </w:pPr>
            <w:r w:rsidRPr="0012790E">
              <w:rPr>
                <w:szCs w:val="16"/>
              </w:rPr>
              <w:t>4.0</w:t>
            </w:r>
          </w:p>
        </w:tc>
      </w:tr>
      <w:tr w:rsidR="0012790E" w:rsidRPr="0012790E" w14:paraId="75A407C0" w14:textId="77777777">
        <w:tc>
          <w:tcPr>
            <w:tcW w:w="3470" w:type="dxa"/>
            <w:shd w:val="clear" w:color="auto" w:fill="auto"/>
            <w:vAlign w:val="bottom"/>
          </w:tcPr>
          <w:p w14:paraId="27B96707" w14:textId="77777777" w:rsidR="0012790E" w:rsidRPr="0012790E" w:rsidRDefault="0012790E">
            <w:pPr>
              <w:pStyle w:val="SummaryMeasureTitlewithTheme"/>
            </w:pPr>
            <w:r w:rsidRPr="0012790E">
              <w:t>Harnessing the Energy Transition to Benefit Consumers</w:t>
            </w:r>
          </w:p>
        </w:tc>
        <w:tc>
          <w:tcPr>
            <w:tcW w:w="851" w:type="dxa"/>
            <w:vAlign w:val="bottom"/>
          </w:tcPr>
          <w:p w14:paraId="0EB24E2A"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96D53D5" w14:textId="77777777" w:rsidR="0012790E" w:rsidRPr="0012790E" w:rsidRDefault="0012790E">
            <w:pPr>
              <w:pStyle w:val="Summarytabletextrightaligned"/>
              <w:rPr>
                <w:szCs w:val="16"/>
              </w:rPr>
            </w:pPr>
            <w:r w:rsidRPr="0012790E">
              <w:rPr>
                <w:szCs w:val="16"/>
              </w:rPr>
              <w:t>9.0</w:t>
            </w:r>
          </w:p>
        </w:tc>
        <w:tc>
          <w:tcPr>
            <w:tcW w:w="851" w:type="dxa"/>
            <w:vAlign w:val="bottom"/>
          </w:tcPr>
          <w:p w14:paraId="22360386" w14:textId="77777777" w:rsidR="0012790E" w:rsidRPr="0012790E" w:rsidRDefault="0012790E">
            <w:pPr>
              <w:pStyle w:val="Summarytabletextrightaligned"/>
              <w:rPr>
                <w:szCs w:val="16"/>
              </w:rPr>
            </w:pPr>
            <w:r w:rsidRPr="0012790E">
              <w:rPr>
                <w:szCs w:val="16"/>
              </w:rPr>
              <w:t>4.5</w:t>
            </w:r>
          </w:p>
        </w:tc>
        <w:tc>
          <w:tcPr>
            <w:tcW w:w="851" w:type="dxa"/>
            <w:vAlign w:val="bottom"/>
          </w:tcPr>
          <w:p w14:paraId="0D31E9CC" w14:textId="77777777" w:rsidR="0012790E" w:rsidRPr="0012790E" w:rsidRDefault="0012790E">
            <w:pPr>
              <w:pStyle w:val="Summarytabletextrightaligned"/>
              <w:rPr>
                <w:szCs w:val="16"/>
              </w:rPr>
            </w:pPr>
            <w:r w:rsidRPr="0012790E">
              <w:rPr>
                <w:szCs w:val="16"/>
              </w:rPr>
              <w:t>2.8</w:t>
            </w:r>
          </w:p>
        </w:tc>
        <w:tc>
          <w:tcPr>
            <w:tcW w:w="851" w:type="dxa"/>
            <w:vAlign w:val="bottom"/>
          </w:tcPr>
          <w:p w14:paraId="4EE300D7" w14:textId="77777777" w:rsidR="0012790E" w:rsidRPr="0012790E" w:rsidRDefault="0012790E">
            <w:pPr>
              <w:pStyle w:val="Summarytabletextrightaligned"/>
              <w:rPr>
                <w:szCs w:val="16"/>
              </w:rPr>
            </w:pPr>
            <w:r w:rsidRPr="0012790E">
              <w:rPr>
                <w:szCs w:val="16"/>
              </w:rPr>
              <w:t>2.9</w:t>
            </w:r>
          </w:p>
        </w:tc>
      </w:tr>
      <w:tr w:rsidR="0012790E" w:rsidRPr="0012790E" w14:paraId="0D67FC9B" w14:textId="77777777">
        <w:tc>
          <w:tcPr>
            <w:tcW w:w="3470" w:type="dxa"/>
            <w:shd w:val="clear" w:color="auto" w:fill="auto"/>
            <w:vAlign w:val="bottom"/>
          </w:tcPr>
          <w:p w14:paraId="30CA542D" w14:textId="77777777" w:rsidR="0012790E" w:rsidRPr="0012790E" w:rsidRDefault="0012790E">
            <w:pPr>
              <w:pStyle w:val="SummaryMeasureTitlewithTheme"/>
            </w:pPr>
            <w:r w:rsidRPr="0012790E">
              <w:t>Sustaining Water Functions</w:t>
            </w:r>
          </w:p>
        </w:tc>
        <w:tc>
          <w:tcPr>
            <w:tcW w:w="851" w:type="dxa"/>
            <w:vAlign w:val="bottom"/>
          </w:tcPr>
          <w:p w14:paraId="5D0C0CE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257C97E" w14:textId="77777777" w:rsidR="0012790E" w:rsidRPr="0012790E" w:rsidRDefault="0012790E">
            <w:pPr>
              <w:pStyle w:val="Summarytabletextrightaligned"/>
              <w:rPr>
                <w:szCs w:val="16"/>
              </w:rPr>
            </w:pPr>
            <w:r w:rsidRPr="0012790E">
              <w:rPr>
                <w:szCs w:val="16"/>
              </w:rPr>
              <w:t>2.6</w:t>
            </w:r>
          </w:p>
        </w:tc>
        <w:tc>
          <w:tcPr>
            <w:tcW w:w="851" w:type="dxa"/>
            <w:vAlign w:val="bottom"/>
          </w:tcPr>
          <w:p w14:paraId="6CD9BCDD" w14:textId="77777777" w:rsidR="0012790E" w:rsidRPr="0012790E" w:rsidRDefault="0012790E">
            <w:pPr>
              <w:pStyle w:val="Summarytabletextrightaligned"/>
              <w:rPr>
                <w:szCs w:val="16"/>
              </w:rPr>
            </w:pPr>
            <w:r w:rsidRPr="0012790E">
              <w:rPr>
                <w:szCs w:val="16"/>
              </w:rPr>
              <w:t>3.0</w:t>
            </w:r>
          </w:p>
        </w:tc>
        <w:tc>
          <w:tcPr>
            <w:tcW w:w="851" w:type="dxa"/>
            <w:vAlign w:val="bottom"/>
          </w:tcPr>
          <w:p w14:paraId="782F5F2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C63029C" w14:textId="77777777" w:rsidR="0012790E" w:rsidRPr="0012790E" w:rsidRDefault="0012790E">
            <w:pPr>
              <w:pStyle w:val="Summarytabletextrightaligned"/>
              <w:rPr>
                <w:szCs w:val="16"/>
              </w:rPr>
            </w:pPr>
            <w:r w:rsidRPr="0012790E">
              <w:rPr>
                <w:szCs w:val="16"/>
              </w:rPr>
              <w:noBreakHyphen/>
            </w:r>
          </w:p>
        </w:tc>
      </w:tr>
      <w:tr w:rsidR="0012790E" w:rsidRPr="0012790E" w14:paraId="6F089CD8" w14:textId="77777777">
        <w:tc>
          <w:tcPr>
            <w:tcW w:w="3470" w:type="dxa"/>
            <w:shd w:val="clear" w:color="auto" w:fill="auto"/>
            <w:vAlign w:val="bottom"/>
          </w:tcPr>
          <w:p w14:paraId="6952894B" w14:textId="77777777" w:rsidR="0012790E" w:rsidRPr="0012790E" w:rsidRDefault="0012790E">
            <w:pPr>
              <w:pStyle w:val="SummaryMeasureTitlewithTheme"/>
            </w:pPr>
            <w:r w:rsidRPr="0012790E">
              <w:t>Treasury Portfolio – additional resourcing(b)</w:t>
            </w:r>
          </w:p>
        </w:tc>
        <w:tc>
          <w:tcPr>
            <w:tcW w:w="851" w:type="dxa"/>
            <w:vAlign w:val="bottom"/>
          </w:tcPr>
          <w:p w14:paraId="1E69EAEC" w14:textId="77777777" w:rsidR="0012790E" w:rsidRPr="0012790E" w:rsidRDefault="0012790E">
            <w:pPr>
              <w:pStyle w:val="Summarytabletextrightaligned"/>
              <w:rPr>
                <w:szCs w:val="16"/>
              </w:rPr>
            </w:pPr>
            <w:r w:rsidRPr="0012790E">
              <w:rPr>
                <w:szCs w:val="16"/>
              </w:rPr>
              <w:t>2.6</w:t>
            </w:r>
          </w:p>
        </w:tc>
        <w:tc>
          <w:tcPr>
            <w:tcW w:w="851" w:type="dxa"/>
            <w:shd w:val="clear" w:color="auto" w:fill="E6F2FF"/>
            <w:vAlign w:val="bottom"/>
          </w:tcPr>
          <w:p w14:paraId="6066300E" w14:textId="77777777" w:rsidR="0012790E" w:rsidRPr="0012790E" w:rsidRDefault="0012790E">
            <w:pPr>
              <w:pStyle w:val="Summarytabletextrightaligned"/>
              <w:rPr>
                <w:szCs w:val="16"/>
              </w:rPr>
            </w:pPr>
            <w:r w:rsidRPr="0012790E">
              <w:rPr>
                <w:szCs w:val="16"/>
              </w:rPr>
              <w:t>5.3</w:t>
            </w:r>
          </w:p>
        </w:tc>
        <w:tc>
          <w:tcPr>
            <w:tcW w:w="851" w:type="dxa"/>
            <w:vAlign w:val="bottom"/>
          </w:tcPr>
          <w:p w14:paraId="4B4E7E8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D57C02E"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A7469B8" w14:textId="77777777" w:rsidR="0012790E" w:rsidRPr="0012790E" w:rsidRDefault="0012790E">
            <w:pPr>
              <w:pStyle w:val="Summarytabletextrightaligned"/>
              <w:rPr>
                <w:szCs w:val="16"/>
              </w:rPr>
            </w:pPr>
            <w:r w:rsidRPr="0012790E">
              <w:rPr>
                <w:szCs w:val="16"/>
              </w:rPr>
              <w:noBreakHyphen/>
            </w:r>
          </w:p>
        </w:tc>
      </w:tr>
      <w:tr w:rsidR="0012790E" w:rsidRPr="0012790E" w14:paraId="719F0A35" w14:textId="77777777">
        <w:tc>
          <w:tcPr>
            <w:tcW w:w="3470" w:type="dxa"/>
            <w:shd w:val="clear" w:color="auto" w:fill="auto"/>
            <w:vAlign w:val="bottom"/>
          </w:tcPr>
          <w:p w14:paraId="387604FA" w14:textId="77777777" w:rsidR="0012790E" w:rsidRPr="0012790E" w:rsidRDefault="0012790E">
            <w:pPr>
              <w:pStyle w:val="SummaryAgencyTitle-BP2"/>
              <w:rPr>
                <w:iCs/>
              </w:rPr>
            </w:pPr>
            <w:r w:rsidRPr="0012790E">
              <w:rPr>
                <w:iCs/>
              </w:rPr>
              <w:t>Australian Prudential Regulation Authority</w:t>
            </w:r>
          </w:p>
        </w:tc>
        <w:tc>
          <w:tcPr>
            <w:tcW w:w="851" w:type="dxa"/>
            <w:vAlign w:val="bottom"/>
          </w:tcPr>
          <w:p w14:paraId="22A9C410" w14:textId="77777777" w:rsidR="0012790E" w:rsidRPr="0012790E" w:rsidRDefault="0012790E">
            <w:pPr>
              <w:pStyle w:val="SummaryAgencyTitle-BP2"/>
              <w:rPr>
                <w:iCs/>
              </w:rPr>
            </w:pPr>
          </w:p>
        </w:tc>
        <w:tc>
          <w:tcPr>
            <w:tcW w:w="851" w:type="dxa"/>
            <w:shd w:val="clear" w:color="auto" w:fill="E6F2FF"/>
            <w:vAlign w:val="bottom"/>
          </w:tcPr>
          <w:p w14:paraId="65D35A19" w14:textId="77777777" w:rsidR="0012790E" w:rsidRPr="0012790E" w:rsidRDefault="0012790E">
            <w:pPr>
              <w:pStyle w:val="SummaryAgencyTitle-BP2"/>
              <w:rPr>
                <w:iCs/>
              </w:rPr>
            </w:pPr>
          </w:p>
        </w:tc>
        <w:tc>
          <w:tcPr>
            <w:tcW w:w="851" w:type="dxa"/>
            <w:vAlign w:val="bottom"/>
          </w:tcPr>
          <w:p w14:paraId="78346B70" w14:textId="77777777" w:rsidR="0012790E" w:rsidRPr="0012790E" w:rsidRDefault="0012790E">
            <w:pPr>
              <w:pStyle w:val="SummaryAgencyTitle-BP2"/>
              <w:rPr>
                <w:iCs/>
              </w:rPr>
            </w:pPr>
          </w:p>
        </w:tc>
        <w:tc>
          <w:tcPr>
            <w:tcW w:w="851" w:type="dxa"/>
            <w:vAlign w:val="bottom"/>
          </w:tcPr>
          <w:p w14:paraId="0E0A9948" w14:textId="77777777" w:rsidR="0012790E" w:rsidRPr="0012790E" w:rsidRDefault="0012790E">
            <w:pPr>
              <w:pStyle w:val="SummaryAgencyTitle-BP2"/>
              <w:rPr>
                <w:iCs/>
              </w:rPr>
            </w:pPr>
          </w:p>
        </w:tc>
        <w:tc>
          <w:tcPr>
            <w:tcW w:w="851" w:type="dxa"/>
            <w:vAlign w:val="bottom"/>
          </w:tcPr>
          <w:p w14:paraId="47A720B8" w14:textId="77777777" w:rsidR="0012790E" w:rsidRPr="0012790E" w:rsidRDefault="0012790E">
            <w:pPr>
              <w:pStyle w:val="SummaryAgencyTitle-BP2"/>
              <w:rPr>
                <w:iCs/>
              </w:rPr>
            </w:pPr>
          </w:p>
        </w:tc>
      </w:tr>
      <w:tr w:rsidR="0012790E" w:rsidRPr="0012790E" w14:paraId="41680893" w14:textId="77777777">
        <w:tc>
          <w:tcPr>
            <w:tcW w:w="3470" w:type="dxa"/>
            <w:shd w:val="clear" w:color="auto" w:fill="auto"/>
            <w:vAlign w:val="bottom"/>
          </w:tcPr>
          <w:p w14:paraId="7D578B83" w14:textId="77777777" w:rsidR="0012790E" w:rsidRPr="0012790E" w:rsidRDefault="0012790E">
            <w:pPr>
              <w:pStyle w:val="SummaryMeasureTitlewithTheme"/>
            </w:pPr>
            <w:r w:rsidRPr="0012790E">
              <w:t>Cyber Security of Regulators and Improving Registers(b)</w:t>
            </w:r>
          </w:p>
        </w:tc>
        <w:tc>
          <w:tcPr>
            <w:tcW w:w="851" w:type="dxa"/>
            <w:vAlign w:val="bottom"/>
          </w:tcPr>
          <w:p w14:paraId="22900EF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B9ABC47" w14:textId="77777777" w:rsidR="0012790E" w:rsidRPr="0012790E" w:rsidRDefault="0012790E">
            <w:pPr>
              <w:pStyle w:val="Summarytabletextrightaligned"/>
              <w:rPr>
                <w:szCs w:val="16"/>
              </w:rPr>
            </w:pPr>
            <w:r w:rsidRPr="0012790E">
              <w:rPr>
                <w:szCs w:val="16"/>
              </w:rPr>
              <w:t>29.4</w:t>
            </w:r>
          </w:p>
        </w:tc>
        <w:tc>
          <w:tcPr>
            <w:tcW w:w="851" w:type="dxa"/>
            <w:vAlign w:val="bottom"/>
          </w:tcPr>
          <w:p w14:paraId="4A359927" w14:textId="77777777" w:rsidR="0012790E" w:rsidRPr="0012790E" w:rsidRDefault="0012790E">
            <w:pPr>
              <w:pStyle w:val="Summarytabletextrightaligned"/>
              <w:rPr>
                <w:szCs w:val="16"/>
              </w:rPr>
            </w:pPr>
            <w:r w:rsidRPr="0012790E">
              <w:rPr>
                <w:szCs w:val="16"/>
              </w:rPr>
              <w:t>21.8</w:t>
            </w:r>
          </w:p>
        </w:tc>
        <w:tc>
          <w:tcPr>
            <w:tcW w:w="851" w:type="dxa"/>
            <w:vAlign w:val="bottom"/>
          </w:tcPr>
          <w:p w14:paraId="05415133" w14:textId="77777777" w:rsidR="0012790E" w:rsidRPr="0012790E" w:rsidRDefault="0012790E">
            <w:pPr>
              <w:pStyle w:val="Summarytabletextrightaligned"/>
              <w:rPr>
                <w:szCs w:val="16"/>
              </w:rPr>
            </w:pPr>
            <w:r w:rsidRPr="0012790E">
              <w:rPr>
                <w:szCs w:val="16"/>
              </w:rPr>
              <w:t>11.6</w:t>
            </w:r>
          </w:p>
        </w:tc>
        <w:tc>
          <w:tcPr>
            <w:tcW w:w="851" w:type="dxa"/>
            <w:vAlign w:val="bottom"/>
          </w:tcPr>
          <w:p w14:paraId="35D4D7D0" w14:textId="77777777" w:rsidR="0012790E" w:rsidRPr="0012790E" w:rsidRDefault="0012790E">
            <w:pPr>
              <w:pStyle w:val="Summarytabletextrightaligned"/>
              <w:rPr>
                <w:szCs w:val="16"/>
              </w:rPr>
            </w:pPr>
            <w:r w:rsidRPr="0012790E">
              <w:rPr>
                <w:szCs w:val="16"/>
              </w:rPr>
              <w:t>10.4</w:t>
            </w:r>
          </w:p>
        </w:tc>
      </w:tr>
      <w:tr w:rsidR="0012790E" w:rsidRPr="0012790E" w14:paraId="4E81D14F" w14:textId="77777777">
        <w:tc>
          <w:tcPr>
            <w:tcW w:w="3470" w:type="dxa"/>
            <w:shd w:val="clear" w:color="auto" w:fill="auto"/>
            <w:vAlign w:val="bottom"/>
          </w:tcPr>
          <w:p w14:paraId="4F1DCA37" w14:textId="77777777" w:rsidR="0012790E" w:rsidRPr="0012790E" w:rsidRDefault="0012790E">
            <w:pPr>
              <w:pStyle w:val="SummaryMeasureTitlewithTheme"/>
            </w:pPr>
            <w:r w:rsidRPr="0012790E">
              <w:t>Future Made in Australia – Promoting Sustainable Finance Markets(b)</w:t>
            </w:r>
          </w:p>
        </w:tc>
        <w:tc>
          <w:tcPr>
            <w:tcW w:w="851" w:type="dxa"/>
            <w:vAlign w:val="bottom"/>
          </w:tcPr>
          <w:p w14:paraId="44E37F8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69FB521" w14:textId="77777777" w:rsidR="0012790E" w:rsidRPr="0012790E" w:rsidRDefault="0012790E">
            <w:pPr>
              <w:pStyle w:val="Summarytabletextrightaligned"/>
              <w:rPr>
                <w:szCs w:val="16"/>
              </w:rPr>
            </w:pPr>
            <w:r w:rsidRPr="0012790E">
              <w:rPr>
                <w:szCs w:val="16"/>
              </w:rPr>
              <w:t>0.5</w:t>
            </w:r>
          </w:p>
        </w:tc>
        <w:tc>
          <w:tcPr>
            <w:tcW w:w="851" w:type="dxa"/>
            <w:vAlign w:val="bottom"/>
          </w:tcPr>
          <w:p w14:paraId="17F4AC7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0887C1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F0E3130" w14:textId="77777777" w:rsidR="0012790E" w:rsidRPr="0012790E" w:rsidRDefault="0012790E">
            <w:pPr>
              <w:pStyle w:val="Summarytabletextrightaligned"/>
              <w:rPr>
                <w:szCs w:val="16"/>
              </w:rPr>
            </w:pPr>
            <w:r w:rsidRPr="0012790E">
              <w:rPr>
                <w:szCs w:val="16"/>
              </w:rPr>
              <w:noBreakHyphen/>
            </w:r>
          </w:p>
        </w:tc>
      </w:tr>
      <w:tr w:rsidR="0030621F" w:rsidRPr="0012790E" w14:paraId="5C85D358" w14:textId="77777777">
        <w:tc>
          <w:tcPr>
            <w:tcW w:w="3470" w:type="dxa"/>
            <w:shd w:val="clear" w:color="auto" w:fill="auto"/>
            <w:vAlign w:val="bottom"/>
          </w:tcPr>
          <w:p w14:paraId="0085C30D" w14:textId="4C44E73B" w:rsidR="0030621F" w:rsidRPr="0012790E" w:rsidRDefault="0030621F" w:rsidP="0030621F">
            <w:pPr>
              <w:pStyle w:val="SummaryMeasureTitlewithTheme"/>
            </w:pPr>
            <w:r w:rsidRPr="0012790E">
              <w:t>Modernising Digital Assets and Payments Regulation(b)</w:t>
            </w:r>
          </w:p>
        </w:tc>
        <w:tc>
          <w:tcPr>
            <w:tcW w:w="851" w:type="dxa"/>
            <w:vAlign w:val="bottom"/>
          </w:tcPr>
          <w:p w14:paraId="2698776E" w14:textId="216F7A3D" w:rsidR="0030621F" w:rsidRPr="0012790E" w:rsidRDefault="0030621F" w:rsidP="0030621F">
            <w:pPr>
              <w:pStyle w:val="Summarytabletextrightaligned"/>
              <w:rPr>
                <w:szCs w:val="16"/>
              </w:rPr>
            </w:pPr>
            <w:r>
              <w:rPr>
                <w:szCs w:val="16"/>
              </w:rPr>
              <w:t>-</w:t>
            </w:r>
          </w:p>
        </w:tc>
        <w:tc>
          <w:tcPr>
            <w:tcW w:w="851" w:type="dxa"/>
            <w:shd w:val="clear" w:color="auto" w:fill="E6F2FF"/>
            <w:vAlign w:val="bottom"/>
          </w:tcPr>
          <w:p w14:paraId="422A8929" w14:textId="215B4793" w:rsidR="0030621F" w:rsidRPr="0012790E" w:rsidRDefault="007759F6" w:rsidP="0030621F">
            <w:pPr>
              <w:pStyle w:val="Summarytabletextrightaligned"/>
              <w:rPr>
                <w:szCs w:val="16"/>
              </w:rPr>
            </w:pPr>
            <w:r>
              <w:rPr>
                <w:szCs w:val="16"/>
              </w:rPr>
              <w:t>1.4</w:t>
            </w:r>
          </w:p>
        </w:tc>
        <w:tc>
          <w:tcPr>
            <w:tcW w:w="851" w:type="dxa"/>
            <w:vAlign w:val="bottom"/>
          </w:tcPr>
          <w:p w14:paraId="74DCB2D6" w14:textId="4BB9961F" w:rsidR="0030621F" w:rsidRPr="0012790E" w:rsidRDefault="007759F6" w:rsidP="0030621F">
            <w:pPr>
              <w:pStyle w:val="Summarytabletextrightaligned"/>
              <w:rPr>
                <w:szCs w:val="16"/>
              </w:rPr>
            </w:pPr>
            <w:r>
              <w:rPr>
                <w:szCs w:val="16"/>
              </w:rPr>
              <w:t>1.9</w:t>
            </w:r>
          </w:p>
        </w:tc>
        <w:tc>
          <w:tcPr>
            <w:tcW w:w="851" w:type="dxa"/>
            <w:vAlign w:val="bottom"/>
          </w:tcPr>
          <w:p w14:paraId="51C5A218" w14:textId="672DA7D9" w:rsidR="0030621F" w:rsidRPr="0012790E" w:rsidRDefault="007759F6" w:rsidP="0030621F">
            <w:pPr>
              <w:pStyle w:val="Summarytabletextrightaligned"/>
              <w:rPr>
                <w:szCs w:val="16"/>
              </w:rPr>
            </w:pPr>
            <w:r>
              <w:rPr>
                <w:szCs w:val="16"/>
              </w:rPr>
              <w:t>6.4</w:t>
            </w:r>
          </w:p>
        </w:tc>
        <w:tc>
          <w:tcPr>
            <w:tcW w:w="851" w:type="dxa"/>
            <w:vAlign w:val="bottom"/>
          </w:tcPr>
          <w:p w14:paraId="25E8515B" w14:textId="56D3151F" w:rsidR="0030621F" w:rsidRPr="0012790E" w:rsidRDefault="007759F6" w:rsidP="0030621F">
            <w:pPr>
              <w:pStyle w:val="Summarytabletextrightaligned"/>
              <w:rPr>
                <w:szCs w:val="16"/>
              </w:rPr>
            </w:pPr>
            <w:r>
              <w:rPr>
                <w:szCs w:val="16"/>
              </w:rPr>
              <w:t>6.0</w:t>
            </w:r>
          </w:p>
        </w:tc>
      </w:tr>
      <w:tr w:rsidR="0030621F" w:rsidRPr="0012790E" w14:paraId="1A230262" w14:textId="77777777">
        <w:tc>
          <w:tcPr>
            <w:tcW w:w="3470" w:type="dxa"/>
            <w:shd w:val="clear" w:color="auto" w:fill="auto"/>
            <w:vAlign w:val="bottom"/>
          </w:tcPr>
          <w:p w14:paraId="6547997D" w14:textId="77777777" w:rsidR="0030621F" w:rsidRPr="0012790E" w:rsidRDefault="0030621F" w:rsidP="0030621F">
            <w:pPr>
              <w:pStyle w:val="SummaryAgencyTitle-BP2"/>
              <w:rPr>
                <w:iCs/>
              </w:rPr>
            </w:pPr>
            <w:r w:rsidRPr="0012790E">
              <w:rPr>
                <w:iCs/>
              </w:rPr>
              <w:t>Australian Securities and Investments Commission</w:t>
            </w:r>
          </w:p>
        </w:tc>
        <w:tc>
          <w:tcPr>
            <w:tcW w:w="851" w:type="dxa"/>
            <w:vAlign w:val="bottom"/>
          </w:tcPr>
          <w:p w14:paraId="06D84FCB" w14:textId="77777777" w:rsidR="0030621F" w:rsidRPr="0012790E" w:rsidRDefault="0030621F" w:rsidP="0030621F">
            <w:pPr>
              <w:pStyle w:val="SummaryAgencyTitle-BP2"/>
              <w:rPr>
                <w:iCs/>
              </w:rPr>
            </w:pPr>
          </w:p>
        </w:tc>
        <w:tc>
          <w:tcPr>
            <w:tcW w:w="851" w:type="dxa"/>
            <w:shd w:val="clear" w:color="auto" w:fill="E6F2FF"/>
            <w:vAlign w:val="bottom"/>
          </w:tcPr>
          <w:p w14:paraId="3379CA21" w14:textId="77777777" w:rsidR="0030621F" w:rsidRPr="0012790E" w:rsidRDefault="0030621F" w:rsidP="0030621F">
            <w:pPr>
              <w:pStyle w:val="SummaryAgencyTitle-BP2"/>
              <w:rPr>
                <w:iCs/>
              </w:rPr>
            </w:pPr>
          </w:p>
        </w:tc>
        <w:tc>
          <w:tcPr>
            <w:tcW w:w="851" w:type="dxa"/>
            <w:vAlign w:val="bottom"/>
          </w:tcPr>
          <w:p w14:paraId="624C3458" w14:textId="77777777" w:rsidR="0030621F" w:rsidRPr="0012790E" w:rsidRDefault="0030621F" w:rsidP="0030621F">
            <w:pPr>
              <w:pStyle w:val="SummaryAgencyTitle-BP2"/>
              <w:rPr>
                <w:iCs/>
              </w:rPr>
            </w:pPr>
          </w:p>
        </w:tc>
        <w:tc>
          <w:tcPr>
            <w:tcW w:w="851" w:type="dxa"/>
            <w:vAlign w:val="bottom"/>
          </w:tcPr>
          <w:p w14:paraId="20810470" w14:textId="77777777" w:rsidR="0030621F" w:rsidRPr="0012790E" w:rsidRDefault="0030621F" w:rsidP="0030621F">
            <w:pPr>
              <w:pStyle w:val="SummaryAgencyTitle-BP2"/>
              <w:rPr>
                <w:iCs/>
              </w:rPr>
            </w:pPr>
          </w:p>
        </w:tc>
        <w:tc>
          <w:tcPr>
            <w:tcW w:w="851" w:type="dxa"/>
            <w:vAlign w:val="bottom"/>
          </w:tcPr>
          <w:p w14:paraId="109408D1" w14:textId="77777777" w:rsidR="0030621F" w:rsidRPr="0012790E" w:rsidRDefault="0030621F" w:rsidP="0030621F">
            <w:pPr>
              <w:pStyle w:val="SummaryAgencyTitle-BP2"/>
              <w:rPr>
                <w:iCs/>
              </w:rPr>
            </w:pPr>
          </w:p>
        </w:tc>
      </w:tr>
      <w:tr w:rsidR="0030621F" w:rsidRPr="0012790E" w14:paraId="11B59254" w14:textId="77777777">
        <w:tc>
          <w:tcPr>
            <w:tcW w:w="3470" w:type="dxa"/>
            <w:shd w:val="clear" w:color="auto" w:fill="auto"/>
            <w:vAlign w:val="bottom"/>
          </w:tcPr>
          <w:p w14:paraId="4C1F35E1" w14:textId="77777777" w:rsidR="0030621F" w:rsidRPr="0012790E" w:rsidRDefault="0030621F" w:rsidP="0030621F">
            <w:pPr>
              <w:pStyle w:val="SummaryMeasureTitlewithTheme"/>
            </w:pPr>
            <w:r w:rsidRPr="0012790E">
              <w:t>Cyber Security of Regulators and Improving Registers(b)</w:t>
            </w:r>
          </w:p>
        </w:tc>
        <w:tc>
          <w:tcPr>
            <w:tcW w:w="851" w:type="dxa"/>
            <w:vAlign w:val="bottom"/>
          </w:tcPr>
          <w:p w14:paraId="6462CF21" w14:textId="77777777" w:rsidR="0030621F" w:rsidRPr="0012790E" w:rsidRDefault="0030621F" w:rsidP="0030621F">
            <w:pPr>
              <w:pStyle w:val="Summarytabletextrightaligned"/>
              <w:rPr>
                <w:szCs w:val="16"/>
              </w:rPr>
            </w:pPr>
            <w:r w:rsidRPr="0012790E">
              <w:rPr>
                <w:szCs w:val="16"/>
              </w:rPr>
              <w:noBreakHyphen/>
            </w:r>
          </w:p>
        </w:tc>
        <w:tc>
          <w:tcPr>
            <w:tcW w:w="851" w:type="dxa"/>
            <w:shd w:val="clear" w:color="auto" w:fill="E6F2FF"/>
            <w:vAlign w:val="bottom"/>
          </w:tcPr>
          <w:p w14:paraId="3DB10F63" w14:textId="77777777" w:rsidR="0030621F" w:rsidRPr="0012790E" w:rsidRDefault="0030621F" w:rsidP="0030621F">
            <w:pPr>
              <w:pStyle w:val="Summarytabletextrightaligned"/>
              <w:rPr>
                <w:szCs w:val="16"/>
              </w:rPr>
            </w:pPr>
            <w:r w:rsidRPr="0012790E">
              <w:rPr>
                <w:szCs w:val="16"/>
              </w:rPr>
              <w:t>81.8</w:t>
            </w:r>
          </w:p>
        </w:tc>
        <w:tc>
          <w:tcPr>
            <w:tcW w:w="851" w:type="dxa"/>
            <w:vAlign w:val="bottom"/>
          </w:tcPr>
          <w:p w14:paraId="4CA8201B" w14:textId="77777777" w:rsidR="0030621F" w:rsidRPr="0012790E" w:rsidRDefault="0030621F" w:rsidP="0030621F">
            <w:pPr>
              <w:pStyle w:val="Summarytabletextrightaligned"/>
              <w:rPr>
                <w:szCs w:val="16"/>
              </w:rPr>
            </w:pPr>
            <w:r w:rsidRPr="0012790E">
              <w:rPr>
                <w:szCs w:val="16"/>
              </w:rPr>
              <w:t>16.2</w:t>
            </w:r>
          </w:p>
        </w:tc>
        <w:tc>
          <w:tcPr>
            <w:tcW w:w="851" w:type="dxa"/>
            <w:vAlign w:val="bottom"/>
          </w:tcPr>
          <w:p w14:paraId="68E48F29" w14:textId="77777777" w:rsidR="0030621F" w:rsidRPr="0012790E" w:rsidRDefault="0030621F" w:rsidP="0030621F">
            <w:pPr>
              <w:pStyle w:val="Summarytabletextrightaligned"/>
              <w:rPr>
                <w:szCs w:val="16"/>
              </w:rPr>
            </w:pPr>
            <w:r w:rsidRPr="0012790E">
              <w:rPr>
                <w:szCs w:val="16"/>
              </w:rPr>
              <w:t>16.5</w:t>
            </w:r>
          </w:p>
        </w:tc>
        <w:tc>
          <w:tcPr>
            <w:tcW w:w="851" w:type="dxa"/>
            <w:vAlign w:val="bottom"/>
          </w:tcPr>
          <w:p w14:paraId="2355128E" w14:textId="77777777" w:rsidR="0030621F" w:rsidRPr="0012790E" w:rsidRDefault="0030621F" w:rsidP="0030621F">
            <w:pPr>
              <w:pStyle w:val="Summarytabletextrightaligned"/>
              <w:rPr>
                <w:szCs w:val="16"/>
              </w:rPr>
            </w:pPr>
            <w:r w:rsidRPr="0012790E">
              <w:rPr>
                <w:szCs w:val="16"/>
              </w:rPr>
              <w:t>10.4</w:t>
            </w:r>
          </w:p>
        </w:tc>
      </w:tr>
      <w:tr w:rsidR="0030621F" w:rsidRPr="0012790E" w14:paraId="5CFC45D8" w14:textId="77777777">
        <w:tc>
          <w:tcPr>
            <w:tcW w:w="3470" w:type="dxa"/>
            <w:shd w:val="clear" w:color="auto" w:fill="auto"/>
            <w:vAlign w:val="bottom"/>
          </w:tcPr>
          <w:p w14:paraId="7DBB5197" w14:textId="77777777" w:rsidR="0030621F" w:rsidRPr="0012790E" w:rsidRDefault="0030621F" w:rsidP="0030621F">
            <w:pPr>
              <w:pStyle w:val="SummaryMeasureTitlewithTheme"/>
            </w:pPr>
            <w:r w:rsidRPr="0012790E">
              <w:t>Fighting Scams(b)</w:t>
            </w:r>
          </w:p>
        </w:tc>
        <w:tc>
          <w:tcPr>
            <w:tcW w:w="851" w:type="dxa"/>
            <w:vAlign w:val="bottom"/>
          </w:tcPr>
          <w:p w14:paraId="16360D16" w14:textId="77777777" w:rsidR="0030621F" w:rsidRPr="0012790E" w:rsidRDefault="0030621F" w:rsidP="0030621F">
            <w:pPr>
              <w:pStyle w:val="Summarytabletextrightaligned"/>
              <w:rPr>
                <w:szCs w:val="16"/>
              </w:rPr>
            </w:pPr>
            <w:r w:rsidRPr="0012790E">
              <w:rPr>
                <w:szCs w:val="16"/>
              </w:rPr>
              <w:noBreakHyphen/>
            </w:r>
          </w:p>
        </w:tc>
        <w:tc>
          <w:tcPr>
            <w:tcW w:w="851" w:type="dxa"/>
            <w:shd w:val="clear" w:color="auto" w:fill="E6F2FF"/>
            <w:vAlign w:val="bottom"/>
          </w:tcPr>
          <w:p w14:paraId="32A0C8F4" w14:textId="77777777" w:rsidR="0030621F" w:rsidRPr="0012790E" w:rsidRDefault="0030621F" w:rsidP="0030621F">
            <w:pPr>
              <w:pStyle w:val="Summarytabletextrightaligned"/>
              <w:rPr>
                <w:szCs w:val="16"/>
              </w:rPr>
            </w:pPr>
            <w:r w:rsidRPr="0012790E">
              <w:rPr>
                <w:szCs w:val="16"/>
              </w:rPr>
              <w:t>3.1</w:t>
            </w:r>
          </w:p>
        </w:tc>
        <w:tc>
          <w:tcPr>
            <w:tcW w:w="851" w:type="dxa"/>
            <w:vAlign w:val="bottom"/>
          </w:tcPr>
          <w:p w14:paraId="5D4A08D0" w14:textId="77777777" w:rsidR="0030621F" w:rsidRPr="0012790E" w:rsidRDefault="0030621F" w:rsidP="0030621F">
            <w:pPr>
              <w:pStyle w:val="Summarytabletextrightaligned"/>
              <w:rPr>
                <w:szCs w:val="16"/>
              </w:rPr>
            </w:pPr>
            <w:r w:rsidRPr="0012790E">
              <w:rPr>
                <w:szCs w:val="16"/>
              </w:rPr>
              <w:t>2.7</w:t>
            </w:r>
          </w:p>
        </w:tc>
        <w:tc>
          <w:tcPr>
            <w:tcW w:w="851" w:type="dxa"/>
            <w:vAlign w:val="bottom"/>
          </w:tcPr>
          <w:p w14:paraId="7C40FB09" w14:textId="77777777" w:rsidR="0030621F" w:rsidRPr="0012790E" w:rsidRDefault="0030621F" w:rsidP="0030621F">
            <w:pPr>
              <w:pStyle w:val="Summarytabletextrightaligned"/>
              <w:rPr>
                <w:szCs w:val="16"/>
              </w:rPr>
            </w:pPr>
            <w:r w:rsidRPr="0012790E">
              <w:rPr>
                <w:szCs w:val="16"/>
              </w:rPr>
              <w:t>2.1</w:t>
            </w:r>
          </w:p>
        </w:tc>
        <w:tc>
          <w:tcPr>
            <w:tcW w:w="851" w:type="dxa"/>
            <w:vAlign w:val="bottom"/>
          </w:tcPr>
          <w:p w14:paraId="63EB828D" w14:textId="77777777" w:rsidR="0030621F" w:rsidRPr="0012790E" w:rsidRDefault="0030621F" w:rsidP="0030621F">
            <w:pPr>
              <w:pStyle w:val="Summarytabletextrightaligned"/>
              <w:rPr>
                <w:szCs w:val="16"/>
              </w:rPr>
            </w:pPr>
            <w:r w:rsidRPr="0012790E">
              <w:rPr>
                <w:szCs w:val="16"/>
              </w:rPr>
              <w:t>2.1</w:t>
            </w:r>
          </w:p>
        </w:tc>
      </w:tr>
      <w:tr w:rsidR="0030621F" w:rsidRPr="0012790E" w14:paraId="14BD863D" w14:textId="77777777">
        <w:tc>
          <w:tcPr>
            <w:tcW w:w="3470" w:type="dxa"/>
            <w:shd w:val="clear" w:color="auto" w:fill="auto"/>
            <w:vAlign w:val="bottom"/>
          </w:tcPr>
          <w:p w14:paraId="55105B84" w14:textId="77777777" w:rsidR="0030621F" w:rsidRPr="0012790E" w:rsidRDefault="0030621F" w:rsidP="0030621F">
            <w:pPr>
              <w:pStyle w:val="SummaryMeasureTitlewithTheme"/>
            </w:pPr>
            <w:r w:rsidRPr="0012790E">
              <w:t>Future Made in Australia – Promoting Sustainable Finance Markets(b)</w:t>
            </w:r>
          </w:p>
        </w:tc>
        <w:tc>
          <w:tcPr>
            <w:tcW w:w="851" w:type="dxa"/>
            <w:vAlign w:val="bottom"/>
          </w:tcPr>
          <w:p w14:paraId="6F93ADF1" w14:textId="77777777" w:rsidR="0030621F" w:rsidRPr="0012790E" w:rsidRDefault="0030621F" w:rsidP="0030621F">
            <w:pPr>
              <w:pStyle w:val="Summarytabletextrightaligned"/>
              <w:rPr>
                <w:szCs w:val="16"/>
              </w:rPr>
            </w:pPr>
            <w:r w:rsidRPr="0012790E">
              <w:rPr>
                <w:szCs w:val="16"/>
              </w:rPr>
              <w:noBreakHyphen/>
            </w:r>
          </w:p>
        </w:tc>
        <w:tc>
          <w:tcPr>
            <w:tcW w:w="851" w:type="dxa"/>
            <w:shd w:val="clear" w:color="auto" w:fill="E6F2FF"/>
            <w:vAlign w:val="bottom"/>
          </w:tcPr>
          <w:p w14:paraId="0F84F256" w14:textId="77777777" w:rsidR="0030621F" w:rsidRPr="0012790E" w:rsidRDefault="0030621F" w:rsidP="0030621F">
            <w:pPr>
              <w:pStyle w:val="Summarytabletextrightaligned"/>
              <w:rPr>
                <w:szCs w:val="16"/>
              </w:rPr>
            </w:pPr>
            <w:r w:rsidRPr="0012790E">
              <w:rPr>
                <w:szCs w:val="16"/>
              </w:rPr>
              <w:t>3.0</w:t>
            </w:r>
          </w:p>
        </w:tc>
        <w:tc>
          <w:tcPr>
            <w:tcW w:w="851" w:type="dxa"/>
            <w:vAlign w:val="bottom"/>
          </w:tcPr>
          <w:p w14:paraId="7A51836A" w14:textId="77777777" w:rsidR="0030621F" w:rsidRPr="0012790E" w:rsidRDefault="0030621F" w:rsidP="0030621F">
            <w:pPr>
              <w:pStyle w:val="Summarytabletextrightaligned"/>
              <w:rPr>
                <w:szCs w:val="16"/>
              </w:rPr>
            </w:pPr>
            <w:r w:rsidRPr="0012790E">
              <w:rPr>
                <w:szCs w:val="16"/>
              </w:rPr>
              <w:t>2.8</w:t>
            </w:r>
          </w:p>
        </w:tc>
        <w:tc>
          <w:tcPr>
            <w:tcW w:w="851" w:type="dxa"/>
            <w:vAlign w:val="bottom"/>
          </w:tcPr>
          <w:p w14:paraId="242B5FDD" w14:textId="77777777" w:rsidR="0030621F" w:rsidRPr="0012790E" w:rsidRDefault="0030621F" w:rsidP="0030621F">
            <w:pPr>
              <w:pStyle w:val="Summarytabletextrightaligned"/>
              <w:rPr>
                <w:szCs w:val="16"/>
              </w:rPr>
            </w:pPr>
            <w:r w:rsidRPr="0012790E">
              <w:rPr>
                <w:szCs w:val="16"/>
              </w:rPr>
              <w:t>2.4</w:t>
            </w:r>
          </w:p>
        </w:tc>
        <w:tc>
          <w:tcPr>
            <w:tcW w:w="851" w:type="dxa"/>
            <w:vAlign w:val="bottom"/>
          </w:tcPr>
          <w:p w14:paraId="2F09598F" w14:textId="77777777" w:rsidR="0030621F" w:rsidRPr="0012790E" w:rsidRDefault="0030621F" w:rsidP="0030621F">
            <w:pPr>
              <w:pStyle w:val="Summarytabletextrightaligned"/>
              <w:rPr>
                <w:szCs w:val="16"/>
              </w:rPr>
            </w:pPr>
            <w:r w:rsidRPr="0012790E">
              <w:rPr>
                <w:szCs w:val="16"/>
              </w:rPr>
              <w:t>2.3</w:t>
            </w:r>
          </w:p>
        </w:tc>
      </w:tr>
      <w:tr w:rsidR="0030621F" w:rsidRPr="0012790E" w14:paraId="0E74EDFF" w14:textId="77777777">
        <w:tc>
          <w:tcPr>
            <w:tcW w:w="3470" w:type="dxa"/>
            <w:shd w:val="clear" w:color="auto" w:fill="auto"/>
            <w:vAlign w:val="bottom"/>
          </w:tcPr>
          <w:p w14:paraId="45D389FB" w14:textId="77777777" w:rsidR="0030621F" w:rsidRPr="0012790E" w:rsidRDefault="0030621F" w:rsidP="0030621F">
            <w:pPr>
              <w:pStyle w:val="SummaryMeasureTitlewithTheme"/>
            </w:pPr>
            <w:r w:rsidRPr="0012790E">
              <w:t>Modernising Digital Assets and Payments Regulation(b)</w:t>
            </w:r>
          </w:p>
        </w:tc>
        <w:tc>
          <w:tcPr>
            <w:tcW w:w="851" w:type="dxa"/>
            <w:vAlign w:val="bottom"/>
          </w:tcPr>
          <w:p w14:paraId="5F614862" w14:textId="77777777" w:rsidR="0030621F" w:rsidRPr="0012790E" w:rsidRDefault="0030621F" w:rsidP="0030621F">
            <w:pPr>
              <w:pStyle w:val="Summarytabletextrightaligned"/>
              <w:rPr>
                <w:szCs w:val="16"/>
              </w:rPr>
            </w:pPr>
            <w:r w:rsidRPr="0012790E">
              <w:rPr>
                <w:szCs w:val="16"/>
              </w:rPr>
              <w:noBreakHyphen/>
            </w:r>
          </w:p>
        </w:tc>
        <w:tc>
          <w:tcPr>
            <w:tcW w:w="851" w:type="dxa"/>
            <w:shd w:val="clear" w:color="auto" w:fill="E6F2FF"/>
            <w:vAlign w:val="bottom"/>
          </w:tcPr>
          <w:p w14:paraId="3222CE84" w14:textId="77EC532F" w:rsidR="0030621F" w:rsidRPr="0012790E" w:rsidRDefault="0030621F" w:rsidP="0030621F">
            <w:pPr>
              <w:pStyle w:val="Summarytabletextrightaligned"/>
              <w:rPr>
                <w:szCs w:val="16"/>
              </w:rPr>
            </w:pPr>
            <w:r>
              <w:rPr>
                <w:szCs w:val="16"/>
              </w:rPr>
              <w:t>17.7</w:t>
            </w:r>
          </w:p>
        </w:tc>
        <w:tc>
          <w:tcPr>
            <w:tcW w:w="851" w:type="dxa"/>
            <w:vAlign w:val="bottom"/>
          </w:tcPr>
          <w:p w14:paraId="7C595B8A" w14:textId="404020BE" w:rsidR="0030621F" w:rsidRPr="0012790E" w:rsidRDefault="0030621F" w:rsidP="0030621F">
            <w:pPr>
              <w:pStyle w:val="Summarytabletextrightaligned"/>
              <w:rPr>
                <w:szCs w:val="16"/>
              </w:rPr>
            </w:pPr>
            <w:r>
              <w:rPr>
                <w:szCs w:val="16"/>
              </w:rPr>
              <w:t>15.5</w:t>
            </w:r>
          </w:p>
        </w:tc>
        <w:tc>
          <w:tcPr>
            <w:tcW w:w="851" w:type="dxa"/>
            <w:vAlign w:val="bottom"/>
          </w:tcPr>
          <w:p w14:paraId="0B19C92D" w14:textId="7734FDCD" w:rsidR="0030621F" w:rsidRPr="0012790E" w:rsidRDefault="0030621F" w:rsidP="0030621F">
            <w:pPr>
              <w:pStyle w:val="Summarytabletextrightaligned"/>
              <w:rPr>
                <w:szCs w:val="16"/>
              </w:rPr>
            </w:pPr>
            <w:r>
              <w:rPr>
                <w:szCs w:val="16"/>
              </w:rPr>
              <w:t>13.7</w:t>
            </w:r>
          </w:p>
        </w:tc>
        <w:tc>
          <w:tcPr>
            <w:tcW w:w="851" w:type="dxa"/>
            <w:vAlign w:val="bottom"/>
          </w:tcPr>
          <w:p w14:paraId="7747898D" w14:textId="46F98713" w:rsidR="0030621F" w:rsidRPr="0012790E" w:rsidRDefault="0030621F" w:rsidP="0030621F">
            <w:pPr>
              <w:pStyle w:val="Summarytabletextrightaligned"/>
              <w:rPr>
                <w:szCs w:val="16"/>
              </w:rPr>
            </w:pPr>
            <w:r>
              <w:rPr>
                <w:szCs w:val="16"/>
              </w:rPr>
              <w:t>13.1</w:t>
            </w:r>
          </w:p>
        </w:tc>
      </w:tr>
      <w:tr w:rsidR="0030621F" w:rsidRPr="0012790E" w14:paraId="6551F0BB" w14:textId="77777777">
        <w:tc>
          <w:tcPr>
            <w:tcW w:w="3470" w:type="dxa"/>
            <w:shd w:val="clear" w:color="auto" w:fill="auto"/>
            <w:vAlign w:val="bottom"/>
          </w:tcPr>
          <w:p w14:paraId="36DB0835" w14:textId="77777777" w:rsidR="0030621F" w:rsidRPr="0012790E" w:rsidRDefault="0030621F" w:rsidP="0030621F">
            <w:pPr>
              <w:pStyle w:val="SummaryMeasureTitlewithTheme"/>
            </w:pPr>
            <w:r w:rsidRPr="0012790E">
              <w:t>Treasury Portfolio – additional resourcing(b)</w:t>
            </w:r>
          </w:p>
        </w:tc>
        <w:tc>
          <w:tcPr>
            <w:tcW w:w="851" w:type="dxa"/>
            <w:vAlign w:val="bottom"/>
          </w:tcPr>
          <w:p w14:paraId="0BD6B86B" w14:textId="77777777" w:rsidR="0030621F" w:rsidRPr="0012790E" w:rsidRDefault="0030621F" w:rsidP="0030621F">
            <w:pPr>
              <w:pStyle w:val="Summarytabletextrightaligned"/>
              <w:rPr>
                <w:szCs w:val="16"/>
              </w:rPr>
            </w:pPr>
            <w:r w:rsidRPr="0012790E">
              <w:rPr>
                <w:szCs w:val="16"/>
              </w:rPr>
              <w:noBreakHyphen/>
            </w:r>
          </w:p>
        </w:tc>
        <w:tc>
          <w:tcPr>
            <w:tcW w:w="851" w:type="dxa"/>
            <w:shd w:val="clear" w:color="auto" w:fill="E6F2FF"/>
            <w:vAlign w:val="bottom"/>
          </w:tcPr>
          <w:p w14:paraId="476D8835" w14:textId="77777777" w:rsidR="0030621F" w:rsidRPr="0012790E" w:rsidRDefault="0030621F" w:rsidP="0030621F">
            <w:pPr>
              <w:pStyle w:val="Summarytabletextrightaligned"/>
              <w:rPr>
                <w:szCs w:val="16"/>
              </w:rPr>
            </w:pPr>
            <w:r w:rsidRPr="0012790E">
              <w:rPr>
                <w:szCs w:val="16"/>
              </w:rPr>
              <w:t>4.3</w:t>
            </w:r>
          </w:p>
        </w:tc>
        <w:tc>
          <w:tcPr>
            <w:tcW w:w="851" w:type="dxa"/>
            <w:vAlign w:val="bottom"/>
          </w:tcPr>
          <w:p w14:paraId="500F40F4" w14:textId="77777777" w:rsidR="0030621F" w:rsidRPr="0012790E" w:rsidRDefault="0030621F" w:rsidP="0030621F">
            <w:pPr>
              <w:pStyle w:val="Summarytabletextrightaligned"/>
              <w:rPr>
                <w:szCs w:val="16"/>
              </w:rPr>
            </w:pPr>
            <w:r w:rsidRPr="0012790E">
              <w:rPr>
                <w:szCs w:val="16"/>
              </w:rPr>
              <w:t>15.9</w:t>
            </w:r>
          </w:p>
        </w:tc>
        <w:tc>
          <w:tcPr>
            <w:tcW w:w="851" w:type="dxa"/>
            <w:vAlign w:val="bottom"/>
          </w:tcPr>
          <w:p w14:paraId="743BB976" w14:textId="77777777" w:rsidR="0030621F" w:rsidRPr="0012790E" w:rsidRDefault="0030621F" w:rsidP="0030621F">
            <w:pPr>
              <w:pStyle w:val="Summarytabletextrightaligned"/>
              <w:rPr>
                <w:szCs w:val="16"/>
              </w:rPr>
            </w:pPr>
            <w:r w:rsidRPr="0012790E">
              <w:rPr>
                <w:szCs w:val="16"/>
              </w:rPr>
              <w:t>12.7</w:t>
            </w:r>
          </w:p>
        </w:tc>
        <w:tc>
          <w:tcPr>
            <w:tcW w:w="851" w:type="dxa"/>
            <w:vAlign w:val="bottom"/>
          </w:tcPr>
          <w:p w14:paraId="3246E87E" w14:textId="77777777" w:rsidR="0030621F" w:rsidRPr="0012790E" w:rsidRDefault="0030621F" w:rsidP="0030621F">
            <w:pPr>
              <w:pStyle w:val="Summarytabletextrightaligned"/>
              <w:rPr>
                <w:szCs w:val="16"/>
              </w:rPr>
            </w:pPr>
            <w:r w:rsidRPr="0012790E">
              <w:rPr>
                <w:szCs w:val="16"/>
              </w:rPr>
              <w:t>9.6</w:t>
            </w:r>
          </w:p>
        </w:tc>
      </w:tr>
      <w:tr w:rsidR="0030621F" w:rsidRPr="0012790E" w14:paraId="77201DB3" w14:textId="77777777">
        <w:tc>
          <w:tcPr>
            <w:tcW w:w="3470" w:type="dxa"/>
            <w:shd w:val="clear" w:color="auto" w:fill="auto"/>
            <w:vAlign w:val="bottom"/>
          </w:tcPr>
          <w:p w14:paraId="138D104D" w14:textId="77777777" w:rsidR="0030621F" w:rsidRPr="0012790E" w:rsidRDefault="0030621F" w:rsidP="0030621F">
            <w:pPr>
              <w:pStyle w:val="SummaryAgencyTitle-BP2"/>
              <w:rPr>
                <w:iCs/>
              </w:rPr>
            </w:pPr>
            <w:r w:rsidRPr="0012790E">
              <w:rPr>
                <w:iCs/>
              </w:rPr>
              <w:t>Australian Taxation Office</w:t>
            </w:r>
          </w:p>
        </w:tc>
        <w:tc>
          <w:tcPr>
            <w:tcW w:w="851" w:type="dxa"/>
            <w:vAlign w:val="bottom"/>
          </w:tcPr>
          <w:p w14:paraId="25B70FB3" w14:textId="77777777" w:rsidR="0030621F" w:rsidRPr="0012790E" w:rsidRDefault="0030621F" w:rsidP="0030621F">
            <w:pPr>
              <w:pStyle w:val="SummaryAgencyTitle-BP2"/>
              <w:rPr>
                <w:iCs/>
              </w:rPr>
            </w:pPr>
          </w:p>
        </w:tc>
        <w:tc>
          <w:tcPr>
            <w:tcW w:w="851" w:type="dxa"/>
            <w:shd w:val="clear" w:color="auto" w:fill="E6F2FF"/>
            <w:vAlign w:val="bottom"/>
          </w:tcPr>
          <w:p w14:paraId="7AE20291" w14:textId="77777777" w:rsidR="0030621F" w:rsidRPr="0012790E" w:rsidRDefault="0030621F" w:rsidP="0030621F">
            <w:pPr>
              <w:pStyle w:val="SummaryAgencyTitle-BP2"/>
              <w:rPr>
                <w:iCs/>
              </w:rPr>
            </w:pPr>
          </w:p>
        </w:tc>
        <w:tc>
          <w:tcPr>
            <w:tcW w:w="851" w:type="dxa"/>
            <w:vAlign w:val="bottom"/>
          </w:tcPr>
          <w:p w14:paraId="4B896BE3" w14:textId="77777777" w:rsidR="0030621F" w:rsidRPr="0012790E" w:rsidRDefault="0030621F" w:rsidP="0030621F">
            <w:pPr>
              <w:pStyle w:val="SummaryAgencyTitle-BP2"/>
              <w:rPr>
                <w:iCs/>
              </w:rPr>
            </w:pPr>
          </w:p>
        </w:tc>
        <w:tc>
          <w:tcPr>
            <w:tcW w:w="851" w:type="dxa"/>
            <w:vAlign w:val="bottom"/>
          </w:tcPr>
          <w:p w14:paraId="71FCBD00" w14:textId="77777777" w:rsidR="0030621F" w:rsidRPr="0012790E" w:rsidRDefault="0030621F" w:rsidP="0030621F">
            <w:pPr>
              <w:pStyle w:val="SummaryAgencyTitle-BP2"/>
              <w:rPr>
                <w:iCs/>
              </w:rPr>
            </w:pPr>
          </w:p>
        </w:tc>
        <w:tc>
          <w:tcPr>
            <w:tcW w:w="851" w:type="dxa"/>
            <w:vAlign w:val="bottom"/>
          </w:tcPr>
          <w:p w14:paraId="07EBAB87" w14:textId="77777777" w:rsidR="0030621F" w:rsidRPr="0012790E" w:rsidRDefault="0030621F" w:rsidP="0030621F">
            <w:pPr>
              <w:pStyle w:val="SummaryAgencyTitle-BP2"/>
              <w:rPr>
                <w:iCs/>
              </w:rPr>
            </w:pPr>
          </w:p>
        </w:tc>
      </w:tr>
      <w:tr w:rsidR="0030621F" w:rsidRPr="0012790E" w14:paraId="7943C184" w14:textId="77777777">
        <w:tc>
          <w:tcPr>
            <w:tcW w:w="3470" w:type="dxa"/>
            <w:shd w:val="clear" w:color="auto" w:fill="auto"/>
            <w:vAlign w:val="bottom"/>
          </w:tcPr>
          <w:p w14:paraId="26205D0E" w14:textId="77777777" w:rsidR="0030621F" w:rsidRPr="0012790E" w:rsidRDefault="0030621F" w:rsidP="0030621F">
            <w:pPr>
              <w:pStyle w:val="SummaryMeasureTitlewithTheme"/>
            </w:pPr>
            <w:r w:rsidRPr="0012790E">
              <w:t>Amendments to existing measures(b)</w:t>
            </w:r>
          </w:p>
        </w:tc>
        <w:tc>
          <w:tcPr>
            <w:tcW w:w="851" w:type="dxa"/>
            <w:vAlign w:val="bottom"/>
          </w:tcPr>
          <w:p w14:paraId="429EB3D5" w14:textId="77777777" w:rsidR="0030621F" w:rsidRPr="0012790E" w:rsidRDefault="0030621F" w:rsidP="0030621F">
            <w:pPr>
              <w:pStyle w:val="Summarytabletextrightaligned"/>
              <w:rPr>
                <w:szCs w:val="16"/>
              </w:rPr>
            </w:pPr>
            <w:r w:rsidRPr="0012790E">
              <w:rPr>
                <w:szCs w:val="16"/>
              </w:rPr>
              <w:noBreakHyphen/>
              <w:t>5.0</w:t>
            </w:r>
          </w:p>
        </w:tc>
        <w:tc>
          <w:tcPr>
            <w:tcW w:w="851" w:type="dxa"/>
            <w:shd w:val="clear" w:color="auto" w:fill="E6F2FF"/>
            <w:vAlign w:val="bottom"/>
          </w:tcPr>
          <w:p w14:paraId="5D65D2BC" w14:textId="77777777" w:rsidR="0030621F" w:rsidRPr="0012790E" w:rsidRDefault="0030621F" w:rsidP="0030621F">
            <w:pPr>
              <w:pStyle w:val="Summarytabletextrightaligned"/>
              <w:rPr>
                <w:szCs w:val="16"/>
              </w:rPr>
            </w:pPr>
            <w:r w:rsidRPr="0012790E">
              <w:rPr>
                <w:szCs w:val="16"/>
              </w:rPr>
              <w:t>132.2</w:t>
            </w:r>
          </w:p>
        </w:tc>
        <w:tc>
          <w:tcPr>
            <w:tcW w:w="851" w:type="dxa"/>
            <w:vAlign w:val="bottom"/>
          </w:tcPr>
          <w:p w14:paraId="265266C4" w14:textId="77777777" w:rsidR="0030621F" w:rsidRPr="0012790E" w:rsidRDefault="0030621F" w:rsidP="0030621F">
            <w:pPr>
              <w:pStyle w:val="Summarytabletextrightaligned"/>
              <w:rPr>
                <w:szCs w:val="16"/>
              </w:rPr>
            </w:pPr>
            <w:r w:rsidRPr="0012790E">
              <w:rPr>
                <w:szCs w:val="16"/>
              </w:rPr>
              <w:noBreakHyphen/>
              <w:t>0.8</w:t>
            </w:r>
          </w:p>
        </w:tc>
        <w:tc>
          <w:tcPr>
            <w:tcW w:w="851" w:type="dxa"/>
            <w:vAlign w:val="bottom"/>
          </w:tcPr>
          <w:p w14:paraId="423D3955" w14:textId="77777777" w:rsidR="0030621F" w:rsidRPr="0012790E" w:rsidRDefault="0030621F" w:rsidP="0030621F">
            <w:pPr>
              <w:pStyle w:val="Summarytabletextrightaligned"/>
              <w:rPr>
                <w:szCs w:val="16"/>
              </w:rPr>
            </w:pPr>
            <w:r w:rsidRPr="0012790E">
              <w:rPr>
                <w:szCs w:val="16"/>
              </w:rPr>
              <w:noBreakHyphen/>
              <w:t>0.2</w:t>
            </w:r>
          </w:p>
        </w:tc>
        <w:tc>
          <w:tcPr>
            <w:tcW w:w="851" w:type="dxa"/>
            <w:vAlign w:val="bottom"/>
          </w:tcPr>
          <w:p w14:paraId="41CD3A56" w14:textId="77777777" w:rsidR="0030621F" w:rsidRPr="0012790E" w:rsidRDefault="0030621F" w:rsidP="0030621F">
            <w:pPr>
              <w:pStyle w:val="Summarytabletextrightaligned"/>
              <w:rPr>
                <w:szCs w:val="16"/>
              </w:rPr>
            </w:pPr>
            <w:r w:rsidRPr="0012790E">
              <w:rPr>
                <w:szCs w:val="16"/>
              </w:rPr>
              <w:noBreakHyphen/>
              <w:t>0.2</w:t>
            </w:r>
          </w:p>
        </w:tc>
      </w:tr>
      <w:tr w:rsidR="0030621F" w:rsidRPr="0012790E" w14:paraId="5738A4F4" w14:textId="77777777">
        <w:tc>
          <w:tcPr>
            <w:tcW w:w="3470" w:type="dxa"/>
            <w:shd w:val="clear" w:color="auto" w:fill="auto"/>
            <w:vAlign w:val="bottom"/>
          </w:tcPr>
          <w:p w14:paraId="3763E1B6" w14:textId="77777777" w:rsidR="0030621F" w:rsidRPr="0012790E" w:rsidRDefault="0030621F" w:rsidP="0030621F">
            <w:pPr>
              <w:pStyle w:val="SummaryMeasureTitlewithTheme"/>
            </w:pPr>
            <w:r w:rsidRPr="0012790E">
              <w:t>Australian Universities Accord – tertiary education system reforms(b)</w:t>
            </w:r>
          </w:p>
        </w:tc>
        <w:tc>
          <w:tcPr>
            <w:tcW w:w="851" w:type="dxa"/>
            <w:vAlign w:val="bottom"/>
          </w:tcPr>
          <w:p w14:paraId="0DD6C73B" w14:textId="77777777" w:rsidR="0030621F" w:rsidRPr="0012790E" w:rsidRDefault="0030621F" w:rsidP="0030621F">
            <w:pPr>
              <w:pStyle w:val="Summarytabletextrightaligned"/>
              <w:rPr>
                <w:szCs w:val="16"/>
              </w:rPr>
            </w:pPr>
            <w:r w:rsidRPr="0012790E">
              <w:rPr>
                <w:szCs w:val="16"/>
              </w:rPr>
              <w:noBreakHyphen/>
            </w:r>
          </w:p>
        </w:tc>
        <w:tc>
          <w:tcPr>
            <w:tcW w:w="851" w:type="dxa"/>
            <w:shd w:val="clear" w:color="auto" w:fill="E6F2FF"/>
            <w:vAlign w:val="bottom"/>
          </w:tcPr>
          <w:p w14:paraId="03A5DA2F" w14:textId="77777777" w:rsidR="0030621F" w:rsidRPr="0012790E" w:rsidRDefault="0030621F" w:rsidP="0030621F">
            <w:pPr>
              <w:pStyle w:val="Summarytabletextrightaligned"/>
              <w:rPr>
                <w:szCs w:val="16"/>
              </w:rPr>
            </w:pPr>
            <w:r w:rsidRPr="0012790E">
              <w:rPr>
                <w:szCs w:val="16"/>
              </w:rPr>
              <w:t>0.5</w:t>
            </w:r>
          </w:p>
        </w:tc>
        <w:tc>
          <w:tcPr>
            <w:tcW w:w="851" w:type="dxa"/>
            <w:vAlign w:val="bottom"/>
          </w:tcPr>
          <w:p w14:paraId="0CAFF5F3" w14:textId="77777777" w:rsidR="0030621F" w:rsidRPr="0012790E" w:rsidRDefault="0030621F" w:rsidP="0030621F">
            <w:pPr>
              <w:pStyle w:val="Summarytabletextrightaligned"/>
              <w:rPr>
                <w:szCs w:val="16"/>
              </w:rPr>
            </w:pPr>
            <w:r w:rsidRPr="0012790E">
              <w:rPr>
                <w:szCs w:val="16"/>
              </w:rPr>
              <w:t>..</w:t>
            </w:r>
          </w:p>
        </w:tc>
        <w:tc>
          <w:tcPr>
            <w:tcW w:w="851" w:type="dxa"/>
            <w:vAlign w:val="bottom"/>
          </w:tcPr>
          <w:p w14:paraId="557B1995" w14:textId="77777777" w:rsidR="0030621F" w:rsidRPr="0012790E" w:rsidRDefault="0030621F" w:rsidP="0030621F">
            <w:pPr>
              <w:pStyle w:val="Summarytabletextrightaligned"/>
              <w:rPr>
                <w:szCs w:val="16"/>
              </w:rPr>
            </w:pPr>
            <w:r w:rsidRPr="0012790E">
              <w:rPr>
                <w:szCs w:val="16"/>
              </w:rPr>
              <w:noBreakHyphen/>
            </w:r>
          </w:p>
        </w:tc>
        <w:tc>
          <w:tcPr>
            <w:tcW w:w="851" w:type="dxa"/>
            <w:vAlign w:val="bottom"/>
          </w:tcPr>
          <w:p w14:paraId="6E914CB5" w14:textId="77777777" w:rsidR="0030621F" w:rsidRPr="0012790E" w:rsidRDefault="0030621F" w:rsidP="0030621F">
            <w:pPr>
              <w:pStyle w:val="Summarytabletextrightaligned"/>
              <w:rPr>
                <w:szCs w:val="16"/>
              </w:rPr>
            </w:pPr>
            <w:r w:rsidRPr="0012790E">
              <w:rPr>
                <w:szCs w:val="16"/>
              </w:rPr>
              <w:noBreakHyphen/>
            </w:r>
          </w:p>
        </w:tc>
      </w:tr>
      <w:tr w:rsidR="0030621F" w:rsidRPr="0012790E" w14:paraId="3A982450" w14:textId="77777777">
        <w:tc>
          <w:tcPr>
            <w:tcW w:w="3470" w:type="dxa"/>
            <w:shd w:val="clear" w:color="auto" w:fill="auto"/>
            <w:vAlign w:val="bottom"/>
          </w:tcPr>
          <w:p w14:paraId="331CFF61" w14:textId="77777777" w:rsidR="0030621F" w:rsidRPr="0012790E" w:rsidRDefault="0030621F" w:rsidP="0030621F">
            <w:pPr>
              <w:pStyle w:val="SummaryMeasureTitlewithTheme"/>
            </w:pPr>
            <w:r w:rsidRPr="0012790E">
              <w:t>Child Care Subsidy Reform – further measures for strong and sustainable foundations</w:t>
            </w:r>
          </w:p>
        </w:tc>
        <w:tc>
          <w:tcPr>
            <w:tcW w:w="851" w:type="dxa"/>
            <w:vAlign w:val="bottom"/>
          </w:tcPr>
          <w:p w14:paraId="7A7E04CD" w14:textId="77777777" w:rsidR="0030621F" w:rsidRPr="0012790E" w:rsidRDefault="0030621F" w:rsidP="0030621F">
            <w:pPr>
              <w:pStyle w:val="Summarytabletextrightaligned"/>
              <w:rPr>
                <w:szCs w:val="16"/>
              </w:rPr>
            </w:pPr>
            <w:r w:rsidRPr="0012790E">
              <w:rPr>
                <w:szCs w:val="16"/>
              </w:rPr>
              <w:noBreakHyphen/>
            </w:r>
          </w:p>
        </w:tc>
        <w:tc>
          <w:tcPr>
            <w:tcW w:w="851" w:type="dxa"/>
            <w:shd w:val="clear" w:color="auto" w:fill="E6F2FF"/>
            <w:vAlign w:val="bottom"/>
          </w:tcPr>
          <w:p w14:paraId="4F8B2123" w14:textId="77777777" w:rsidR="0030621F" w:rsidRPr="0012790E" w:rsidRDefault="0030621F" w:rsidP="0030621F">
            <w:pPr>
              <w:pStyle w:val="Summarytabletextrightaligned"/>
              <w:rPr>
                <w:szCs w:val="16"/>
              </w:rPr>
            </w:pPr>
            <w:r w:rsidRPr="0012790E">
              <w:rPr>
                <w:szCs w:val="16"/>
              </w:rPr>
              <w:t>2.3</w:t>
            </w:r>
          </w:p>
        </w:tc>
        <w:tc>
          <w:tcPr>
            <w:tcW w:w="851" w:type="dxa"/>
            <w:vAlign w:val="bottom"/>
          </w:tcPr>
          <w:p w14:paraId="27830E83" w14:textId="77777777" w:rsidR="0030621F" w:rsidRPr="0012790E" w:rsidRDefault="0030621F" w:rsidP="0030621F">
            <w:pPr>
              <w:pStyle w:val="Summarytabletextrightaligned"/>
              <w:rPr>
                <w:szCs w:val="16"/>
              </w:rPr>
            </w:pPr>
            <w:r w:rsidRPr="0012790E">
              <w:rPr>
                <w:szCs w:val="16"/>
              </w:rPr>
              <w:t>1.9</w:t>
            </w:r>
          </w:p>
        </w:tc>
        <w:tc>
          <w:tcPr>
            <w:tcW w:w="851" w:type="dxa"/>
            <w:vAlign w:val="bottom"/>
          </w:tcPr>
          <w:p w14:paraId="69D0866A" w14:textId="77777777" w:rsidR="0030621F" w:rsidRPr="0012790E" w:rsidRDefault="0030621F" w:rsidP="0030621F">
            <w:pPr>
              <w:pStyle w:val="Summarytabletextrightaligned"/>
              <w:rPr>
                <w:szCs w:val="16"/>
              </w:rPr>
            </w:pPr>
            <w:r w:rsidRPr="0012790E">
              <w:rPr>
                <w:szCs w:val="16"/>
              </w:rPr>
              <w:t>0.3</w:t>
            </w:r>
          </w:p>
        </w:tc>
        <w:tc>
          <w:tcPr>
            <w:tcW w:w="851" w:type="dxa"/>
            <w:vAlign w:val="bottom"/>
          </w:tcPr>
          <w:p w14:paraId="7FC16DA4" w14:textId="77777777" w:rsidR="0030621F" w:rsidRPr="0012790E" w:rsidRDefault="0030621F" w:rsidP="0030621F">
            <w:pPr>
              <w:pStyle w:val="Summarytabletextrightaligned"/>
              <w:rPr>
                <w:szCs w:val="16"/>
              </w:rPr>
            </w:pPr>
            <w:r w:rsidRPr="0012790E">
              <w:rPr>
                <w:szCs w:val="16"/>
              </w:rPr>
              <w:t>0.2</w:t>
            </w:r>
          </w:p>
        </w:tc>
      </w:tr>
      <w:tr w:rsidR="0030621F" w:rsidRPr="0012790E" w14:paraId="6BBD6C8C" w14:textId="77777777">
        <w:tc>
          <w:tcPr>
            <w:tcW w:w="3470" w:type="dxa"/>
            <w:shd w:val="clear" w:color="auto" w:fill="auto"/>
            <w:vAlign w:val="bottom"/>
          </w:tcPr>
          <w:p w14:paraId="79B5F517" w14:textId="77777777" w:rsidR="0030621F" w:rsidRPr="0012790E" w:rsidRDefault="0030621F" w:rsidP="0030621F">
            <w:pPr>
              <w:pStyle w:val="SummaryMeasureTitlewithTheme"/>
            </w:pPr>
            <w:r w:rsidRPr="0012790E">
              <w:t>Commonwealth Government</w:t>
            </w:r>
            <w:r w:rsidRPr="0012790E">
              <w:noBreakHyphen/>
              <w:t>Funded Paid Parental Leave – enhancement(b)</w:t>
            </w:r>
          </w:p>
        </w:tc>
        <w:tc>
          <w:tcPr>
            <w:tcW w:w="851" w:type="dxa"/>
            <w:vAlign w:val="bottom"/>
          </w:tcPr>
          <w:p w14:paraId="54886000" w14:textId="77777777" w:rsidR="0030621F" w:rsidRPr="0012790E" w:rsidRDefault="0030621F" w:rsidP="0030621F">
            <w:pPr>
              <w:pStyle w:val="Summarytabletextrightaligned"/>
              <w:rPr>
                <w:szCs w:val="16"/>
              </w:rPr>
            </w:pPr>
            <w:r w:rsidRPr="0012790E">
              <w:rPr>
                <w:szCs w:val="16"/>
              </w:rPr>
              <w:noBreakHyphen/>
            </w:r>
          </w:p>
        </w:tc>
        <w:tc>
          <w:tcPr>
            <w:tcW w:w="851" w:type="dxa"/>
            <w:shd w:val="clear" w:color="auto" w:fill="E6F2FF"/>
            <w:vAlign w:val="bottom"/>
          </w:tcPr>
          <w:p w14:paraId="0ED7C887" w14:textId="77777777" w:rsidR="0030621F" w:rsidRPr="0012790E" w:rsidRDefault="0030621F" w:rsidP="0030621F">
            <w:pPr>
              <w:pStyle w:val="Summarytabletextrightaligned"/>
              <w:rPr>
                <w:szCs w:val="16"/>
              </w:rPr>
            </w:pPr>
            <w:r w:rsidRPr="0012790E">
              <w:rPr>
                <w:szCs w:val="16"/>
              </w:rPr>
              <w:t>2.5</w:t>
            </w:r>
          </w:p>
        </w:tc>
        <w:tc>
          <w:tcPr>
            <w:tcW w:w="851" w:type="dxa"/>
            <w:vAlign w:val="bottom"/>
          </w:tcPr>
          <w:p w14:paraId="0734A56F" w14:textId="77777777" w:rsidR="0030621F" w:rsidRPr="0012790E" w:rsidRDefault="0030621F" w:rsidP="0030621F">
            <w:pPr>
              <w:pStyle w:val="Summarytabletextrightaligned"/>
              <w:rPr>
                <w:szCs w:val="16"/>
              </w:rPr>
            </w:pPr>
            <w:r w:rsidRPr="0012790E">
              <w:rPr>
                <w:szCs w:val="16"/>
              </w:rPr>
              <w:t>16.4</w:t>
            </w:r>
          </w:p>
        </w:tc>
        <w:tc>
          <w:tcPr>
            <w:tcW w:w="851" w:type="dxa"/>
            <w:vAlign w:val="bottom"/>
          </w:tcPr>
          <w:p w14:paraId="09BB4442" w14:textId="77777777" w:rsidR="0030621F" w:rsidRPr="0012790E" w:rsidRDefault="0030621F" w:rsidP="0030621F">
            <w:pPr>
              <w:pStyle w:val="Summarytabletextrightaligned"/>
              <w:rPr>
                <w:szCs w:val="16"/>
              </w:rPr>
            </w:pPr>
            <w:r w:rsidRPr="0012790E">
              <w:rPr>
                <w:szCs w:val="16"/>
              </w:rPr>
              <w:t>3.2</w:t>
            </w:r>
          </w:p>
        </w:tc>
        <w:tc>
          <w:tcPr>
            <w:tcW w:w="851" w:type="dxa"/>
            <w:vAlign w:val="bottom"/>
          </w:tcPr>
          <w:p w14:paraId="70363C8A" w14:textId="77777777" w:rsidR="0030621F" w:rsidRPr="0012790E" w:rsidRDefault="0030621F" w:rsidP="0030621F">
            <w:pPr>
              <w:pStyle w:val="Summarytabletextrightaligned"/>
              <w:rPr>
                <w:szCs w:val="16"/>
              </w:rPr>
            </w:pPr>
            <w:r w:rsidRPr="0012790E">
              <w:rPr>
                <w:szCs w:val="16"/>
              </w:rPr>
              <w:t>4.8</w:t>
            </w:r>
          </w:p>
        </w:tc>
      </w:tr>
      <w:tr w:rsidR="0030621F" w:rsidRPr="0012790E" w14:paraId="28E3761B" w14:textId="77777777">
        <w:tc>
          <w:tcPr>
            <w:tcW w:w="3470" w:type="dxa"/>
            <w:shd w:val="clear" w:color="auto" w:fill="auto"/>
            <w:vAlign w:val="bottom"/>
          </w:tcPr>
          <w:p w14:paraId="5CFA1EC9" w14:textId="77777777" w:rsidR="0030621F" w:rsidRPr="0012790E" w:rsidRDefault="0030621F" w:rsidP="0030621F">
            <w:pPr>
              <w:pStyle w:val="SummaryMeasureTitlewithTheme"/>
            </w:pPr>
            <w:r w:rsidRPr="0012790E">
              <w:t>Cyber Security of Regulators and Improving Registers(b)</w:t>
            </w:r>
          </w:p>
        </w:tc>
        <w:tc>
          <w:tcPr>
            <w:tcW w:w="851" w:type="dxa"/>
            <w:vAlign w:val="bottom"/>
          </w:tcPr>
          <w:p w14:paraId="027BDC77" w14:textId="77777777" w:rsidR="0030621F" w:rsidRPr="0012790E" w:rsidRDefault="0030621F" w:rsidP="0030621F">
            <w:pPr>
              <w:pStyle w:val="Summarytabletextrightaligned"/>
              <w:rPr>
                <w:szCs w:val="16"/>
              </w:rPr>
            </w:pPr>
            <w:r w:rsidRPr="0012790E">
              <w:rPr>
                <w:szCs w:val="16"/>
              </w:rPr>
              <w:noBreakHyphen/>
            </w:r>
          </w:p>
        </w:tc>
        <w:tc>
          <w:tcPr>
            <w:tcW w:w="851" w:type="dxa"/>
            <w:shd w:val="clear" w:color="auto" w:fill="E6F2FF"/>
            <w:vAlign w:val="bottom"/>
          </w:tcPr>
          <w:p w14:paraId="64C573BB" w14:textId="77777777" w:rsidR="0030621F" w:rsidRPr="0012790E" w:rsidRDefault="0030621F" w:rsidP="0030621F">
            <w:pPr>
              <w:pStyle w:val="Summarytabletextrightaligned"/>
              <w:rPr>
                <w:szCs w:val="16"/>
              </w:rPr>
            </w:pPr>
            <w:r w:rsidRPr="0012790E">
              <w:rPr>
                <w:szCs w:val="16"/>
              </w:rPr>
              <w:t>4.2</w:t>
            </w:r>
          </w:p>
        </w:tc>
        <w:tc>
          <w:tcPr>
            <w:tcW w:w="851" w:type="dxa"/>
            <w:vAlign w:val="bottom"/>
          </w:tcPr>
          <w:p w14:paraId="05F5B71D" w14:textId="77777777" w:rsidR="0030621F" w:rsidRPr="0012790E" w:rsidRDefault="0030621F" w:rsidP="0030621F">
            <w:pPr>
              <w:pStyle w:val="Summarytabletextrightaligned"/>
              <w:rPr>
                <w:szCs w:val="16"/>
              </w:rPr>
            </w:pPr>
            <w:r w:rsidRPr="0012790E">
              <w:rPr>
                <w:szCs w:val="16"/>
              </w:rPr>
              <w:noBreakHyphen/>
            </w:r>
          </w:p>
        </w:tc>
        <w:tc>
          <w:tcPr>
            <w:tcW w:w="851" w:type="dxa"/>
            <w:vAlign w:val="bottom"/>
          </w:tcPr>
          <w:p w14:paraId="3E7E8669" w14:textId="77777777" w:rsidR="0030621F" w:rsidRPr="0012790E" w:rsidRDefault="0030621F" w:rsidP="0030621F">
            <w:pPr>
              <w:pStyle w:val="Summarytabletextrightaligned"/>
              <w:rPr>
                <w:szCs w:val="16"/>
              </w:rPr>
            </w:pPr>
            <w:r w:rsidRPr="0012790E">
              <w:rPr>
                <w:szCs w:val="16"/>
              </w:rPr>
              <w:noBreakHyphen/>
            </w:r>
          </w:p>
        </w:tc>
        <w:tc>
          <w:tcPr>
            <w:tcW w:w="851" w:type="dxa"/>
            <w:vAlign w:val="bottom"/>
          </w:tcPr>
          <w:p w14:paraId="16F750CD" w14:textId="77777777" w:rsidR="0030621F" w:rsidRPr="0012790E" w:rsidRDefault="0030621F" w:rsidP="0030621F">
            <w:pPr>
              <w:pStyle w:val="Summarytabletextrightaligned"/>
              <w:rPr>
                <w:szCs w:val="16"/>
              </w:rPr>
            </w:pPr>
            <w:r w:rsidRPr="0012790E">
              <w:rPr>
                <w:szCs w:val="16"/>
              </w:rPr>
              <w:noBreakHyphen/>
            </w:r>
          </w:p>
        </w:tc>
      </w:tr>
      <w:tr w:rsidR="0030621F" w:rsidRPr="0012790E" w14:paraId="2C03A1C6" w14:textId="77777777">
        <w:tc>
          <w:tcPr>
            <w:tcW w:w="3470" w:type="dxa"/>
            <w:shd w:val="clear" w:color="auto" w:fill="auto"/>
            <w:vAlign w:val="bottom"/>
          </w:tcPr>
          <w:p w14:paraId="3936B50A" w14:textId="77777777" w:rsidR="0030621F" w:rsidRPr="0012790E" w:rsidRDefault="0030621F" w:rsidP="0030621F">
            <w:pPr>
              <w:pStyle w:val="SummaryMeasureTitlewithTheme"/>
            </w:pPr>
            <w:r w:rsidRPr="0012790E">
              <w:t>Digital ID</w:t>
            </w:r>
          </w:p>
        </w:tc>
        <w:tc>
          <w:tcPr>
            <w:tcW w:w="851" w:type="dxa"/>
            <w:vAlign w:val="bottom"/>
          </w:tcPr>
          <w:p w14:paraId="02CC0233" w14:textId="77777777" w:rsidR="0030621F" w:rsidRPr="0012790E" w:rsidRDefault="0030621F" w:rsidP="0030621F">
            <w:pPr>
              <w:pStyle w:val="Summarytabletextrightaligned"/>
              <w:rPr>
                <w:szCs w:val="16"/>
              </w:rPr>
            </w:pPr>
            <w:r w:rsidRPr="0012790E">
              <w:rPr>
                <w:szCs w:val="16"/>
              </w:rPr>
              <w:noBreakHyphen/>
            </w:r>
          </w:p>
        </w:tc>
        <w:tc>
          <w:tcPr>
            <w:tcW w:w="851" w:type="dxa"/>
            <w:shd w:val="clear" w:color="auto" w:fill="E6F2FF"/>
            <w:vAlign w:val="bottom"/>
          </w:tcPr>
          <w:p w14:paraId="677D0F87" w14:textId="77777777" w:rsidR="0030621F" w:rsidRPr="0012790E" w:rsidRDefault="0030621F" w:rsidP="0030621F">
            <w:pPr>
              <w:pStyle w:val="Summarytabletextrightaligned"/>
              <w:rPr>
                <w:szCs w:val="16"/>
              </w:rPr>
            </w:pPr>
            <w:r w:rsidRPr="0012790E">
              <w:rPr>
                <w:szCs w:val="16"/>
              </w:rPr>
              <w:t>82.6</w:t>
            </w:r>
          </w:p>
        </w:tc>
        <w:tc>
          <w:tcPr>
            <w:tcW w:w="851" w:type="dxa"/>
            <w:vAlign w:val="bottom"/>
          </w:tcPr>
          <w:p w14:paraId="43C9A64E" w14:textId="77777777" w:rsidR="0030621F" w:rsidRPr="0012790E" w:rsidRDefault="0030621F" w:rsidP="0030621F">
            <w:pPr>
              <w:pStyle w:val="Summarytabletextrightaligned"/>
              <w:rPr>
                <w:szCs w:val="16"/>
              </w:rPr>
            </w:pPr>
            <w:r w:rsidRPr="0012790E">
              <w:rPr>
                <w:szCs w:val="16"/>
              </w:rPr>
              <w:t>75.0</w:t>
            </w:r>
          </w:p>
        </w:tc>
        <w:tc>
          <w:tcPr>
            <w:tcW w:w="851" w:type="dxa"/>
            <w:vAlign w:val="bottom"/>
          </w:tcPr>
          <w:p w14:paraId="29FDDD46" w14:textId="77777777" w:rsidR="0030621F" w:rsidRPr="0012790E" w:rsidRDefault="0030621F" w:rsidP="0030621F">
            <w:pPr>
              <w:pStyle w:val="Summarytabletextrightaligned"/>
              <w:rPr>
                <w:szCs w:val="16"/>
              </w:rPr>
            </w:pPr>
            <w:r w:rsidRPr="0012790E">
              <w:rPr>
                <w:szCs w:val="16"/>
              </w:rPr>
              <w:noBreakHyphen/>
            </w:r>
          </w:p>
        </w:tc>
        <w:tc>
          <w:tcPr>
            <w:tcW w:w="851" w:type="dxa"/>
            <w:vAlign w:val="bottom"/>
          </w:tcPr>
          <w:p w14:paraId="0B1E7F3B" w14:textId="77777777" w:rsidR="0030621F" w:rsidRPr="0012790E" w:rsidRDefault="0030621F" w:rsidP="0030621F">
            <w:pPr>
              <w:pStyle w:val="Summarytabletextrightaligned"/>
              <w:rPr>
                <w:szCs w:val="16"/>
              </w:rPr>
            </w:pPr>
            <w:r w:rsidRPr="0012790E">
              <w:rPr>
                <w:szCs w:val="16"/>
              </w:rPr>
              <w:noBreakHyphen/>
            </w:r>
          </w:p>
        </w:tc>
      </w:tr>
      <w:tr w:rsidR="0030621F" w:rsidRPr="0012790E" w14:paraId="5E7CEAFA" w14:textId="77777777">
        <w:tc>
          <w:tcPr>
            <w:tcW w:w="3470" w:type="dxa"/>
            <w:tcBorders>
              <w:bottom w:val="single" w:sz="4" w:space="0" w:color="293F5B"/>
            </w:tcBorders>
            <w:shd w:val="clear" w:color="auto" w:fill="auto"/>
            <w:vAlign w:val="bottom"/>
          </w:tcPr>
          <w:p w14:paraId="2261EA45" w14:textId="77777777" w:rsidR="0030621F" w:rsidRPr="0012790E" w:rsidRDefault="0030621F" w:rsidP="0030621F">
            <w:pPr>
              <w:pStyle w:val="SummaryMeasureTitlewithTheme"/>
            </w:pPr>
            <w:r w:rsidRPr="0012790E">
              <w:t>Employment Services Reform</w:t>
            </w:r>
          </w:p>
        </w:tc>
        <w:tc>
          <w:tcPr>
            <w:tcW w:w="851" w:type="dxa"/>
            <w:tcBorders>
              <w:bottom w:val="single" w:sz="4" w:space="0" w:color="293F5B"/>
            </w:tcBorders>
            <w:vAlign w:val="bottom"/>
          </w:tcPr>
          <w:p w14:paraId="21651B88" w14:textId="77777777" w:rsidR="0030621F" w:rsidRPr="0012790E" w:rsidRDefault="0030621F" w:rsidP="0030621F">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3EDDE84E" w14:textId="77777777" w:rsidR="0030621F" w:rsidRPr="0012790E" w:rsidRDefault="0030621F" w:rsidP="0030621F">
            <w:pPr>
              <w:pStyle w:val="Summarytabletextrightaligned"/>
              <w:rPr>
                <w:szCs w:val="16"/>
              </w:rPr>
            </w:pPr>
            <w:r w:rsidRPr="0012790E">
              <w:rPr>
                <w:szCs w:val="16"/>
              </w:rPr>
              <w:t>1.3</w:t>
            </w:r>
          </w:p>
        </w:tc>
        <w:tc>
          <w:tcPr>
            <w:tcW w:w="851" w:type="dxa"/>
            <w:tcBorders>
              <w:bottom w:val="single" w:sz="4" w:space="0" w:color="293F5B"/>
            </w:tcBorders>
            <w:vAlign w:val="bottom"/>
          </w:tcPr>
          <w:p w14:paraId="6225BF24" w14:textId="77777777" w:rsidR="0030621F" w:rsidRPr="0012790E" w:rsidRDefault="0030621F" w:rsidP="0030621F">
            <w:pPr>
              <w:pStyle w:val="Summarytabletextrightaligned"/>
              <w:rPr>
                <w:szCs w:val="16"/>
              </w:rPr>
            </w:pPr>
            <w:r w:rsidRPr="0012790E">
              <w:rPr>
                <w:szCs w:val="16"/>
              </w:rPr>
              <w:noBreakHyphen/>
            </w:r>
          </w:p>
        </w:tc>
        <w:tc>
          <w:tcPr>
            <w:tcW w:w="851" w:type="dxa"/>
            <w:tcBorders>
              <w:bottom w:val="single" w:sz="4" w:space="0" w:color="293F5B"/>
            </w:tcBorders>
            <w:vAlign w:val="bottom"/>
          </w:tcPr>
          <w:p w14:paraId="5D22BADE" w14:textId="77777777" w:rsidR="0030621F" w:rsidRPr="0012790E" w:rsidRDefault="0030621F" w:rsidP="0030621F">
            <w:pPr>
              <w:pStyle w:val="Summarytabletextrightaligned"/>
              <w:rPr>
                <w:szCs w:val="16"/>
              </w:rPr>
            </w:pPr>
            <w:r w:rsidRPr="0012790E">
              <w:rPr>
                <w:szCs w:val="16"/>
              </w:rPr>
              <w:noBreakHyphen/>
            </w:r>
          </w:p>
        </w:tc>
        <w:tc>
          <w:tcPr>
            <w:tcW w:w="851" w:type="dxa"/>
            <w:tcBorders>
              <w:bottom w:val="single" w:sz="4" w:space="0" w:color="293F5B"/>
            </w:tcBorders>
            <w:vAlign w:val="bottom"/>
          </w:tcPr>
          <w:p w14:paraId="1867BAFB" w14:textId="77777777" w:rsidR="0030621F" w:rsidRPr="0012790E" w:rsidRDefault="0030621F" w:rsidP="0030621F">
            <w:pPr>
              <w:pStyle w:val="Summarytabletextrightaligned"/>
              <w:rPr>
                <w:szCs w:val="16"/>
              </w:rPr>
            </w:pPr>
            <w:r w:rsidRPr="0012790E">
              <w:rPr>
                <w:szCs w:val="16"/>
              </w:rPr>
              <w:noBreakHyphen/>
            </w:r>
          </w:p>
        </w:tc>
      </w:tr>
    </w:tbl>
    <w:p w14:paraId="794F50B5" w14:textId="77777777" w:rsidR="0012790E" w:rsidRPr="0012790E" w:rsidRDefault="0012790E" w:rsidP="0012790E">
      <w:pPr>
        <w:pStyle w:val="TableHeadingcontinued"/>
        <w:sectPr w:rsidR="0012790E" w:rsidRPr="0012790E" w:rsidSect="00EA5BFE">
          <w:headerReference w:type="even" r:id="rId111"/>
          <w:headerReference w:type="default" r:id="rId112"/>
          <w:footerReference w:type="even" r:id="rId113"/>
          <w:footerReference w:type="default" r:id="rId114"/>
          <w:footerReference w:type="first" r:id="rId115"/>
          <w:pgSz w:w="11905" w:h="16837"/>
          <w:pgMar w:top="2835" w:right="2098" w:bottom="2466" w:left="2098" w:header="1814" w:footer="1814" w:gutter="0"/>
          <w:cols w:space="720"/>
          <w:noEndnote/>
          <w:docGrid w:linePitch="272"/>
        </w:sectPr>
      </w:pPr>
    </w:p>
    <w:p w14:paraId="6A498A94" w14:textId="77777777" w:rsidR="0012790E" w:rsidRPr="0012790E" w:rsidRDefault="0012790E" w:rsidP="0012790E">
      <w:pPr>
        <w:pStyle w:val="TableHeadingcontinued"/>
        <w:rPr>
          <w:szCs w:val="16"/>
        </w:rPr>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5C7AC717" w14:textId="77777777">
        <w:tc>
          <w:tcPr>
            <w:tcW w:w="3470" w:type="dxa"/>
            <w:tcBorders>
              <w:top w:val="single" w:sz="4" w:space="0" w:color="293F5B"/>
            </w:tcBorders>
            <w:shd w:val="clear" w:color="auto" w:fill="auto"/>
            <w:vAlign w:val="bottom"/>
          </w:tcPr>
          <w:p w14:paraId="22564807"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6315FC79"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5D83962E"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1C2555F4"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5F5F330D"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62366984"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6EBAAC1E" w14:textId="77777777">
        <w:tc>
          <w:tcPr>
            <w:tcW w:w="3470" w:type="dxa"/>
            <w:shd w:val="clear" w:color="auto" w:fill="auto"/>
            <w:vAlign w:val="bottom"/>
          </w:tcPr>
          <w:p w14:paraId="6D34AAE6" w14:textId="77777777" w:rsidR="0012790E" w:rsidRPr="0012790E" w:rsidRDefault="0012790E">
            <w:pPr>
              <w:pStyle w:val="Summarytabletextrightaligned"/>
            </w:pPr>
          </w:p>
        </w:tc>
        <w:tc>
          <w:tcPr>
            <w:tcW w:w="851" w:type="dxa"/>
            <w:tcBorders>
              <w:bottom w:val="single" w:sz="4" w:space="0" w:color="293F5B"/>
            </w:tcBorders>
            <w:vAlign w:val="bottom"/>
          </w:tcPr>
          <w:p w14:paraId="188D28D3"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7A63F673"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67F284C6"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5DDC8874"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706BB2E3" w14:textId="77777777" w:rsidR="0012790E" w:rsidRPr="0012790E" w:rsidRDefault="0012790E">
            <w:pPr>
              <w:pStyle w:val="Summarytabletextrightaligned"/>
            </w:pPr>
            <w:r w:rsidRPr="0012790E">
              <w:t>$m</w:t>
            </w:r>
          </w:p>
        </w:tc>
      </w:tr>
      <w:tr w:rsidR="0012790E" w:rsidRPr="0012790E" w14:paraId="0F0D521D" w14:textId="77777777">
        <w:tc>
          <w:tcPr>
            <w:tcW w:w="3470" w:type="dxa"/>
            <w:shd w:val="clear" w:color="auto" w:fill="auto"/>
            <w:vAlign w:val="bottom"/>
          </w:tcPr>
          <w:p w14:paraId="0A69EC45" w14:textId="77777777" w:rsidR="0012790E" w:rsidRPr="0012790E" w:rsidRDefault="0012790E" w:rsidP="000D3386">
            <w:pPr>
              <w:pStyle w:val="SummaryMeasureTitlewithTheme"/>
              <w:ind w:hanging="340"/>
              <w:rPr>
                <w:rFonts w:cs="Arial"/>
                <w:b/>
              </w:rPr>
            </w:pPr>
            <w:r w:rsidRPr="0012790E">
              <w:rPr>
                <w:rFonts w:cs="Arial"/>
                <w:b/>
              </w:rPr>
              <w:t>TREASURY (continued)</w:t>
            </w:r>
          </w:p>
        </w:tc>
        <w:tc>
          <w:tcPr>
            <w:tcW w:w="851" w:type="dxa"/>
            <w:vAlign w:val="bottom"/>
          </w:tcPr>
          <w:p w14:paraId="1C99BFCD" w14:textId="77777777" w:rsidR="0012790E" w:rsidRPr="0012790E" w:rsidRDefault="0012790E">
            <w:pPr>
              <w:pStyle w:val="Summarytabletextrightaligned"/>
              <w:rPr>
                <w:szCs w:val="16"/>
              </w:rPr>
            </w:pPr>
          </w:p>
        </w:tc>
        <w:tc>
          <w:tcPr>
            <w:tcW w:w="851" w:type="dxa"/>
            <w:shd w:val="clear" w:color="auto" w:fill="E6F2FF"/>
            <w:vAlign w:val="bottom"/>
          </w:tcPr>
          <w:p w14:paraId="515FDFCE" w14:textId="77777777" w:rsidR="0012790E" w:rsidRPr="0012790E" w:rsidRDefault="0012790E">
            <w:pPr>
              <w:pStyle w:val="Summarytabletextrightaligned"/>
              <w:rPr>
                <w:szCs w:val="16"/>
              </w:rPr>
            </w:pPr>
          </w:p>
        </w:tc>
        <w:tc>
          <w:tcPr>
            <w:tcW w:w="851" w:type="dxa"/>
            <w:vAlign w:val="bottom"/>
          </w:tcPr>
          <w:p w14:paraId="6619D4D9" w14:textId="77777777" w:rsidR="0012790E" w:rsidRPr="0012790E" w:rsidRDefault="0012790E">
            <w:pPr>
              <w:pStyle w:val="Summarytabletextrightaligned"/>
              <w:rPr>
                <w:szCs w:val="16"/>
              </w:rPr>
            </w:pPr>
          </w:p>
        </w:tc>
        <w:tc>
          <w:tcPr>
            <w:tcW w:w="851" w:type="dxa"/>
            <w:vAlign w:val="bottom"/>
          </w:tcPr>
          <w:p w14:paraId="08078212" w14:textId="77777777" w:rsidR="0012790E" w:rsidRPr="0012790E" w:rsidRDefault="0012790E">
            <w:pPr>
              <w:pStyle w:val="Summarytabletextrightaligned"/>
              <w:rPr>
                <w:szCs w:val="16"/>
              </w:rPr>
            </w:pPr>
          </w:p>
        </w:tc>
        <w:tc>
          <w:tcPr>
            <w:tcW w:w="851" w:type="dxa"/>
            <w:vAlign w:val="bottom"/>
          </w:tcPr>
          <w:p w14:paraId="23159BF9" w14:textId="77777777" w:rsidR="0012790E" w:rsidRPr="0012790E" w:rsidRDefault="0012790E">
            <w:pPr>
              <w:pStyle w:val="Summarytabletextrightaligned"/>
              <w:rPr>
                <w:szCs w:val="16"/>
              </w:rPr>
            </w:pPr>
          </w:p>
        </w:tc>
      </w:tr>
      <w:tr w:rsidR="0012790E" w:rsidRPr="0012790E" w14:paraId="37734DDC" w14:textId="77777777">
        <w:tc>
          <w:tcPr>
            <w:tcW w:w="3470" w:type="dxa"/>
            <w:shd w:val="clear" w:color="auto" w:fill="auto"/>
            <w:vAlign w:val="bottom"/>
          </w:tcPr>
          <w:p w14:paraId="0D13CDEC" w14:textId="77777777" w:rsidR="0012790E" w:rsidRPr="0012790E" w:rsidRDefault="0012790E">
            <w:pPr>
              <w:pStyle w:val="SummaryMeasureTitlewithTheme"/>
            </w:pPr>
            <w:r w:rsidRPr="0012790E">
              <w:t>Fighting Scams(b)</w:t>
            </w:r>
          </w:p>
        </w:tc>
        <w:tc>
          <w:tcPr>
            <w:tcW w:w="851" w:type="dxa"/>
            <w:vAlign w:val="bottom"/>
          </w:tcPr>
          <w:p w14:paraId="4BCF90BA"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4F02009" w14:textId="77777777" w:rsidR="0012790E" w:rsidRPr="0012790E" w:rsidRDefault="0012790E">
            <w:pPr>
              <w:pStyle w:val="Summarytabletextrightaligned"/>
              <w:rPr>
                <w:szCs w:val="16"/>
              </w:rPr>
            </w:pPr>
            <w:r w:rsidRPr="0012790E">
              <w:rPr>
                <w:szCs w:val="16"/>
              </w:rPr>
              <w:t>7.6</w:t>
            </w:r>
          </w:p>
        </w:tc>
        <w:tc>
          <w:tcPr>
            <w:tcW w:w="851" w:type="dxa"/>
            <w:vAlign w:val="bottom"/>
          </w:tcPr>
          <w:p w14:paraId="3B09EBC3" w14:textId="77777777" w:rsidR="0012790E" w:rsidRPr="0012790E" w:rsidRDefault="0012790E">
            <w:pPr>
              <w:pStyle w:val="Summarytabletextrightaligned"/>
              <w:rPr>
                <w:szCs w:val="16"/>
              </w:rPr>
            </w:pPr>
            <w:r w:rsidRPr="0012790E">
              <w:rPr>
                <w:szCs w:val="16"/>
              </w:rPr>
              <w:t>6.2</w:t>
            </w:r>
          </w:p>
        </w:tc>
        <w:tc>
          <w:tcPr>
            <w:tcW w:w="851" w:type="dxa"/>
            <w:vAlign w:val="bottom"/>
          </w:tcPr>
          <w:p w14:paraId="06A6604D" w14:textId="77777777" w:rsidR="0012790E" w:rsidRPr="0012790E" w:rsidRDefault="0012790E">
            <w:pPr>
              <w:pStyle w:val="Summarytabletextrightaligned"/>
              <w:rPr>
                <w:szCs w:val="16"/>
              </w:rPr>
            </w:pPr>
            <w:r w:rsidRPr="0012790E">
              <w:rPr>
                <w:szCs w:val="16"/>
              </w:rPr>
              <w:t>5.4</w:t>
            </w:r>
          </w:p>
        </w:tc>
        <w:tc>
          <w:tcPr>
            <w:tcW w:w="851" w:type="dxa"/>
            <w:vAlign w:val="bottom"/>
          </w:tcPr>
          <w:p w14:paraId="37C90FE3" w14:textId="77777777" w:rsidR="0012790E" w:rsidRPr="0012790E" w:rsidRDefault="0012790E">
            <w:pPr>
              <w:pStyle w:val="Summarytabletextrightaligned"/>
              <w:rPr>
                <w:szCs w:val="16"/>
              </w:rPr>
            </w:pPr>
            <w:r w:rsidRPr="0012790E">
              <w:rPr>
                <w:szCs w:val="16"/>
              </w:rPr>
              <w:t>4.1</w:t>
            </w:r>
          </w:p>
        </w:tc>
      </w:tr>
      <w:tr w:rsidR="0012790E" w:rsidRPr="0012790E" w14:paraId="24ABD86B" w14:textId="77777777">
        <w:tc>
          <w:tcPr>
            <w:tcW w:w="3470" w:type="dxa"/>
            <w:shd w:val="clear" w:color="auto" w:fill="auto"/>
            <w:vAlign w:val="bottom"/>
          </w:tcPr>
          <w:p w14:paraId="5D7EB4F5" w14:textId="77777777" w:rsidR="0012790E" w:rsidRPr="0012790E" w:rsidRDefault="0012790E">
            <w:pPr>
              <w:pStyle w:val="SummaryMeasureTitlewithTheme"/>
            </w:pPr>
            <w:r w:rsidRPr="0012790E">
              <w:t>Future Made in Australia – Making Australia a Renewable Energy Superpower(b)</w:t>
            </w:r>
          </w:p>
        </w:tc>
        <w:tc>
          <w:tcPr>
            <w:tcW w:w="851" w:type="dxa"/>
            <w:vAlign w:val="bottom"/>
          </w:tcPr>
          <w:p w14:paraId="60F0F22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68658C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B095E68" w14:textId="77777777" w:rsidR="0012790E" w:rsidRPr="0012790E" w:rsidRDefault="0012790E">
            <w:pPr>
              <w:pStyle w:val="Summarytabletextrightaligned"/>
              <w:rPr>
                <w:szCs w:val="16"/>
              </w:rPr>
            </w:pPr>
            <w:r w:rsidRPr="0012790E">
              <w:rPr>
                <w:szCs w:val="16"/>
              </w:rPr>
              <w:t>0.4</w:t>
            </w:r>
          </w:p>
        </w:tc>
        <w:tc>
          <w:tcPr>
            <w:tcW w:w="851" w:type="dxa"/>
            <w:vAlign w:val="bottom"/>
          </w:tcPr>
          <w:p w14:paraId="71777C8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FF0D1C3" w14:textId="77777777" w:rsidR="0012790E" w:rsidRPr="0012790E" w:rsidRDefault="0012790E">
            <w:pPr>
              <w:pStyle w:val="Summarytabletextrightaligned"/>
              <w:rPr>
                <w:szCs w:val="16"/>
              </w:rPr>
            </w:pPr>
            <w:r w:rsidRPr="0012790E">
              <w:rPr>
                <w:szCs w:val="16"/>
              </w:rPr>
              <w:t>500.0</w:t>
            </w:r>
          </w:p>
        </w:tc>
      </w:tr>
      <w:tr w:rsidR="0012790E" w:rsidRPr="0012790E" w14:paraId="077DBC59" w14:textId="77777777">
        <w:tc>
          <w:tcPr>
            <w:tcW w:w="3470" w:type="dxa"/>
            <w:shd w:val="clear" w:color="auto" w:fill="auto"/>
            <w:vAlign w:val="bottom"/>
          </w:tcPr>
          <w:p w14:paraId="6F9A4BA6" w14:textId="77777777" w:rsidR="0012790E" w:rsidRPr="0012790E" w:rsidRDefault="0012790E">
            <w:pPr>
              <w:pStyle w:val="SummaryMeasureTitlewithTheme"/>
            </w:pPr>
            <w:r w:rsidRPr="0012790E">
              <w:t>Migration System Reforms(b)</w:t>
            </w:r>
          </w:p>
        </w:tc>
        <w:tc>
          <w:tcPr>
            <w:tcW w:w="851" w:type="dxa"/>
            <w:vAlign w:val="bottom"/>
          </w:tcPr>
          <w:p w14:paraId="0D5503C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17EFFD4" w14:textId="77777777" w:rsidR="0012790E" w:rsidRPr="0012790E" w:rsidRDefault="0012790E">
            <w:pPr>
              <w:pStyle w:val="Summarytabletextrightaligned"/>
              <w:rPr>
                <w:szCs w:val="16"/>
              </w:rPr>
            </w:pPr>
            <w:r w:rsidRPr="0012790E">
              <w:rPr>
                <w:szCs w:val="16"/>
              </w:rPr>
              <w:t>1.5</w:t>
            </w:r>
          </w:p>
        </w:tc>
        <w:tc>
          <w:tcPr>
            <w:tcW w:w="851" w:type="dxa"/>
            <w:vAlign w:val="bottom"/>
          </w:tcPr>
          <w:p w14:paraId="5029184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394E801"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2955F82" w14:textId="77777777" w:rsidR="0012790E" w:rsidRPr="0012790E" w:rsidRDefault="0012790E">
            <w:pPr>
              <w:pStyle w:val="Summarytabletextrightaligned"/>
              <w:rPr>
                <w:szCs w:val="16"/>
              </w:rPr>
            </w:pPr>
            <w:r w:rsidRPr="0012790E">
              <w:rPr>
                <w:szCs w:val="16"/>
              </w:rPr>
              <w:noBreakHyphen/>
            </w:r>
          </w:p>
        </w:tc>
      </w:tr>
      <w:tr w:rsidR="0012790E" w:rsidRPr="0012790E" w14:paraId="186BEF7F" w14:textId="77777777">
        <w:tc>
          <w:tcPr>
            <w:tcW w:w="3470" w:type="dxa"/>
            <w:shd w:val="clear" w:color="auto" w:fill="auto"/>
            <w:vAlign w:val="bottom"/>
          </w:tcPr>
          <w:p w14:paraId="7DAF45B2" w14:textId="77777777" w:rsidR="0012790E" w:rsidRPr="0012790E" w:rsidRDefault="0012790E">
            <w:pPr>
              <w:pStyle w:val="SummaryMeasureTitlewithTheme"/>
            </w:pPr>
            <w:r w:rsidRPr="0012790E">
              <w:t>National Disability Insurance Scheme – getting the NDIS back on track</w:t>
            </w:r>
          </w:p>
        </w:tc>
        <w:tc>
          <w:tcPr>
            <w:tcW w:w="851" w:type="dxa"/>
            <w:vAlign w:val="bottom"/>
          </w:tcPr>
          <w:p w14:paraId="4811B3A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A26D0FB" w14:textId="6DBFC96D" w:rsidR="0012790E" w:rsidRPr="0012790E" w:rsidRDefault="008548E3">
            <w:pPr>
              <w:pStyle w:val="Summarytabletextrightaligned"/>
              <w:rPr>
                <w:szCs w:val="16"/>
              </w:rPr>
            </w:pPr>
            <w:r>
              <w:rPr>
                <w:szCs w:val="16"/>
              </w:rPr>
              <w:t>-</w:t>
            </w:r>
          </w:p>
        </w:tc>
        <w:tc>
          <w:tcPr>
            <w:tcW w:w="851" w:type="dxa"/>
            <w:vAlign w:val="bottom"/>
          </w:tcPr>
          <w:p w14:paraId="6E2C24E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E912F4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2CE890A" w14:textId="77777777" w:rsidR="0012790E" w:rsidRPr="0012790E" w:rsidRDefault="0012790E">
            <w:pPr>
              <w:pStyle w:val="Summarytabletextrightaligned"/>
              <w:rPr>
                <w:szCs w:val="16"/>
              </w:rPr>
            </w:pPr>
            <w:r w:rsidRPr="0012790E">
              <w:rPr>
                <w:szCs w:val="16"/>
              </w:rPr>
              <w:noBreakHyphen/>
            </w:r>
          </w:p>
        </w:tc>
      </w:tr>
      <w:tr w:rsidR="0012790E" w:rsidRPr="0012790E" w14:paraId="68200010" w14:textId="77777777">
        <w:tc>
          <w:tcPr>
            <w:tcW w:w="3470" w:type="dxa"/>
            <w:shd w:val="clear" w:color="auto" w:fill="auto"/>
            <w:vAlign w:val="bottom"/>
          </w:tcPr>
          <w:p w14:paraId="7FCF8AB6" w14:textId="77777777" w:rsidR="0012790E" w:rsidRPr="0012790E" w:rsidRDefault="0012790E">
            <w:pPr>
              <w:pStyle w:val="SummaryMeasureTitlewithTheme"/>
            </w:pPr>
            <w:r w:rsidRPr="0012790E">
              <w:t>Revive – National Cultural Policy</w:t>
            </w:r>
          </w:p>
        </w:tc>
        <w:tc>
          <w:tcPr>
            <w:tcW w:w="851" w:type="dxa"/>
            <w:vAlign w:val="bottom"/>
          </w:tcPr>
          <w:p w14:paraId="5809756E"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DEAECF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89221DD" w14:textId="77777777" w:rsidR="0012790E" w:rsidRPr="0012790E" w:rsidRDefault="0012790E">
            <w:pPr>
              <w:pStyle w:val="Summarytabletextrightaligned"/>
              <w:rPr>
                <w:szCs w:val="16"/>
              </w:rPr>
            </w:pPr>
            <w:r w:rsidRPr="0012790E">
              <w:rPr>
                <w:szCs w:val="16"/>
              </w:rPr>
              <w:t>0.1</w:t>
            </w:r>
          </w:p>
        </w:tc>
        <w:tc>
          <w:tcPr>
            <w:tcW w:w="851" w:type="dxa"/>
            <w:vAlign w:val="bottom"/>
          </w:tcPr>
          <w:p w14:paraId="5929FC9E" w14:textId="77777777" w:rsidR="0012790E" w:rsidRPr="0012790E" w:rsidRDefault="0012790E">
            <w:pPr>
              <w:pStyle w:val="Summarytabletextrightaligned"/>
              <w:rPr>
                <w:szCs w:val="16"/>
              </w:rPr>
            </w:pPr>
            <w:r w:rsidRPr="0012790E">
              <w:rPr>
                <w:szCs w:val="16"/>
              </w:rPr>
              <w:t>0.2</w:t>
            </w:r>
          </w:p>
        </w:tc>
        <w:tc>
          <w:tcPr>
            <w:tcW w:w="851" w:type="dxa"/>
            <w:vAlign w:val="bottom"/>
          </w:tcPr>
          <w:p w14:paraId="3ACD115D" w14:textId="77777777" w:rsidR="0012790E" w:rsidRPr="0012790E" w:rsidRDefault="0012790E">
            <w:pPr>
              <w:pStyle w:val="Summarytabletextrightaligned"/>
              <w:rPr>
                <w:szCs w:val="16"/>
              </w:rPr>
            </w:pPr>
            <w:r w:rsidRPr="0012790E">
              <w:rPr>
                <w:szCs w:val="16"/>
              </w:rPr>
              <w:t>0.2</w:t>
            </w:r>
          </w:p>
        </w:tc>
      </w:tr>
      <w:tr w:rsidR="0012790E" w:rsidRPr="0012790E" w14:paraId="2361E4D8" w14:textId="77777777">
        <w:tc>
          <w:tcPr>
            <w:tcW w:w="3470" w:type="dxa"/>
            <w:shd w:val="clear" w:color="auto" w:fill="auto"/>
            <w:vAlign w:val="bottom"/>
          </w:tcPr>
          <w:p w14:paraId="2EAF5981" w14:textId="77777777" w:rsidR="0012790E" w:rsidRPr="0012790E" w:rsidRDefault="0012790E">
            <w:pPr>
              <w:pStyle w:val="SummaryMeasureTitlewithTheme"/>
            </w:pPr>
            <w:r w:rsidRPr="0012790E">
              <w:t>Strengthening Tax Compliance – extending the Personal Income Tax Compliance Program(b)</w:t>
            </w:r>
          </w:p>
        </w:tc>
        <w:tc>
          <w:tcPr>
            <w:tcW w:w="851" w:type="dxa"/>
            <w:vAlign w:val="bottom"/>
          </w:tcPr>
          <w:p w14:paraId="18096EBA"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CE98646"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5D107D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F25B558"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4AAB156" w14:textId="77777777" w:rsidR="0012790E" w:rsidRPr="0012790E" w:rsidRDefault="0012790E">
            <w:pPr>
              <w:pStyle w:val="Summarytabletextrightaligned"/>
              <w:rPr>
                <w:szCs w:val="16"/>
              </w:rPr>
            </w:pPr>
            <w:r w:rsidRPr="0012790E">
              <w:rPr>
                <w:szCs w:val="16"/>
              </w:rPr>
              <w:t>44.3</w:t>
            </w:r>
          </w:p>
        </w:tc>
      </w:tr>
      <w:tr w:rsidR="0012790E" w:rsidRPr="0012790E" w14:paraId="339B3DA5" w14:textId="77777777">
        <w:tc>
          <w:tcPr>
            <w:tcW w:w="3470" w:type="dxa"/>
            <w:shd w:val="clear" w:color="auto" w:fill="auto"/>
            <w:vAlign w:val="bottom"/>
          </w:tcPr>
          <w:p w14:paraId="7D94F993" w14:textId="77777777" w:rsidR="0012790E" w:rsidRPr="0012790E" w:rsidRDefault="0012790E">
            <w:pPr>
              <w:pStyle w:val="SummaryMeasureTitlewithTheme"/>
            </w:pPr>
            <w:r w:rsidRPr="0012790E">
              <w:t>Strengthening Tax Compliance – Australian Taxation Office Counter Fraud Strategy(b)</w:t>
            </w:r>
          </w:p>
        </w:tc>
        <w:tc>
          <w:tcPr>
            <w:tcW w:w="851" w:type="dxa"/>
            <w:vAlign w:val="bottom"/>
          </w:tcPr>
          <w:p w14:paraId="573764B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31F213D" w14:textId="77777777" w:rsidR="0012790E" w:rsidRPr="0012790E" w:rsidRDefault="0012790E">
            <w:pPr>
              <w:pStyle w:val="Summarytabletextrightaligned"/>
              <w:rPr>
                <w:szCs w:val="16"/>
              </w:rPr>
            </w:pPr>
            <w:r w:rsidRPr="0012790E">
              <w:rPr>
                <w:szCs w:val="16"/>
              </w:rPr>
              <w:t>68.9</w:t>
            </w:r>
          </w:p>
        </w:tc>
        <w:tc>
          <w:tcPr>
            <w:tcW w:w="851" w:type="dxa"/>
            <w:vAlign w:val="bottom"/>
          </w:tcPr>
          <w:p w14:paraId="5C4ADE73" w14:textId="77777777" w:rsidR="0012790E" w:rsidRPr="0012790E" w:rsidRDefault="0012790E">
            <w:pPr>
              <w:pStyle w:val="Summarytabletextrightaligned"/>
              <w:rPr>
                <w:szCs w:val="16"/>
              </w:rPr>
            </w:pPr>
            <w:r w:rsidRPr="0012790E">
              <w:rPr>
                <w:szCs w:val="16"/>
              </w:rPr>
              <w:t>72.7</w:t>
            </w:r>
          </w:p>
        </w:tc>
        <w:tc>
          <w:tcPr>
            <w:tcW w:w="851" w:type="dxa"/>
            <w:vAlign w:val="bottom"/>
          </w:tcPr>
          <w:p w14:paraId="3F44D1F3" w14:textId="77777777" w:rsidR="0012790E" w:rsidRPr="0012790E" w:rsidRDefault="0012790E">
            <w:pPr>
              <w:pStyle w:val="Summarytabletextrightaligned"/>
              <w:rPr>
                <w:szCs w:val="16"/>
              </w:rPr>
            </w:pPr>
            <w:r w:rsidRPr="0012790E">
              <w:rPr>
                <w:szCs w:val="16"/>
              </w:rPr>
              <w:t>25.2</w:t>
            </w:r>
          </w:p>
        </w:tc>
        <w:tc>
          <w:tcPr>
            <w:tcW w:w="851" w:type="dxa"/>
            <w:vAlign w:val="bottom"/>
          </w:tcPr>
          <w:p w14:paraId="4E371E89" w14:textId="77777777" w:rsidR="0012790E" w:rsidRPr="0012790E" w:rsidRDefault="0012790E">
            <w:pPr>
              <w:pStyle w:val="Summarytabletextrightaligned"/>
              <w:rPr>
                <w:szCs w:val="16"/>
              </w:rPr>
            </w:pPr>
            <w:r w:rsidRPr="0012790E">
              <w:rPr>
                <w:szCs w:val="16"/>
              </w:rPr>
              <w:t>20.2</w:t>
            </w:r>
          </w:p>
        </w:tc>
      </w:tr>
      <w:tr w:rsidR="0012790E" w:rsidRPr="0012790E" w14:paraId="4BA15A6E" w14:textId="77777777">
        <w:tc>
          <w:tcPr>
            <w:tcW w:w="3470" w:type="dxa"/>
            <w:shd w:val="clear" w:color="auto" w:fill="auto"/>
            <w:vAlign w:val="bottom"/>
          </w:tcPr>
          <w:p w14:paraId="6598AE8B" w14:textId="77777777" w:rsidR="0012790E" w:rsidRPr="0012790E" w:rsidRDefault="0012790E">
            <w:pPr>
              <w:pStyle w:val="SummaryMeasureTitlewithTheme"/>
            </w:pPr>
            <w:r w:rsidRPr="0012790E">
              <w:t>Strengthening Tax Compliance – extending the Shadow Economy Compliance Program(b)</w:t>
            </w:r>
          </w:p>
        </w:tc>
        <w:tc>
          <w:tcPr>
            <w:tcW w:w="851" w:type="dxa"/>
            <w:vAlign w:val="bottom"/>
          </w:tcPr>
          <w:p w14:paraId="2D6CEEE7"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715D6AE"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BD9A4F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79B0DDE" w14:textId="77777777" w:rsidR="0012790E" w:rsidRPr="0012790E" w:rsidRDefault="0012790E">
            <w:pPr>
              <w:pStyle w:val="Summarytabletextrightaligned"/>
              <w:rPr>
                <w:szCs w:val="16"/>
              </w:rPr>
            </w:pPr>
            <w:r w:rsidRPr="0012790E">
              <w:rPr>
                <w:szCs w:val="16"/>
              </w:rPr>
              <w:t>89.7</w:t>
            </w:r>
          </w:p>
        </w:tc>
        <w:tc>
          <w:tcPr>
            <w:tcW w:w="851" w:type="dxa"/>
            <w:vAlign w:val="bottom"/>
          </w:tcPr>
          <w:p w14:paraId="726FF1EF" w14:textId="77777777" w:rsidR="0012790E" w:rsidRPr="0012790E" w:rsidRDefault="0012790E">
            <w:pPr>
              <w:pStyle w:val="Summarytabletextrightaligned"/>
              <w:rPr>
                <w:szCs w:val="16"/>
              </w:rPr>
            </w:pPr>
            <w:r w:rsidRPr="0012790E">
              <w:rPr>
                <w:szCs w:val="16"/>
              </w:rPr>
              <w:t>90.9</w:t>
            </w:r>
          </w:p>
        </w:tc>
      </w:tr>
      <w:tr w:rsidR="0012790E" w:rsidRPr="0012790E" w14:paraId="6821B107" w14:textId="77777777">
        <w:tc>
          <w:tcPr>
            <w:tcW w:w="3470" w:type="dxa"/>
            <w:shd w:val="clear" w:color="auto" w:fill="auto"/>
            <w:vAlign w:val="bottom"/>
          </w:tcPr>
          <w:p w14:paraId="08170A80" w14:textId="77777777" w:rsidR="0012790E" w:rsidRPr="0012790E" w:rsidRDefault="0012790E">
            <w:pPr>
              <w:pStyle w:val="SummaryMeasureTitlewithTheme"/>
            </w:pPr>
            <w:r w:rsidRPr="0012790E">
              <w:t>Strengthening Tax Compliance – extending the Tax Avoidance Taskforce(b)</w:t>
            </w:r>
          </w:p>
        </w:tc>
        <w:tc>
          <w:tcPr>
            <w:tcW w:w="851" w:type="dxa"/>
            <w:vAlign w:val="bottom"/>
          </w:tcPr>
          <w:p w14:paraId="76FA907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585E9E6"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D6AD1F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6065138" w14:textId="77777777" w:rsidR="0012790E" w:rsidRPr="0012790E" w:rsidRDefault="0012790E">
            <w:pPr>
              <w:pStyle w:val="Summarytabletextrightaligned"/>
              <w:rPr>
                <w:szCs w:val="16"/>
              </w:rPr>
            </w:pPr>
            <w:r w:rsidRPr="0012790E">
              <w:rPr>
                <w:szCs w:val="16"/>
              </w:rPr>
              <w:t>579.3</w:t>
            </w:r>
          </w:p>
        </w:tc>
        <w:tc>
          <w:tcPr>
            <w:tcW w:w="851" w:type="dxa"/>
            <w:vAlign w:val="bottom"/>
          </w:tcPr>
          <w:p w14:paraId="3B668C50" w14:textId="77777777" w:rsidR="0012790E" w:rsidRPr="0012790E" w:rsidRDefault="0012790E">
            <w:pPr>
              <w:pStyle w:val="Summarytabletextrightaligned"/>
              <w:rPr>
                <w:szCs w:val="16"/>
              </w:rPr>
            </w:pPr>
            <w:r w:rsidRPr="0012790E">
              <w:rPr>
                <w:szCs w:val="16"/>
              </w:rPr>
              <w:t>586.7</w:t>
            </w:r>
          </w:p>
        </w:tc>
      </w:tr>
      <w:tr w:rsidR="0012790E" w:rsidRPr="0012790E" w14:paraId="68E14046" w14:textId="77777777">
        <w:tc>
          <w:tcPr>
            <w:tcW w:w="3470" w:type="dxa"/>
            <w:shd w:val="clear" w:color="auto" w:fill="auto"/>
            <w:vAlign w:val="bottom"/>
          </w:tcPr>
          <w:p w14:paraId="6F913CD2" w14:textId="77777777" w:rsidR="0012790E" w:rsidRPr="0012790E" w:rsidRDefault="0012790E">
            <w:pPr>
              <w:pStyle w:val="SummaryMeasureTitlewithTheme"/>
            </w:pPr>
            <w:r w:rsidRPr="0012790E">
              <w:t>Strengthening the foreign resident capital gains tax regime(b)</w:t>
            </w:r>
          </w:p>
        </w:tc>
        <w:tc>
          <w:tcPr>
            <w:tcW w:w="851" w:type="dxa"/>
            <w:vAlign w:val="bottom"/>
          </w:tcPr>
          <w:p w14:paraId="31D737FB"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88B5D0B" w14:textId="77777777" w:rsidR="0012790E" w:rsidRPr="0012790E" w:rsidRDefault="0012790E">
            <w:pPr>
              <w:pStyle w:val="Summarytabletextrightaligned"/>
              <w:rPr>
                <w:szCs w:val="16"/>
              </w:rPr>
            </w:pPr>
            <w:r w:rsidRPr="0012790E">
              <w:rPr>
                <w:szCs w:val="16"/>
              </w:rPr>
              <w:t>0.1</w:t>
            </w:r>
          </w:p>
        </w:tc>
        <w:tc>
          <w:tcPr>
            <w:tcW w:w="851" w:type="dxa"/>
            <w:vAlign w:val="bottom"/>
          </w:tcPr>
          <w:p w14:paraId="057D4611" w14:textId="77777777" w:rsidR="0012790E" w:rsidRPr="0012790E" w:rsidRDefault="0012790E">
            <w:pPr>
              <w:pStyle w:val="Summarytabletextrightaligned"/>
              <w:rPr>
                <w:szCs w:val="16"/>
              </w:rPr>
            </w:pPr>
            <w:r w:rsidRPr="0012790E">
              <w:rPr>
                <w:szCs w:val="16"/>
              </w:rPr>
              <w:t>3.3</w:t>
            </w:r>
          </w:p>
        </w:tc>
        <w:tc>
          <w:tcPr>
            <w:tcW w:w="851" w:type="dxa"/>
            <w:vAlign w:val="bottom"/>
          </w:tcPr>
          <w:p w14:paraId="31F5B033" w14:textId="77777777" w:rsidR="0012790E" w:rsidRPr="0012790E" w:rsidRDefault="0012790E">
            <w:pPr>
              <w:pStyle w:val="Summarytabletextrightaligned"/>
              <w:rPr>
                <w:szCs w:val="16"/>
              </w:rPr>
            </w:pPr>
            <w:r w:rsidRPr="0012790E">
              <w:rPr>
                <w:szCs w:val="16"/>
              </w:rPr>
              <w:t>3.0</w:t>
            </w:r>
          </w:p>
        </w:tc>
        <w:tc>
          <w:tcPr>
            <w:tcW w:w="851" w:type="dxa"/>
            <w:vAlign w:val="bottom"/>
          </w:tcPr>
          <w:p w14:paraId="39756CF2" w14:textId="77777777" w:rsidR="0012790E" w:rsidRPr="0012790E" w:rsidRDefault="0012790E">
            <w:pPr>
              <w:pStyle w:val="Summarytabletextrightaligned"/>
              <w:rPr>
                <w:szCs w:val="16"/>
              </w:rPr>
            </w:pPr>
            <w:r w:rsidRPr="0012790E">
              <w:rPr>
                <w:szCs w:val="16"/>
              </w:rPr>
              <w:t>1.5</w:t>
            </w:r>
          </w:p>
        </w:tc>
      </w:tr>
      <w:tr w:rsidR="0012790E" w:rsidRPr="0012790E" w14:paraId="17CD6F63" w14:textId="77777777">
        <w:tc>
          <w:tcPr>
            <w:tcW w:w="3470" w:type="dxa"/>
            <w:shd w:val="clear" w:color="auto" w:fill="auto"/>
            <w:vAlign w:val="bottom"/>
          </w:tcPr>
          <w:p w14:paraId="246BBEC2" w14:textId="77777777" w:rsidR="0012790E" w:rsidRPr="0012790E" w:rsidRDefault="0012790E">
            <w:pPr>
              <w:pStyle w:val="SummaryMeasureTitlewithTheme"/>
            </w:pPr>
            <w:r w:rsidRPr="0012790E">
              <w:t>Treasury Portfolio – additional resourcing(b)</w:t>
            </w:r>
          </w:p>
        </w:tc>
        <w:tc>
          <w:tcPr>
            <w:tcW w:w="851" w:type="dxa"/>
            <w:vAlign w:val="bottom"/>
          </w:tcPr>
          <w:p w14:paraId="5481DF9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56B3F6F" w14:textId="77777777" w:rsidR="0012790E" w:rsidRPr="0012790E" w:rsidRDefault="0012790E">
            <w:pPr>
              <w:pStyle w:val="Summarytabletextrightaligned"/>
              <w:rPr>
                <w:szCs w:val="16"/>
              </w:rPr>
            </w:pPr>
            <w:r w:rsidRPr="0012790E">
              <w:rPr>
                <w:szCs w:val="16"/>
              </w:rPr>
              <w:t>0.6</w:t>
            </w:r>
          </w:p>
        </w:tc>
        <w:tc>
          <w:tcPr>
            <w:tcW w:w="851" w:type="dxa"/>
            <w:vAlign w:val="bottom"/>
          </w:tcPr>
          <w:p w14:paraId="4E6D32CE" w14:textId="77777777" w:rsidR="0012790E" w:rsidRPr="0012790E" w:rsidRDefault="0012790E">
            <w:pPr>
              <w:pStyle w:val="Summarytabletextrightaligned"/>
              <w:rPr>
                <w:szCs w:val="16"/>
              </w:rPr>
            </w:pPr>
            <w:r w:rsidRPr="0012790E">
              <w:rPr>
                <w:szCs w:val="16"/>
              </w:rPr>
              <w:t>0.7</w:t>
            </w:r>
          </w:p>
        </w:tc>
        <w:tc>
          <w:tcPr>
            <w:tcW w:w="851" w:type="dxa"/>
            <w:vAlign w:val="bottom"/>
          </w:tcPr>
          <w:p w14:paraId="4E42EC7D" w14:textId="77777777" w:rsidR="0012790E" w:rsidRPr="0012790E" w:rsidRDefault="0012790E">
            <w:pPr>
              <w:pStyle w:val="Summarytabletextrightaligned"/>
              <w:rPr>
                <w:szCs w:val="16"/>
              </w:rPr>
            </w:pPr>
            <w:r w:rsidRPr="0012790E">
              <w:rPr>
                <w:szCs w:val="16"/>
              </w:rPr>
              <w:t>0.7</w:t>
            </w:r>
          </w:p>
        </w:tc>
        <w:tc>
          <w:tcPr>
            <w:tcW w:w="851" w:type="dxa"/>
            <w:vAlign w:val="bottom"/>
          </w:tcPr>
          <w:p w14:paraId="78776793" w14:textId="77777777" w:rsidR="0012790E" w:rsidRPr="0012790E" w:rsidRDefault="0012790E">
            <w:pPr>
              <w:pStyle w:val="Summarytabletextrightaligned"/>
              <w:rPr>
                <w:szCs w:val="16"/>
              </w:rPr>
            </w:pPr>
            <w:r w:rsidRPr="0012790E">
              <w:rPr>
                <w:szCs w:val="16"/>
              </w:rPr>
              <w:t>0.7</w:t>
            </w:r>
          </w:p>
        </w:tc>
      </w:tr>
      <w:tr w:rsidR="0012790E" w:rsidRPr="0012790E" w14:paraId="39065D6E" w14:textId="77777777">
        <w:tc>
          <w:tcPr>
            <w:tcW w:w="3470" w:type="dxa"/>
            <w:shd w:val="clear" w:color="auto" w:fill="auto"/>
            <w:vAlign w:val="bottom"/>
          </w:tcPr>
          <w:p w14:paraId="3F36DB8B" w14:textId="77777777" w:rsidR="0012790E" w:rsidRPr="0012790E" w:rsidRDefault="0012790E">
            <w:pPr>
              <w:pStyle w:val="SummaryMeasureTitlewithTheme"/>
            </w:pPr>
            <w:r w:rsidRPr="0012790E">
              <w:t>Workplace Relations(b)</w:t>
            </w:r>
          </w:p>
        </w:tc>
        <w:tc>
          <w:tcPr>
            <w:tcW w:w="851" w:type="dxa"/>
            <w:vAlign w:val="bottom"/>
          </w:tcPr>
          <w:p w14:paraId="36912E47"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AA917E8" w14:textId="77777777" w:rsidR="0012790E" w:rsidRPr="0012790E" w:rsidRDefault="0012790E">
            <w:pPr>
              <w:pStyle w:val="Summarytabletextrightaligned"/>
              <w:rPr>
                <w:szCs w:val="16"/>
              </w:rPr>
            </w:pPr>
            <w:r w:rsidRPr="0012790E">
              <w:rPr>
                <w:szCs w:val="16"/>
              </w:rPr>
              <w:t>1.1</w:t>
            </w:r>
          </w:p>
        </w:tc>
        <w:tc>
          <w:tcPr>
            <w:tcW w:w="851" w:type="dxa"/>
            <w:vAlign w:val="bottom"/>
          </w:tcPr>
          <w:p w14:paraId="44070F60" w14:textId="77777777" w:rsidR="0012790E" w:rsidRPr="0012790E" w:rsidRDefault="0012790E">
            <w:pPr>
              <w:pStyle w:val="Summarytabletextrightaligned"/>
              <w:rPr>
                <w:szCs w:val="16"/>
              </w:rPr>
            </w:pPr>
            <w:r w:rsidRPr="0012790E">
              <w:rPr>
                <w:szCs w:val="16"/>
              </w:rPr>
              <w:t>6.7</w:t>
            </w:r>
          </w:p>
        </w:tc>
        <w:tc>
          <w:tcPr>
            <w:tcW w:w="851" w:type="dxa"/>
            <w:vAlign w:val="bottom"/>
          </w:tcPr>
          <w:p w14:paraId="5DE5A586" w14:textId="77777777" w:rsidR="0012790E" w:rsidRPr="0012790E" w:rsidRDefault="0012790E">
            <w:pPr>
              <w:pStyle w:val="Summarytabletextrightaligned"/>
              <w:rPr>
                <w:szCs w:val="16"/>
              </w:rPr>
            </w:pPr>
            <w:r w:rsidRPr="0012790E">
              <w:rPr>
                <w:szCs w:val="16"/>
              </w:rPr>
              <w:t>15.5</w:t>
            </w:r>
          </w:p>
        </w:tc>
        <w:tc>
          <w:tcPr>
            <w:tcW w:w="851" w:type="dxa"/>
            <w:vAlign w:val="bottom"/>
          </w:tcPr>
          <w:p w14:paraId="4E0BE2BD" w14:textId="77777777" w:rsidR="0012790E" w:rsidRPr="0012790E" w:rsidRDefault="0012790E">
            <w:pPr>
              <w:pStyle w:val="Summarytabletextrightaligned"/>
              <w:rPr>
                <w:szCs w:val="16"/>
              </w:rPr>
            </w:pPr>
            <w:r w:rsidRPr="0012790E">
              <w:rPr>
                <w:szCs w:val="16"/>
              </w:rPr>
              <w:t>21.2</w:t>
            </w:r>
          </w:p>
        </w:tc>
      </w:tr>
      <w:tr w:rsidR="0012790E" w:rsidRPr="0012790E" w14:paraId="6FF2285F" w14:textId="77777777">
        <w:tc>
          <w:tcPr>
            <w:tcW w:w="3470" w:type="dxa"/>
            <w:shd w:val="clear" w:color="auto" w:fill="auto"/>
            <w:vAlign w:val="bottom"/>
          </w:tcPr>
          <w:p w14:paraId="443B0699" w14:textId="77777777" w:rsidR="0012790E" w:rsidRPr="0012790E" w:rsidRDefault="0012790E">
            <w:pPr>
              <w:pStyle w:val="SummaryAgencyTitle-BP2"/>
              <w:rPr>
                <w:iCs/>
              </w:rPr>
            </w:pPr>
            <w:r w:rsidRPr="0012790E">
              <w:rPr>
                <w:iCs/>
              </w:rPr>
              <w:t>Department of the Treasury</w:t>
            </w:r>
          </w:p>
        </w:tc>
        <w:tc>
          <w:tcPr>
            <w:tcW w:w="851" w:type="dxa"/>
            <w:vAlign w:val="bottom"/>
          </w:tcPr>
          <w:p w14:paraId="2778F9EB" w14:textId="77777777" w:rsidR="0012790E" w:rsidRPr="0012790E" w:rsidRDefault="0012790E">
            <w:pPr>
              <w:pStyle w:val="SummaryAgencyTitle-BP2"/>
              <w:rPr>
                <w:iCs/>
              </w:rPr>
            </w:pPr>
          </w:p>
        </w:tc>
        <w:tc>
          <w:tcPr>
            <w:tcW w:w="851" w:type="dxa"/>
            <w:shd w:val="clear" w:color="auto" w:fill="E6F2FF"/>
            <w:vAlign w:val="bottom"/>
          </w:tcPr>
          <w:p w14:paraId="67187A25" w14:textId="77777777" w:rsidR="0012790E" w:rsidRPr="0012790E" w:rsidRDefault="0012790E">
            <w:pPr>
              <w:pStyle w:val="SummaryAgencyTitle-BP2"/>
              <w:rPr>
                <w:iCs/>
              </w:rPr>
            </w:pPr>
          </w:p>
        </w:tc>
        <w:tc>
          <w:tcPr>
            <w:tcW w:w="851" w:type="dxa"/>
            <w:vAlign w:val="bottom"/>
          </w:tcPr>
          <w:p w14:paraId="3112CC1D" w14:textId="77777777" w:rsidR="0012790E" w:rsidRPr="0012790E" w:rsidRDefault="0012790E">
            <w:pPr>
              <w:pStyle w:val="SummaryAgencyTitle-BP2"/>
              <w:rPr>
                <w:iCs/>
              </w:rPr>
            </w:pPr>
          </w:p>
        </w:tc>
        <w:tc>
          <w:tcPr>
            <w:tcW w:w="851" w:type="dxa"/>
            <w:vAlign w:val="bottom"/>
          </w:tcPr>
          <w:p w14:paraId="392D32E0" w14:textId="77777777" w:rsidR="0012790E" w:rsidRPr="0012790E" w:rsidRDefault="0012790E">
            <w:pPr>
              <w:pStyle w:val="SummaryAgencyTitle-BP2"/>
              <w:rPr>
                <w:iCs/>
              </w:rPr>
            </w:pPr>
          </w:p>
        </w:tc>
        <w:tc>
          <w:tcPr>
            <w:tcW w:w="851" w:type="dxa"/>
            <w:vAlign w:val="bottom"/>
          </w:tcPr>
          <w:p w14:paraId="16059A03" w14:textId="77777777" w:rsidR="0012790E" w:rsidRPr="0012790E" w:rsidRDefault="0012790E">
            <w:pPr>
              <w:pStyle w:val="SummaryAgencyTitle-BP2"/>
              <w:rPr>
                <w:iCs/>
              </w:rPr>
            </w:pPr>
          </w:p>
        </w:tc>
      </w:tr>
      <w:tr w:rsidR="0012790E" w:rsidRPr="0012790E" w14:paraId="54792405" w14:textId="77777777">
        <w:tc>
          <w:tcPr>
            <w:tcW w:w="3470" w:type="dxa"/>
            <w:shd w:val="clear" w:color="auto" w:fill="auto"/>
            <w:vAlign w:val="bottom"/>
          </w:tcPr>
          <w:p w14:paraId="3803C910" w14:textId="77777777" w:rsidR="0012790E" w:rsidRPr="0012790E" w:rsidRDefault="0012790E">
            <w:pPr>
              <w:pStyle w:val="SummaryMeasureTitlewithTheme"/>
            </w:pPr>
            <w:r w:rsidRPr="0012790E">
              <w:t>Agriculture – other priorities(b)</w:t>
            </w:r>
          </w:p>
        </w:tc>
        <w:tc>
          <w:tcPr>
            <w:tcW w:w="851" w:type="dxa"/>
            <w:vAlign w:val="bottom"/>
          </w:tcPr>
          <w:p w14:paraId="04452ABB"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C84F916" w14:textId="77777777" w:rsidR="0012790E" w:rsidRPr="0012790E" w:rsidRDefault="0012790E">
            <w:pPr>
              <w:pStyle w:val="Summarytabletextrightaligned"/>
              <w:rPr>
                <w:szCs w:val="16"/>
              </w:rPr>
            </w:pPr>
            <w:r w:rsidRPr="0012790E">
              <w:rPr>
                <w:szCs w:val="16"/>
              </w:rPr>
              <w:t>1.2</w:t>
            </w:r>
          </w:p>
        </w:tc>
        <w:tc>
          <w:tcPr>
            <w:tcW w:w="851" w:type="dxa"/>
            <w:vAlign w:val="bottom"/>
          </w:tcPr>
          <w:p w14:paraId="4454A0D3" w14:textId="77777777" w:rsidR="0012790E" w:rsidRPr="0012790E" w:rsidRDefault="0012790E">
            <w:pPr>
              <w:pStyle w:val="Summarytabletextrightaligned"/>
              <w:rPr>
                <w:szCs w:val="16"/>
              </w:rPr>
            </w:pPr>
            <w:r w:rsidRPr="0012790E">
              <w:rPr>
                <w:szCs w:val="16"/>
              </w:rPr>
              <w:t>0.6</w:t>
            </w:r>
          </w:p>
        </w:tc>
        <w:tc>
          <w:tcPr>
            <w:tcW w:w="851" w:type="dxa"/>
            <w:vAlign w:val="bottom"/>
          </w:tcPr>
          <w:p w14:paraId="7DAAA4C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680563D" w14:textId="77777777" w:rsidR="0012790E" w:rsidRPr="0012790E" w:rsidRDefault="0012790E">
            <w:pPr>
              <w:pStyle w:val="Summarytabletextrightaligned"/>
              <w:rPr>
                <w:szCs w:val="16"/>
              </w:rPr>
            </w:pPr>
            <w:r w:rsidRPr="0012790E">
              <w:rPr>
                <w:szCs w:val="16"/>
              </w:rPr>
              <w:noBreakHyphen/>
            </w:r>
          </w:p>
        </w:tc>
      </w:tr>
      <w:tr w:rsidR="0012790E" w:rsidRPr="0012790E" w14:paraId="5DCDF203" w14:textId="77777777">
        <w:tc>
          <w:tcPr>
            <w:tcW w:w="3470" w:type="dxa"/>
            <w:shd w:val="clear" w:color="auto" w:fill="auto"/>
            <w:vAlign w:val="bottom"/>
          </w:tcPr>
          <w:p w14:paraId="4667C70E" w14:textId="77777777" w:rsidR="0012790E" w:rsidRPr="0012790E" w:rsidRDefault="0012790E">
            <w:pPr>
              <w:pStyle w:val="SummaryMeasureTitlewithTheme"/>
            </w:pPr>
            <w:r w:rsidRPr="0012790E">
              <w:t>Amendments to existing measures(b)</w:t>
            </w:r>
          </w:p>
        </w:tc>
        <w:tc>
          <w:tcPr>
            <w:tcW w:w="851" w:type="dxa"/>
            <w:vAlign w:val="bottom"/>
          </w:tcPr>
          <w:p w14:paraId="164C4BDD" w14:textId="6656AEA4" w:rsidR="0012790E" w:rsidRPr="0012790E" w:rsidRDefault="00B84A1F">
            <w:pPr>
              <w:pStyle w:val="Summarytabletextrightaligned"/>
              <w:rPr>
                <w:szCs w:val="16"/>
              </w:rPr>
            </w:pPr>
            <w:r>
              <w:rPr>
                <w:szCs w:val="16"/>
              </w:rPr>
              <w:t>..</w:t>
            </w:r>
          </w:p>
        </w:tc>
        <w:tc>
          <w:tcPr>
            <w:tcW w:w="851" w:type="dxa"/>
            <w:shd w:val="clear" w:color="auto" w:fill="E6F2FF"/>
            <w:vAlign w:val="bottom"/>
          </w:tcPr>
          <w:p w14:paraId="080726B8" w14:textId="2676B481" w:rsidR="0012790E" w:rsidRPr="0012790E" w:rsidRDefault="00B84A1F">
            <w:pPr>
              <w:pStyle w:val="Summarytabletextrightaligned"/>
              <w:rPr>
                <w:szCs w:val="16"/>
              </w:rPr>
            </w:pPr>
            <w:r>
              <w:rPr>
                <w:szCs w:val="16"/>
              </w:rPr>
              <w:t>..</w:t>
            </w:r>
          </w:p>
        </w:tc>
        <w:tc>
          <w:tcPr>
            <w:tcW w:w="851" w:type="dxa"/>
            <w:vAlign w:val="bottom"/>
          </w:tcPr>
          <w:p w14:paraId="1565149F" w14:textId="32F7740F" w:rsidR="0012790E" w:rsidRPr="0012790E" w:rsidRDefault="00B84A1F">
            <w:pPr>
              <w:pStyle w:val="Summarytabletextrightaligned"/>
              <w:rPr>
                <w:szCs w:val="16"/>
              </w:rPr>
            </w:pPr>
            <w:r>
              <w:rPr>
                <w:szCs w:val="16"/>
              </w:rPr>
              <w:t>..</w:t>
            </w:r>
          </w:p>
        </w:tc>
        <w:tc>
          <w:tcPr>
            <w:tcW w:w="851" w:type="dxa"/>
            <w:vAlign w:val="bottom"/>
          </w:tcPr>
          <w:p w14:paraId="61D4DEF1" w14:textId="5A2C29F5" w:rsidR="0012790E" w:rsidRPr="0012790E" w:rsidRDefault="00B84A1F">
            <w:pPr>
              <w:pStyle w:val="Summarytabletextrightaligned"/>
              <w:rPr>
                <w:szCs w:val="16"/>
              </w:rPr>
            </w:pPr>
            <w:r>
              <w:rPr>
                <w:szCs w:val="16"/>
              </w:rPr>
              <w:t>..</w:t>
            </w:r>
          </w:p>
        </w:tc>
        <w:tc>
          <w:tcPr>
            <w:tcW w:w="851" w:type="dxa"/>
            <w:vAlign w:val="bottom"/>
          </w:tcPr>
          <w:p w14:paraId="3E79B2D2" w14:textId="6B5272EB" w:rsidR="0012790E" w:rsidRPr="0012790E" w:rsidRDefault="00B84A1F">
            <w:pPr>
              <w:pStyle w:val="Summarytabletextrightaligned"/>
              <w:rPr>
                <w:szCs w:val="16"/>
              </w:rPr>
            </w:pPr>
            <w:r>
              <w:rPr>
                <w:szCs w:val="16"/>
              </w:rPr>
              <w:t>..</w:t>
            </w:r>
          </w:p>
        </w:tc>
      </w:tr>
      <w:tr w:rsidR="0012790E" w:rsidRPr="0012790E" w14:paraId="60DFDA7E" w14:textId="77777777">
        <w:tc>
          <w:tcPr>
            <w:tcW w:w="3470" w:type="dxa"/>
            <w:shd w:val="clear" w:color="auto" w:fill="auto"/>
            <w:vAlign w:val="bottom"/>
          </w:tcPr>
          <w:p w14:paraId="40CA411F" w14:textId="77777777" w:rsidR="0012790E" w:rsidRPr="0012790E" w:rsidRDefault="0012790E">
            <w:pPr>
              <w:pStyle w:val="SummaryMeasureTitlewithTheme"/>
            </w:pPr>
            <w:r w:rsidRPr="0012790E">
              <w:t>APS Capability Reinvestment Fund: 2024</w:t>
            </w:r>
            <w:r w:rsidRPr="0012790E">
              <w:noBreakHyphen/>
              <w:t>25 projects funded under round two</w:t>
            </w:r>
          </w:p>
        </w:tc>
        <w:tc>
          <w:tcPr>
            <w:tcW w:w="851" w:type="dxa"/>
            <w:vAlign w:val="bottom"/>
          </w:tcPr>
          <w:p w14:paraId="2A31088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621A4DF" w14:textId="719F5F85" w:rsidR="0012790E" w:rsidRPr="0012790E" w:rsidRDefault="00B92B04">
            <w:pPr>
              <w:pStyle w:val="Summarytabletextrightaligned"/>
              <w:rPr>
                <w:szCs w:val="16"/>
              </w:rPr>
            </w:pPr>
            <w:r>
              <w:rPr>
                <w:szCs w:val="16"/>
              </w:rPr>
              <w:t>-</w:t>
            </w:r>
          </w:p>
        </w:tc>
        <w:tc>
          <w:tcPr>
            <w:tcW w:w="851" w:type="dxa"/>
            <w:vAlign w:val="bottom"/>
          </w:tcPr>
          <w:p w14:paraId="43BED9D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BB7533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2FF229F" w14:textId="77777777" w:rsidR="0012790E" w:rsidRPr="0012790E" w:rsidRDefault="0012790E">
            <w:pPr>
              <w:pStyle w:val="Summarytabletextrightaligned"/>
              <w:rPr>
                <w:szCs w:val="16"/>
              </w:rPr>
            </w:pPr>
            <w:r w:rsidRPr="0012790E">
              <w:rPr>
                <w:szCs w:val="16"/>
              </w:rPr>
              <w:noBreakHyphen/>
            </w:r>
          </w:p>
        </w:tc>
      </w:tr>
      <w:tr w:rsidR="0012790E" w:rsidRPr="0012790E" w14:paraId="5115F917" w14:textId="77777777">
        <w:tc>
          <w:tcPr>
            <w:tcW w:w="3470" w:type="dxa"/>
            <w:shd w:val="clear" w:color="auto" w:fill="auto"/>
            <w:vAlign w:val="bottom"/>
          </w:tcPr>
          <w:p w14:paraId="06CDFE7A" w14:textId="77777777" w:rsidR="0012790E" w:rsidRPr="0012790E" w:rsidRDefault="0012790E">
            <w:pPr>
              <w:pStyle w:val="SummaryMeasureTitlewithTheme"/>
            </w:pPr>
            <w:r w:rsidRPr="0012790E">
              <w:t>Attorney</w:t>
            </w:r>
            <w:r w:rsidRPr="0012790E">
              <w:noBreakHyphen/>
              <w:t>General's – reprioritisation</w:t>
            </w:r>
          </w:p>
        </w:tc>
        <w:tc>
          <w:tcPr>
            <w:tcW w:w="851" w:type="dxa"/>
            <w:vAlign w:val="bottom"/>
          </w:tcPr>
          <w:p w14:paraId="27A8349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AF7178A" w14:textId="77777777" w:rsidR="0012790E" w:rsidRPr="0012790E" w:rsidRDefault="0012790E">
            <w:pPr>
              <w:pStyle w:val="Summarytabletextrightaligned"/>
              <w:rPr>
                <w:szCs w:val="16"/>
              </w:rPr>
            </w:pPr>
            <w:r w:rsidRPr="0012790E">
              <w:rPr>
                <w:szCs w:val="16"/>
              </w:rPr>
              <w:noBreakHyphen/>
              <w:t>4.3</w:t>
            </w:r>
          </w:p>
        </w:tc>
        <w:tc>
          <w:tcPr>
            <w:tcW w:w="851" w:type="dxa"/>
            <w:vAlign w:val="bottom"/>
          </w:tcPr>
          <w:p w14:paraId="744F0549" w14:textId="77777777" w:rsidR="0012790E" w:rsidRPr="0012790E" w:rsidRDefault="0012790E">
            <w:pPr>
              <w:pStyle w:val="Summarytabletextrightaligned"/>
              <w:rPr>
                <w:szCs w:val="16"/>
              </w:rPr>
            </w:pPr>
            <w:r w:rsidRPr="0012790E">
              <w:rPr>
                <w:szCs w:val="16"/>
              </w:rPr>
              <w:noBreakHyphen/>
              <w:t>4.3</w:t>
            </w:r>
          </w:p>
        </w:tc>
        <w:tc>
          <w:tcPr>
            <w:tcW w:w="851" w:type="dxa"/>
            <w:vAlign w:val="bottom"/>
          </w:tcPr>
          <w:p w14:paraId="168AC0FA" w14:textId="77777777" w:rsidR="0012790E" w:rsidRPr="0012790E" w:rsidRDefault="0012790E">
            <w:pPr>
              <w:pStyle w:val="Summarytabletextrightaligned"/>
              <w:rPr>
                <w:szCs w:val="16"/>
              </w:rPr>
            </w:pPr>
            <w:r w:rsidRPr="0012790E">
              <w:rPr>
                <w:szCs w:val="16"/>
              </w:rPr>
              <w:noBreakHyphen/>
              <w:t>4.3</w:t>
            </w:r>
          </w:p>
        </w:tc>
        <w:tc>
          <w:tcPr>
            <w:tcW w:w="851" w:type="dxa"/>
            <w:vAlign w:val="bottom"/>
          </w:tcPr>
          <w:p w14:paraId="6419E93F" w14:textId="77777777" w:rsidR="0012790E" w:rsidRPr="0012790E" w:rsidRDefault="0012790E">
            <w:pPr>
              <w:pStyle w:val="Summarytabletextrightaligned"/>
              <w:rPr>
                <w:szCs w:val="16"/>
              </w:rPr>
            </w:pPr>
            <w:r w:rsidRPr="0012790E">
              <w:rPr>
                <w:szCs w:val="16"/>
              </w:rPr>
              <w:noBreakHyphen/>
              <w:t>4.3</w:t>
            </w:r>
          </w:p>
        </w:tc>
      </w:tr>
      <w:tr w:rsidR="0012790E" w:rsidRPr="0012790E" w14:paraId="135EAD0E" w14:textId="77777777">
        <w:tc>
          <w:tcPr>
            <w:tcW w:w="3470" w:type="dxa"/>
            <w:shd w:val="clear" w:color="auto" w:fill="auto"/>
            <w:vAlign w:val="bottom"/>
          </w:tcPr>
          <w:p w14:paraId="5301D413" w14:textId="77777777" w:rsidR="0012790E" w:rsidRPr="0012790E" w:rsidRDefault="0012790E">
            <w:pPr>
              <w:pStyle w:val="SummaryMeasureTitlewithTheme"/>
            </w:pPr>
            <w:r w:rsidRPr="0012790E">
              <w:t>Attorney</w:t>
            </w:r>
            <w:r w:rsidRPr="0012790E">
              <w:noBreakHyphen/>
              <w:t>General's Portfolio – additional resourcing</w:t>
            </w:r>
          </w:p>
        </w:tc>
        <w:tc>
          <w:tcPr>
            <w:tcW w:w="851" w:type="dxa"/>
            <w:vAlign w:val="bottom"/>
          </w:tcPr>
          <w:p w14:paraId="0831CC4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9756393" w14:textId="77777777" w:rsidR="0012790E" w:rsidRPr="0012790E" w:rsidRDefault="0012790E">
            <w:pPr>
              <w:pStyle w:val="Summarytabletextrightaligned"/>
              <w:rPr>
                <w:szCs w:val="16"/>
              </w:rPr>
            </w:pPr>
            <w:r w:rsidRPr="0012790E">
              <w:rPr>
                <w:szCs w:val="16"/>
              </w:rPr>
              <w:t>9.5</w:t>
            </w:r>
          </w:p>
        </w:tc>
        <w:tc>
          <w:tcPr>
            <w:tcW w:w="851" w:type="dxa"/>
            <w:vAlign w:val="bottom"/>
          </w:tcPr>
          <w:p w14:paraId="277A04AD" w14:textId="77777777" w:rsidR="0012790E" w:rsidRPr="0012790E" w:rsidRDefault="0012790E">
            <w:pPr>
              <w:pStyle w:val="Summarytabletextrightaligned"/>
              <w:rPr>
                <w:szCs w:val="16"/>
              </w:rPr>
            </w:pPr>
            <w:r w:rsidRPr="0012790E">
              <w:rPr>
                <w:szCs w:val="16"/>
              </w:rPr>
              <w:t>4.7</w:t>
            </w:r>
          </w:p>
        </w:tc>
        <w:tc>
          <w:tcPr>
            <w:tcW w:w="851" w:type="dxa"/>
            <w:vAlign w:val="bottom"/>
          </w:tcPr>
          <w:p w14:paraId="0F12278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68264B7" w14:textId="77777777" w:rsidR="0012790E" w:rsidRPr="0012790E" w:rsidRDefault="0012790E">
            <w:pPr>
              <w:pStyle w:val="Summarytabletextrightaligned"/>
              <w:rPr>
                <w:szCs w:val="16"/>
              </w:rPr>
            </w:pPr>
            <w:r w:rsidRPr="0012790E">
              <w:rPr>
                <w:szCs w:val="16"/>
              </w:rPr>
              <w:noBreakHyphen/>
            </w:r>
          </w:p>
        </w:tc>
      </w:tr>
      <w:tr w:rsidR="0012790E" w:rsidRPr="0012790E" w14:paraId="3AA102E9" w14:textId="77777777">
        <w:tc>
          <w:tcPr>
            <w:tcW w:w="3470" w:type="dxa"/>
            <w:shd w:val="clear" w:color="auto" w:fill="auto"/>
            <w:vAlign w:val="bottom"/>
          </w:tcPr>
          <w:p w14:paraId="3221AD21" w14:textId="77777777" w:rsidR="0012790E" w:rsidRPr="0012790E" w:rsidRDefault="0012790E">
            <w:pPr>
              <w:pStyle w:val="SummaryMeasureTitlewithTheme"/>
            </w:pPr>
            <w:r w:rsidRPr="0012790E">
              <w:t>Building a Better Future Through Considered Infrastructure Investment</w:t>
            </w:r>
          </w:p>
        </w:tc>
        <w:tc>
          <w:tcPr>
            <w:tcW w:w="851" w:type="dxa"/>
            <w:vAlign w:val="bottom"/>
          </w:tcPr>
          <w:p w14:paraId="50FBA9EC" w14:textId="77777777" w:rsidR="0012790E" w:rsidRPr="0012790E" w:rsidRDefault="0012790E">
            <w:pPr>
              <w:pStyle w:val="Summarytabletextrightaligned"/>
              <w:rPr>
                <w:szCs w:val="16"/>
              </w:rPr>
            </w:pPr>
            <w:r w:rsidRPr="0012790E">
              <w:rPr>
                <w:szCs w:val="16"/>
              </w:rPr>
              <w:noBreakHyphen/>
              <w:t>15.8</w:t>
            </w:r>
          </w:p>
        </w:tc>
        <w:tc>
          <w:tcPr>
            <w:tcW w:w="851" w:type="dxa"/>
            <w:shd w:val="clear" w:color="auto" w:fill="E6F2FF"/>
            <w:vAlign w:val="bottom"/>
          </w:tcPr>
          <w:p w14:paraId="61B2A1E4" w14:textId="77777777" w:rsidR="0012790E" w:rsidRPr="0012790E" w:rsidRDefault="0012790E">
            <w:pPr>
              <w:pStyle w:val="Summarytabletextrightaligned"/>
              <w:rPr>
                <w:szCs w:val="16"/>
              </w:rPr>
            </w:pPr>
            <w:r w:rsidRPr="0012790E">
              <w:rPr>
                <w:szCs w:val="16"/>
              </w:rPr>
              <w:t>298.9</w:t>
            </w:r>
          </w:p>
        </w:tc>
        <w:tc>
          <w:tcPr>
            <w:tcW w:w="851" w:type="dxa"/>
            <w:vAlign w:val="bottom"/>
          </w:tcPr>
          <w:p w14:paraId="1CF99BE5" w14:textId="77777777" w:rsidR="0012790E" w:rsidRPr="0012790E" w:rsidRDefault="0012790E">
            <w:pPr>
              <w:pStyle w:val="Summarytabletextrightaligned"/>
              <w:rPr>
                <w:szCs w:val="16"/>
              </w:rPr>
            </w:pPr>
            <w:r w:rsidRPr="0012790E">
              <w:rPr>
                <w:szCs w:val="16"/>
              </w:rPr>
              <w:t>624.1</w:t>
            </w:r>
          </w:p>
        </w:tc>
        <w:tc>
          <w:tcPr>
            <w:tcW w:w="851" w:type="dxa"/>
            <w:vAlign w:val="bottom"/>
          </w:tcPr>
          <w:p w14:paraId="2EDE6188" w14:textId="77777777" w:rsidR="0012790E" w:rsidRPr="0012790E" w:rsidRDefault="0012790E">
            <w:pPr>
              <w:pStyle w:val="Summarytabletextrightaligned"/>
              <w:rPr>
                <w:szCs w:val="16"/>
              </w:rPr>
            </w:pPr>
            <w:r w:rsidRPr="0012790E">
              <w:rPr>
                <w:szCs w:val="16"/>
              </w:rPr>
              <w:t>886.3</w:t>
            </w:r>
          </w:p>
        </w:tc>
        <w:tc>
          <w:tcPr>
            <w:tcW w:w="851" w:type="dxa"/>
            <w:vAlign w:val="bottom"/>
          </w:tcPr>
          <w:p w14:paraId="245060DF" w14:textId="77777777" w:rsidR="0012790E" w:rsidRPr="0012790E" w:rsidRDefault="0012790E">
            <w:pPr>
              <w:pStyle w:val="Summarytabletextrightaligned"/>
              <w:rPr>
                <w:szCs w:val="16"/>
              </w:rPr>
            </w:pPr>
            <w:r w:rsidRPr="0012790E">
              <w:rPr>
                <w:szCs w:val="16"/>
              </w:rPr>
              <w:t>925.0</w:t>
            </w:r>
          </w:p>
        </w:tc>
      </w:tr>
      <w:tr w:rsidR="0012790E" w:rsidRPr="0012790E" w14:paraId="6B16CB53" w14:textId="77777777">
        <w:tc>
          <w:tcPr>
            <w:tcW w:w="3470" w:type="dxa"/>
            <w:shd w:val="clear" w:color="auto" w:fill="auto"/>
            <w:vAlign w:val="bottom"/>
          </w:tcPr>
          <w:p w14:paraId="4DF96B74" w14:textId="77777777" w:rsidR="0012790E" w:rsidRPr="0012790E" w:rsidRDefault="0012790E">
            <w:pPr>
              <w:pStyle w:val="SummaryMeasureTitlewithTheme"/>
            </w:pPr>
            <w:r w:rsidRPr="0012790E">
              <w:t>Competition Reform(b)</w:t>
            </w:r>
          </w:p>
        </w:tc>
        <w:tc>
          <w:tcPr>
            <w:tcW w:w="851" w:type="dxa"/>
            <w:vAlign w:val="bottom"/>
          </w:tcPr>
          <w:p w14:paraId="749C0D91" w14:textId="77777777" w:rsidR="0012790E" w:rsidRPr="0012790E" w:rsidRDefault="0012790E">
            <w:pPr>
              <w:pStyle w:val="Summarytabletextrightaligned"/>
              <w:rPr>
                <w:szCs w:val="16"/>
              </w:rPr>
            </w:pPr>
            <w:r w:rsidRPr="0012790E">
              <w:rPr>
                <w:szCs w:val="16"/>
              </w:rPr>
              <w:t>0.5</w:t>
            </w:r>
          </w:p>
        </w:tc>
        <w:tc>
          <w:tcPr>
            <w:tcW w:w="851" w:type="dxa"/>
            <w:shd w:val="clear" w:color="auto" w:fill="E6F2FF"/>
            <w:vAlign w:val="bottom"/>
          </w:tcPr>
          <w:p w14:paraId="21C15802" w14:textId="77777777" w:rsidR="0012790E" w:rsidRPr="0012790E" w:rsidRDefault="0012790E">
            <w:pPr>
              <w:pStyle w:val="Summarytabletextrightaligned"/>
              <w:rPr>
                <w:szCs w:val="16"/>
              </w:rPr>
            </w:pPr>
            <w:r w:rsidRPr="0012790E">
              <w:rPr>
                <w:szCs w:val="16"/>
              </w:rPr>
              <w:t>6.2</w:t>
            </w:r>
          </w:p>
        </w:tc>
        <w:tc>
          <w:tcPr>
            <w:tcW w:w="851" w:type="dxa"/>
            <w:vAlign w:val="bottom"/>
          </w:tcPr>
          <w:p w14:paraId="115A0099" w14:textId="77777777" w:rsidR="0012790E" w:rsidRPr="0012790E" w:rsidRDefault="0012790E">
            <w:pPr>
              <w:pStyle w:val="Summarytabletextrightaligned"/>
              <w:rPr>
                <w:szCs w:val="16"/>
              </w:rPr>
            </w:pPr>
            <w:r w:rsidRPr="0012790E">
              <w:rPr>
                <w:szCs w:val="16"/>
              </w:rPr>
              <w:t>1.4</w:t>
            </w:r>
          </w:p>
        </w:tc>
        <w:tc>
          <w:tcPr>
            <w:tcW w:w="851" w:type="dxa"/>
            <w:vAlign w:val="bottom"/>
          </w:tcPr>
          <w:p w14:paraId="44D5A614" w14:textId="77777777" w:rsidR="0012790E" w:rsidRPr="0012790E" w:rsidRDefault="0012790E">
            <w:pPr>
              <w:pStyle w:val="Summarytabletextrightaligned"/>
              <w:rPr>
                <w:szCs w:val="16"/>
              </w:rPr>
            </w:pPr>
            <w:r w:rsidRPr="0012790E">
              <w:rPr>
                <w:szCs w:val="16"/>
              </w:rPr>
              <w:t>0.2</w:t>
            </w:r>
          </w:p>
        </w:tc>
        <w:tc>
          <w:tcPr>
            <w:tcW w:w="851" w:type="dxa"/>
            <w:vAlign w:val="bottom"/>
          </w:tcPr>
          <w:p w14:paraId="53512575" w14:textId="77777777" w:rsidR="0012790E" w:rsidRPr="0012790E" w:rsidRDefault="0012790E">
            <w:pPr>
              <w:pStyle w:val="Summarytabletextrightaligned"/>
              <w:rPr>
                <w:szCs w:val="16"/>
              </w:rPr>
            </w:pPr>
            <w:r w:rsidRPr="0012790E">
              <w:rPr>
                <w:szCs w:val="16"/>
              </w:rPr>
              <w:t>0.2</w:t>
            </w:r>
          </w:p>
        </w:tc>
      </w:tr>
      <w:tr w:rsidR="0012790E" w:rsidRPr="0012790E" w14:paraId="5AE0A7C3" w14:textId="77777777">
        <w:tc>
          <w:tcPr>
            <w:tcW w:w="3470" w:type="dxa"/>
            <w:shd w:val="clear" w:color="auto" w:fill="auto"/>
            <w:vAlign w:val="bottom"/>
          </w:tcPr>
          <w:p w14:paraId="6483167A" w14:textId="77777777" w:rsidR="0012790E" w:rsidRPr="0012790E" w:rsidRDefault="0012790E">
            <w:pPr>
              <w:pStyle w:val="SummaryMeasureTitlewithTheme"/>
            </w:pPr>
            <w:r w:rsidRPr="0012790E">
              <w:t>Cyber Security of Regulators and Improving Registers(b)</w:t>
            </w:r>
          </w:p>
        </w:tc>
        <w:tc>
          <w:tcPr>
            <w:tcW w:w="851" w:type="dxa"/>
            <w:vAlign w:val="bottom"/>
          </w:tcPr>
          <w:p w14:paraId="140232B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361767F" w14:textId="77777777" w:rsidR="0012790E" w:rsidRPr="0012790E" w:rsidRDefault="0012790E">
            <w:pPr>
              <w:pStyle w:val="Summarytabletextrightaligned"/>
              <w:rPr>
                <w:szCs w:val="16"/>
              </w:rPr>
            </w:pPr>
            <w:r w:rsidRPr="0012790E">
              <w:rPr>
                <w:szCs w:val="16"/>
              </w:rPr>
              <w:t>1.0</w:t>
            </w:r>
          </w:p>
        </w:tc>
        <w:tc>
          <w:tcPr>
            <w:tcW w:w="851" w:type="dxa"/>
            <w:vAlign w:val="bottom"/>
          </w:tcPr>
          <w:p w14:paraId="3D0BA6F3" w14:textId="77777777" w:rsidR="0012790E" w:rsidRPr="0012790E" w:rsidRDefault="0012790E">
            <w:pPr>
              <w:pStyle w:val="Summarytabletextrightaligned"/>
              <w:rPr>
                <w:szCs w:val="16"/>
              </w:rPr>
            </w:pPr>
            <w:r w:rsidRPr="0012790E">
              <w:rPr>
                <w:szCs w:val="16"/>
              </w:rPr>
              <w:t>0.5</w:t>
            </w:r>
          </w:p>
        </w:tc>
        <w:tc>
          <w:tcPr>
            <w:tcW w:w="851" w:type="dxa"/>
            <w:vAlign w:val="bottom"/>
          </w:tcPr>
          <w:p w14:paraId="031096B1"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E71B2AF" w14:textId="77777777" w:rsidR="0012790E" w:rsidRPr="0012790E" w:rsidRDefault="0012790E">
            <w:pPr>
              <w:pStyle w:val="Summarytabletextrightaligned"/>
              <w:rPr>
                <w:szCs w:val="16"/>
              </w:rPr>
            </w:pPr>
            <w:r w:rsidRPr="0012790E">
              <w:rPr>
                <w:szCs w:val="16"/>
              </w:rPr>
              <w:noBreakHyphen/>
            </w:r>
          </w:p>
        </w:tc>
      </w:tr>
      <w:tr w:rsidR="0012790E" w:rsidRPr="0012790E" w14:paraId="3BA47D1D" w14:textId="77777777">
        <w:tc>
          <w:tcPr>
            <w:tcW w:w="3470" w:type="dxa"/>
            <w:shd w:val="clear" w:color="auto" w:fill="auto"/>
            <w:vAlign w:val="bottom"/>
          </w:tcPr>
          <w:p w14:paraId="7790B98E" w14:textId="77777777" w:rsidR="0012790E" w:rsidRPr="0012790E" w:rsidRDefault="0012790E">
            <w:pPr>
              <w:pStyle w:val="SummaryMeasureTitlewithTheme"/>
            </w:pPr>
            <w:r w:rsidRPr="0012790E">
              <w:t>Digital ID</w:t>
            </w:r>
          </w:p>
        </w:tc>
        <w:tc>
          <w:tcPr>
            <w:tcW w:w="851" w:type="dxa"/>
            <w:vAlign w:val="bottom"/>
          </w:tcPr>
          <w:p w14:paraId="062B750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C343094" w14:textId="77777777" w:rsidR="0012790E" w:rsidRPr="0012790E" w:rsidRDefault="0012790E">
            <w:pPr>
              <w:pStyle w:val="Summarytabletextrightaligned"/>
              <w:rPr>
                <w:szCs w:val="16"/>
              </w:rPr>
            </w:pPr>
            <w:r w:rsidRPr="0012790E">
              <w:rPr>
                <w:szCs w:val="16"/>
              </w:rPr>
              <w:t>3.9</w:t>
            </w:r>
          </w:p>
        </w:tc>
        <w:tc>
          <w:tcPr>
            <w:tcW w:w="851" w:type="dxa"/>
            <w:vAlign w:val="bottom"/>
          </w:tcPr>
          <w:p w14:paraId="093884B9" w14:textId="77777777" w:rsidR="0012790E" w:rsidRPr="0012790E" w:rsidRDefault="0012790E">
            <w:pPr>
              <w:pStyle w:val="Summarytabletextrightaligned"/>
              <w:rPr>
                <w:szCs w:val="16"/>
              </w:rPr>
            </w:pPr>
            <w:r w:rsidRPr="0012790E">
              <w:rPr>
                <w:szCs w:val="16"/>
              </w:rPr>
              <w:t>4.0</w:t>
            </w:r>
          </w:p>
        </w:tc>
        <w:tc>
          <w:tcPr>
            <w:tcW w:w="851" w:type="dxa"/>
            <w:vAlign w:val="bottom"/>
          </w:tcPr>
          <w:p w14:paraId="5848505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93F4770" w14:textId="77777777" w:rsidR="0012790E" w:rsidRPr="0012790E" w:rsidRDefault="0012790E">
            <w:pPr>
              <w:pStyle w:val="Summarytabletextrightaligned"/>
              <w:rPr>
                <w:szCs w:val="16"/>
              </w:rPr>
            </w:pPr>
            <w:r w:rsidRPr="0012790E">
              <w:rPr>
                <w:szCs w:val="16"/>
              </w:rPr>
              <w:noBreakHyphen/>
            </w:r>
          </w:p>
        </w:tc>
      </w:tr>
      <w:tr w:rsidR="0012790E" w:rsidRPr="0012790E" w14:paraId="19EA2ECB" w14:textId="77777777">
        <w:tc>
          <w:tcPr>
            <w:tcW w:w="3470" w:type="dxa"/>
            <w:shd w:val="clear" w:color="auto" w:fill="auto"/>
            <w:vAlign w:val="bottom"/>
          </w:tcPr>
          <w:p w14:paraId="30608AD1" w14:textId="77777777" w:rsidR="0012790E" w:rsidRPr="0012790E" w:rsidRDefault="0012790E">
            <w:pPr>
              <w:pStyle w:val="SummaryMeasureTitlewithTheme"/>
            </w:pPr>
            <w:r w:rsidRPr="0012790E">
              <w:t>Energy Bill Relief Fund – extension and expansion</w:t>
            </w:r>
          </w:p>
        </w:tc>
        <w:tc>
          <w:tcPr>
            <w:tcW w:w="851" w:type="dxa"/>
            <w:vAlign w:val="bottom"/>
          </w:tcPr>
          <w:p w14:paraId="02BA4022" w14:textId="77777777" w:rsidR="0012790E" w:rsidRPr="0012790E" w:rsidRDefault="0012790E">
            <w:pPr>
              <w:pStyle w:val="Summarytabletextrightaligned"/>
              <w:rPr>
                <w:szCs w:val="16"/>
              </w:rPr>
            </w:pPr>
            <w:r w:rsidRPr="0012790E">
              <w:rPr>
                <w:szCs w:val="16"/>
              </w:rPr>
              <w:t>0.1</w:t>
            </w:r>
          </w:p>
        </w:tc>
        <w:tc>
          <w:tcPr>
            <w:tcW w:w="851" w:type="dxa"/>
            <w:shd w:val="clear" w:color="auto" w:fill="E6F2FF"/>
            <w:vAlign w:val="bottom"/>
          </w:tcPr>
          <w:p w14:paraId="3E3B016A" w14:textId="77777777" w:rsidR="0012790E" w:rsidRPr="0012790E" w:rsidRDefault="0012790E">
            <w:pPr>
              <w:pStyle w:val="Summarytabletextrightaligned"/>
              <w:rPr>
                <w:szCs w:val="16"/>
              </w:rPr>
            </w:pPr>
            <w:r w:rsidRPr="0012790E">
              <w:rPr>
                <w:szCs w:val="16"/>
              </w:rPr>
              <w:t>2,616.7</w:t>
            </w:r>
          </w:p>
        </w:tc>
        <w:tc>
          <w:tcPr>
            <w:tcW w:w="851" w:type="dxa"/>
            <w:vAlign w:val="bottom"/>
          </w:tcPr>
          <w:p w14:paraId="78B207AA" w14:textId="77777777" w:rsidR="0012790E" w:rsidRPr="0012790E" w:rsidRDefault="0012790E">
            <w:pPr>
              <w:pStyle w:val="Summarytabletextrightaligned"/>
              <w:rPr>
                <w:szCs w:val="16"/>
              </w:rPr>
            </w:pPr>
            <w:r w:rsidRPr="0012790E">
              <w:rPr>
                <w:szCs w:val="16"/>
              </w:rPr>
              <w:t>872.2</w:t>
            </w:r>
          </w:p>
        </w:tc>
        <w:tc>
          <w:tcPr>
            <w:tcW w:w="851" w:type="dxa"/>
            <w:vAlign w:val="bottom"/>
          </w:tcPr>
          <w:p w14:paraId="60DCF28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75102EE" w14:textId="77777777" w:rsidR="0012790E" w:rsidRPr="0012790E" w:rsidRDefault="0012790E">
            <w:pPr>
              <w:pStyle w:val="Summarytabletextrightaligned"/>
              <w:rPr>
                <w:szCs w:val="16"/>
              </w:rPr>
            </w:pPr>
            <w:r w:rsidRPr="0012790E">
              <w:rPr>
                <w:szCs w:val="16"/>
              </w:rPr>
              <w:noBreakHyphen/>
            </w:r>
          </w:p>
        </w:tc>
      </w:tr>
      <w:tr w:rsidR="0012790E" w:rsidRPr="0012790E" w14:paraId="108089D9" w14:textId="77777777">
        <w:tc>
          <w:tcPr>
            <w:tcW w:w="3470" w:type="dxa"/>
            <w:shd w:val="clear" w:color="auto" w:fill="auto"/>
            <w:vAlign w:val="bottom"/>
          </w:tcPr>
          <w:p w14:paraId="4811DC6A" w14:textId="77777777" w:rsidR="0012790E" w:rsidRPr="0012790E" w:rsidRDefault="0012790E">
            <w:pPr>
              <w:pStyle w:val="SummaryMeasureTitlewithTheme"/>
            </w:pPr>
            <w:r w:rsidRPr="0012790E">
              <w:t>Ensuring Service Delivery at Hummingbird House</w:t>
            </w:r>
          </w:p>
        </w:tc>
        <w:tc>
          <w:tcPr>
            <w:tcW w:w="851" w:type="dxa"/>
            <w:vAlign w:val="bottom"/>
          </w:tcPr>
          <w:p w14:paraId="7041B0F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32EC122" w14:textId="77777777" w:rsidR="0012790E" w:rsidRPr="0012790E" w:rsidRDefault="0012790E">
            <w:pPr>
              <w:pStyle w:val="Summarytabletextrightaligned"/>
              <w:rPr>
                <w:szCs w:val="16"/>
              </w:rPr>
            </w:pPr>
            <w:r w:rsidRPr="0012790E">
              <w:rPr>
                <w:szCs w:val="16"/>
              </w:rPr>
              <w:t>0.9</w:t>
            </w:r>
          </w:p>
        </w:tc>
        <w:tc>
          <w:tcPr>
            <w:tcW w:w="851" w:type="dxa"/>
            <w:vAlign w:val="bottom"/>
          </w:tcPr>
          <w:p w14:paraId="53B40141"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BA0F48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8D1B7AF" w14:textId="77777777" w:rsidR="0012790E" w:rsidRPr="0012790E" w:rsidRDefault="0012790E">
            <w:pPr>
              <w:pStyle w:val="Summarytabletextrightaligned"/>
              <w:rPr>
                <w:szCs w:val="16"/>
              </w:rPr>
            </w:pPr>
            <w:r w:rsidRPr="0012790E">
              <w:rPr>
                <w:szCs w:val="16"/>
              </w:rPr>
              <w:noBreakHyphen/>
            </w:r>
          </w:p>
        </w:tc>
      </w:tr>
      <w:tr w:rsidR="0012790E" w:rsidRPr="0012790E" w14:paraId="2CB25DCC" w14:textId="77777777">
        <w:tc>
          <w:tcPr>
            <w:tcW w:w="3470" w:type="dxa"/>
            <w:shd w:val="clear" w:color="auto" w:fill="auto"/>
            <w:vAlign w:val="bottom"/>
          </w:tcPr>
          <w:p w14:paraId="2E34F212" w14:textId="77777777" w:rsidR="0012790E" w:rsidRPr="0012790E" w:rsidRDefault="0012790E">
            <w:pPr>
              <w:pStyle w:val="SummaryMeasureTitlewithTheme"/>
            </w:pPr>
            <w:r w:rsidRPr="0012790E">
              <w:t>Fighting Scams(b)</w:t>
            </w:r>
          </w:p>
        </w:tc>
        <w:tc>
          <w:tcPr>
            <w:tcW w:w="851" w:type="dxa"/>
            <w:vAlign w:val="bottom"/>
          </w:tcPr>
          <w:p w14:paraId="403764C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821B74E" w14:textId="0A205427" w:rsidR="0012790E" w:rsidRPr="0012790E" w:rsidRDefault="00CA13C9">
            <w:pPr>
              <w:pStyle w:val="Summarytabletextrightaligned"/>
              <w:rPr>
                <w:szCs w:val="16"/>
              </w:rPr>
            </w:pPr>
            <w:r>
              <w:rPr>
                <w:szCs w:val="16"/>
              </w:rPr>
              <w:t>1</w:t>
            </w:r>
            <w:r w:rsidR="0012790E" w:rsidRPr="0012790E">
              <w:rPr>
                <w:szCs w:val="16"/>
              </w:rPr>
              <w:t>.4</w:t>
            </w:r>
          </w:p>
        </w:tc>
        <w:tc>
          <w:tcPr>
            <w:tcW w:w="851" w:type="dxa"/>
            <w:vAlign w:val="bottom"/>
          </w:tcPr>
          <w:p w14:paraId="3081E7BB" w14:textId="77777777" w:rsidR="0012790E" w:rsidRPr="0012790E" w:rsidRDefault="0012790E">
            <w:pPr>
              <w:pStyle w:val="Summarytabletextrightaligned"/>
              <w:rPr>
                <w:szCs w:val="16"/>
              </w:rPr>
            </w:pPr>
            <w:r w:rsidRPr="0012790E">
              <w:rPr>
                <w:szCs w:val="16"/>
              </w:rPr>
              <w:t>0.2</w:t>
            </w:r>
          </w:p>
        </w:tc>
        <w:tc>
          <w:tcPr>
            <w:tcW w:w="851" w:type="dxa"/>
            <w:vAlign w:val="bottom"/>
          </w:tcPr>
          <w:p w14:paraId="02A3B3D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D37472C" w14:textId="77777777" w:rsidR="0012790E" w:rsidRPr="0012790E" w:rsidRDefault="0012790E">
            <w:pPr>
              <w:pStyle w:val="Summarytabletextrightaligned"/>
              <w:rPr>
                <w:szCs w:val="16"/>
              </w:rPr>
            </w:pPr>
            <w:r w:rsidRPr="0012790E">
              <w:rPr>
                <w:szCs w:val="16"/>
              </w:rPr>
              <w:noBreakHyphen/>
            </w:r>
          </w:p>
        </w:tc>
      </w:tr>
      <w:tr w:rsidR="0012790E" w:rsidRPr="0012790E" w14:paraId="56AACD3E" w14:textId="77777777">
        <w:tc>
          <w:tcPr>
            <w:tcW w:w="3470" w:type="dxa"/>
            <w:shd w:val="clear" w:color="auto" w:fill="auto"/>
            <w:vAlign w:val="bottom"/>
          </w:tcPr>
          <w:p w14:paraId="51C51A6C" w14:textId="77777777" w:rsidR="0012790E" w:rsidRPr="0012790E" w:rsidRDefault="0012790E">
            <w:pPr>
              <w:pStyle w:val="SummaryMeasureTitlewithTheme"/>
            </w:pPr>
            <w:r w:rsidRPr="0012790E">
              <w:t>Funding for the Territories</w:t>
            </w:r>
          </w:p>
        </w:tc>
        <w:tc>
          <w:tcPr>
            <w:tcW w:w="851" w:type="dxa"/>
            <w:vAlign w:val="bottom"/>
          </w:tcPr>
          <w:p w14:paraId="11938DB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4B1195F" w14:textId="77777777" w:rsidR="0012790E" w:rsidRPr="0012790E" w:rsidRDefault="0012790E">
            <w:pPr>
              <w:pStyle w:val="Summarytabletextrightaligned"/>
              <w:rPr>
                <w:szCs w:val="16"/>
              </w:rPr>
            </w:pPr>
            <w:r w:rsidRPr="0012790E">
              <w:rPr>
                <w:szCs w:val="16"/>
              </w:rPr>
              <w:t>0.6</w:t>
            </w:r>
          </w:p>
        </w:tc>
        <w:tc>
          <w:tcPr>
            <w:tcW w:w="851" w:type="dxa"/>
            <w:vAlign w:val="bottom"/>
          </w:tcPr>
          <w:p w14:paraId="7927349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0187D7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691E929" w14:textId="77777777" w:rsidR="0012790E" w:rsidRPr="0012790E" w:rsidRDefault="0012790E">
            <w:pPr>
              <w:pStyle w:val="Summarytabletextrightaligned"/>
              <w:rPr>
                <w:szCs w:val="16"/>
              </w:rPr>
            </w:pPr>
            <w:r w:rsidRPr="0012790E">
              <w:rPr>
                <w:szCs w:val="16"/>
              </w:rPr>
              <w:noBreakHyphen/>
            </w:r>
          </w:p>
        </w:tc>
      </w:tr>
      <w:tr w:rsidR="0012790E" w:rsidRPr="0012790E" w14:paraId="03779763" w14:textId="77777777">
        <w:tc>
          <w:tcPr>
            <w:tcW w:w="3470" w:type="dxa"/>
            <w:shd w:val="clear" w:color="auto" w:fill="auto"/>
            <w:vAlign w:val="bottom"/>
          </w:tcPr>
          <w:p w14:paraId="7190AD65" w14:textId="77777777" w:rsidR="0012790E" w:rsidRPr="0012790E" w:rsidRDefault="0012790E">
            <w:pPr>
              <w:pStyle w:val="SummaryMeasureTitlewithTheme"/>
            </w:pPr>
            <w:r w:rsidRPr="0012790E">
              <w:t>Further Investment to Closing the Gap</w:t>
            </w:r>
          </w:p>
        </w:tc>
        <w:tc>
          <w:tcPr>
            <w:tcW w:w="851" w:type="dxa"/>
            <w:vAlign w:val="bottom"/>
          </w:tcPr>
          <w:p w14:paraId="5658EEC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CCD487F" w14:textId="1548FFC3" w:rsidR="0012790E" w:rsidRPr="0012790E" w:rsidRDefault="002D6DEE">
            <w:pPr>
              <w:pStyle w:val="Summarytabletextrightaligned"/>
              <w:rPr>
                <w:szCs w:val="16"/>
              </w:rPr>
            </w:pPr>
            <w:r>
              <w:rPr>
                <w:szCs w:val="16"/>
              </w:rPr>
              <w:t>-</w:t>
            </w:r>
          </w:p>
        </w:tc>
        <w:tc>
          <w:tcPr>
            <w:tcW w:w="851" w:type="dxa"/>
            <w:vAlign w:val="bottom"/>
          </w:tcPr>
          <w:p w14:paraId="5A6301CF"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3493B9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B7FDE15" w14:textId="77777777" w:rsidR="0012790E" w:rsidRPr="0012790E" w:rsidRDefault="0012790E">
            <w:pPr>
              <w:pStyle w:val="Summarytabletextrightaligned"/>
              <w:rPr>
                <w:szCs w:val="16"/>
              </w:rPr>
            </w:pPr>
            <w:r w:rsidRPr="0012790E">
              <w:rPr>
                <w:szCs w:val="16"/>
              </w:rPr>
              <w:noBreakHyphen/>
            </w:r>
          </w:p>
        </w:tc>
      </w:tr>
      <w:tr w:rsidR="0012790E" w:rsidRPr="0012790E" w14:paraId="51943499" w14:textId="77777777">
        <w:tc>
          <w:tcPr>
            <w:tcW w:w="3470" w:type="dxa"/>
            <w:shd w:val="clear" w:color="auto" w:fill="auto"/>
            <w:vAlign w:val="bottom"/>
          </w:tcPr>
          <w:p w14:paraId="1DF75695" w14:textId="77777777" w:rsidR="0012790E" w:rsidRPr="0012790E" w:rsidRDefault="0012790E">
            <w:pPr>
              <w:pStyle w:val="SummaryMeasureTitlewithTheme"/>
            </w:pPr>
            <w:r w:rsidRPr="0012790E">
              <w:t>Future Made in Australia – Attracting Investment in Key Industries</w:t>
            </w:r>
          </w:p>
        </w:tc>
        <w:tc>
          <w:tcPr>
            <w:tcW w:w="851" w:type="dxa"/>
            <w:vAlign w:val="bottom"/>
          </w:tcPr>
          <w:p w14:paraId="34C14CA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6A650D2" w14:textId="77777777" w:rsidR="0012790E" w:rsidRPr="0012790E" w:rsidRDefault="0012790E">
            <w:pPr>
              <w:pStyle w:val="Summarytabletextrightaligned"/>
              <w:rPr>
                <w:szCs w:val="16"/>
              </w:rPr>
            </w:pPr>
            <w:r w:rsidRPr="0012790E">
              <w:rPr>
                <w:szCs w:val="16"/>
              </w:rPr>
              <w:t>45.7</w:t>
            </w:r>
          </w:p>
        </w:tc>
        <w:tc>
          <w:tcPr>
            <w:tcW w:w="851" w:type="dxa"/>
            <w:vAlign w:val="bottom"/>
          </w:tcPr>
          <w:p w14:paraId="6577844B" w14:textId="77777777" w:rsidR="0012790E" w:rsidRPr="0012790E" w:rsidRDefault="0012790E">
            <w:pPr>
              <w:pStyle w:val="Summarytabletextrightaligned"/>
              <w:rPr>
                <w:szCs w:val="16"/>
              </w:rPr>
            </w:pPr>
            <w:r w:rsidRPr="0012790E">
              <w:rPr>
                <w:szCs w:val="16"/>
              </w:rPr>
              <w:t>8.0</w:t>
            </w:r>
          </w:p>
        </w:tc>
        <w:tc>
          <w:tcPr>
            <w:tcW w:w="851" w:type="dxa"/>
            <w:vAlign w:val="bottom"/>
          </w:tcPr>
          <w:p w14:paraId="351B22C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D1173CB" w14:textId="77777777" w:rsidR="0012790E" w:rsidRPr="0012790E" w:rsidRDefault="0012790E">
            <w:pPr>
              <w:pStyle w:val="Summarytabletextrightaligned"/>
              <w:rPr>
                <w:szCs w:val="16"/>
              </w:rPr>
            </w:pPr>
            <w:r w:rsidRPr="0012790E">
              <w:rPr>
                <w:szCs w:val="16"/>
              </w:rPr>
              <w:noBreakHyphen/>
            </w:r>
          </w:p>
        </w:tc>
      </w:tr>
      <w:tr w:rsidR="0012790E" w:rsidRPr="0012790E" w14:paraId="19BEF4CE" w14:textId="77777777">
        <w:tc>
          <w:tcPr>
            <w:tcW w:w="3470" w:type="dxa"/>
            <w:tcBorders>
              <w:bottom w:val="single" w:sz="4" w:space="0" w:color="293F5B"/>
            </w:tcBorders>
            <w:shd w:val="clear" w:color="auto" w:fill="auto"/>
            <w:vAlign w:val="bottom"/>
          </w:tcPr>
          <w:p w14:paraId="3DB2A32E" w14:textId="77777777" w:rsidR="0012790E" w:rsidRPr="0012790E" w:rsidRDefault="0012790E">
            <w:pPr>
              <w:pStyle w:val="SummaryMeasureTitlewithTheme"/>
            </w:pPr>
            <w:r w:rsidRPr="0012790E">
              <w:t>Future Made in Australia – Investing in Innovation, Science and Digital Capabilities(b)</w:t>
            </w:r>
          </w:p>
        </w:tc>
        <w:tc>
          <w:tcPr>
            <w:tcW w:w="851" w:type="dxa"/>
            <w:tcBorders>
              <w:bottom w:val="single" w:sz="4" w:space="0" w:color="293F5B"/>
            </w:tcBorders>
            <w:vAlign w:val="bottom"/>
          </w:tcPr>
          <w:p w14:paraId="092AEE23"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4EFE60B2" w14:textId="77777777" w:rsidR="0012790E" w:rsidRPr="0012790E" w:rsidRDefault="0012790E">
            <w:pPr>
              <w:pStyle w:val="Summarytabletextrightaligned"/>
              <w:rPr>
                <w:szCs w:val="16"/>
              </w:rPr>
            </w:pPr>
            <w:r w:rsidRPr="0012790E">
              <w:rPr>
                <w:szCs w:val="16"/>
              </w:rPr>
              <w:t>0.7</w:t>
            </w:r>
          </w:p>
        </w:tc>
        <w:tc>
          <w:tcPr>
            <w:tcW w:w="851" w:type="dxa"/>
            <w:tcBorders>
              <w:bottom w:val="single" w:sz="4" w:space="0" w:color="293F5B"/>
            </w:tcBorders>
            <w:vAlign w:val="bottom"/>
          </w:tcPr>
          <w:p w14:paraId="0FD07E69" w14:textId="77777777" w:rsidR="0012790E" w:rsidRPr="0012790E" w:rsidRDefault="0012790E">
            <w:pPr>
              <w:pStyle w:val="Summarytabletextrightaligned"/>
              <w:rPr>
                <w:szCs w:val="16"/>
              </w:rPr>
            </w:pPr>
            <w:r w:rsidRPr="0012790E">
              <w:rPr>
                <w:szCs w:val="16"/>
              </w:rPr>
              <w:t>0.7</w:t>
            </w:r>
          </w:p>
        </w:tc>
        <w:tc>
          <w:tcPr>
            <w:tcW w:w="851" w:type="dxa"/>
            <w:tcBorders>
              <w:bottom w:val="single" w:sz="4" w:space="0" w:color="293F5B"/>
            </w:tcBorders>
            <w:vAlign w:val="bottom"/>
          </w:tcPr>
          <w:p w14:paraId="4C8E2B48" w14:textId="77777777" w:rsidR="0012790E" w:rsidRPr="0012790E" w:rsidRDefault="0012790E">
            <w:pPr>
              <w:pStyle w:val="Summarytabletextrightaligned"/>
              <w:rPr>
                <w:szCs w:val="16"/>
              </w:rPr>
            </w:pPr>
            <w:r w:rsidRPr="0012790E">
              <w:rPr>
                <w:szCs w:val="16"/>
              </w:rPr>
              <w:t>0.7</w:t>
            </w:r>
          </w:p>
        </w:tc>
        <w:tc>
          <w:tcPr>
            <w:tcW w:w="851" w:type="dxa"/>
            <w:tcBorders>
              <w:bottom w:val="single" w:sz="4" w:space="0" w:color="293F5B"/>
            </w:tcBorders>
            <w:vAlign w:val="bottom"/>
          </w:tcPr>
          <w:p w14:paraId="051F3849" w14:textId="77777777" w:rsidR="0012790E" w:rsidRPr="0012790E" w:rsidRDefault="0012790E">
            <w:pPr>
              <w:pStyle w:val="Summarytabletextrightaligned"/>
              <w:rPr>
                <w:szCs w:val="16"/>
              </w:rPr>
            </w:pPr>
            <w:r w:rsidRPr="0012790E">
              <w:rPr>
                <w:szCs w:val="16"/>
              </w:rPr>
              <w:t>0.7</w:t>
            </w:r>
          </w:p>
        </w:tc>
      </w:tr>
    </w:tbl>
    <w:p w14:paraId="4DC243B9" w14:textId="77777777" w:rsidR="0012790E" w:rsidRPr="0012790E" w:rsidRDefault="0012790E" w:rsidP="0012790E">
      <w:pPr>
        <w:pStyle w:val="TableHeadingcontinued"/>
        <w:sectPr w:rsidR="0012790E" w:rsidRPr="0012790E" w:rsidSect="00EA5BFE">
          <w:headerReference w:type="even" r:id="rId116"/>
          <w:headerReference w:type="default" r:id="rId117"/>
          <w:footerReference w:type="even" r:id="rId118"/>
          <w:footerReference w:type="default" r:id="rId119"/>
          <w:footerReference w:type="first" r:id="rId120"/>
          <w:pgSz w:w="11905" w:h="16837"/>
          <w:pgMar w:top="2835" w:right="2098" w:bottom="2466" w:left="2098" w:header="1814" w:footer="1814" w:gutter="0"/>
          <w:cols w:space="720"/>
          <w:noEndnote/>
          <w:docGrid w:linePitch="272"/>
        </w:sectPr>
      </w:pPr>
    </w:p>
    <w:p w14:paraId="63CFE980" w14:textId="77777777" w:rsidR="0012790E" w:rsidRPr="0012790E" w:rsidRDefault="0012790E" w:rsidP="0012790E">
      <w:pPr>
        <w:pStyle w:val="TableHeadingcontinued"/>
        <w:rPr>
          <w:szCs w:val="16"/>
        </w:rPr>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4C57EE3D" w14:textId="77777777" w:rsidTr="54937204">
        <w:tc>
          <w:tcPr>
            <w:tcW w:w="3470" w:type="dxa"/>
            <w:tcBorders>
              <w:top w:val="single" w:sz="4" w:space="0" w:color="293F5B"/>
            </w:tcBorders>
            <w:shd w:val="clear" w:color="auto" w:fill="auto"/>
            <w:vAlign w:val="bottom"/>
          </w:tcPr>
          <w:p w14:paraId="3A3DB176"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6BCDCD29"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5144A12B"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50E7D173"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685B1905"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09DBB268"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4F1E3DF9" w14:textId="77777777" w:rsidTr="54937204">
        <w:tc>
          <w:tcPr>
            <w:tcW w:w="3470" w:type="dxa"/>
            <w:shd w:val="clear" w:color="auto" w:fill="auto"/>
            <w:vAlign w:val="bottom"/>
          </w:tcPr>
          <w:p w14:paraId="645B6550" w14:textId="77777777" w:rsidR="0012790E" w:rsidRPr="0012790E" w:rsidRDefault="0012790E">
            <w:pPr>
              <w:pStyle w:val="Summarytabletextrightaligned"/>
            </w:pPr>
          </w:p>
        </w:tc>
        <w:tc>
          <w:tcPr>
            <w:tcW w:w="851" w:type="dxa"/>
            <w:tcBorders>
              <w:bottom w:val="single" w:sz="4" w:space="0" w:color="293F5B"/>
            </w:tcBorders>
            <w:vAlign w:val="bottom"/>
          </w:tcPr>
          <w:p w14:paraId="214A8F06"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445D8E4E"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542917DB"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47851E60"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58EB1F57" w14:textId="77777777" w:rsidR="0012790E" w:rsidRPr="0012790E" w:rsidRDefault="0012790E">
            <w:pPr>
              <w:pStyle w:val="Summarytabletextrightaligned"/>
            </w:pPr>
            <w:r w:rsidRPr="0012790E">
              <w:t>$m</w:t>
            </w:r>
          </w:p>
        </w:tc>
      </w:tr>
      <w:tr w:rsidR="0012790E" w:rsidRPr="0012790E" w14:paraId="31809C9D" w14:textId="77777777" w:rsidTr="54937204">
        <w:tc>
          <w:tcPr>
            <w:tcW w:w="3470" w:type="dxa"/>
            <w:shd w:val="clear" w:color="auto" w:fill="auto"/>
            <w:vAlign w:val="bottom"/>
          </w:tcPr>
          <w:p w14:paraId="563C4C7A" w14:textId="77777777" w:rsidR="0012790E" w:rsidRPr="0012790E" w:rsidRDefault="0012790E" w:rsidP="000D3386">
            <w:pPr>
              <w:pStyle w:val="SummaryMeasureTitlewithTheme"/>
              <w:ind w:hanging="340"/>
              <w:rPr>
                <w:rFonts w:cs="Arial"/>
                <w:b/>
              </w:rPr>
            </w:pPr>
            <w:r w:rsidRPr="0012790E">
              <w:rPr>
                <w:rFonts w:cs="Arial"/>
                <w:b/>
              </w:rPr>
              <w:t>TREASURY (continued)</w:t>
            </w:r>
          </w:p>
        </w:tc>
        <w:tc>
          <w:tcPr>
            <w:tcW w:w="851" w:type="dxa"/>
            <w:vAlign w:val="bottom"/>
          </w:tcPr>
          <w:p w14:paraId="624EC80C" w14:textId="77777777" w:rsidR="0012790E" w:rsidRPr="0012790E" w:rsidRDefault="0012790E">
            <w:pPr>
              <w:pStyle w:val="Summarytabletextrightaligned"/>
              <w:rPr>
                <w:szCs w:val="16"/>
              </w:rPr>
            </w:pPr>
          </w:p>
        </w:tc>
        <w:tc>
          <w:tcPr>
            <w:tcW w:w="851" w:type="dxa"/>
            <w:shd w:val="clear" w:color="auto" w:fill="E6F2FF"/>
            <w:vAlign w:val="bottom"/>
          </w:tcPr>
          <w:p w14:paraId="035D6B80" w14:textId="77777777" w:rsidR="0012790E" w:rsidRPr="0012790E" w:rsidRDefault="0012790E">
            <w:pPr>
              <w:pStyle w:val="Summarytabletextrightaligned"/>
              <w:rPr>
                <w:szCs w:val="16"/>
              </w:rPr>
            </w:pPr>
          </w:p>
        </w:tc>
        <w:tc>
          <w:tcPr>
            <w:tcW w:w="851" w:type="dxa"/>
            <w:vAlign w:val="bottom"/>
          </w:tcPr>
          <w:p w14:paraId="31F1B9A2" w14:textId="77777777" w:rsidR="0012790E" w:rsidRPr="0012790E" w:rsidRDefault="0012790E">
            <w:pPr>
              <w:pStyle w:val="Summarytabletextrightaligned"/>
              <w:rPr>
                <w:szCs w:val="16"/>
              </w:rPr>
            </w:pPr>
          </w:p>
        </w:tc>
        <w:tc>
          <w:tcPr>
            <w:tcW w:w="851" w:type="dxa"/>
            <w:vAlign w:val="bottom"/>
          </w:tcPr>
          <w:p w14:paraId="216B552B" w14:textId="77777777" w:rsidR="0012790E" w:rsidRPr="0012790E" w:rsidRDefault="0012790E">
            <w:pPr>
              <w:pStyle w:val="Summarytabletextrightaligned"/>
              <w:rPr>
                <w:szCs w:val="16"/>
              </w:rPr>
            </w:pPr>
          </w:p>
        </w:tc>
        <w:tc>
          <w:tcPr>
            <w:tcW w:w="851" w:type="dxa"/>
            <w:vAlign w:val="bottom"/>
          </w:tcPr>
          <w:p w14:paraId="2DAF19E1" w14:textId="77777777" w:rsidR="0012790E" w:rsidRPr="0012790E" w:rsidRDefault="0012790E">
            <w:pPr>
              <w:pStyle w:val="Summarytabletextrightaligned"/>
              <w:rPr>
                <w:szCs w:val="16"/>
              </w:rPr>
            </w:pPr>
          </w:p>
        </w:tc>
      </w:tr>
      <w:tr w:rsidR="0012790E" w:rsidRPr="0012790E" w14:paraId="1BC0ACC7" w14:textId="77777777" w:rsidTr="54937204">
        <w:tc>
          <w:tcPr>
            <w:tcW w:w="3470" w:type="dxa"/>
            <w:shd w:val="clear" w:color="auto" w:fill="auto"/>
            <w:vAlign w:val="bottom"/>
          </w:tcPr>
          <w:p w14:paraId="2E04FEA4" w14:textId="77777777" w:rsidR="0012790E" w:rsidRPr="0012790E" w:rsidRDefault="0012790E">
            <w:pPr>
              <w:pStyle w:val="SummaryMeasureTitlewithTheme"/>
            </w:pPr>
            <w:r w:rsidRPr="0012790E">
              <w:t>Future Made in Australia – Making Australia a Renewable Energy Superpower(b)</w:t>
            </w:r>
          </w:p>
        </w:tc>
        <w:tc>
          <w:tcPr>
            <w:tcW w:w="851" w:type="dxa"/>
            <w:vAlign w:val="bottom"/>
          </w:tcPr>
          <w:p w14:paraId="10A9979F" w14:textId="77777777" w:rsidR="0012790E" w:rsidRPr="0012790E" w:rsidRDefault="0012790E">
            <w:pPr>
              <w:pStyle w:val="Summarytabletextrightaligned"/>
              <w:rPr>
                <w:szCs w:val="16"/>
              </w:rPr>
            </w:pPr>
            <w:r w:rsidRPr="0012790E">
              <w:rPr>
                <w:szCs w:val="16"/>
              </w:rPr>
              <w:noBreakHyphen/>
              <w:t>4.3</w:t>
            </w:r>
          </w:p>
        </w:tc>
        <w:tc>
          <w:tcPr>
            <w:tcW w:w="851" w:type="dxa"/>
            <w:shd w:val="clear" w:color="auto" w:fill="E6F2FF"/>
            <w:vAlign w:val="bottom"/>
          </w:tcPr>
          <w:p w14:paraId="552A7186" w14:textId="77777777" w:rsidR="0012790E" w:rsidRPr="0012790E" w:rsidRDefault="0012790E">
            <w:pPr>
              <w:pStyle w:val="Summarytabletextrightaligned"/>
              <w:rPr>
                <w:szCs w:val="16"/>
              </w:rPr>
            </w:pPr>
            <w:r w:rsidRPr="0012790E">
              <w:rPr>
                <w:szCs w:val="16"/>
              </w:rPr>
              <w:t>4.1</w:t>
            </w:r>
          </w:p>
        </w:tc>
        <w:tc>
          <w:tcPr>
            <w:tcW w:w="851" w:type="dxa"/>
            <w:vAlign w:val="bottom"/>
          </w:tcPr>
          <w:p w14:paraId="5851F573" w14:textId="77777777" w:rsidR="0012790E" w:rsidRPr="0012790E" w:rsidRDefault="0012790E">
            <w:pPr>
              <w:pStyle w:val="Summarytabletextrightaligned"/>
              <w:rPr>
                <w:szCs w:val="16"/>
              </w:rPr>
            </w:pPr>
            <w:r w:rsidRPr="0012790E">
              <w:rPr>
                <w:szCs w:val="16"/>
              </w:rPr>
              <w:noBreakHyphen/>
              <w:t>3.8</w:t>
            </w:r>
          </w:p>
        </w:tc>
        <w:tc>
          <w:tcPr>
            <w:tcW w:w="851" w:type="dxa"/>
            <w:vAlign w:val="bottom"/>
          </w:tcPr>
          <w:p w14:paraId="5B421976" w14:textId="77777777" w:rsidR="0012790E" w:rsidRPr="0012790E" w:rsidRDefault="0012790E">
            <w:pPr>
              <w:pStyle w:val="Summarytabletextrightaligned"/>
              <w:rPr>
                <w:szCs w:val="16"/>
              </w:rPr>
            </w:pPr>
            <w:r w:rsidRPr="0012790E">
              <w:rPr>
                <w:szCs w:val="16"/>
              </w:rPr>
              <w:t>1.2</w:t>
            </w:r>
          </w:p>
        </w:tc>
        <w:tc>
          <w:tcPr>
            <w:tcW w:w="851" w:type="dxa"/>
            <w:vAlign w:val="bottom"/>
          </w:tcPr>
          <w:p w14:paraId="11D7B829" w14:textId="77777777" w:rsidR="0012790E" w:rsidRPr="0012790E" w:rsidRDefault="0012790E">
            <w:pPr>
              <w:pStyle w:val="Summarytabletextrightaligned"/>
              <w:rPr>
                <w:szCs w:val="16"/>
              </w:rPr>
            </w:pPr>
            <w:r w:rsidRPr="0012790E">
              <w:rPr>
                <w:szCs w:val="16"/>
              </w:rPr>
              <w:noBreakHyphen/>
            </w:r>
          </w:p>
        </w:tc>
      </w:tr>
      <w:tr w:rsidR="0012790E" w:rsidRPr="0012790E" w14:paraId="6ABB89F6" w14:textId="77777777" w:rsidTr="54937204">
        <w:tc>
          <w:tcPr>
            <w:tcW w:w="3470" w:type="dxa"/>
            <w:shd w:val="clear" w:color="auto" w:fill="auto"/>
            <w:vAlign w:val="bottom"/>
          </w:tcPr>
          <w:p w14:paraId="49B10464" w14:textId="77777777" w:rsidR="0012790E" w:rsidRPr="0012790E" w:rsidRDefault="0012790E">
            <w:pPr>
              <w:pStyle w:val="SummaryMeasureTitlewithTheme"/>
            </w:pPr>
            <w:r w:rsidRPr="0012790E">
              <w:t>Future Made in Australia – Promoting Sustainable Finance Markets(b)</w:t>
            </w:r>
          </w:p>
        </w:tc>
        <w:tc>
          <w:tcPr>
            <w:tcW w:w="851" w:type="dxa"/>
            <w:vAlign w:val="bottom"/>
          </w:tcPr>
          <w:p w14:paraId="27024FB7"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EB8DBBA" w14:textId="77777777" w:rsidR="0012790E" w:rsidRPr="0012790E" w:rsidRDefault="0012790E">
            <w:pPr>
              <w:pStyle w:val="Summarytabletextrightaligned"/>
              <w:rPr>
                <w:szCs w:val="16"/>
              </w:rPr>
            </w:pPr>
            <w:r w:rsidRPr="0012790E">
              <w:rPr>
                <w:szCs w:val="16"/>
              </w:rPr>
              <w:t>2.3</w:t>
            </w:r>
          </w:p>
        </w:tc>
        <w:tc>
          <w:tcPr>
            <w:tcW w:w="851" w:type="dxa"/>
            <w:vAlign w:val="bottom"/>
          </w:tcPr>
          <w:p w14:paraId="34D2238C" w14:textId="77777777" w:rsidR="0012790E" w:rsidRPr="0012790E" w:rsidRDefault="0012790E">
            <w:pPr>
              <w:pStyle w:val="Summarytabletextrightaligned"/>
              <w:rPr>
                <w:szCs w:val="16"/>
              </w:rPr>
            </w:pPr>
            <w:r w:rsidRPr="0012790E">
              <w:rPr>
                <w:szCs w:val="16"/>
              </w:rPr>
              <w:t>1.7</w:t>
            </w:r>
          </w:p>
        </w:tc>
        <w:tc>
          <w:tcPr>
            <w:tcW w:w="851" w:type="dxa"/>
            <w:vAlign w:val="bottom"/>
          </w:tcPr>
          <w:p w14:paraId="7CAA7571" w14:textId="77777777" w:rsidR="0012790E" w:rsidRPr="0012790E" w:rsidRDefault="0012790E">
            <w:pPr>
              <w:pStyle w:val="Summarytabletextrightaligned"/>
              <w:rPr>
                <w:szCs w:val="16"/>
              </w:rPr>
            </w:pPr>
            <w:r w:rsidRPr="0012790E">
              <w:rPr>
                <w:szCs w:val="16"/>
              </w:rPr>
              <w:t>1.1</w:t>
            </w:r>
          </w:p>
        </w:tc>
        <w:tc>
          <w:tcPr>
            <w:tcW w:w="851" w:type="dxa"/>
            <w:vAlign w:val="bottom"/>
          </w:tcPr>
          <w:p w14:paraId="32686A1C" w14:textId="77777777" w:rsidR="0012790E" w:rsidRPr="0012790E" w:rsidRDefault="0012790E">
            <w:pPr>
              <w:pStyle w:val="Summarytabletextrightaligned"/>
              <w:rPr>
                <w:szCs w:val="16"/>
              </w:rPr>
            </w:pPr>
            <w:r w:rsidRPr="0012790E">
              <w:rPr>
                <w:szCs w:val="16"/>
              </w:rPr>
              <w:t>1.2</w:t>
            </w:r>
          </w:p>
        </w:tc>
      </w:tr>
      <w:tr w:rsidR="0012790E" w:rsidRPr="0012790E" w14:paraId="119DB0B3" w14:textId="77777777" w:rsidTr="54937204">
        <w:tc>
          <w:tcPr>
            <w:tcW w:w="3470" w:type="dxa"/>
            <w:shd w:val="clear" w:color="auto" w:fill="auto"/>
            <w:vAlign w:val="bottom"/>
          </w:tcPr>
          <w:p w14:paraId="37A8A1BF" w14:textId="77777777" w:rsidR="0012790E" w:rsidRPr="0012790E" w:rsidRDefault="0012790E">
            <w:pPr>
              <w:pStyle w:val="SummaryMeasureTitlewithTheme"/>
            </w:pPr>
            <w:r w:rsidRPr="0012790E">
              <w:t>Future Made in Australia – Strengthening Approvals Processes(b)</w:t>
            </w:r>
          </w:p>
        </w:tc>
        <w:tc>
          <w:tcPr>
            <w:tcW w:w="851" w:type="dxa"/>
            <w:vAlign w:val="bottom"/>
          </w:tcPr>
          <w:p w14:paraId="5B51EE22"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1296EB5" w14:textId="77777777" w:rsidR="0012790E" w:rsidRPr="0012790E" w:rsidRDefault="0012790E">
            <w:pPr>
              <w:pStyle w:val="Summarytabletextrightaligned"/>
              <w:rPr>
                <w:szCs w:val="16"/>
              </w:rPr>
            </w:pPr>
            <w:r w:rsidRPr="0012790E">
              <w:rPr>
                <w:szCs w:val="16"/>
              </w:rPr>
              <w:t>3.6</w:t>
            </w:r>
          </w:p>
        </w:tc>
        <w:tc>
          <w:tcPr>
            <w:tcW w:w="851" w:type="dxa"/>
            <w:vAlign w:val="bottom"/>
          </w:tcPr>
          <w:p w14:paraId="5D890638" w14:textId="77777777" w:rsidR="0012790E" w:rsidRPr="0012790E" w:rsidRDefault="0012790E">
            <w:pPr>
              <w:pStyle w:val="Summarytabletextrightaligned"/>
              <w:rPr>
                <w:szCs w:val="16"/>
              </w:rPr>
            </w:pPr>
            <w:r w:rsidRPr="0012790E">
              <w:rPr>
                <w:szCs w:val="16"/>
              </w:rPr>
              <w:t>4.0</w:t>
            </w:r>
          </w:p>
        </w:tc>
        <w:tc>
          <w:tcPr>
            <w:tcW w:w="851" w:type="dxa"/>
            <w:vAlign w:val="bottom"/>
          </w:tcPr>
          <w:p w14:paraId="6CC084E8" w14:textId="77777777" w:rsidR="0012790E" w:rsidRPr="0012790E" w:rsidRDefault="0012790E">
            <w:pPr>
              <w:pStyle w:val="Summarytabletextrightaligned"/>
              <w:rPr>
                <w:szCs w:val="16"/>
              </w:rPr>
            </w:pPr>
            <w:r w:rsidRPr="0012790E">
              <w:rPr>
                <w:szCs w:val="16"/>
              </w:rPr>
              <w:t>4.0</w:t>
            </w:r>
          </w:p>
        </w:tc>
        <w:tc>
          <w:tcPr>
            <w:tcW w:w="851" w:type="dxa"/>
            <w:vAlign w:val="bottom"/>
          </w:tcPr>
          <w:p w14:paraId="30B7AE12" w14:textId="77777777" w:rsidR="0012790E" w:rsidRPr="0012790E" w:rsidRDefault="0012790E">
            <w:pPr>
              <w:pStyle w:val="Summarytabletextrightaligned"/>
              <w:rPr>
                <w:szCs w:val="16"/>
              </w:rPr>
            </w:pPr>
            <w:r w:rsidRPr="0012790E">
              <w:rPr>
                <w:szCs w:val="16"/>
              </w:rPr>
              <w:t>4.1</w:t>
            </w:r>
          </w:p>
        </w:tc>
      </w:tr>
      <w:tr w:rsidR="0012790E" w:rsidRPr="0012790E" w14:paraId="01EF6442" w14:textId="77777777" w:rsidTr="54937204">
        <w:tc>
          <w:tcPr>
            <w:tcW w:w="3470" w:type="dxa"/>
            <w:shd w:val="clear" w:color="auto" w:fill="auto"/>
            <w:vAlign w:val="bottom"/>
          </w:tcPr>
          <w:p w14:paraId="6990736E" w14:textId="77777777" w:rsidR="0012790E" w:rsidRPr="0012790E" w:rsidRDefault="0012790E">
            <w:pPr>
              <w:pStyle w:val="SummaryMeasureTitlewithTheme"/>
            </w:pPr>
            <w:r w:rsidRPr="0012790E">
              <w:t>Future Made in Australia – Workforce and Trade Partnerships for Renewable Energy Superpower Industries</w:t>
            </w:r>
          </w:p>
        </w:tc>
        <w:tc>
          <w:tcPr>
            <w:tcW w:w="851" w:type="dxa"/>
            <w:vAlign w:val="bottom"/>
          </w:tcPr>
          <w:p w14:paraId="65A929D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5B6DFA5" w14:textId="77777777" w:rsidR="0012790E" w:rsidRPr="0012790E" w:rsidRDefault="0012790E">
            <w:pPr>
              <w:pStyle w:val="Summarytabletextrightaligned"/>
              <w:rPr>
                <w:szCs w:val="16"/>
              </w:rPr>
            </w:pPr>
            <w:r w:rsidRPr="0012790E">
              <w:rPr>
                <w:szCs w:val="16"/>
              </w:rPr>
              <w:t>50.0</w:t>
            </w:r>
          </w:p>
        </w:tc>
        <w:tc>
          <w:tcPr>
            <w:tcW w:w="851" w:type="dxa"/>
            <w:vAlign w:val="bottom"/>
          </w:tcPr>
          <w:p w14:paraId="73AE7BCE" w14:textId="77777777" w:rsidR="0012790E" w:rsidRPr="0012790E" w:rsidRDefault="0012790E">
            <w:pPr>
              <w:pStyle w:val="Summarytabletextrightaligned"/>
              <w:rPr>
                <w:szCs w:val="16"/>
              </w:rPr>
            </w:pPr>
            <w:r w:rsidRPr="0012790E">
              <w:rPr>
                <w:szCs w:val="16"/>
              </w:rPr>
              <w:t>22.5</w:t>
            </w:r>
          </w:p>
        </w:tc>
        <w:tc>
          <w:tcPr>
            <w:tcW w:w="851" w:type="dxa"/>
            <w:vAlign w:val="bottom"/>
          </w:tcPr>
          <w:p w14:paraId="07D076E4" w14:textId="77777777" w:rsidR="0012790E" w:rsidRPr="0012790E" w:rsidRDefault="0012790E">
            <w:pPr>
              <w:pStyle w:val="Summarytabletextrightaligned"/>
              <w:rPr>
                <w:szCs w:val="16"/>
              </w:rPr>
            </w:pPr>
            <w:r w:rsidRPr="0012790E">
              <w:rPr>
                <w:szCs w:val="16"/>
              </w:rPr>
              <w:t>7.5</w:t>
            </w:r>
          </w:p>
        </w:tc>
        <w:tc>
          <w:tcPr>
            <w:tcW w:w="851" w:type="dxa"/>
            <w:vAlign w:val="bottom"/>
          </w:tcPr>
          <w:p w14:paraId="636DAF6A" w14:textId="77777777" w:rsidR="0012790E" w:rsidRPr="0012790E" w:rsidRDefault="0012790E">
            <w:pPr>
              <w:pStyle w:val="Summarytabletextrightaligned"/>
              <w:rPr>
                <w:szCs w:val="16"/>
              </w:rPr>
            </w:pPr>
            <w:r w:rsidRPr="0012790E">
              <w:rPr>
                <w:szCs w:val="16"/>
              </w:rPr>
              <w:noBreakHyphen/>
            </w:r>
          </w:p>
        </w:tc>
      </w:tr>
      <w:tr w:rsidR="0012790E" w:rsidRPr="0012790E" w14:paraId="0CADC9B5" w14:textId="77777777" w:rsidTr="54937204">
        <w:tc>
          <w:tcPr>
            <w:tcW w:w="3470" w:type="dxa"/>
            <w:shd w:val="clear" w:color="auto" w:fill="auto"/>
            <w:vAlign w:val="bottom"/>
          </w:tcPr>
          <w:p w14:paraId="57E5D6EC" w14:textId="77777777" w:rsidR="0012790E" w:rsidRPr="0012790E" w:rsidRDefault="0012790E">
            <w:pPr>
              <w:pStyle w:val="SummaryMeasureTitlewithTheme"/>
            </w:pPr>
            <w:r w:rsidRPr="0012790E">
              <w:t>Harnessing the Energy Transition to Benefit Consumers</w:t>
            </w:r>
          </w:p>
        </w:tc>
        <w:tc>
          <w:tcPr>
            <w:tcW w:w="851" w:type="dxa"/>
            <w:vAlign w:val="bottom"/>
          </w:tcPr>
          <w:p w14:paraId="2772F640" w14:textId="77777777" w:rsidR="0012790E" w:rsidRPr="0012790E" w:rsidRDefault="0012790E">
            <w:pPr>
              <w:pStyle w:val="Summarytabletextrightaligned"/>
              <w:rPr>
                <w:szCs w:val="16"/>
              </w:rPr>
            </w:pPr>
            <w:r w:rsidRPr="0012790E">
              <w:rPr>
                <w:szCs w:val="16"/>
              </w:rPr>
              <w:noBreakHyphen/>
              <w:t>10.0</w:t>
            </w:r>
          </w:p>
        </w:tc>
        <w:tc>
          <w:tcPr>
            <w:tcW w:w="851" w:type="dxa"/>
            <w:shd w:val="clear" w:color="auto" w:fill="E6F2FF"/>
            <w:vAlign w:val="bottom"/>
          </w:tcPr>
          <w:p w14:paraId="005DCFE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9FE159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38FADB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A08BFAB" w14:textId="77777777" w:rsidR="0012790E" w:rsidRPr="0012790E" w:rsidRDefault="0012790E">
            <w:pPr>
              <w:pStyle w:val="Summarytabletextrightaligned"/>
              <w:rPr>
                <w:szCs w:val="16"/>
              </w:rPr>
            </w:pPr>
            <w:r w:rsidRPr="0012790E">
              <w:rPr>
                <w:szCs w:val="16"/>
              </w:rPr>
              <w:noBreakHyphen/>
            </w:r>
          </w:p>
        </w:tc>
      </w:tr>
      <w:tr w:rsidR="0012790E" w:rsidRPr="0012790E" w14:paraId="062ACC9A" w14:textId="77777777" w:rsidTr="54937204">
        <w:tc>
          <w:tcPr>
            <w:tcW w:w="3470" w:type="dxa"/>
            <w:shd w:val="clear" w:color="auto" w:fill="auto"/>
            <w:vAlign w:val="bottom"/>
          </w:tcPr>
          <w:p w14:paraId="021FDC48" w14:textId="77777777" w:rsidR="0012790E" w:rsidRPr="0012790E" w:rsidRDefault="0012790E">
            <w:pPr>
              <w:pStyle w:val="SummaryMeasureTitlewithTheme"/>
            </w:pPr>
            <w:r w:rsidRPr="0012790E">
              <w:t>Health Workforce</w:t>
            </w:r>
          </w:p>
        </w:tc>
        <w:tc>
          <w:tcPr>
            <w:tcW w:w="851" w:type="dxa"/>
            <w:vAlign w:val="bottom"/>
          </w:tcPr>
          <w:p w14:paraId="1B525A2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158384C" w14:textId="77777777" w:rsidR="0012790E" w:rsidRPr="0012790E" w:rsidRDefault="0012790E">
            <w:pPr>
              <w:pStyle w:val="Summarytabletextrightaligned"/>
              <w:rPr>
                <w:szCs w:val="16"/>
              </w:rPr>
            </w:pPr>
            <w:r w:rsidRPr="0012790E">
              <w:rPr>
                <w:szCs w:val="16"/>
              </w:rPr>
              <w:t>9.4</w:t>
            </w:r>
          </w:p>
        </w:tc>
        <w:tc>
          <w:tcPr>
            <w:tcW w:w="851" w:type="dxa"/>
            <w:vAlign w:val="bottom"/>
          </w:tcPr>
          <w:p w14:paraId="70748EB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2937A17"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EBF9102" w14:textId="77777777" w:rsidR="0012790E" w:rsidRPr="0012790E" w:rsidRDefault="0012790E">
            <w:pPr>
              <w:pStyle w:val="Summarytabletextrightaligned"/>
              <w:rPr>
                <w:szCs w:val="16"/>
              </w:rPr>
            </w:pPr>
            <w:r w:rsidRPr="0012790E">
              <w:rPr>
                <w:szCs w:val="16"/>
              </w:rPr>
              <w:noBreakHyphen/>
            </w:r>
          </w:p>
        </w:tc>
      </w:tr>
      <w:tr w:rsidR="0012790E" w:rsidRPr="0012790E" w14:paraId="4F8B7573" w14:textId="77777777" w:rsidTr="54937204">
        <w:tc>
          <w:tcPr>
            <w:tcW w:w="3470" w:type="dxa"/>
            <w:shd w:val="clear" w:color="auto" w:fill="auto"/>
            <w:vAlign w:val="bottom"/>
          </w:tcPr>
          <w:p w14:paraId="32F7DF60" w14:textId="77777777" w:rsidR="0012790E" w:rsidRPr="0012790E" w:rsidRDefault="0012790E">
            <w:pPr>
              <w:pStyle w:val="SummaryMeasureTitlewithTheme"/>
            </w:pPr>
            <w:r w:rsidRPr="0012790E">
              <w:t>Housing Support(b)</w:t>
            </w:r>
          </w:p>
        </w:tc>
        <w:tc>
          <w:tcPr>
            <w:tcW w:w="851" w:type="dxa"/>
            <w:vAlign w:val="bottom"/>
          </w:tcPr>
          <w:p w14:paraId="6A413EE3" w14:textId="77777777" w:rsidR="0012790E" w:rsidRPr="0012790E" w:rsidRDefault="0012790E">
            <w:pPr>
              <w:pStyle w:val="Summarytabletextrightaligned"/>
              <w:rPr>
                <w:szCs w:val="16"/>
              </w:rPr>
            </w:pPr>
            <w:r w:rsidRPr="0012790E">
              <w:rPr>
                <w:szCs w:val="16"/>
              </w:rPr>
              <w:t>1,000.0</w:t>
            </w:r>
          </w:p>
        </w:tc>
        <w:tc>
          <w:tcPr>
            <w:tcW w:w="851" w:type="dxa"/>
            <w:shd w:val="clear" w:color="auto" w:fill="E6F2FF"/>
            <w:vAlign w:val="bottom"/>
          </w:tcPr>
          <w:p w14:paraId="64168293" w14:textId="2C889A08" w:rsidR="0012790E" w:rsidRPr="0012790E" w:rsidRDefault="00AC4C32">
            <w:pPr>
              <w:pStyle w:val="Summarytabletextrightaligned"/>
              <w:rPr>
                <w:szCs w:val="16"/>
              </w:rPr>
            </w:pPr>
            <w:r>
              <w:rPr>
                <w:szCs w:val="16"/>
              </w:rPr>
              <w:t>133.5</w:t>
            </w:r>
          </w:p>
        </w:tc>
        <w:tc>
          <w:tcPr>
            <w:tcW w:w="851" w:type="dxa"/>
            <w:vAlign w:val="bottom"/>
          </w:tcPr>
          <w:p w14:paraId="4E9C21C2" w14:textId="0F89F59B" w:rsidR="0012790E" w:rsidRPr="0012790E" w:rsidRDefault="00AC4C32">
            <w:pPr>
              <w:pStyle w:val="Summarytabletextrightaligned"/>
              <w:rPr>
                <w:szCs w:val="16"/>
              </w:rPr>
            </w:pPr>
            <w:r>
              <w:rPr>
                <w:szCs w:val="16"/>
              </w:rPr>
              <w:t>152.0</w:t>
            </w:r>
          </w:p>
        </w:tc>
        <w:tc>
          <w:tcPr>
            <w:tcW w:w="851" w:type="dxa"/>
            <w:vAlign w:val="bottom"/>
          </w:tcPr>
          <w:p w14:paraId="56C7FFF1" w14:textId="77777777" w:rsidR="0012790E" w:rsidRPr="0012790E" w:rsidRDefault="0012790E">
            <w:pPr>
              <w:pStyle w:val="Summarytabletextrightaligned"/>
              <w:rPr>
                <w:szCs w:val="16"/>
              </w:rPr>
            </w:pPr>
            <w:r w:rsidRPr="0012790E">
              <w:rPr>
                <w:szCs w:val="16"/>
              </w:rPr>
              <w:t>111.2</w:t>
            </w:r>
          </w:p>
        </w:tc>
        <w:tc>
          <w:tcPr>
            <w:tcW w:w="851" w:type="dxa"/>
            <w:vAlign w:val="bottom"/>
          </w:tcPr>
          <w:p w14:paraId="51B2B30A" w14:textId="77777777" w:rsidR="0012790E" w:rsidRPr="0012790E" w:rsidRDefault="0012790E">
            <w:pPr>
              <w:pStyle w:val="Summarytabletextrightaligned"/>
              <w:rPr>
                <w:szCs w:val="16"/>
              </w:rPr>
            </w:pPr>
            <w:r w:rsidRPr="0012790E">
              <w:rPr>
                <w:szCs w:val="16"/>
              </w:rPr>
              <w:t>85.5</w:t>
            </w:r>
          </w:p>
        </w:tc>
      </w:tr>
      <w:tr w:rsidR="0012790E" w:rsidRPr="0012790E" w14:paraId="19C990CE" w14:textId="77777777" w:rsidTr="54937204">
        <w:tc>
          <w:tcPr>
            <w:tcW w:w="3470" w:type="dxa"/>
            <w:shd w:val="clear" w:color="auto" w:fill="auto"/>
            <w:vAlign w:val="bottom"/>
          </w:tcPr>
          <w:p w14:paraId="3425AF6B" w14:textId="77777777" w:rsidR="0012790E" w:rsidRPr="0012790E" w:rsidRDefault="0012790E">
            <w:pPr>
              <w:pStyle w:val="SummaryMeasureTitlewithTheme"/>
            </w:pPr>
            <w:r w:rsidRPr="0012790E">
              <w:t>Improving Aged Care Support</w:t>
            </w:r>
          </w:p>
        </w:tc>
        <w:tc>
          <w:tcPr>
            <w:tcW w:w="851" w:type="dxa"/>
            <w:vAlign w:val="bottom"/>
          </w:tcPr>
          <w:p w14:paraId="24C7724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2775EBE"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87A4FCE"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7544ED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860EF4F" w14:textId="77777777" w:rsidR="0012790E" w:rsidRPr="0012790E" w:rsidRDefault="0012790E">
            <w:pPr>
              <w:pStyle w:val="Summarytabletextrightaligned"/>
              <w:rPr>
                <w:szCs w:val="16"/>
              </w:rPr>
            </w:pPr>
            <w:r w:rsidRPr="0012790E">
              <w:rPr>
                <w:szCs w:val="16"/>
              </w:rPr>
              <w:noBreakHyphen/>
            </w:r>
          </w:p>
        </w:tc>
      </w:tr>
      <w:tr w:rsidR="0012790E" w:rsidRPr="0012790E" w14:paraId="5D7BB714" w14:textId="77777777" w:rsidTr="54937204">
        <w:tc>
          <w:tcPr>
            <w:tcW w:w="3470" w:type="dxa"/>
            <w:shd w:val="clear" w:color="auto" w:fill="auto"/>
            <w:vAlign w:val="bottom"/>
          </w:tcPr>
          <w:p w14:paraId="64C4DFE9" w14:textId="77777777" w:rsidR="0012790E" w:rsidRPr="0012790E" w:rsidRDefault="0012790E">
            <w:pPr>
              <w:pStyle w:val="SummaryMeasureTitlewithTheme"/>
            </w:pPr>
            <w:r w:rsidRPr="0012790E">
              <w:t>Improving Cancer Outcomes</w:t>
            </w:r>
          </w:p>
        </w:tc>
        <w:tc>
          <w:tcPr>
            <w:tcW w:w="851" w:type="dxa"/>
            <w:vAlign w:val="bottom"/>
          </w:tcPr>
          <w:p w14:paraId="6FCEECDF"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062112F" w14:textId="77777777" w:rsidR="0012790E" w:rsidRPr="0012790E" w:rsidRDefault="0012790E">
            <w:pPr>
              <w:pStyle w:val="Summarytabletextrightaligned"/>
              <w:rPr>
                <w:szCs w:val="16"/>
              </w:rPr>
            </w:pPr>
            <w:r w:rsidRPr="0012790E">
              <w:rPr>
                <w:szCs w:val="16"/>
              </w:rPr>
              <w:t>9.2</w:t>
            </w:r>
          </w:p>
        </w:tc>
        <w:tc>
          <w:tcPr>
            <w:tcW w:w="851" w:type="dxa"/>
            <w:vAlign w:val="bottom"/>
          </w:tcPr>
          <w:p w14:paraId="7D3A20BF" w14:textId="77777777" w:rsidR="0012790E" w:rsidRPr="0012790E" w:rsidRDefault="0012790E">
            <w:pPr>
              <w:pStyle w:val="Summarytabletextrightaligned"/>
              <w:rPr>
                <w:szCs w:val="16"/>
              </w:rPr>
            </w:pPr>
            <w:r w:rsidRPr="0012790E">
              <w:rPr>
                <w:szCs w:val="16"/>
              </w:rPr>
              <w:t>9.5</w:t>
            </w:r>
          </w:p>
        </w:tc>
        <w:tc>
          <w:tcPr>
            <w:tcW w:w="851" w:type="dxa"/>
            <w:vAlign w:val="bottom"/>
          </w:tcPr>
          <w:p w14:paraId="3A073626" w14:textId="77777777" w:rsidR="0012790E" w:rsidRPr="0012790E" w:rsidRDefault="0012790E">
            <w:pPr>
              <w:pStyle w:val="Summarytabletextrightaligned"/>
              <w:rPr>
                <w:szCs w:val="16"/>
              </w:rPr>
            </w:pPr>
            <w:r w:rsidRPr="0012790E">
              <w:rPr>
                <w:szCs w:val="16"/>
              </w:rPr>
              <w:t>9.9</w:t>
            </w:r>
          </w:p>
        </w:tc>
        <w:tc>
          <w:tcPr>
            <w:tcW w:w="851" w:type="dxa"/>
            <w:vAlign w:val="bottom"/>
          </w:tcPr>
          <w:p w14:paraId="41B525E6" w14:textId="77777777" w:rsidR="0012790E" w:rsidRPr="0012790E" w:rsidRDefault="0012790E">
            <w:pPr>
              <w:pStyle w:val="Summarytabletextrightaligned"/>
              <w:rPr>
                <w:szCs w:val="16"/>
              </w:rPr>
            </w:pPr>
            <w:r w:rsidRPr="0012790E">
              <w:rPr>
                <w:szCs w:val="16"/>
              </w:rPr>
              <w:t>10.2</w:t>
            </w:r>
          </w:p>
        </w:tc>
      </w:tr>
      <w:tr w:rsidR="0012790E" w:rsidRPr="0012790E" w14:paraId="5C96FA0A" w14:textId="77777777" w:rsidTr="54937204">
        <w:tc>
          <w:tcPr>
            <w:tcW w:w="3470" w:type="dxa"/>
            <w:shd w:val="clear" w:color="auto" w:fill="auto"/>
            <w:vAlign w:val="bottom"/>
          </w:tcPr>
          <w:p w14:paraId="6E2B61E4" w14:textId="77777777" w:rsidR="0012790E" w:rsidRPr="0012790E" w:rsidRDefault="0012790E">
            <w:pPr>
              <w:pStyle w:val="SummaryMeasureTitlewithTheme"/>
            </w:pPr>
            <w:r w:rsidRPr="0012790E">
              <w:t>International Assistance</w:t>
            </w:r>
          </w:p>
        </w:tc>
        <w:tc>
          <w:tcPr>
            <w:tcW w:w="851" w:type="dxa"/>
            <w:vAlign w:val="bottom"/>
          </w:tcPr>
          <w:p w14:paraId="115749B0"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CB2A11A"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BDB5D2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992756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2AF5D31" w14:textId="77777777" w:rsidR="0012790E" w:rsidRPr="0012790E" w:rsidRDefault="0012790E">
            <w:pPr>
              <w:pStyle w:val="Summarytabletextrightaligned"/>
              <w:rPr>
                <w:szCs w:val="16"/>
              </w:rPr>
            </w:pPr>
            <w:r w:rsidRPr="0012790E">
              <w:rPr>
                <w:szCs w:val="16"/>
              </w:rPr>
              <w:noBreakHyphen/>
            </w:r>
          </w:p>
        </w:tc>
      </w:tr>
      <w:tr w:rsidR="0012790E" w:rsidRPr="0012790E" w14:paraId="472DF179" w14:textId="77777777" w:rsidTr="54937204">
        <w:tc>
          <w:tcPr>
            <w:tcW w:w="3470" w:type="dxa"/>
            <w:shd w:val="clear" w:color="auto" w:fill="auto"/>
            <w:vAlign w:val="bottom"/>
          </w:tcPr>
          <w:p w14:paraId="27033849" w14:textId="77777777" w:rsidR="0012790E" w:rsidRPr="0012790E" w:rsidRDefault="0012790E">
            <w:pPr>
              <w:pStyle w:val="SummaryMeasureTitlewithTheme"/>
            </w:pPr>
            <w:r w:rsidRPr="0012790E">
              <w:t>Investing in the Future of Industry and Science</w:t>
            </w:r>
          </w:p>
        </w:tc>
        <w:tc>
          <w:tcPr>
            <w:tcW w:w="851" w:type="dxa"/>
            <w:vAlign w:val="bottom"/>
          </w:tcPr>
          <w:p w14:paraId="41931C8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3B9BF2E" w14:textId="77777777" w:rsidR="0012790E" w:rsidRPr="0012790E" w:rsidRDefault="0012790E">
            <w:pPr>
              <w:pStyle w:val="Summarytabletextrightaligned"/>
              <w:rPr>
                <w:szCs w:val="16"/>
              </w:rPr>
            </w:pPr>
            <w:r w:rsidRPr="0012790E">
              <w:rPr>
                <w:szCs w:val="16"/>
              </w:rPr>
              <w:t>0.4</w:t>
            </w:r>
          </w:p>
        </w:tc>
        <w:tc>
          <w:tcPr>
            <w:tcW w:w="851" w:type="dxa"/>
            <w:vAlign w:val="bottom"/>
          </w:tcPr>
          <w:p w14:paraId="47E82FA3" w14:textId="77777777" w:rsidR="0012790E" w:rsidRPr="0012790E" w:rsidRDefault="0012790E">
            <w:pPr>
              <w:pStyle w:val="Summarytabletextrightaligned"/>
              <w:rPr>
                <w:szCs w:val="16"/>
              </w:rPr>
            </w:pPr>
            <w:r w:rsidRPr="0012790E">
              <w:rPr>
                <w:szCs w:val="16"/>
              </w:rPr>
              <w:t>0.4</w:t>
            </w:r>
          </w:p>
        </w:tc>
        <w:tc>
          <w:tcPr>
            <w:tcW w:w="851" w:type="dxa"/>
            <w:vAlign w:val="bottom"/>
          </w:tcPr>
          <w:p w14:paraId="31785795" w14:textId="77777777" w:rsidR="0012790E" w:rsidRPr="0012790E" w:rsidRDefault="0012790E">
            <w:pPr>
              <w:pStyle w:val="Summarytabletextrightaligned"/>
              <w:rPr>
                <w:szCs w:val="16"/>
              </w:rPr>
            </w:pPr>
            <w:r w:rsidRPr="0012790E">
              <w:rPr>
                <w:szCs w:val="16"/>
              </w:rPr>
              <w:t>0.4</w:t>
            </w:r>
          </w:p>
        </w:tc>
        <w:tc>
          <w:tcPr>
            <w:tcW w:w="851" w:type="dxa"/>
            <w:vAlign w:val="bottom"/>
          </w:tcPr>
          <w:p w14:paraId="70C4C106" w14:textId="77777777" w:rsidR="0012790E" w:rsidRPr="0012790E" w:rsidRDefault="0012790E">
            <w:pPr>
              <w:pStyle w:val="Summarytabletextrightaligned"/>
              <w:rPr>
                <w:szCs w:val="16"/>
              </w:rPr>
            </w:pPr>
            <w:r w:rsidRPr="0012790E">
              <w:rPr>
                <w:szCs w:val="16"/>
              </w:rPr>
              <w:t>0.4</w:t>
            </w:r>
          </w:p>
        </w:tc>
      </w:tr>
      <w:tr w:rsidR="0012790E" w:rsidRPr="0012790E" w14:paraId="331F41D3" w14:textId="77777777" w:rsidTr="54937204">
        <w:tc>
          <w:tcPr>
            <w:tcW w:w="3470" w:type="dxa"/>
            <w:shd w:val="clear" w:color="auto" w:fill="auto"/>
            <w:vAlign w:val="bottom"/>
          </w:tcPr>
          <w:p w14:paraId="4895972F" w14:textId="77777777" w:rsidR="0012790E" w:rsidRPr="0012790E" w:rsidRDefault="0012790E">
            <w:pPr>
              <w:pStyle w:val="SummaryMeasureTitlewithTheme"/>
            </w:pPr>
            <w:r w:rsidRPr="0012790E">
              <w:t>Management of Torres Strait and Papua New Guinea Cross Border Health Issues</w:t>
            </w:r>
          </w:p>
        </w:tc>
        <w:tc>
          <w:tcPr>
            <w:tcW w:w="851" w:type="dxa"/>
            <w:vAlign w:val="bottom"/>
          </w:tcPr>
          <w:p w14:paraId="2DD5B2F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A3EFC0D" w14:textId="77777777" w:rsidR="0012790E" w:rsidRPr="0012790E" w:rsidRDefault="0012790E">
            <w:pPr>
              <w:pStyle w:val="Summarytabletextrightaligned"/>
              <w:rPr>
                <w:szCs w:val="16"/>
              </w:rPr>
            </w:pPr>
            <w:r w:rsidRPr="0012790E">
              <w:rPr>
                <w:szCs w:val="16"/>
              </w:rPr>
              <w:t>7.7</w:t>
            </w:r>
          </w:p>
        </w:tc>
        <w:tc>
          <w:tcPr>
            <w:tcW w:w="851" w:type="dxa"/>
            <w:vAlign w:val="bottom"/>
          </w:tcPr>
          <w:p w14:paraId="5D586E84" w14:textId="77777777" w:rsidR="0012790E" w:rsidRPr="0012790E" w:rsidRDefault="0012790E">
            <w:pPr>
              <w:pStyle w:val="Summarytabletextrightaligned"/>
              <w:rPr>
                <w:szCs w:val="16"/>
              </w:rPr>
            </w:pPr>
            <w:r w:rsidRPr="0012790E">
              <w:rPr>
                <w:szCs w:val="16"/>
              </w:rPr>
              <w:t>7.8</w:t>
            </w:r>
          </w:p>
        </w:tc>
        <w:tc>
          <w:tcPr>
            <w:tcW w:w="851" w:type="dxa"/>
            <w:vAlign w:val="bottom"/>
          </w:tcPr>
          <w:p w14:paraId="24949818" w14:textId="77777777" w:rsidR="0012790E" w:rsidRPr="0012790E" w:rsidRDefault="0012790E">
            <w:pPr>
              <w:pStyle w:val="Summarytabletextrightaligned"/>
              <w:rPr>
                <w:szCs w:val="16"/>
              </w:rPr>
            </w:pPr>
            <w:r w:rsidRPr="0012790E">
              <w:rPr>
                <w:szCs w:val="16"/>
              </w:rPr>
              <w:t>7.9</w:t>
            </w:r>
          </w:p>
        </w:tc>
        <w:tc>
          <w:tcPr>
            <w:tcW w:w="851" w:type="dxa"/>
            <w:vAlign w:val="bottom"/>
          </w:tcPr>
          <w:p w14:paraId="739B97E6" w14:textId="77777777" w:rsidR="0012790E" w:rsidRPr="0012790E" w:rsidRDefault="0012790E">
            <w:pPr>
              <w:pStyle w:val="Summarytabletextrightaligned"/>
              <w:rPr>
                <w:szCs w:val="16"/>
              </w:rPr>
            </w:pPr>
            <w:r w:rsidRPr="0012790E">
              <w:rPr>
                <w:szCs w:val="16"/>
              </w:rPr>
              <w:t>8.0</w:t>
            </w:r>
          </w:p>
        </w:tc>
      </w:tr>
      <w:tr w:rsidR="0012790E" w:rsidRPr="0012790E" w14:paraId="6049ECDA" w14:textId="77777777" w:rsidTr="54937204">
        <w:tc>
          <w:tcPr>
            <w:tcW w:w="3470" w:type="dxa"/>
            <w:shd w:val="clear" w:color="auto" w:fill="auto"/>
            <w:vAlign w:val="bottom"/>
          </w:tcPr>
          <w:p w14:paraId="512D0B73" w14:textId="77777777" w:rsidR="0012790E" w:rsidRPr="0012790E" w:rsidRDefault="0012790E">
            <w:pPr>
              <w:pStyle w:val="SummaryMeasureTitlewithTheme"/>
            </w:pPr>
            <w:r w:rsidRPr="0012790E">
              <w:t>Migration – Mobility Arrangement for Talented Early</w:t>
            </w:r>
            <w:r w:rsidRPr="0012790E">
              <w:noBreakHyphen/>
              <w:t>professionals Scheme (MATES) and extending the validity of the Business Visitor visa for Indian nationals(b)</w:t>
            </w:r>
          </w:p>
        </w:tc>
        <w:tc>
          <w:tcPr>
            <w:tcW w:w="851" w:type="dxa"/>
            <w:vAlign w:val="bottom"/>
          </w:tcPr>
          <w:p w14:paraId="481D25C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13F0575" w14:textId="550F962F" w:rsidR="0012790E" w:rsidRPr="0012790E" w:rsidRDefault="001A00D2">
            <w:pPr>
              <w:pStyle w:val="Summarytabletextrightaligned"/>
              <w:rPr>
                <w:szCs w:val="16"/>
              </w:rPr>
            </w:pPr>
            <w:r>
              <w:rPr>
                <w:szCs w:val="16"/>
              </w:rPr>
              <w:t>..</w:t>
            </w:r>
          </w:p>
        </w:tc>
        <w:tc>
          <w:tcPr>
            <w:tcW w:w="851" w:type="dxa"/>
            <w:vAlign w:val="bottom"/>
          </w:tcPr>
          <w:p w14:paraId="09C11BE5" w14:textId="77777777" w:rsidR="0012790E" w:rsidRPr="0012790E" w:rsidRDefault="0012790E">
            <w:pPr>
              <w:pStyle w:val="Summarytabletextrightaligned"/>
              <w:rPr>
                <w:szCs w:val="16"/>
              </w:rPr>
            </w:pPr>
            <w:r w:rsidRPr="0012790E">
              <w:rPr>
                <w:szCs w:val="16"/>
              </w:rPr>
              <w:t>15.0</w:t>
            </w:r>
          </w:p>
        </w:tc>
        <w:tc>
          <w:tcPr>
            <w:tcW w:w="851" w:type="dxa"/>
            <w:vAlign w:val="bottom"/>
          </w:tcPr>
          <w:p w14:paraId="5057D11E" w14:textId="77777777" w:rsidR="0012790E" w:rsidRPr="0012790E" w:rsidRDefault="0012790E">
            <w:pPr>
              <w:pStyle w:val="Summarytabletextrightaligned"/>
              <w:rPr>
                <w:szCs w:val="16"/>
              </w:rPr>
            </w:pPr>
            <w:r w:rsidRPr="0012790E">
              <w:rPr>
                <w:szCs w:val="16"/>
              </w:rPr>
              <w:t>25.0</w:t>
            </w:r>
          </w:p>
        </w:tc>
        <w:tc>
          <w:tcPr>
            <w:tcW w:w="851" w:type="dxa"/>
            <w:vAlign w:val="bottom"/>
          </w:tcPr>
          <w:p w14:paraId="53FE5D30" w14:textId="77777777" w:rsidR="0012790E" w:rsidRPr="0012790E" w:rsidRDefault="0012790E">
            <w:pPr>
              <w:pStyle w:val="Summarytabletextrightaligned"/>
              <w:rPr>
                <w:szCs w:val="16"/>
              </w:rPr>
            </w:pPr>
            <w:r w:rsidRPr="0012790E">
              <w:rPr>
                <w:szCs w:val="16"/>
              </w:rPr>
              <w:t>25.0</w:t>
            </w:r>
          </w:p>
        </w:tc>
      </w:tr>
      <w:tr w:rsidR="0012790E" w:rsidRPr="0012790E" w14:paraId="37160F02" w14:textId="77777777" w:rsidTr="54937204">
        <w:tc>
          <w:tcPr>
            <w:tcW w:w="3470" w:type="dxa"/>
            <w:shd w:val="clear" w:color="auto" w:fill="auto"/>
            <w:vAlign w:val="bottom"/>
          </w:tcPr>
          <w:p w14:paraId="0F104F0D" w14:textId="77777777" w:rsidR="0012790E" w:rsidRPr="0012790E" w:rsidRDefault="0012790E">
            <w:pPr>
              <w:pStyle w:val="SummaryMeasureTitlewithTheme"/>
            </w:pPr>
            <w:r w:rsidRPr="0012790E">
              <w:t>Migration System Reforms(b)</w:t>
            </w:r>
          </w:p>
        </w:tc>
        <w:tc>
          <w:tcPr>
            <w:tcW w:w="851" w:type="dxa"/>
            <w:vAlign w:val="bottom"/>
          </w:tcPr>
          <w:p w14:paraId="7FB54FC1"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9C19B7E" w14:textId="520169CE" w:rsidR="0012790E" w:rsidRPr="0012790E" w:rsidRDefault="00552CB1">
            <w:pPr>
              <w:pStyle w:val="Summarytabletextrightaligned"/>
              <w:rPr>
                <w:szCs w:val="16"/>
              </w:rPr>
            </w:pPr>
            <w:r>
              <w:rPr>
                <w:szCs w:val="16"/>
              </w:rPr>
              <w:t>*</w:t>
            </w:r>
          </w:p>
        </w:tc>
        <w:tc>
          <w:tcPr>
            <w:tcW w:w="851" w:type="dxa"/>
            <w:vAlign w:val="bottom"/>
          </w:tcPr>
          <w:p w14:paraId="43771EB1" w14:textId="1B44F0C9" w:rsidR="0012790E" w:rsidRPr="0012790E" w:rsidRDefault="00552CB1">
            <w:pPr>
              <w:pStyle w:val="Summarytabletextrightaligned"/>
              <w:rPr>
                <w:szCs w:val="16"/>
              </w:rPr>
            </w:pPr>
            <w:r>
              <w:rPr>
                <w:szCs w:val="16"/>
              </w:rPr>
              <w:t>*</w:t>
            </w:r>
          </w:p>
        </w:tc>
        <w:tc>
          <w:tcPr>
            <w:tcW w:w="851" w:type="dxa"/>
            <w:vAlign w:val="bottom"/>
          </w:tcPr>
          <w:p w14:paraId="4BE1580C" w14:textId="3ED6068B" w:rsidR="0012790E" w:rsidRPr="0012790E" w:rsidRDefault="00552CB1">
            <w:pPr>
              <w:pStyle w:val="Summarytabletextrightaligned"/>
              <w:rPr>
                <w:szCs w:val="16"/>
              </w:rPr>
            </w:pPr>
            <w:r>
              <w:rPr>
                <w:szCs w:val="16"/>
              </w:rPr>
              <w:t>*</w:t>
            </w:r>
          </w:p>
        </w:tc>
        <w:tc>
          <w:tcPr>
            <w:tcW w:w="851" w:type="dxa"/>
            <w:vAlign w:val="bottom"/>
          </w:tcPr>
          <w:p w14:paraId="1EFBA5D8" w14:textId="33C5CCD3" w:rsidR="0012790E" w:rsidRPr="0012790E" w:rsidRDefault="00552CB1">
            <w:pPr>
              <w:pStyle w:val="Summarytabletextrightaligned"/>
              <w:rPr>
                <w:szCs w:val="16"/>
              </w:rPr>
            </w:pPr>
            <w:r>
              <w:rPr>
                <w:szCs w:val="16"/>
              </w:rPr>
              <w:t>*</w:t>
            </w:r>
          </w:p>
        </w:tc>
      </w:tr>
      <w:tr w:rsidR="0012790E" w:rsidRPr="0012790E" w14:paraId="1982D9E2" w14:textId="77777777" w:rsidTr="54937204">
        <w:tc>
          <w:tcPr>
            <w:tcW w:w="3470" w:type="dxa"/>
            <w:shd w:val="clear" w:color="auto" w:fill="auto"/>
            <w:vAlign w:val="bottom"/>
          </w:tcPr>
          <w:p w14:paraId="644A9AC3" w14:textId="77777777" w:rsidR="0012790E" w:rsidRPr="0012790E" w:rsidRDefault="0012790E">
            <w:pPr>
              <w:pStyle w:val="SummaryMeasureTitlewithTheme"/>
            </w:pPr>
            <w:r w:rsidRPr="0012790E">
              <w:t>Modernising Digital Assets and Payments Regulation(b)</w:t>
            </w:r>
          </w:p>
        </w:tc>
        <w:tc>
          <w:tcPr>
            <w:tcW w:w="851" w:type="dxa"/>
            <w:vAlign w:val="bottom"/>
          </w:tcPr>
          <w:p w14:paraId="1D201F4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45CCAF8" w14:textId="77777777" w:rsidR="0012790E" w:rsidRPr="0012790E" w:rsidRDefault="0012790E">
            <w:pPr>
              <w:pStyle w:val="Summarytabletextrightaligned"/>
              <w:rPr>
                <w:szCs w:val="16"/>
              </w:rPr>
            </w:pPr>
            <w:r w:rsidRPr="0012790E">
              <w:rPr>
                <w:szCs w:val="16"/>
              </w:rPr>
              <w:t>1.5</w:t>
            </w:r>
          </w:p>
        </w:tc>
        <w:tc>
          <w:tcPr>
            <w:tcW w:w="851" w:type="dxa"/>
            <w:vAlign w:val="bottom"/>
          </w:tcPr>
          <w:p w14:paraId="26E386AE" w14:textId="77777777" w:rsidR="0012790E" w:rsidRPr="0012790E" w:rsidRDefault="0012790E">
            <w:pPr>
              <w:pStyle w:val="Summarytabletextrightaligned"/>
              <w:rPr>
                <w:szCs w:val="16"/>
              </w:rPr>
            </w:pPr>
            <w:r w:rsidRPr="0012790E">
              <w:rPr>
                <w:szCs w:val="16"/>
              </w:rPr>
              <w:t>1.5</w:t>
            </w:r>
          </w:p>
        </w:tc>
        <w:tc>
          <w:tcPr>
            <w:tcW w:w="851" w:type="dxa"/>
            <w:vAlign w:val="bottom"/>
          </w:tcPr>
          <w:p w14:paraId="01B27AFC" w14:textId="77777777" w:rsidR="0012790E" w:rsidRPr="0012790E" w:rsidRDefault="0012790E">
            <w:pPr>
              <w:pStyle w:val="Summarytabletextrightaligned"/>
              <w:rPr>
                <w:szCs w:val="16"/>
              </w:rPr>
            </w:pPr>
            <w:r w:rsidRPr="0012790E">
              <w:rPr>
                <w:szCs w:val="16"/>
              </w:rPr>
              <w:t>1.5</w:t>
            </w:r>
          </w:p>
        </w:tc>
        <w:tc>
          <w:tcPr>
            <w:tcW w:w="851" w:type="dxa"/>
            <w:vAlign w:val="bottom"/>
          </w:tcPr>
          <w:p w14:paraId="3724CABF" w14:textId="77777777" w:rsidR="0012790E" w:rsidRPr="0012790E" w:rsidRDefault="0012790E">
            <w:pPr>
              <w:pStyle w:val="Summarytabletextrightaligned"/>
              <w:rPr>
                <w:szCs w:val="16"/>
              </w:rPr>
            </w:pPr>
            <w:r w:rsidRPr="0012790E">
              <w:rPr>
                <w:szCs w:val="16"/>
              </w:rPr>
              <w:t>1.5</w:t>
            </w:r>
          </w:p>
        </w:tc>
      </w:tr>
      <w:tr w:rsidR="0012790E" w:rsidRPr="0012790E" w14:paraId="7EAE100E" w14:textId="77777777" w:rsidTr="54937204">
        <w:tc>
          <w:tcPr>
            <w:tcW w:w="3470" w:type="dxa"/>
            <w:shd w:val="clear" w:color="auto" w:fill="auto"/>
            <w:vAlign w:val="bottom"/>
          </w:tcPr>
          <w:p w14:paraId="4BED6B13" w14:textId="77777777" w:rsidR="0012790E" w:rsidRPr="0012790E" w:rsidRDefault="0012790E">
            <w:pPr>
              <w:pStyle w:val="SummaryMeasureTitlewithTheme"/>
            </w:pPr>
            <w:r w:rsidRPr="0012790E">
              <w:t>Murray</w:t>
            </w:r>
            <w:r w:rsidRPr="0012790E">
              <w:noBreakHyphen/>
              <w:t>Darling Basin Plan – continuing delivery</w:t>
            </w:r>
          </w:p>
        </w:tc>
        <w:tc>
          <w:tcPr>
            <w:tcW w:w="851" w:type="dxa"/>
            <w:vAlign w:val="bottom"/>
          </w:tcPr>
          <w:p w14:paraId="6E3185A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CE22C83"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0BD2A8BC"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2B9FF39D" w14:textId="77777777" w:rsidR="0012790E" w:rsidRPr="0012790E" w:rsidRDefault="0012790E" w:rsidP="54937204">
            <w:pPr>
              <w:pStyle w:val="Summarytabletextrightaligned"/>
              <w:rPr>
                <w:lang w:val="en-US"/>
              </w:rPr>
            </w:pPr>
            <w:r w:rsidRPr="54937204">
              <w:rPr>
                <w:lang w:val="en-US"/>
              </w:rPr>
              <w:t>nfp</w:t>
            </w:r>
          </w:p>
        </w:tc>
        <w:tc>
          <w:tcPr>
            <w:tcW w:w="851" w:type="dxa"/>
            <w:vAlign w:val="bottom"/>
          </w:tcPr>
          <w:p w14:paraId="3251942B" w14:textId="77777777" w:rsidR="0012790E" w:rsidRPr="0012790E" w:rsidRDefault="0012790E" w:rsidP="54937204">
            <w:pPr>
              <w:pStyle w:val="Summarytabletextrightaligned"/>
              <w:rPr>
                <w:lang w:val="en-US"/>
              </w:rPr>
            </w:pPr>
            <w:r w:rsidRPr="54937204">
              <w:rPr>
                <w:lang w:val="en-US"/>
              </w:rPr>
              <w:t>nfp</w:t>
            </w:r>
          </w:p>
        </w:tc>
      </w:tr>
      <w:tr w:rsidR="0012790E" w:rsidRPr="0012790E" w14:paraId="05E7A0A8" w14:textId="77777777" w:rsidTr="54937204">
        <w:tc>
          <w:tcPr>
            <w:tcW w:w="3470" w:type="dxa"/>
            <w:shd w:val="clear" w:color="auto" w:fill="auto"/>
            <w:vAlign w:val="bottom"/>
          </w:tcPr>
          <w:p w14:paraId="76AAF280" w14:textId="77777777" w:rsidR="0012790E" w:rsidRPr="0012790E" w:rsidRDefault="0012790E">
            <w:pPr>
              <w:pStyle w:val="SummaryMeasureTitlewithTheme"/>
            </w:pPr>
            <w:r w:rsidRPr="0012790E">
              <w:t>National Firearms Register</w:t>
            </w:r>
          </w:p>
        </w:tc>
        <w:tc>
          <w:tcPr>
            <w:tcW w:w="851" w:type="dxa"/>
            <w:vAlign w:val="bottom"/>
          </w:tcPr>
          <w:p w14:paraId="17261DC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C51FA58" w14:textId="77777777" w:rsidR="0012790E" w:rsidRPr="0012790E" w:rsidRDefault="0012790E">
            <w:pPr>
              <w:pStyle w:val="Summarytabletextrightaligned"/>
              <w:rPr>
                <w:szCs w:val="16"/>
              </w:rPr>
            </w:pPr>
            <w:r w:rsidRPr="0012790E">
              <w:rPr>
                <w:szCs w:val="16"/>
              </w:rPr>
              <w:t>18.3</w:t>
            </w:r>
          </w:p>
        </w:tc>
        <w:tc>
          <w:tcPr>
            <w:tcW w:w="851" w:type="dxa"/>
            <w:vAlign w:val="bottom"/>
          </w:tcPr>
          <w:p w14:paraId="5FFDD6A3" w14:textId="77777777" w:rsidR="0012790E" w:rsidRPr="0012790E" w:rsidRDefault="0012790E">
            <w:pPr>
              <w:pStyle w:val="Summarytabletextrightaligned"/>
              <w:rPr>
                <w:szCs w:val="16"/>
              </w:rPr>
            </w:pPr>
            <w:r w:rsidRPr="0012790E">
              <w:rPr>
                <w:szCs w:val="16"/>
              </w:rPr>
              <w:t>66.1</w:t>
            </w:r>
          </w:p>
        </w:tc>
        <w:tc>
          <w:tcPr>
            <w:tcW w:w="851" w:type="dxa"/>
            <w:vAlign w:val="bottom"/>
          </w:tcPr>
          <w:p w14:paraId="28200ECC" w14:textId="77777777" w:rsidR="0012790E" w:rsidRPr="0012790E" w:rsidRDefault="0012790E">
            <w:pPr>
              <w:pStyle w:val="Summarytabletextrightaligned"/>
              <w:rPr>
                <w:szCs w:val="16"/>
              </w:rPr>
            </w:pPr>
            <w:r w:rsidRPr="0012790E">
              <w:rPr>
                <w:szCs w:val="16"/>
              </w:rPr>
              <w:t>17.3</w:t>
            </w:r>
          </w:p>
        </w:tc>
        <w:tc>
          <w:tcPr>
            <w:tcW w:w="851" w:type="dxa"/>
            <w:vAlign w:val="bottom"/>
          </w:tcPr>
          <w:p w14:paraId="70E46AF1" w14:textId="77777777" w:rsidR="0012790E" w:rsidRPr="0012790E" w:rsidRDefault="0012790E">
            <w:pPr>
              <w:pStyle w:val="Summarytabletextrightaligned"/>
              <w:rPr>
                <w:szCs w:val="16"/>
              </w:rPr>
            </w:pPr>
            <w:r w:rsidRPr="0012790E">
              <w:rPr>
                <w:szCs w:val="16"/>
              </w:rPr>
              <w:noBreakHyphen/>
            </w:r>
          </w:p>
        </w:tc>
      </w:tr>
      <w:tr w:rsidR="0012790E" w:rsidRPr="0012790E" w14:paraId="198DB29F" w14:textId="77777777" w:rsidTr="54937204">
        <w:tc>
          <w:tcPr>
            <w:tcW w:w="3470" w:type="dxa"/>
            <w:shd w:val="clear" w:color="auto" w:fill="auto"/>
            <w:vAlign w:val="bottom"/>
          </w:tcPr>
          <w:p w14:paraId="220AFF4F" w14:textId="77777777" w:rsidR="0012790E" w:rsidRPr="0012790E" w:rsidRDefault="0012790E">
            <w:pPr>
              <w:pStyle w:val="SummaryMeasureTitlewithTheme"/>
            </w:pPr>
            <w:r w:rsidRPr="0012790E">
              <w:t>National Legal Assistance Partnership</w:t>
            </w:r>
          </w:p>
        </w:tc>
        <w:tc>
          <w:tcPr>
            <w:tcW w:w="851" w:type="dxa"/>
            <w:vAlign w:val="bottom"/>
          </w:tcPr>
          <w:p w14:paraId="1AF14EF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66F4EB2" w14:textId="77777777" w:rsidR="0012790E" w:rsidRPr="0012790E" w:rsidRDefault="0012790E">
            <w:pPr>
              <w:pStyle w:val="Summarytabletextrightaligned"/>
              <w:rPr>
                <w:szCs w:val="16"/>
              </w:rPr>
            </w:pPr>
            <w:r w:rsidRPr="0012790E">
              <w:rPr>
                <w:szCs w:val="16"/>
              </w:rPr>
              <w:t>35.5</w:t>
            </w:r>
          </w:p>
        </w:tc>
        <w:tc>
          <w:tcPr>
            <w:tcW w:w="851" w:type="dxa"/>
            <w:vAlign w:val="bottom"/>
          </w:tcPr>
          <w:p w14:paraId="672ACAE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FB690E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9E2B6DA" w14:textId="77777777" w:rsidR="0012790E" w:rsidRPr="0012790E" w:rsidRDefault="0012790E">
            <w:pPr>
              <w:pStyle w:val="Summarytabletextrightaligned"/>
              <w:rPr>
                <w:szCs w:val="16"/>
              </w:rPr>
            </w:pPr>
            <w:r w:rsidRPr="0012790E">
              <w:rPr>
                <w:szCs w:val="16"/>
              </w:rPr>
              <w:noBreakHyphen/>
            </w:r>
          </w:p>
        </w:tc>
      </w:tr>
      <w:tr w:rsidR="0012790E" w:rsidRPr="0012790E" w14:paraId="20BBAB85" w14:textId="77777777" w:rsidTr="54937204">
        <w:tc>
          <w:tcPr>
            <w:tcW w:w="3470" w:type="dxa"/>
            <w:shd w:val="clear" w:color="auto" w:fill="auto"/>
            <w:vAlign w:val="bottom"/>
          </w:tcPr>
          <w:p w14:paraId="6C0A470A" w14:textId="77777777" w:rsidR="0012790E" w:rsidRPr="0012790E" w:rsidRDefault="0012790E">
            <w:pPr>
              <w:pStyle w:val="SummaryMeasureTitlewithTheme"/>
            </w:pPr>
            <w:r w:rsidRPr="0012790E">
              <w:t>National Water Grid Fund – responsible investment in water infrastructure for the regions</w:t>
            </w:r>
          </w:p>
        </w:tc>
        <w:tc>
          <w:tcPr>
            <w:tcW w:w="851" w:type="dxa"/>
            <w:vAlign w:val="bottom"/>
          </w:tcPr>
          <w:p w14:paraId="61543D32" w14:textId="77777777" w:rsidR="0012790E" w:rsidRPr="0012790E" w:rsidRDefault="0012790E">
            <w:pPr>
              <w:pStyle w:val="Summarytabletextrightaligned"/>
              <w:rPr>
                <w:szCs w:val="16"/>
              </w:rPr>
            </w:pPr>
            <w:r w:rsidRPr="0012790E">
              <w:rPr>
                <w:szCs w:val="16"/>
              </w:rPr>
              <w:noBreakHyphen/>
              <w:t>42.5</w:t>
            </w:r>
          </w:p>
        </w:tc>
        <w:tc>
          <w:tcPr>
            <w:tcW w:w="851" w:type="dxa"/>
            <w:shd w:val="clear" w:color="auto" w:fill="E6F2FF"/>
            <w:vAlign w:val="bottom"/>
          </w:tcPr>
          <w:p w14:paraId="77BC9D06" w14:textId="77777777" w:rsidR="0012790E" w:rsidRPr="0012790E" w:rsidRDefault="0012790E">
            <w:pPr>
              <w:pStyle w:val="Summarytabletextrightaligned"/>
              <w:rPr>
                <w:szCs w:val="16"/>
              </w:rPr>
            </w:pPr>
            <w:r w:rsidRPr="0012790E">
              <w:rPr>
                <w:szCs w:val="16"/>
              </w:rPr>
              <w:t>62.1</w:t>
            </w:r>
          </w:p>
        </w:tc>
        <w:tc>
          <w:tcPr>
            <w:tcW w:w="851" w:type="dxa"/>
            <w:vAlign w:val="bottom"/>
          </w:tcPr>
          <w:p w14:paraId="19E0E4AB" w14:textId="77777777" w:rsidR="0012790E" w:rsidRPr="0012790E" w:rsidRDefault="0012790E">
            <w:pPr>
              <w:pStyle w:val="Summarytabletextrightaligned"/>
              <w:rPr>
                <w:szCs w:val="16"/>
              </w:rPr>
            </w:pPr>
            <w:r w:rsidRPr="0012790E">
              <w:rPr>
                <w:szCs w:val="16"/>
              </w:rPr>
              <w:noBreakHyphen/>
              <w:t>112.1</w:t>
            </w:r>
          </w:p>
        </w:tc>
        <w:tc>
          <w:tcPr>
            <w:tcW w:w="851" w:type="dxa"/>
            <w:vAlign w:val="bottom"/>
          </w:tcPr>
          <w:p w14:paraId="63B146C4" w14:textId="77777777" w:rsidR="0012790E" w:rsidRPr="0012790E" w:rsidRDefault="0012790E">
            <w:pPr>
              <w:pStyle w:val="Summarytabletextrightaligned"/>
              <w:rPr>
                <w:szCs w:val="16"/>
              </w:rPr>
            </w:pPr>
            <w:r w:rsidRPr="0012790E">
              <w:rPr>
                <w:szCs w:val="16"/>
              </w:rPr>
              <w:noBreakHyphen/>
              <w:t>159.2</w:t>
            </w:r>
          </w:p>
        </w:tc>
        <w:tc>
          <w:tcPr>
            <w:tcW w:w="851" w:type="dxa"/>
            <w:vAlign w:val="bottom"/>
          </w:tcPr>
          <w:p w14:paraId="22F4B475" w14:textId="77777777" w:rsidR="0012790E" w:rsidRPr="0012790E" w:rsidRDefault="0012790E">
            <w:pPr>
              <w:pStyle w:val="Summarytabletextrightaligned"/>
              <w:rPr>
                <w:szCs w:val="16"/>
              </w:rPr>
            </w:pPr>
            <w:r w:rsidRPr="0012790E">
              <w:rPr>
                <w:szCs w:val="16"/>
              </w:rPr>
              <w:noBreakHyphen/>
              <w:t>248.3</w:t>
            </w:r>
          </w:p>
        </w:tc>
      </w:tr>
      <w:tr w:rsidR="0012790E" w:rsidRPr="0012790E" w14:paraId="47A0C83A" w14:textId="77777777" w:rsidTr="54937204">
        <w:tc>
          <w:tcPr>
            <w:tcW w:w="3470" w:type="dxa"/>
            <w:shd w:val="clear" w:color="auto" w:fill="auto"/>
            <w:vAlign w:val="bottom"/>
          </w:tcPr>
          <w:p w14:paraId="5AAFDDF0" w14:textId="77777777" w:rsidR="0012790E" w:rsidRPr="0012790E" w:rsidRDefault="0012790E">
            <w:pPr>
              <w:pStyle w:val="SummaryMeasureTitlewithTheme"/>
            </w:pPr>
            <w:r w:rsidRPr="0012790E">
              <w:t>Net Zero Economy</w:t>
            </w:r>
          </w:p>
        </w:tc>
        <w:tc>
          <w:tcPr>
            <w:tcW w:w="851" w:type="dxa"/>
            <w:vAlign w:val="bottom"/>
          </w:tcPr>
          <w:p w14:paraId="27E22B1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A9CB2BB" w14:textId="77777777" w:rsidR="0012790E" w:rsidRPr="0012790E" w:rsidRDefault="0012790E">
            <w:pPr>
              <w:pStyle w:val="Summarytabletextrightaligned"/>
              <w:rPr>
                <w:szCs w:val="16"/>
              </w:rPr>
            </w:pPr>
            <w:r w:rsidRPr="0012790E">
              <w:rPr>
                <w:szCs w:val="16"/>
              </w:rPr>
              <w:t>0.6</w:t>
            </w:r>
          </w:p>
        </w:tc>
        <w:tc>
          <w:tcPr>
            <w:tcW w:w="851" w:type="dxa"/>
            <w:vAlign w:val="bottom"/>
          </w:tcPr>
          <w:p w14:paraId="58817671" w14:textId="77777777" w:rsidR="0012790E" w:rsidRPr="0012790E" w:rsidRDefault="0012790E">
            <w:pPr>
              <w:pStyle w:val="Summarytabletextrightaligned"/>
              <w:rPr>
                <w:szCs w:val="16"/>
              </w:rPr>
            </w:pPr>
            <w:r w:rsidRPr="0012790E">
              <w:rPr>
                <w:szCs w:val="16"/>
              </w:rPr>
              <w:t>0.6</w:t>
            </w:r>
          </w:p>
        </w:tc>
        <w:tc>
          <w:tcPr>
            <w:tcW w:w="851" w:type="dxa"/>
            <w:vAlign w:val="bottom"/>
          </w:tcPr>
          <w:p w14:paraId="79A9A3F7" w14:textId="77777777" w:rsidR="0012790E" w:rsidRPr="0012790E" w:rsidRDefault="0012790E">
            <w:pPr>
              <w:pStyle w:val="Summarytabletextrightaligned"/>
              <w:rPr>
                <w:szCs w:val="16"/>
              </w:rPr>
            </w:pPr>
            <w:r w:rsidRPr="0012790E">
              <w:rPr>
                <w:szCs w:val="16"/>
              </w:rPr>
              <w:t>0.1</w:t>
            </w:r>
          </w:p>
        </w:tc>
        <w:tc>
          <w:tcPr>
            <w:tcW w:w="851" w:type="dxa"/>
            <w:vAlign w:val="bottom"/>
          </w:tcPr>
          <w:p w14:paraId="7C042F8A" w14:textId="77777777" w:rsidR="0012790E" w:rsidRPr="0012790E" w:rsidRDefault="0012790E">
            <w:pPr>
              <w:pStyle w:val="Summarytabletextrightaligned"/>
              <w:rPr>
                <w:szCs w:val="16"/>
              </w:rPr>
            </w:pPr>
            <w:r w:rsidRPr="0012790E">
              <w:rPr>
                <w:szCs w:val="16"/>
              </w:rPr>
              <w:t>0.1</w:t>
            </w:r>
          </w:p>
        </w:tc>
      </w:tr>
      <w:tr w:rsidR="0012790E" w:rsidRPr="0012790E" w14:paraId="48C22747" w14:textId="77777777" w:rsidTr="54937204">
        <w:tc>
          <w:tcPr>
            <w:tcW w:w="3470" w:type="dxa"/>
            <w:shd w:val="clear" w:color="auto" w:fill="auto"/>
            <w:vAlign w:val="bottom"/>
          </w:tcPr>
          <w:p w14:paraId="7E2E4616" w14:textId="77777777" w:rsidR="0012790E" w:rsidRPr="0012790E" w:rsidRDefault="0012790E">
            <w:pPr>
              <w:pStyle w:val="SummaryMeasureTitlewithTheme"/>
            </w:pPr>
            <w:r w:rsidRPr="0012790E">
              <w:t>Northern Territory Homelands and Housing</w:t>
            </w:r>
          </w:p>
        </w:tc>
        <w:tc>
          <w:tcPr>
            <w:tcW w:w="851" w:type="dxa"/>
            <w:vAlign w:val="bottom"/>
          </w:tcPr>
          <w:p w14:paraId="5043C535" w14:textId="77777777" w:rsidR="0012790E" w:rsidRPr="0012790E" w:rsidRDefault="0012790E">
            <w:pPr>
              <w:pStyle w:val="Summarytabletextrightaligned"/>
              <w:rPr>
                <w:szCs w:val="16"/>
              </w:rPr>
            </w:pPr>
            <w:r w:rsidRPr="0012790E">
              <w:rPr>
                <w:szCs w:val="16"/>
              </w:rPr>
              <w:t>20.0</w:t>
            </w:r>
          </w:p>
        </w:tc>
        <w:tc>
          <w:tcPr>
            <w:tcW w:w="851" w:type="dxa"/>
            <w:shd w:val="clear" w:color="auto" w:fill="E6F2FF"/>
            <w:vAlign w:val="bottom"/>
          </w:tcPr>
          <w:p w14:paraId="52F16EF9" w14:textId="77777777" w:rsidR="0012790E" w:rsidRPr="0012790E" w:rsidRDefault="0012790E">
            <w:pPr>
              <w:pStyle w:val="Summarytabletextrightaligned"/>
              <w:rPr>
                <w:szCs w:val="16"/>
              </w:rPr>
            </w:pPr>
            <w:r w:rsidRPr="0012790E">
              <w:rPr>
                <w:szCs w:val="16"/>
              </w:rPr>
              <w:t>203.0</w:t>
            </w:r>
          </w:p>
        </w:tc>
        <w:tc>
          <w:tcPr>
            <w:tcW w:w="851" w:type="dxa"/>
            <w:vAlign w:val="bottom"/>
          </w:tcPr>
          <w:p w14:paraId="133B35CE" w14:textId="77777777" w:rsidR="0012790E" w:rsidRPr="0012790E" w:rsidRDefault="0012790E">
            <w:pPr>
              <w:pStyle w:val="Summarytabletextrightaligned"/>
              <w:rPr>
                <w:szCs w:val="16"/>
              </w:rPr>
            </w:pPr>
            <w:r w:rsidRPr="0012790E">
              <w:rPr>
                <w:szCs w:val="16"/>
              </w:rPr>
              <w:t>210.1</w:t>
            </w:r>
          </w:p>
        </w:tc>
        <w:tc>
          <w:tcPr>
            <w:tcW w:w="851" w:type="dxa"/>
            <w:vAlign w:val="bottom"/>
          </w:tcPr>
          <w:p w14:paraId="618BD02A" w14:textId="77777777" w:rsidR="0012790E" w:rsidRPr="0012790E" w:rsidRDefault="0012790E">
            <w:pPr>
              <w:pStyle w:val="Summarytabletextrightaligned"/>
              <w:rPr>
                <w:szCs w:val="16"/>
              </w:rPr>
            </w:pPr>
            <w:r w:rsidRPr="0012790E">
              <w:rPr>
                <w:szCs w:val="16"/>
              </w:rPr>
              <w:t>217.6</w:t>
            </w:r>
          </w:p>
        </w:tc>
        <w:tc>
          <w:tcPr>
            <w:tcW w:w="851" w:type="dxa"/>
            <w:vAlign w:val="bottom"/>
          </w:tcPr>
          <w:p w14:paraId="4BBDBB2A" w14:textId="77777777" w:rsidR="0012790E" w:rsidRPr="0012790E" w:rsidRDefault="0012790E">
            <w:pPr>
              <w:pStyle w:val="Summarytabletextrightaligned"/>
              <w:rPr>
                <w:szCs w:val="16"/>
              </w:rPr>
            </w:pPr>
            <w:r w:rsidRPr="0012790E">
              <w:rPr>
                <w:szCs w:val="16"/>
              </w:rPr>
              <w:t>185.4</w:t>
            </w:r>
          </w:p>
        </w:tc>
      </w:tr>
      <w:tr w:rsidR="0012790E" w:rsidRPr="0012790E" w14:paraId="3B51C00B" w14:textId="77777777" w:rsidTr="54937204">
        <w:tc>
          <w:tcPr>
            <w:tcW w:w="3470" w:type="dxa"/>
            <w:shd w:val="clear" w:color="auto" w:fill="auto"/>
            <w:vAlign w:val="bottom"/>
          </w:tcPr>
          <w:p w14:paraId="5B69B3A5" w14:textId="77777777" w:rsidR="0012790E" w:rsidRPr="0012790E" w:rsidRDefault="0012790E">
            <w:pPr>
              <w:pStyle w:val="SummaryMeasureTitlewithTheme"/>
            </w:pPr>
            <w:r w:rsidRPr="0012790E">
              <w:t>Permanent Migration Program – 2024</w:t>
            </w:r>
            <w:r w:rsidRPr="0012790E">
              <w:noBreakHyphen/>
              <w:t>25 planning levels and multi</w:t>
            </w:r>
            <w:r w:rsidRPr="0012790E">
              <w:noBreakHyphen/>
              <w:t>year planning(b)</w:t>
            </w:r>
          </w:p>
        </w:tc>
        <w:tc>
          <w:tcPr>
            <w:tcW w:w="851" w:type="dxa"/>
            <w:vAlign w:val="bottom"/>
          </w:tcPr>
          <w:p w14:paraId="011DAD8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A965BFF" w14:textId="464F9BAF" w:rsidR="0012790E" w:rsidRPr="0012790E" w:rsidRDefault="001D4026">
            <w:pPr>
              <w:pStyle w:val="Summarytabletextrightaligned"/>
              <w:rPr>
                <w:szCs w:val="16"/>
              </w:rPr>
            </w:pPr>
            <w:r>
              <w:rPr>
                <w:szCs w:val="16"/>
              </w:rPr>
              <w:t>..</w:t>
            </w:r>
          </w:p>
        </w:tc>
        <w:tc>
          <w:tcPr>
            <w:tcW w:w="851" w:type="dxa"/>
            <w:vAlign w:val="bottom"/>
          </w:tcPr>
          <w:p w14:paraId="25542493" w14:textId="77777777" w:rsidR="0012790E" w:rsidRPr="0012790E" w:rsidRDefault="0012790E">
            <w:pPr>
              <w:pStyle w:val="Summarytabletextrightaligned"/>
              <w:rPr>
                <w:szCs w:val="16"/>
              </w:rPr>
            </w:pPr>
            <w:r w:rsidRPr="0012790E">
              <w:rPr>
                <w:szCs w:val="16"/>
              </w:rPr>
              <w:noBreakHyphen/>
              <w:t>5.0</w:t>
            </w:r>
          </w:p>
        </w:tc>
        <w:tc>
          <w:tcPr>
            <w:tcW w:w="851" w:type="dxa"/>
            <w:vAlign w:val="bottom"/>
          </w:tcPr>
          <w:p w14:paraId="280BDFAA" w14:textId="77777777" w:rsidR="0012790E" w:rsidRPr="0012790E" w:rsidRDefault="0012790E">
            <w:pPr>
              <w:pStyle w:val="Summarytabletextrightaligned"/>
              <w:rPr>
                <w:szCs w:val="16"/>
              </w:rPr>
            </w:pPr>
            <w:r w:rsidRPr="0012790E">
              <w:rPr>
                <w:szCs w:val="16"/>
              </w:rPr>
              <w:noBreakHyphen/>
              <w:t>5.0</w:t>
            </w:r>
          </w:p>
        </w:tc>
        <w:tc>
          <w:tcPr>
            <w:tcW w:w="851" w:type="dxa"/>
            <w:vAlign w:val="bottom"/>
          </w:tcPr>
          <w:p w14:paraId="6A904270" w14:textId="77777777" w:rsidR="0012790E" w:rsidRPr="0012790E" w:rsidRDefault="0012790E">
            <w:pPr>
              <w:pStyle w:val="Summarytabletextrightaligned"/>
              <w:rPr>
                <w:szCs w:val="16"/>
              </w:rPr>
            </w:pPr>
            <w:r w:rsidRPr="0012790E">
              <w:rPr>
                <w:szCs w:val="16"/>
              </w:rPr>
              <w:noBreakHyphen/>
              <w:t>10.0</w:t>
            </w:r>
          </w:p>
        </w:tc>
      </w:tr>
      <w:tr w:rsidR="0012790E" w:rsidRPr="0012790E" w14:paraId="4475DB1B" w14:textId="77777777" w:rsidTr="54937204">
        <w:tc>
          <w:tcPr>
            <w:tcW w:w="3470" w:type="dxa"/>
            <w:shd w:val="clear" w:color="auto" w:fill="auto"/>
            <w:vAlign w:val="bottom"/>
          </w:tcPr>
          <w:p w14:paraId="4A413B6A" w14:textId="77777777" w:rsidR="0012790E" w:rsidRPr="0012790E" w:rsidRDefault="0012790E">
            <w:pPr>
              <w:pStyle w:val="SummaryMeasureTitlewithTheme"/>
            </w:pPr>
            <w:r w:rsidRPr="0012790E">
              <w:t>Phase Out of Live Sheep Exports by Sea – transition support</w:t>
            </w:r>
          </w:p>
        </w:tc>
        <w:tc>
          <w:tcPr>
            <w:tcW w:w="851" w:type="dxa"/>
            <w:vAlign w:val="bottom"/>
          </w:tcPr>
          <w:p w14:paraId="43912E0B"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33A04259" w14:textId="3AA006D6" w:rsidR="0012790E" w:rsidRPr="0012790E" w:rsidRDefault="00DC3C77">
            <w:pPr>
              <w:pStyle w:val="Summarytabletextrightaligned"/>
              <w:rPr>
                <w:szCs w:val="16"/>
              </w:rPr>
            </w:pPr>
            <w:r>
              <w:rPr>
                <w:szCs w:val="16"/>
              </w:rPr>
              <w:t>-</w:t>
            </w:r>
          </w:p>
        </w:tc>
        <w:tc>
          <w:tcPr>
            <w:tcW w:w="851" w:type="dxa"/>
            <w:vAlign w:val="bottom"/>
          </w:tcPr>
          <w:p w14:paraId="261E2ED2" w14:textId="28331D2E" w:rsidR="0012790E" w:rsidRPr="0012790E" w:rsidRDefault="00DC3C77">
            <w:pPr>
              <w:pStyle w:val="Summarytabletextrightaligned"/>
              <w:rPr>
                <w:szCs w:val="16"/>
              </w:rPr>
            </w:pPr>
            <w:r>
              <w:rPr>
                <w:szCs w:val="16"/>
              </w:rPr>
              <w:t>-</w:t>
            </w:r>
          </w:p>
        </w:tc>
        <w:tc>
          <w:tcPr>
            <w:tcW w:w="851" w:type="dxa"/>
            <w:vAlign w:val="bottom"/>
          </w:tcPr>
          <w:p w14:paraId="6EF6E3A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087CAA5" w14:textId="77777777" w:rsidR="0012790E" w:rsidRPr="0012790E" w:rsidRDefault="0012790E">
            <w:pPr>
              <w:pStyle w:val="Summarytabletextrightaligned"/>
              <w:rPr>
                <w:szCs w:val="16"/>
              </w:rPr>
            </w:pPr>
            <w:r w:rsidRPr="0012790E">
              <w:rPr>
                <w:szCs w:val="16"/>
              </w:rPr>
              <w:noBreakHyphen/>
            </w:r>
          </w:p>
        </w:tc>
      </w:tr>
      <w:tr w:rsidR="0012790E" w:rsidRPr="0012790E" w14:paraId="6F4A6DB4" w14:textId="77777777" w:rsidTr="54937204">
        <w:tc>
          <w:tcPr>
            <w:tcW w:w="3470" w:type="dxa"/>
            <w:shd w:val="clear" w:color="auto" w:fill="auto"/>
            <w:vAlign w:val="bottom"/>
          </w:tcPr>
          <w:p w14:paraId="7863795D" w14:textId="77777777" w:rsidR="0012790E" w:rsidRPr="0012790E" w:rsidRDefault="0012790E">
            <w:pPr>
              <w:pStyle w:val="SummaryMeasureTitlewithTheme"/>
            </w:pPr>
            <w:r w:rsidRPr="0012790E">
              <w:t>Portfolio Administrative Matters</w:t>
            </w:r>
          </w:p>
        </w:tc>
        <w:tc>
          <w:tcPr>
            <w:tcW w:w="851" w:type="dxa"/>
            <w:vAlign w:val="bottom"/>
          </w:tcPr>
          <w:p w14:paraId="1B33EDD5" w14:textId="77777777" w:rsidR="0012790E" w:rsidRPr="0012790E" w:rsidRDefault="0012790E">
            <w:pPr>
              <w:pStyle w:val="Summarytabletextrightaligned"/>
              <w:rPr>
                <w:szCs w:val="16"/>
              </w:rPr>
            </w:pPr>
            <w:r w:rsidRPr="0012790E">
              <w:rPr>
                <w:szCs w:val="16"/>
              </w:rPr>
              <w:noBreakHyphen/>
              <w:t>8.4</w:t>
            </w:r>
          </w:p>
        </w:tc>
        <w:tc>
          <w:tcPr>
            <w:tcW w:w="851" w:type="dxa"/>
            <w:shd w:val="clear" w:color="auto" w:fill="E6F2FF"/>
            <w:vAlign w:val="bottom"/>
          </w:tcPr>
          <w:p w14:paraId="3237C066" w14:textId="77777777" w:rsidR="0012790E" w:rsidRPr="0012790E" w:rsidRDefault="0012790E">
            <w:pPr>
              <w:pStyle w:val="Summarytabletextrightaligned"/>
              <w:rPr>
                <w:szCs w:val="16"/>
              </w:rPr>
            </w:pPr>
            <w:r w:rsidRPr="0012790E">
              <w:rPr>
                <w:szCs w:val="16"/>
              </w:rPr>
              <w:t>8.4</w:t>
            </w:r>
          </w:p>
        </w:tc>
        <w:tc>
          <w:tcPr>
            <w:tcW w:w="851" w:type="dxa"/>
            <w:vAlign w:val="bottom"/>
          </w:tcPr>
          <w:p w14:paraId="1FDCCF7D"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510BE5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E63A1FF" w14:textId="77777777" w:rsidR="0012790E" w:rsidRPr="0012790E" w:rsidRDefault="0012790E">
            <w:pPr>
              <w:pStyle w:val="Summarytabletextrightaligned"/>
              <w:rPr>
                <w:szCs w:val="16"/>
              </w:rPr>
            </w:pPr>
            <w:r w:rsidRPr="0012790E">
              <w:rPr>
                <w:szCs w:val="16"/>
              </w:rPr>
              <w:noBreakHyphen/>
            </w:r>
          </w:p>
        </w:tc>
      </w:tr>
      <w:tr w:rsidR="0012790E" w:rsidRPr="0012790E" w14:paraId="028C8CD6" w14:textId="77777777" w:rsidTr="54937204">
        <w:tc>
          <w:tcPr>
            <w:tcW w:w="3470" w:type="dxa"/>
            <w:shd w:val="clear" w:color="auto" w:fill="auto"/>
            <w:vAlign w:val="bottom"/>
          </w:tcPr>
          <w:p w14:paraId="155F89D4" w14:textId="77777777" w:rsidR="0012790E" w:rsidRPr="0012790E" w:rsidRDefault="0012790E">
            <w:pPr>
              <w:pStyle w:val="SummaryMeasureTitlewithTheme"/>
            </w:pPr>
            <w:r w:rsidRPr="0012790E">
              <w:t>Preventive Health</w:t>
            </w:r>
          </w:p>
        </w:tc>
        <w:tc>
          <w:tcPr>
            <w:tcW w:w="851" w:type="dxa"/>
            <w:vAlign w:val="bottom"/>
          </w:tcPr>
          <w:p w14:paraId="0D37522D"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E5838C1" w14:textId="77777777" w:rsidR="0012790E" w:rsidRPr="0012790E" w:rsidRDefault="0012790E">
            <w:pPr>
              <w:pStyle w:val="Summarytabletextrightaligned"/>
              <w:rPr>
                <w:szCs w:val="16"/>
              </w:rPr>
            </w:pPr>
            <w:r w:rsidRPr="0012790E">
              <w:rPr>
                <w:szCs w:val="16"/>
              </w:rPr>
              <w:t>3.1</w:t>
            </w:r>
          </w:p>
        </w:tc>
        <w:tc>
          <w:tcPr>
            <w:tcW w:w="851" w:type="dxa"/>
            <w:vAlign w:val="bottom"/>
          </w:tcPr>
          <w:p w14:paraId="398604A1" w14:textId="77777777" w:rsidR="0012790E" w:rsidRPr="0012790E" w:rsidRDefault="0012790E">
            <w:pPr>
              <w:pStyle w:val="Summarytabletextrightaligned"/>
              <w:rPr>
                <w:szCs w:val="16"/>
              </w:rPr>
            </w:pPr>
            <w:r w:rsidRPr="0012790E">
              <w:rPr>
                <w:szCs w:val="16"/>
              </w:rPr>
              <w:t>3.2</w:t>
            </w:r>
          </w:p>
        </w:tc>
        <w:tc>
          <w:tcPr>
            <w:tcW w:w="851" w:type="dxa"/>
            <w:vAlign w:val="bottom"/>
          </w:tcPr>
          <w:p w14:paraId="656C5706" w14:textId="77777777" w:rsidR="0012790E" w:rsidRPr="0012790E" w:rsidRDefault="0012790E">
            <w:pPr>
              <w:pStyle w:val="Summarytabletextrightaligned"/>
              <w:rPr>
                <w:szCs w:val="16"/>
              </w:rPr>
            </w:pPr>
            <w:r w:rsidRPr="0012790E">
              <w:rPr>
                <w:szCs w:val="16"/>
              </w:rPr>
              <w:t>3.3</w:t>
            </w:r>
          </w:p>
        </w:tc>
        <w:tc>
          <w:tcPr>
            <w:tcW w:w="851" w:type="dxa"/>
            <w:vAlign w:val="bottom"/>
          </w:tcPr>
          <w:p w14:paraId="08536669" w14:textId="77777777" w:rsidR="0012790E" w:rsidRPr="0012790E" w:rsidRDefault="0012790E">
            <w:pPr>
              <w:pStyle w:val="Summarytabletextrightaligned"/>
              <w:rPr>
                <w:szCs w:val="16"/>
              </w:rPr>
            </w:pPr>
            <w:r w:rsidRPr="0012790E">
              <w:rPr>
                <w:szCs w:val="16"/>
              </w:rPr>
              <w:noBreakHyphen/>
            </w:r>
          </w:p>
        </w:tc>
      </w:tr>
      <w:tr w:rsidR="0012790E" w:rsidRPr="0012790E" w14:paraId="290AF21F" w14:textId="77777777" w:rsidTr="54937204">
        <w:tc>
          <w:tcPr>
            <w:tcW w:w="3470" w:type="dxa"/>
            <w:shd w:val="clear" w:color="auto" w:fill="auto"/>
            <w:vAlign w:val="bottom"/>
          </w:tcPr>
          <w:p w14:paraId="6503942E" w14:textId="77777777" w:rsidR="0012790E" w:rsidRPr="0012790E" w:rsidRDefault="0012790E">
            <w:pPr>
              <w:pStyle w:val="SummaryMeasureTitlewithTheme"/>
            </w:pPr>
            <w:r w:rsidRPr="0012790E">
              <w:t>Prime Minister and Cabinet – additional resourcing</w:t>
            </w:r>
          </w:p>
        </w:tc>
        <w:tc>
          <w:tcPr>
            <w:tcW w:w="851" w:type="dxa"/>
            <w:vAlign w:val="bottom"/>
          </w:tcPr>
          <w:p w14:paraId="5558898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0A097DF" w14:textId="77777777" w:rsidR="0012790E" w:rsidRPr="0012790E" w:rsidRDefault="0012790E">
            <w:pPr>
              <w:pStyle w:val="Summarytabletextrightaligned"/>
              <w:rPr>
                <w:szCs w:val="16"/>
              </w:rPr>
            </w:pPr>
            <w:r w:rsidRPr="0012790E">
              <w:rPr>
                <w:szCs w:val="16"/>
              </w:rPr>
              <w:t>4.6</w:t>
            </w:r>
          </w:p>
        </w:tc>
        <w:tc>
          <w:tcPr>
            <w:tcW w:w="851" w:type="dxa"/>
            <w:vAlign w:val="bottom"/>
          </w:tcPr>
          <w:p w14:paraId="6BEF16B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E470FA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7300A61" w14:textId="77777777" w:rsidR="0012790E" w:rsidRPr="0012790E" w:rsidRDefault="0012790E">
            <w:pPr>
              <w:pStyle w:val="Summarytabletextrightaligned"/>
              <w:rPr>
                <w:szCs w:val="16"/>
              </w:rPr>
            </w:pPr>
            <w:r w:rsidRPr="0012790E">
              <w:rPr>
                <w:szCs w:val="16"/>
              </w:rPr>
              <w:noBreakHyphen/>
            </w:r>
          </w:p>
        </w:tc>
      </w:tr>
      <w:tr w:rsidR="0012790E" w:rsidRPr="0012790E" w14:paraId="2DEADE81" w14:textId="77777777" w:rsidTr="54937204">
        <w:tc>
          <w:tcPr>
            <w:tcW w:w="3470" w:type="dxa"/>
            <w:tcBorders>
              <w:bottom w:val="single" w:sz="4" w:space="0" w:color="293F5B"/>
            </w:tcBorders>
            <w:shd w:val="clear" w:color="auto" w:fill="auto"/>
            <w:vAlign w:val="bottom"/>
          </w:tcPr>
          <w:p w14:paraId="23F762A9" w14:textId="77777777" w:rsidR="0012790E" w:rsidRPr="0012790E" w:rsidRDefault="0012790E">
            <w:pPr>
              <w:pStyle w:val="SummaryMeasureTitlewithTheme"/>
            </w:pPr>
            <w:r w:rsidRPr="0012790E">
              <w:t>Qtopia Sydney</w:t>
            </w:r>
          </w:p>
        </w:tc>
        <w:tc>
          <w:tcPr>
            <w:tcW w:w="851" w:type="dxa"/>
            <w:tcBorders>
              <w:bottom w:val="single" w:sz="4" w:space="0" w:color="293F5B"/>
            </w:tcBorders>
            <w:vAlign w:val="bottom"/>
          </w:tcPr>
          <w:p w14:paraId="6490A73D"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1C6CB1B1" w14:textId="77777777" w:rsidR="0012790E" w:rsidRPr="0012790E" w:rsidRDefault="0012790E">
            <w:pPr>
              <w:pStyle w:val="Summarytabletextrightaligned"/>
              <w:rPr>
                <w:szCs w:val="16"/>
              </w:rPr>
            </w:pPr>
            <w:r w:rsidRPr="0012790E">
              <w:rPr>
                <w:szCs w:val="16"/>
              </w:rPr>
              <w:t>1.5</w:t>
            </w:r>
          </w:p>
        </w:tc>
        <w:tc>
          <w:tcPr>
            <w:tcW w:w="851" w:type="dxa"/>
            <w:tcBorders>
              <w:bottom w:val="single" w:sz="4" w:space="0" w:color="293F5B"/>
            </w:tcBorders>
            <w:vAlign w:val="bottom"/>
          </w:tcPr>
          <w:p w14:paraId="10E9A7AC"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6ED23930"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11E8E020" w14:textId="77777777" w:rsidR="0012790E" w:rsidRPr="0012790E" w:rsidRDefault="0012790E">
            <w:pPr>
              <w:pStyle w:val="Summarytabletextrightaligned"/>
              <w:rPr>
                <w:szCs w:val="16"/>
              </w:rPr>
            </w:pPr>
            <w:r w:rsidRPr="0012790E">
              <w:rPr>
                <w:szCs w:val="16"/>
              </w:rPr>
              <w:noBreakHyphen/>
            </w:r>
          </w:p>
        </w:tc>
      </w:tr>
    </w:tbl>
    <w:p w14:paraId="2666BB27" w14:textId="77777777" w:rsidR="0012790E" w:rsidRPr="0012790E" w:rsidRDefault="0012790E" w:rsidP="0012790E">
      <w:pPr>
        <w:pStyle w:val="TableHeadingcontinued"/>
        <w:sectPr w:rsidR="0012790E" w:rsidRPr="0012790E" w:rsidSect="00EA5BFE">
          <w:headerReference w:type="even" r:id="rId121"/>
          <w:headerReference w:type="default" r:id="rId122"/>
          <w:footerReference w:type="even" r:id="rId123"/>
          <w:footerReference w:type="default" r:id="rId124"/>
          <w:footerReference w:type="first" r:id="rId125"/>
          <w:pgSz w:w="11905" w:h="16837"/>
          <w:pgMar w:top="2835" w:right="2098" w:bottom="2466" w:left="2098" w:header="1814" w:footer="1814" w:gutter="0"/>
          <w:cols w:space="720"/>
          <w:noEndnote/>
          <w:docGrid w:linePitch="272"/>
        </w:sectPr>
      </w:pPr>
    </w:p>
    <w:p w14:paraId="4CE2949E" w14:textId="77777777" w:rsidR="0012790E" w:rsidRPr="0012790E" w:rsidRDefault="0012790E" w:rsidP="0012790E">
      <w:pPr>
        <w:pStyle w:val="TableHeadingcontinued"/>
        <w:rPr>
          <w:szCs w:val="16"/>
        </w:rPr>
      </w:pPr>
      <w:r w:rsidRPr="0012790E">
        <w:lastRenderedPageBreak/>
        <w:t>Table 2: Payment measures since the 2023–24 MYEFO</w:t>
      </w:r>
      <w:r w:rsidRPr="0012790E">
        <w:rPr>
          <w:rFonts w:ascii="Cambria Math" w:hAnsi="Cambria Math" w:cs="Cambria Math"/>
        </w:rPr>
        <w:t>⁽</w:t>
      </w:r>
      <w:r w:rsidRPr="0012790E">
        <w:rPr>
          <w:rFonts w:cs="Arial"/>
        </w:rPr>
        <w:t>ª</w:t>
      </w:r>
      <w:r w:rsidRPr="0012790E">
        <w:rPr>
          <w:rFonts w:ascii="Cambria Math" w:hAnsi="Cambria Math" w:cs="Cambria Math"/>
        </w:rPr>
        <w:t>⁾</w:t>
      </w:r>
      <w:r w:rsidRPr="0012790E">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12790E" w:rsidRPr="0012790E" w14:paraId="319FE824" w14:textId="77777777">
        <w:tc>
          <w:tcPr>
            <w:tcW w:w="3470" w:type="dxa"/>
            <w:tcBorders>
              <w:top w:val="single" w:sz="4" w:space="0" w:color="293F5B"/>
            </w:tcBorders>
            <w:shd w:val="clear" w:color="auto" w:fill="auto"/>
            <w:vAlign w:val="bottom"/>
          </w:tcPr>
          <w:p w14:paraId="2B6C46F8" w14:textId="77777777" w:rsidR="0012790E" w:rsidRPr="0012790E" w:rsidRDefault="0012790E">
            <w:pPr>
              <w:pStyle w:val="Summarytabletextrightaligned"/>
              <w:rPr>
                <w:szCs w:val="16"/>
              </w:rPr>
            </w:pPr>
          </w:p>
        </w:tc>
        <w:tc>
          <w:tcPr>
            <w:tcW w:w="851" w:type="dxa"/>
            <w:tcBorders>
              <w:top w:val="single" w:sz="4" w:space="0" w:color="293F5B"/>
            </w:tcBorders>
            <w:vAlign w:val="bottom"/>
          </w:tcPr>
          <w:p w14:paraId="73EB5C33" w14:textId="77777777" w:rsidR="0012790E" w:rsidRPr="0012790E" w:rsidRDefault="0012790E">
            <w:pPr>
              <w:pStyle w:val="Summarytabletextrightaligned"/>
              <w:rPr>
                <w:szCs w:val="16"/>
              </w:rPr>
            </w:pPr>
            <w:r w:rsidRPr="0012790E">
              <w:rPr>
                <w:szCs w:val="16"/>
              </w:rPr>
              <w:t>2023</w:t>
            </w:r>
            <w:r w:rsidRPr="0012790E">
              <w:rPr>
                <w:szCs w:val="16"/>
              </w:rPr>
              <w:noBreakHyphen/>
              <w:t>24</w:t>
            </w:r>
          </w:p>
        </w:tc>
        <w:tc>
          <w:tcPr>
            <w:tcW w:w="851" w:type="dxa"/>
            <w:tcBorders>
              <w:top w:val="single" w:sz="4" w:space="0" w:color="293F5B"/>
            </w:tcBorders>
            <w:shd w:val="clear" w:color="auto" w:fill="E6F2FF"/>
            <w:vAlign w:val="bottom"/>
          </w:tcPr>
          <w:p w14:paraId="273D1501" w14:textId="77777777" w:rsidR="0012790E" w:rsidRPr="0012790E" w:rsidRDefault="0012790E">
            <w:pPr>
              <w:pStyle w:val="Summarytabletextrightaligned"/>
              <w:rPr>
                <w:szCs w:val="16"/>
              </w:rPr>
            </w:pPr>
            <w:r w:rsidRPr="0012790E">
              <w:rPr>
                <w:szCs w:val="16"/>
              </w:rPr>
              <w:t>2024</w:t>
            </w:r>
            <w:r w:rsidRPr="0012790E">
              <w:rPr>
                <w:szCs w:val="16"/>
              </w:rPr>
              <w:noBreakHyphen/>
              <w:t>25</w:t>
            </w:r>
          </w:p>
        </w:tc>
        <w:tc>
          <w:tcPr>
            <w:tcW w:w="851" w:type="dxa"/>
            <w:tcBorders>
              <w:top w:val="single" w:sz="4" w:space="0" w:color="293F5B"/>
            </w:tcBorders>
            <w:vAlign w:val="bottom"/>
          </w:tcPr>
          <w:p w14:paraId="6D5B803B" w14:textId="77777777" w:rsidR="0012790E" w:rsidRPr="0012790E" w:rsidRDefault="0012790E">
            <w:pPr>
              <w:pStyle w:val="Summarytabletextrightaligned"/>
              <w:rPr>
                <w:szCs w:val="16"/>
              </w:rPr>
            </w:pPr>
            <w:r w:rsidRPr="0012790E">
              <w:rPr>
                <w:szCs w:val="16"/>
              </w:rPr>
              <w:t>2025</w:t>
            </w:r>
            <w:r w:rsidRPr="0012790E">
              <w:rPr>
                <w:szCs w:val="16"/>
              </w:rPr>
              <w:noBreakHyphen/>
              <w:t>26</w:t>
            </w:r>
          </w:p>
        </w:tc>
        <w:tc>
          <w:tcPr>
            <w:tcW w:w="851" w:type="dxa"/>
            <w:tcBorders>
              <w:top w:val="single" w:sz="4" w:space="0" w:color="293F5B"/>
            </w:tcBorders>
            <w:vAlign w:val="bottom"/>
          </w:tcPr>
          <w:p w14:paraId="6A535277" w14:textId="77777777" w:rsidR="0012790E" w:rsidRPr="0012790E" w:rsidRDefault="0012790E">
            <w:pPr>
              <w:pStyle w:val="Summarytabletextrightaligned"/>
              <w:rPr>
                <w:szCs w:val="16"/>
              </w:rPr>
            </w:pPr>
            <w:r w:rsidRPr="0012790E">
              <w:rPr>
                <w:szCs w:val="16"/>
              </w:rPr>
              <w:t>2026</w:t>
            </w:r>
            <w:r w:rsidRPr="0012790E">
              <w:rPr>
                <w:szCs w:val="16"/>
              </w:rPr>
              <w:noBreakHyphen/>
              <w:t>27</w:t>
            </w:r>
          </w:p>
        </w:tc>
        <w:tc>
          <w:tcPr>
            <w:tcW w:w="851" w:type="dxa"/>
            <w:tcBorders>
              <w:top w:val="single" w:sz="4" w:space="0" w:color="293F5B"/>
            </w:tcBorders>
            <w:vAlign w:val="bottom"/>
          </w:tcPr>
          <w:p w14:paraId="198F82F6" w14:textId="77777777" w:rsidR="0012790E" w:rsidRPr="0012790E" w:rsidRDefault="0012790E">
            <w:pPr>
              <w:pStyle w:val="Summarytabletextrightaligned"/>
              <w:rPr>
                <w:szCs w:val="16"/>
              </w:rPr>
            </w:pPr>
            <w:r w:rsidRPr="0012790E">
              <w:rPr>
                <w:szCs w:val="16"/>
              </w:rPr>
              <w:t>2027</w:t>
            </w:r>
            <w:r w:rsidRPr="0012790E">
              <w:rPr>
                <w:szCs w:val="16"/>
              </w:rPr>
              <w:noBreakHyphen/>
              <w:t>28</w:t>
            </w:r>
          </w:p>
        </w:tc>
      </w:tr>
      <w:tr w:rsidR="0012790E" w:rsidRPr="0012790E" w14:paraId="412269FD" w14:textId="77777777">
        <w:tc>
          <w:tcPr>
            <w:tcW w:w="3470" w:type="dxa"/>
            <w:shd w:val="clear" w:color="auto" w:fill="auto"/>
            <w:vAlign w:val="bottom"/>
          </w:tcPr>
          <w:p w14:paraId="5E997F93" w14:textId="77777777" w:rsidR="0012790E" w:rsidRPr="0012790E" w:rsidRDefault="0012790E">
            <w:pPr>
              <w:pStyle w:val="Summarytabletextrightaligned"/>
            </w:pPr>
          </w:p>
        </w:tc>
        <w:tc>
          <w:tcPr>
            <w:tcW w:w="851" w:type="dxa"/>
            <w:tcBorders>
              <w:bottom w:val="single" w:sz="4" w:space="0" w:color="293F5B"/>
            </w:tcBorders>
            <w:vAlign w:val="bottom"/>
          </w:tcPr>
          <w:p w14:paraId="41C003B8" w14:textId="77777777" w:rsidR="0012790E" w:rsidRPr="0012790E" w:rsidRDefault="0012790E">
            <w:pPr>
              <w:pStyle w:val="Summarytabletextrightaligned"/>
            </w:pPr>
            <w:r w:rsidRPr="0012790E">
              <w:t>$m</w:t>
            </w:r>
          </w:p>
        </w:tc>
        <w:tc>
          <w:tcPr>
            <w:tcW w:w="851" w:type="dxa"/>
            <w:tcBorders>
              <w:bottom w:val="single" w:sz="4" w:space="0" w:color="293F5B"/>
            </w:tcBorders>
            <w:shd w:val="clear" w:color="auto" w:fill="E6F2FF"/>
            <w:vAlign w:val="bottom"/>
          </w:tcPr>
          <w:p w14:paraId="7E5B7119"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150EC252"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72418F8A" w14:textId="77777777" w:rsidR="0012790E" w:rsidRPr="0012790E" w:rsidRDefault="0012790E">
            <w:pPr>
              <w:pStyle w:val="Summarytabletextrightaligned"/>
            </w:pPr>
            <w:r w:rsidRPr="0012790E">
              <w:t>$m</w:t>
            </w:r>
          </w:p>
        </w:tc>
        <w:tc>
          <w:tcPr>
            <w:tcW w:w="851" w:type="dxa"/>
            <w:tcBorders>
              <w:bottom w:val="single" w:sz="4" w:space="0" w:color="293F5B"/>
            </w:tcBorders>
            <w:vAlign w:val="bottom"/>
          </w:tcPr>
          <w:p w14:paraId="582C9379" w14:textId="77777777" w:rsidR="0012790E" w:rsidRPr="0012790E" w:rsidRDefault="0012790E">
            <w:pPr>
              <w:pStyle w:val="Summarytabletextrightaligned"/>
            </w:pPr>
            <w:r w:rsidRPr="0012790E">
              <w:t>$m</w:t>
            </w:r>
          </w:p>
        </w:tc>
      </w:tr>
      <w:tr w:rsidR="0012790E" w:rsidRPr="0012790E" w14:paraId="0625D481" w14:textId="77777777">
        <w:tc>
          <w:tcPr>
            <w:tcW w:w="3470" w:type="dxa"/>
            <w:shd w:val="clear" w:color="auto" w:fill="auto"/>
            <w:vAlign w:val="bottom"/>
          </w:tcPr>
          <w:p w14:paraId="6048F15D" w14:textId="77777777" w:rsidR="0012790E" w:rsidRPr="0012790E" w:rsidRDefault="0012790E" w:rsidP="000D3386">
            <w:pPr>
              <w:pStyle w:val="SummaryMeasureTitlewithTheme"/>
              <w:ind w:hanging="340"/>
              <w:rPr>
                <w:rFonts w:cs="Arial"/>
                <w:b/>
              </w:rPr>
            </w:pPr>
            <w:r w:rsidRPr="0012790E">
              <w:rPr>
                <w:rFonts w:cs="Arial"/>
                <w:b/>
              </w:rPr>
              <w:t>TREASURY (continued)</w:t>
            </w:r>
          </w:p>
        </w:tc>
        <w:tc>
          <w:tcPr>
            <w:tcW w:w="851" w:type="dxa"/>
            <w:vAlign w:val="bottom"/>
          </w:tcPr>
          <w:p w14:paraId="6960708C" w14:textId="77777777" w:rsidR="0012790E" w:rsidRPr="0012790E" w:rsidRDefault="0012790E">
            <w:pPr>
              <w:pStyle w:val="Summarytabletextrightaligned"/>
              <w:rPr>
                <w:szCs w:val="16"/>
              </w:rPr>
            </w:pPr>
          </w:p>
        </w:tc>
        <w:tc>
          <w:tcPr>
            <w:tcW w:w="851" w:type="dxa"/>
            <w:shd w:val="clear" w:color="auto" w:fill="E6F2FF"/>
            <w:vAlign w:val="bottom"/>
          </w:tcPr>
          <w:p w14:paraId="33CA9D0D" w14:textId="77777777" w:rsidR="0012790E" w:rsidRPr="0012790E" w:rsidRDefault="0012790E">
            <w:pPr>
              <w:pStyle w:val="Summarytabletextrightaligned"/>
              <w:rPr>
                <w:szCs w:val="16"/>
              </w:rPr>
            </w:pPr>
          </w:p>
        </w:tc>
        <w:tc>
          <w:tcPr>
            <w:tcW w:w="851" w:type="dxa"/>
            <w:vAlign w:val="bottom"/>
          </w:tcPr>
          <w:p w14:paraId="7EF7CEAA" w14:textId="77777777" w:rsidR="0012790E" w:rsidRPr="0012790E" w:rsidRDefault="0012790E">
            <w:pPr>
              <w:pStyle w:val="Summarytabletextrightaligned"/>
              <w:rPr>
                <w:szCs w:val="16"/>
              </w:rPr>
            </w:pPr>
          </w:p>
        </w:tc>
        <w:tc>
          <w:tcPr>
            <w:tcW w:w="851" w:type="dxa"/>
            <w:vAlign w:val="bottom"/>
          </w:tcPr>
          <w:p w14:paraId="03C052E3" w14:textId="77777777" w:rsidR="0012790E" w:rsidRPr="0012790E" w:rsidRDefault="0012790E">
            <w:pPr>
              <w:pStyle w:val="Summarytabletextrightaligned"/>
              <w:rPr>
                <w:szCs w:val="16"/>
              </w:rPr>
            </w:pPr>
          </w:p>
        </w:tc>
        <w:tc>
          <w:tcPr>
            <w:tcW w:w="851" w:type="dxa"/>
            <w:vAlign w:val="bottom"/>
          </w:tcPr>
          <w:p w14:paraId="04387D26" w14:textId="77777777" w:rsidR="0012790E" w:rsidRPr="0012790E" w:rsidRDefault="0012790E">
            <w:pPr>
              <w:pStyle w:val="Summarytabletextrightaligned"/>
              <w:rPr>
                <w:szCs w:val="16"/>
              </w:rPr>
            </w:pPr>
          </w:p>
        </w:tc>
      </w:tr>
      <w:tr w:rsidR="0012790E" w:rsidRPr="0012790E" w14:paraId="645435B6" w14:textId="77777777">
        <w:tc>
          <w:tcPr>
            <w:tcW w:w="3470" w:type="dxa"/>
            <w:shd w:val="clear" w:color="auto" w:fill="auto"/>
            <w:vAlign w:val="bottom"/>
          </w:tcPr>
          <w:p w14:paraId="74560717" w14:textId="77777777" w:rsidR="0012790E" w:rsidRPr="0012790E" w:rsidRDefault="0012790E">
            <w:pPr>
              <w:pStyle w:val="SummaryMeasureTitlewithTheme"/>
            </w:pPr>
            <w:r w:rsidRPr="0012790E">
              <w:t>Response to HIV Taskforce Recommendations – eliminating HIV in Australia</w:t>
            </w:r>
          </w:p>
        </w:tc>
        <w:tc>
          <w:tcPr>
            <w:tcW w:w="851" w:type="dxa"/>
            <w:vAlign w:val="bottom"/>
          </w:tcPr>
          <w:p w14:paraId="235B0055"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752883D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2E56831B" w14:textId="77777777" w:rsidR="0012790E" w:rsidRPr="0012790E" w:rsidRDefault="0012790E">
            <w:pPr>
              <w:pStyle w:val="Summarytabletextrightaligned"/>
              <w:rPr>
                <w:szCs w:val="16"/>
              </w:rPr>
            </w:pPr>
            <w:r w:rsidRPr="0012790E">
              <w:rPr>
                <w:szCs w:val="16"/>
              </w:rPr>
              <w:t>12.9</w:t>
            </w:r>
          </w:p>
        </w:tc>
        <w:tc>
          <w:tcPr>
            <w:tcW w:w="851" w:type="dxa"/>
            <w:vAlign w:val="bottom"/>
          </w:tcPr>
          <w:p w14:paraId="47F07F0C" w14:textId="77777777" w:rsidR="0012790E" w:rsidRPr="0012790E" w:rsidRDefault="0012790E">
            <w:pPr>
              <w:pStyle w:val="Summarytabletextrightaligned"/>
              <w:rPr>
                <w:szCs w:val="16"/>
              </w:rPr>
            </w:pPr>
            <w:r w:rsidRPr="0012790E">
              <w:rPr>
                <w:szCs w:val="16"/>
              </w:rPr>
              <w:t>13.1</w:t>
            </w:r>
          </w:p>
        </w:tc>
        <w:tc>
          <w:tcPr>
            <w:tcW w:w="851" w:type="dxa"/>
            <w:vAlign w:val="bottom"/>
          </w:tcPr>
          <w:p w14:paraId="7046B9D6" w14:textId="77777777" w:rsidR="0012790E" w:rsidRPr="0012790E" w:rsidRDefault="0012790E">
            <w:pPr>
              <w:pStyle w:val="Summarytabletextrightaligned"/>
              <w:rPr>
                <w:szCs w:val="16"/>
              </w:rPr>
            </w:pPr>
            <w:r w:rsidRPr="0012790E">
              <w:rPr>
                <w:szCs w:val="16"/>
              </w:rPr>
              <w:noBreakHyphen/>
            </w:r>
          </w:p>
        </w:tc>
      </w:tr>
      <w:tr w:rsidR="0012790E" w:rsidRPr="0012790E" w14:paraId="394AE4E1" w14:textId="77777777">
        <w:tc>
          <w:tcPr>
            <w:tcW w:w="3470" w:type="dxa"/>
            <w:shd w:val="clear" w:color="auto" w:fill="auto"/>
            <w:vAlign w:val="bottom"/>
          </w:tcPr>
          <w:p w14:paraId="0D9D6169" w14:textId="77777777" w:rsidR="0012790E" w:rsidRPr="0012790E" w:rsidRDefault="0012790E">
            <w:pPr>
              <w:pStyle w:val="SummaryMeasureTitlewithTheme"/>
            </w:pPr>
            <w:r w:rsidRPr="0012790E">
              <w:t>Strengthening Medicare(b)</w:t>
            </w:r>
          </w:p>
        </w:tc>
        <w:tc>
          <w:tcPr>
            <w:tcW w:w="851" w:type="dxa"/>
            <w:vAlign w:val="bottom"/>
          </w:tcPr>
          <w:p w14:paraId="69AEA7E6"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C6C0994" w14:textId="77777777" w:rsidR="0012790E" w:rsidRPr="0012790E" w:rsidRDefault="0012790E">
            <w:pPr>
              <w:pStyle w:val="Summarytabletextrightaligned"/>
              <w:rPr>
                <w:szCs w:val="16"/>
              </w:rPr>
            </w:pPr>
            <w:r w:rsidRPr="0012790E">
              <w:rPr>
                <w:szCs w:val="16"/>
              </w:rPr>
              <w:t>185.6</w:t>
            </w:r>
          </w:p>
        </w:tc>
        <w:tc>
          <w:tcPr>
            <w:tcW w:w="851" w:type="dxa"/>
            <w:vAlign w:val="bottom"/>
          </w:tcPr>
          <w:p w14:paraId="07B8699B" w14:textId="77777777" w:rsidR="0012790E" w:rsidRPr="0012790E" w:rsidRDefault="0012790E">
            <w:pPr>
              <w:pStyle w:val="Summarytabletextrightaligned"/>
              <w:rPr>
                <w:szCs w:val="16"/>
              </w:rPr>
            </w:pPr>
            <w:r w:rsidRPr="0012790E">
              <w:rPr>
                <w:szCs w:val="16"/>
              </w:rPr>
              <w:t>169.8</w:t>
            </w:r>
          </w:p>
        </w:tc>
        <w:tc>
          <w:tcPr>
            <w:tcW w:w="851" w:type="dxa"/>
            <w:vAlign w:val="bottom"/>
          </w:tcPr>
          <w:p w14:paraId="48B81615" w14:textId="77777777" w:rsidR="0012790E" w:rsidRPr="0012790E" w:rsidRDefault="0012790E">
            <w:pPr>
              <w:pStyle w:val="Summarytabletextrightaligned"/>
              <w:rPr>
                <w:szCs w:val="16"/>
              </w:rPr>
            </w:pPr>
            <w:r w:rsidRPr="0012790E">
              <w:rPr>
                <w:szCs w:val="16"/>
              </w:rPr>
              <w:t>138.1</w:t>
            </w:r>
          </w:p>
        </w:tc>
        <w:tc>
          <w:tcPr>
            <w:tcW w:w="851" w:type="dxa"/>
            <w:vAlign w:val="bottom"/>
          </w:tcPr>
          <w:p w14:paraId="5933F500" w14:textId="77777777" w:rsidR="0012790E" w:rsidRPr="0012790E" w:rsidRDefault="0012790E">
            <w:pPr>
              <w:pStyle w:val="Summarytabletextrightaligned"/>
              <w:rPr>
                <w:szCs w:val="16"/>
              </w:rPr>
            </w:pPr>
            <w:r w:rsidRPr="0012790E">
              <w:rPr>
                <w:szCs w:val="16"/>
              </w:rPr>
              <w:t>138.6</w:t>
            </w:r>
          </w:p>
        </w:tc>
      </w:tr>
      <w:tr w:rsidR="0012790E" w:rsidRPr="0012790E" w14:paraId="4B50FDBD" w14:textId="77777777">
        <w:tc>
          <w:tcPr>
            <w:tcW w:w="3470" w:type="dxa"/>
            <w:shd w:val="clear" w:color="auto" w:fill="auto"/>
            <w:vAlign w:val="bottom"/>
          </w:tcPr>
          <w:p w14:paraId="093B6A74" w14:textId="77777777" w:rsidR="0012790E" w:rsidRPr="0012790E" w:rsidRDefault="0012790E">
            <w:pPr>
              <w:pStyle w:val="SummaryMeasureTitlewithTheme"/>
            </w:pPr>
            <w:r w:rsidRPr="0012790E">
              <w:t>Strengthening Medicare – Medicare Urgent Care Clinics – additional funding</w:t>
            </w:r>
          </w:p>
        </w:tc>
        <w:tc>
          <w:tcPr>
            <w:tcW w:w="851" w:type="dxa"/>
            <w:vAlign w:val="bottom"/>
          </w:tcPr>
          <w:p w14:paraId="476F880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CC274F9" w14:textId="77777777" w:rsidR="0012790E" w:rsidRPr="0012790E" w:rsidRDefault="0012790E">
            <w:pPr>
              <w:pStyle w:val="Summarytabletextrightaligned"/>
              <w:rPr>
                <w:szCs w:val="16"/>
              </w:rPr>
            </w:pPr>
            <w:r w:rsidRPr="0012790E">
              <w:rPr>
                <w:szCs w:val="16"/>
              </w:rPr>
              <w:t>32.7</w:t>
            </w:r>
          </w:p>
        </w:tc>
        <w:tc>
          <w:tcPr>
            <w:tcW w:w="851" w:type="dxa"/>
            <w:vAlign w:val="bottom"/>
          </w:tcPr>
          <w:p w14:paraId="6B0E34AB" w14:textId="77777777" w:rsidR="0012790E" w:rsidRPr="0012790E" w:rsidRDefault="0012790E">
            <w:pPr>
              <w:pStyle w:val="Summarytabletextrightaligned"/>
              <w:rPr>
                <w:szCs w:val="16"/>
              </w:rPr>
            </w:pPr>
            <w:r w:rsidRPr="0012790E">
              <w:rPr>
                <w:szCs w:val="16"/>
              </w:rPr>
              <w:t>30.1</w:t>
            </w:r>
          </w:p>
        </w:tc>
        <w:tc>
          <w:tcPr>
            <w:tcW w:w="851" w:type="dxa"/>
            <w:vAlign w:val="bottom"/>
          </w:tcPr>
          <w:p w14:paraId="1B077783"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880ABF1" w14:textId="77777777" w:rsidR="0012790E" w:rsidRPr="0012790E" w:rsidRDefault="0012790E">
            <w:pPr>
              <w:pStyle w:val="Summarytabletextrightaligned"/>
              <w:rPr>
                <w:szCs w:val="16"/>
              </w:rPr>
            </w:pPr>
            <w:r w:rsidRPr="0012790E">
              <w:rPr>
                <w:szCs w:val="16"/>
              </w:rPr>
              <w:noBreakHyphen/>
            </w:r>
          </w:p>
        </w:tc>
      </w:tr>
      <w:tr w:rsidR="0012790E" w:rsidRPr="0012790E" w14:paraId="4C5AA3E8" w14:textId="77777777">
        <w:tc>
          <w:tcPr>
            <w:tcW w:w="3470" w:type="dxa"/>
            <w:shd w:val="clear" w:color="auto" w:fill="auto"/>
            <w:vAlign w:val="bottom"/>
          </w:tcPr>
          <w:p w14:paraId="7D23168B" w14:textId="77777777" w:rsidR="0012790E" w:rsidRPr="0012790E" w:rsidRDefault="0012790E">
            <w:pPr>
              <w:pStyle w:val="SummaryMeasureTitlewithTheme"/>
            </w:pPr>
            <w:r w:rsidRPr="0012790E">
              <w:t>Strengthening Tax Compliance – Australian Taxation Office Counter Fraud Strategy(b)</w:t>
            </w:r>
          </w:p>
        </w:tc>
        <w:tc>
          <w:tcPr>
            <w:tcW w:w="851" w:type="dxa"/>
            <w:vAlign w:val="bottom"/>
          </w:tcPr>
          <w:p w14:paraId="4624DF5C"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0F99B8D9"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175509F1" w14:textId="77146B07" w:rsidR="0012790E" w:rsidRPr="0012790E" w:rsidRDefault="00936931">
            <w:pPr>
              <w:pStyle w:val="Summarytabletextrightaligned"/>
              <w:rPr>
                <w:szCs w:val="16"/>
              </w:rPr>
            </w:pPr>
            <w:r>
              <w:rPr>
                <w:szCs w:val="16"/>
              </w:rPr>
              <w:t>*</w:t>
            </w:r>
          </w:p>
        </w:tc>
        <w:tc>
          <w:tcPr>
            <w:tcW w:w="851" w:type="dxa"/>
            <w:vAlign w:val="bottom"/>
          </w:tcPr>
          <w:p w14:paraId="346B235D" w14:textId="655ADF4E" w:rsidR="0012790E" w:rsidRPr="0012790E" w:rsidRDefault="00936931">
            <w:pPr>
              <w:pStyle w:val="Summarytabletextrightaligned"/>
              <w:rPr>
                <w:szCs w:val="16"/>
              </w:rPr>
            </w:pPr>
            <w:r>
              <w:rPr>
                <w:szCs w:val="16"/>
              </w:rPr>
              <w:t>*</w:t>
            </w:r>
          </w:p>
        </w:tc>
        <w:tc>
          <w:tcPr>
            <w:tcW w:w="851" w:type="dxa"/>
            <w:vAlign w:val="bottom"/>
          </w:tcPr>
          <w:p w14:paraId="0D388533" w14:textId="6A35A599" w:rsidR="0012790E" w:rsidRPr="0012790E" w:rsidRDefault="00936931">
            <w:pPr>
              <w:pStyle w:val="Summarytabletextrightaligned"/>
              <w:rPr>
                <w:szCs w:val="16"/>
              </w:rPr>
            </w:pPr>
            <w:r>
              <w:rPr>
                <w:szCs w:val="16"/>
              </w:rPr>
              <w:t>*</w:t>
            </w:r>
          </w:p>
        </w:tc>
      </w:tr>
      <w:tr w:rsidR="0012790E" w:rsidRPr="0012790E" w14:paraId="50DD6AB7" w14:textId="77777777">
        <w:tc>
          <w:tcPr>
            <w:tcW w:w="3470" w:type="dxa"/>
            <w:shd w:val="clear" w:color="auto" w:fill="auto"/>
            <w:vAlign w:val="bottom"/>
          </w:tcPr>
          <w:p w14:paraId="4C4EE5D4" w14:textId="77777777" w:rsidR="0012790E" w:rsidRPr="0012790E" w:rsidRDefault="0012790E">
            <w:pPr>
              <w:pStyle w:val="SummaryMeasureTitlewithTheme"/>
            </w:pPr>
            <w:r w:rsidRPr="0012790E">
              <w:t>Strengthening Tax Compliance – extending the Shadow Economy Compliance Program(b)</w:t>
            </w:r>
          </w:p>
        </w:tc>
        <w:tc>
          <w:tcPr>
            <w:tcW w:w="851" w:type="dxa"/>
            <w:vAlign w:val="bottom"/>
          </w:tcPr>
          <w:p w14:paraId="09D3DB1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1F8902D5"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63E7A6C"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5EB614C" w14:textId="77777777" w:rsidR="0012790E" w:rsidRPr="0012790E" w:rsidRDefault="0012790E">
            <w:pPr>
              <w:pStyle w:val="Summarytabletextrightaligned"/>
              <w:rPr>
                <w:szCs w:val="16"/>
              </w:rPr>
            </w:pPr>
            <w:r w:rsidRPr="0012790E">
              <w:rPr>
                <w:szCs w:val="16"/>
              </w:rPr>
              <w:t>158.0</w:t>
            </w:r>
          </w:p>
        </w:tc>
        <w:tc>
          <w:tcPr>
            <w:tcW w:w="851" w:type="dxa"/>
            <w:vAlign w:val="bottom"/>
          </w:tcPr>
          <w:p w14:paraId="32004ED7" w14:textId="77777777" w:rsidR="0012790E" w:rsidRPr="0012790E" w:rsidRDefault="0012790E">
            <w:pPr>
              <w:pStyle w:val="Summarytabletextrightaligned"/>
              <w:rPr>
                <w:szCs w:val="16"/>
              </w:rPr>
            </w:pPr>
            <w:r w:rsidRPr="0012790E">
              <w:rPr>
                <w:szCs w:val="16"/>
              </w:rPr>
              <w:t>271.6</w:t>
            </w:r>
          </w:p>
        </w:tc>
      </w:tr>
      <w:tr w:rsidR="0012790E" w:rsidRPr="0012790E" w14:paraId="4B86A9AF" w14:textId="77777777">
        <w:tc>
          <w:tcPr>
            <w:tcW w:w="3470" w:type="dxa"/>
            <w:shd w:val="clear" w:color="auto" w:fill="auto"/>
            <w:vAlign w:val="bottom"/>
          </w:tcPr>
          <w:p w14:paraId="5953DBCD" w14:textId="77777777" w:rsidR="0012790E" w:rsidRPr="0012790E" w:rsidRDefault="0012790E">
            <w:pPr>
              <w:pStyle w:val="SummaryMeasureTitlewithTheme"/>
            </w:pPr>
            <w:r w:rsidRPr="0012790E">
              <w:t>Supporting Ongoing Access to Vaccines</w:t>
            </w:r>
          </w:p>
        </w:tc>
        <w:tc>
          <w:tcPr>
            <w:tcW w:w="851" w:type="dxa"/>
            <w:vAlign w:val="bottom"/>
          </w:tcPr>
          <w:p w14:paraId="012421D7"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6232EAD4"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667A9EC" w14:textId="77777777" w:rsidR="0012790E" w:rsidRPr="0012790E" w:rsidRDefault="0012790E">
            <w:pPr>
              <w:pStyle w:val="Summarytabletextrightaligned"/>
              <w:rPr>
                <w:szCs w:val="16"/>
              </w:rPr>
            </w:pPr>
            <w:r w:rsidRPr="0012790E">
              <w:rPr>
                <w:szCs w:val="16"/>
              </w:rPr>
              <w:t>28.2</w:t>
            </w:r>
          </w:p>
        </w:tc>
        <w:tc>
          <w:tcPr>
            <w:tcW w:w="851" w:type="dxa"/>
            <w:vAlign w:val="bottom"/>
          </w:tcPr>
          <w:p w14:paraId="61EE9F0B" w14:textId="77777777" w:rsidR="0012790E" w:rsidRPr="0012790E" w:rsidRDefault="0012790E">
            <w:pPr>
              <w:pStyle w:val="Summarytabletextrightaligned"/>
              <w:rPr>
                <w:szCs w:val="16"/>
              </w:rPr>
            </w:pPr>
            <w:r w:rsidRPr="0012790E">
              <w:rPr>
                <w:szCs w:val="16"/>
              </w:rPr>
              <w:t>27.3</w:t>
            </w:r>
          </w:p>
        </w:tc>
        <w:tc>
          <w:tcPr>
            <w:tcW w:w="851" w:type="dxa"/>
            <w:vAlign w:val="bottom"/>
          </w:tcPr>
          <w:p w14:paraId="1A5860CF" w14:textId="77777777" w:rsidR="0012790E" w:rsidRPr="0012790E" w:rsidRDefault="0012790E">
            <w:pPr>
              <w:pStyle w:val="Summarytabletextrightaligned"/>
              <w:rPr>
                <w:szCs w:val="16"/>
              </w:rPr>
            </w:pPr>
            <w:r w:rsidRPr="0012790E">
              <w:rPr>
                <w:szCs w:val="16"/>
              </w:rPr>
              <w:t>27.1</w:t>
            </w:r>
          </w:p>
        </w:tc>
      </w:tr>
      <w:tr w:rsidR="0012790E" w:rsidRPr="0012790E" w14:paraId="2F814C04" w14:textId="77777777">
        <w:tc>
          <w:tcPr>
            <w:tcW w:w="3470" w:type="dxa"/>
            <w:shd w:val="clear" w:color="auto" w:fill="auto"/>
            <w:vAlign w:val="bottom"/>
          </w:tcPr>
          <w:p w14:paraId="0828792B" w14:textId="77777777" w:rsidR="0012790E" w:rsidRPr="0012790E" w:rsidRDefault="0012790E">
            <w:pPr>
              <w:pStyle w:val="SummaryMeasureTitlewithTheme"/>
            </w:pPr>
            <w:r w:rsidRPr="0012790E">
              <w:t>Supporting Safe and Responsible AI</w:t>
            </w:r>
          </w:p>
        </w:tc>
        <w:tc>
          <w:tcPr>
            <w:tcW w:w="851" w:type="dxa"/>
            <w:vAlign w:val="bottom"/>
          </w:tcPr>
          <w:p w14:paraId="13BD0AE4"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6577D02" w14:textId="77777777" w:rsidR="0012790E" w:rsidRPr="0012790E" w:rsidRDefault="0012790E">
            <w:pPr>
              <w:pStyle w:val="Summarytabletextrightaligned"/>
              <w:rPr>
                <w:szCs w:val="16"/>
              </w:rPr>
            </w:pPr>
            <w:r w:rsidRPr="0012790E">
              <w:rPr>
                <w:szCs w:val="16"/>
              </w:rPr>
              <w:t>1.5</w:t>
            </w:r>
          </w:p>
        </w:tc>
        <w:tc>
          <w:tcPr>
            <w:tcW w:w="851" w:type="dxa"/>
            <w:vAlign w:val="bottom"/>
          </w:tcPr>
          <w:p w14:paraId="756387B2"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0659ACEE"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94BE447" w14:textId="77777777" w:rsidR="0012790E" w:rsidRPr="0012790E" w:rsidRDefault="0012790E">
            <w:pPr>
              <w:pStyle w:val="Summarytabletextrightaligned"/>
              <w:rPr>
                <w:szCs w:val="16"/>
              </w:rPr>
            </w:pPr>
            <w:r w:rsidRPr="0012790E">
              <w:rPr>
                <w:szCs w:val="16"/>
              </w:rPr>
              <w:noBreakHyphen/>
            </w:r>
          </w:p>
        </w:tc>
      </w:tr>
      <w:tr w:rsidR="0012790E" w:rsidRPr="0012790E" w14:paraId="6D253476" w14:textId="77777777">
        <w:tc>
          <w:tcPr>
            <w:tcW w:w="3470" w:type="dxa"/>
            <w:shd w:val="clear" w:color="auto" w:fill="auto"/>
            <w:vAlign w:val="bottom"/>
          </w:tcPr>
          <w:p w14:paraId="0E4DEF3A" w14:textId="77777777" w:rsidR="0012790E" w:rsidRPr="0012790E" w:rsidRDefault="0012790E">
            <w:pPr>
              <w:pStyle w:val="SummaryMeasureTitlewithTheme"/>
            </w:pPr>
            <w:r w:rsidRPr="0012790E">
              <w:t>Supporting Safety and Responsible Decommissioning in the Offshore Resources Sector</w:t>
            </w:r>
          </w:p>
        </w:tc>
        <w:tc>
          <w:tcPr>
            <w:tcW w:w="851" w:type="dxa"/>
            <w:vAlign w:val="bottom"/>
          </w:tcPr>
          <w:p w14:paraId="5EDF3945" w14:textId="77777777" w:rsidR="0012790E" w:rsidRPr="0012790E" w:rsidRDefault="0012790E">
            <w:pPr>
              <w:pStyle w:val="Summarytabletextrightaligned"/>
              <w:rPr>
                <w:szCs w:val="16"/>
              </w:rPr>
            </w:pPr>
            <w:r w:rsidRPr="0012790E">
              <w:rPr>
                <w:szCs w:val="16"/>
              </w:rPr>
              <w:noBreakHyphen/>
              <w:t>2.5</w:t>
            </w:r>
          </w:p>
        </w:tc>
        <w:tc>
          <w:tcPr>
            <w:tcW w:w="851" w:type="dxa"/>
            <w:shd w:val="clear" w:color="auto" w:fill="E6F2FF"/>
            <w:vAlign w:val="bottom"/>
          </w:tcPr>
          <w:p w14:paraId="34A4E48F" w14:textId="77777777" w:rsidR="0012790E" w:rsidRPr="0012790E" w:rsidRDefault="0012790E">
            <w:pPr>
              <w:pStyle w:val="Summarytabletextrightaligned"/>
              <w:rPr>
                <w:szCs w:val="16"/>
              </w:rPr>
            </w:pPr>
            <w:r w:rsidRPr="0012790E">
              <w:rPr>
                <w:szCs w:val="16"/>
              </w:rPr>
              <w:noBreakHyphen/>
              <w:t>2.5</w:t>
            </w:r>
          </w:p>
        </w:tc>
        <w:tc>
          <w:tcPr>
            <w:tcW w:w="851" w:type="dxa"/>
            <w:vAlign w:val="bottom"/>
          </w:tcPr>
          <w:p w14:paraId="34E10948"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382DE60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3DD557B" w14:textId="77777777" w:rsidR="0012790E" w:rsidRPr="0012790E" w:rsidRDefault="0012790E">
            <w:pPr>
              <w:pStyle w:val="Summarytabletextrightaligned"/>
              <w:rPr>
                <w:szCs w:val="16"/>
              </w:rPr>
            </w:pPr>
            <w:r w:rsidRPr="0012790E">
              <w:rPr>
                <w:szCs w:val="16"/>
              </w:rPr>
              <w:noBreakHyphen/>
            </w:r>
          </w:p>
        </w:tc>
      </w:tr>
      <w:tr w:rsidR="0012790E" w:rsidRPr="0012790E" w14:paraId="545BEE51" w14:textId="77777777">
        <w:tc>
          <w:tcPr>
            <w:tcW w:w="3470" w:type="dxa"/>
            <w:shd w:val="clear" w:color="auto" w:fill="auto"/>
            <w:vAlign w:val="bottom"/>
          </w:tcPr>
          <w:p w14:paraId="475A7878" w14:textId="77777777" w:rsidR="0012790E" w:rsidRPr="0012790E" w:rsidRDefault="0012790E">
            <w:pPr>
              <w:pStyle w:val="SummaryMeasureTitlewithTheme"/>
            </w:pPr>
            <w:r w:rsidRPr="0012790E">
              <w:t>Supporting Small Businesses</w:t>
            </w:r>
          </w:p>
        </w:tc>
        <w:tc>
          <w:tcPr>
            <w:tcW w:w="851" w:type="dxa"/>
            <w:vAlign w:val="bottom"/>
          </w:tcPr>
          <w:p w14:paraId="74CC791E" w14:textId="77777777" w:rsidR="0012790E" w:rsidRPr="0012790E" w:rsidRDefault="0012790E">
            <w:pPr>
              <w:pStyle w:val="Summarytabletextrightaligned"/>
              <w:rPr>
                <w:szCs w:val="16"/>
              </w:rPr>
            </w:pPr>
            <w:r w:rsidRPr="0012790E">
              <w:rPr>
                <w:szCs w:val="16"/>
              </w:rPr>
              <w:noBreakHyphen/>
              <w:t>3.3</w:t>
            </w:r>
          </w:p>
        </w:tc>
        <w:tc>
          <w:tcPr>
            <w:tcW w:w="851" w:type="dxa"/>
            <w:shd w:val="clear" w:color="auto" w:fill="E6F2FF"/>
            <w:vAlign w:val="bottom"/>
          </w:tcPr>
          <w:p w14:paraId="634F78D2" w14:textId="77777777" w:rsidR="0012790E" w:rsidRPr="0012790E" w:rsidRDefault="0012790E">
            <w:pPr>
              <w:pStyle w:val="Summarytabletextrightaligned"/>
              <w:rPr>
                <w:szCs w:val="16"/>
              </w:rPr>
            </w:pPr>
            <w:r w:rsidRPr="0012790E">
              <w:rPr>
                <w:szCs w:val="16"/>
              </w:rPr>
              <w:t>8.5</w:t>
            </w:r>
          </w:p>
        </w:tc>
        <w:tc>
          <w:tcPr>
            <w:tcW w:w="851" w:type="dxa"/>
            <w:vAlign w:val="bottom"/>
          </w:tcPr>
          <w:p w14:paraId="7ADAF31E" w14:textId="77777777" w:rsidR="0012790E" w:rsidRPr="0012790E" w:rsidRDefault="0012790E">
            <w:pPr>
              <w:pStyle w:val="Summarytabletextrightaligned"/>
              <w:rPr>
                <w:szCs w:val="16"/>
              </w:rPr>
            </w:pPr>
            <w:r w:rsidRPr="0012790E">
              <w:rPr>
                <w:szCs w:val="16"/>
              </w:rPr>
              <w:t>15.9</w:t>
            </w:r>
          </w:p>
        </w:tc>
        <w:tc>
          <w:tcPr>
            <w:tcW w:w="851" w:type="dxa"/>
            <w:vAlign w:val="bottom"/>
          </w:tcPr>
          <w:p w14:paraId="3CADB624" w14:textId="77777777" w:rsidR="0012790E" w:rsidRPr="0012790E" w:rsidRDefault="0012790E">
            <w:pPr>
              <w:pStyle w:val="Summarytabletextrightaligned"/>
              <w:rPr>
                <w:szCs w:val="16"/>
              </w:rPr>
            </w:pPr>
            <w:r w:rsidRPr="0012790E">
              <w:rPr>
                <w:szCs w:val="16"/>
              </w:rPr>
              <w:t>5.5</w:t>
            </w:r>
          </w:p>
        </w:tc>
        <w:tc>
          <w:tcPr>
            <w:tcW w:w="851" w:type="dxa"/>
            <w:vAlign w:val="bottom"/>
          </w:tcPr>
          <w:p w14:paraId="6F3160D0" w14:textId="77777777" w:rsidR="0012790E" w:rsidRPr="0012790E" w:rsidRDefault="0012790E">
            <w:pPr>
              <w:pStyle w:val="Summarytabletextrightaligned"/>
              <w:rPr>
                <w:szCs w:val="16"/>
              </w:rPr>
            </w:pPr>
            <w:r w:rsidRPr="0012790E">
              <w:rPr>
                <w:szCs w:val="16"/>
              </w:rPr>
              <w:t>6.3</w:t>
            </w:r>
          </w:p>
        </w:tc>
      </w:tr>
      <w:tr w:rsidR="0012790E" w:rsidRPr="0012790E" w14:paraId="5998BC88" w14:textId="77777777">
        <w:tc>
          <w:tcPr>
            <w:tcW w:w="3470" w:type="dxa"/>
            <w:shd w:val="clear" w:color="auto" w:fill="auto"/>
            <w:vAlign w:val="bottom"/>
          </w:tcPr>
          <w:p w14:paraId="28821DFE" w14:textId="77777777" w:rsidR="0012790E" w:rsidRPr="0012790E" w:rsidRDefault="0012790E">
            <w:pPr>
              <w:pStyle w:val="SummaryMeasureTitlewithTheme"/>
            </w:pPr>
            <w:r w:rsidRPr="0012790E">
              <w:t>Supporting Transport Priorities</w:t>
            </w:r>
          </w:p>
        </w:tc>
        <w:tc>
          <w:tcPr>
            <w:tcW w:w="851" w:type="dxa"/>
            <w:vAlign w:val="bottom"/>
          </w:tcPr>
          <w:p w14:paraId="22C55824" w14:textId="77777777" w:rsidR="0012790E" w:rsidRPr="0012790E" w:rsidRDefault="0012790E">
            <w:pPr>
              <w:pStyle w:val="Summarytabletextrightaligned"/>
              <w:rPr>
                <w:szCs w:val="16"/>
              </w:rPr>
            </w:pPr>
            <w:r w:rsidRPr="0012790E">
              <w:rPr>
                <w:szCs w:val="16"/>
              </w:rPr>
              <w:noBreakHyphen/>
              <w:t>22.1</w:t>
            </w:r>
          </w:p>
        </w:tc>
        <w:tc>
          <w:tcPr>
            <w:tcW w:w="851" w:type="dxa"/>
            <w:shd w:val="clear" w:color="auto" w:fill="E6F2FF"/>
            <w:vAlign w:val="bottom"/>
          </w:tcPr>
          <w:p w14:paraId="07D31FC5" w14:textId="77777777" w:rsidR="0012790E" w:rsidRPr="0012790E" w:rsidRDefault="0012790E">
            <w:pPr>
              <w:pStyle w:val="Summarytabletextrightaligned"/>
              <w:rPr>
                <w:szCs w:val="16"/>
              </w:rPr>
            </w:pPr>
            <w:r w:rsidRPr="0012790E">
              <w:rPr>
                <w:szCs w:val="16"/>
              </w:rPr>
              <w:noBreakHyphen/>
              <w:t>58.7</w:t>
            </w:r>
          </w:p>
        </w:tc>
        <w:tc>
          <w:tcPr>
            <w:tcW w:w="851" w:type="dxa"/>
            <w:vAlign w:val="bottom"/>
          </w:tcPr>
          <w:p w14:paraId="49766F01"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5F8D5A2B"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4CC91789" w14:textId="77777777" w:rsidR="0012790E" w:rsidRPr="0012790E" w:rsidRDefault="0012790E">
            <w:pPr>
              <w:pStyle w:val="Summarytabletextrightaligned"/>
              <w:rPr>
                <w:szCs w:val="16"/>
              </w:rPr>
            </w:pPr>
            <w:r w:rsidRPr="0012790E">
              <w:rPr>
                <w:szCs w:val="16"/>
              </w:rPr>
              <w:noBreakHyphen/>
            </w:r>
          </w:p>
        </w:tc>
      </w:tr>
      <w:tr w:rsidR="0012790E" w:rsidRPr="0012790E" w14:paraId="549C1D47" w14:textId="77777777">
        <w:tc>
          <w:tcPr>
            <w:tcW w:w="3470" w:type="dxa"/>
            <w:shd w:val="clear" w:color="auto" w:fill="auto"/>
            <w:vAlign w:val="bottom"/>
          </w:tcPr>
          <w:p w14:paraId="53859E79" w14:textId="77777777" w:rsidR="0012790E" w:rsidRPr="0012790E" w:rsidRDefault="0012790E">
            <w:pPr>
              <w:pStyle w:val="SummaryMeasureTitlewithTheme"/>
            </w:pPr>
            <w:r w:rsidRPr="0012790E">
              <w:t>Sustaining Water Functions</w:t>
            </w:r>
          </w:p>
        </w:tc>
        <w:tc>
          <w:tcPr>
            <w:tcW w:w="851" w:type="dxa"/>
            <w:vAlign w:val="bottom"/>
          </w:tcPr>
          <w:p w14:paraId="481D6578"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2ACA7A72" w14:textId="77777777" w:rsidR="0012790E" w:rsidRPr="0012790E" w:rsidRDefault="0012790E">
            <w:pPr>
              <w:pStyle w:val="Summarytabletextrightaligned"/>
              <w:rPr>
                <w:szCs w:val="16"/>
              </w:rPr>
            </w:pPr>
            <w:r w:rsidRPr="0012790E">
              <w:rPr>
                <w:szCs w:val="16"/>
              </w:rPr>
              <w:t>8.0</w:t>
            </w:r>
          </w:p>
        </w:tc>
        <w:tc>
          <w:tcPr>
            <w:tcW w:w="851" w:type="dxa"/>
            <w:vAlign w:val="bottom"/>
          </w:tcPr>
          <w:p w14:paraId="34C836B0" w14:textId="77777777" w:rsidR="0012790E" w:rsidRPr="0012790E" w:rsidRDefault="0012790E">
            <w:pPr>
              <w:pStyle w:val="Summarytabletextrightaligned"/>
              <w:rPr>
                <w:szCs w:val="16"/>
              </w:rPr>
            </w:pPr>
            <w:r w:rsidRPr="0012790E">
              <w:rPr>
                <w:szCs w:val="16"/>
              </w:rPr>
              <w:t>8.0</w:t>
            </w:r>
          </w:p>
        </w:tc>
        <w:tc>
          <w:tcPr>
            <w:tcW w:w="851" w:type="dxa"/>
            <w:vAlign w:val="bottom"/>
          </w:tcPr>
          <w:p w14:paraId="7FE6DE84" w14:textId="77777777" w:rsidR="0012790E" w:rsidRPr="0012790E" w:rsidRDefault="0012790E">
            <w:pPr>
              <w:pStyle w:val="Summarytabletextrightaligned"/>
              <w:rPr>
                <w:szCs w:val="16"/>
              </w:rPr>
            </w:pPr>
            <w:r w:rsidRPr="0012790E">
              <w:rPr>
                <w:szCs w:val="16"/>
              </w:rPr>
              <w:t>8.0</w:t>
            </w:r>
          </w:p>
        </w:tc>
        <w:tc>
          <w:tcPr>
            <w:tcW w:w="851" w:type="dxa"/>
            <w:vAlign w:val="bottom"/>
          </w:tcPr>
          <w:p w14:paraId="56F37353" w14:textId="77777777" w:rsidR="0012790E" w:rsidRPr="0012790E" w:rsidRDefault="0012790E">
            <w:pPr>
              <w:pStyle w:val="Summarytabletextrightaligned"/>
              <w:rPr>
                <w:szCs w:val="16"/>
              </w:rPr>
            </w:pPr>
            <w:r w:rsidRPr="0012790E">
              <w:rPr>
                <w:szCs w:val="16"/>
              </w:rPr>
              <w:t>8.0</w:t>
            </w:r>
          </w:p>
        </w:tc>
      </w:tr>
      <w:tr w:rsidR="0012790E" w:rsidRPr="0012790E" w14:paraId="254D2586" w14:textId="77777777">
        <w:tc>
          <w:tcPr>
            <w:tcW w:w="3470" w:type="dxa"/>
            <w:shd w:val="clear" w:color="auto" w:fill="auto"/>
            <w:vAlign w:val="bottom"/>
          </w:tcPr>
          <w:p w14:paraId="041C1CBD" w14:textId="77777777" w:rsidR="0012790E" w:rsidRPr="0012790E" w:rsidRDefault="0012790E">
            <w:pPr>
              <w:pStyle w:val="SummaryMeasureTitlewithTheme"/>
            </w:pPr>
            <w:r w:rsidRPr="0012790E">
              <w:t>Treasury Portfolio – additional resourcing(b)</w:t>
            </w:r>
          </w:p>
        </w:tc>
        <w:tc>
          <w:tcPr>
            <w:tcW w:w="851" w:type="dxa"/>
            <w:vAlign w:val="bottom"/>
          </w:tcPr>
          <w:p w14:paraId="4587405F" w14:textId="77777777" w:rsidR="0012790E" w:rsidRPr="0012790E" w:rsidRDefault="0012790E">
            <w:pPr>
              <w:pStyle w:val="Summarytabletextrightaligned"/>
              <w:rPr>
                <w:szCs w:val="16"/>
              </w:rPr>
            </w:pPr>
            <w:r w:rsidRPr="0012790E">
              <w:rPr>
                <w:szCs w:val="16"/>
              </w:rPr>
              <w:t>23.1</w:t>
            </w:r>
          </w:p>
        </w:tc>
        <w:tc>
          <w:tcPr>
            <w:tcW w:w="851" w:type="dxa"/>
            <w:shd w:val="clear" w:color="auto" w:fill="E6F2FF"/>
            <w:vAlign w:val="bottom"/>
          </w:tcPr>
          <w:p w14:paraId="70BD61D0" w14:textId="77777777" w:rsidR="0012790E" w:rsidRPr="0012790E" w:rsidRDefault="0012790E">
            <w:pPr>
              <w:pStyle w:val="Summarytabletextrightaligned"/>
              <w:rPr>
                <w:szCs w:val="16"/>
              </w:rPr>
            </w:pPr>
            <w:r w:rsidRPr="0012790E">
              <w:rPr>
                <w:szCs w:val="16"/>
              </w:rPr>
              <w:t>27.7</w:t>
            </w:r>
          </w:p>
        </w:tc>
        <w:tc>
          <w:tcPr>
            <w:tcW w:w="851" w:type="dxa"/>
            <w:vAlign w:val="bottom"/>
          </w:tcPr>
          <w:p w14:paraId="2C5E5895" w14:textId="77777777" w:rsidR="0012790E" w:rsidRPr="0012790E" w:rsidRDefault="0012790E">
            <w:pPr>
              <w:pStyle w:val="Summarytabletextrightaligned"/>
              <w:rPr>
                <w:szCs w:val="16"/>
              </w:rPr>
            </w:pPr>
            <w:r w:rsidRPr="0012790E">
              <w:rPr>
                <w:szCs w:val="16"/>
              </w:rPr>
              <w:t>12.2</w:t>
            </w:r>
          </w:p>
        </w:tc>
        <w:tc>
          <w:tcPr>
            <w:tcW w:w="851" w:type="dxa"/>
            <w:vAlign w:val="bottom"/>
          </w:tcPr>
          <w:p w14:paraId="3A7914E3" w14:textId="77777777" w:rsidR="0012790E" w:rsidRPr="0012790E" w:rsidRDefault="0012790E">
            <w:pPr>
              <w:pStyle w:val="Summarytabletextrightaligned"/>
              <w:rPr>
                <w:szCs w:val="16"/>
              </w:rPr>
            </w:pPr>
            <w:r w:rsidRPr="0012790E">
              <w:rPr>
                <w:szCs w:val="16"/>
              </w:rPr>
              <w:t>10.1</w:t>
            </w:r>
          </w:p>
        </w:tc>
        <w:tc>
          <w:tcPr>
            <w:tcW w:w="851" w:type="dxa"/>
            <w:vAlign w:val="bottom"/>
          </w:tcPr>
          <w:p w14:paraId="52230A40" w14:textId="77777777" w:rsidR="0012790E" w:rsidRPr="0012790E" w:rsidRDefault="0012790E">
            <w:pPr>
              <w:pStyle w:val="Summarytabletextrightaligned"/>
              <w:rPr>
                <w:szCs w:val="16"/>
              </w:rPr>
            </w:pPr>
            <w:r w:rsidRPr="0012790E">
              <w:rPr>
                <w:szCs w:val="16"/>
              </w:rPr>
              <w:t>9.9</w:t>
            </w:r>
          </w:p>
        </w:tc>
      </w:tr>
      <w:tr w:rsidR="0012790E" w:rsidRPr="0012790E" w14:paraId="0DB70261" w14:textId="77777777">
        <w:tc>
          <w:tcPr>
            <w:tcW w:w="3470" w:type="dxa"/>
            <w:shd w:val="clear" w:color="auto" w:fill="auto"/>
            <w:vAlign w:val="bottom"/>
          </w:tcPr>
          <w:p w14:paraId="1BA54B37" w14:textId="77777777" w:rsidR="0012790E" w:rsidRPr="0012790E" w:rsidRDefault="0012790E">
            <w:pPr>
              <w:pStyle w:val="SummaryMeasureTitlewithTheme"/>
            </w:pPr>
            <w:r w:rsidRPr="0012790E">
              <w:t>Workplace Relations(b)</w:t>
            </w:r>
          </w:p>
        </w:tc>
        <w:tc>
          <w:tcPr>
            <w:tcW w:w="851" w:type="dxa"/>
            <w:vAlign w:val="bottom"/>
          </w:tcPr>
          <w:p w14:paraId="2F434609"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42E2A4EE" w14:textId="77777777" w:rsidR="0012790E" w:rsidRPr="0012790E" w:rsidRDefault="0012790E">
            <w:pPr>
              <w:pStyle w:val="Summarytabletextrightaligned"/>
              <w:rPr>
                <w:szCs w:val="16"/>
              </w:rPr>
            </w:pPr>
            <w:r w:rsidRPr="0012790E">
              <w:rPr>
                <w:szCs w:val="16"/>
              </w:rPr>
              <w:t>2.0</w:t>
            </w:r>
          </w:p>
        </w:tc>
        <w:tc>
          <w:tcPr>
            <w:tcW w:w="851" w:type="dxa"/>
            <w:vAlign w:val="bottom"/>
          </w:tcPr>
          <w:p w14:paraId="0BDE1A40"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62A1D048" w14:textId="77777777" w:rsidR="0012790E" w:rsidRPr="0012790E" w:rsidRDefault="0012790E">
            <w:pPr>
              <w:pStyle w:val="Summarytabletextrightaligned"/>
              <w:rPr>
                <w:szCs w:val="16"/>
              </w:rPr>
            </w:pPr>
            <w:r w:rsidRPr="0012790E">
              <w:rPr>
                <w:szCs w:val="16"/>
              </w:rPr>
              <w:noBreakHyphen/>
            </w:r>
          </w:p>
        </w:tc>
        <w:tc>
          <w:tcPr>
            <w:tcW w:w="851" w:type="dxa"/>
            <w:vAlign w:val="bottom"/>
          </w:tcPr>
          <w:p w14:paraId="74C03B7C" w14:textId="77777777" w:rsidR="0012790E" w:rsidRPr="0012790E" w:rsidRDefault="0012790E">
            <w:pPr>
              <w:pStyle w:val="Summarytabletextrightaligned"/>
              <w:rPr>
                <w:szCs w:val="16"/>
              </w:rPr>
            </w:pPr>
            <w:r w:rsidRPr="0012790E">
              <w:rPr>
                <w:szCs w:val="16"/>
              </w:rPr>
              <w:noBreakHyphen/>
            </w:r>
          </w:p>
        </w:tc>
      </w:tr>
      <w:tr w:rsidR="0012790E" w:rsidRPr="0012790E" w14:paraId="75E7C3C1" w14:textId="77777777">
        <w:tc>
          <w:tcPr>
            <w:tcW w:w="3470" w:type="dxa"/>
            <w:shd w:val="clear" w:color="auto" w:fill="auto"/>
            <w:vAlign w:val="bottom"/>
          </w:tcPr>
          <w:p w14:paraId="40E3004E" w14:textId="77777777" w:rsidR="0012790E" w:rsidRPr="0012790E" w:rsidRDefault="0012790E">
            <w:pPr>
              <w:pStyle w:val="SummaryAgencyTitle-BP2"/>
              <w:rPr>
                <w:iCs/>
              </w:rPr>
            </w:pPr>
            <w:r w:rsidRPr="0012790E">
              <w:rPr>
                <w:iCs/>
              </w:rPr>
              <w:t>Housing Australia</w:t>
            </w:r>
          </w:p>
        </w:tc>
        <w:tc>
          <w:tcPr>
            <w:tcW w:w="851" w:type="dxa"/>
            <w:vAlign w:val="bottom"/>
          </w:tcPr>
          <w:p w14:paraId="5F8F8B99" w14:textId="77777777" w:rsidR="0012790E" w:rsidRPr="0012790E" w:rsidRDefault="0012790E">
            <w:pPr>
              <w:pStyle w:val="SummaryAgencyTitle-BP2"/>
              <w:rPr>
                <w:iCs/>
              </w:rPr>
            </w:pPr>
          </w:p>
        </w:tc>
        <w:tc>
          <w:tcPr>
            <w:tcW w:w="851" w:type="dxa"/>
            <w:shd w:val="clear" w:color="auto" w:fill="E6F2FF"/>
            <w:vAlign w:val="bottom"/>
          </w:tcPr>
          <w:p w14:paraId="20EB4F91" w14:textId="77777777" w:rsidR="0012790E" w:rsidRPr="0012790E" w:rsidRDefault="0012790E">
            <w:pPr>
              <w:pStyle w:val="SummaryAgencyTitle-BP2"/>
              <w:rPr>
                <w:iCs/>
              </w:rPr>
            </w:pPr>
          </w:p>
        </w:tc>
        <w:tc>
          <w:tcPr>
            <w:tcW w:w="851" w:type="dxa"/>
            <w:vAlign w:val="bottom"/>
          </w:tcPr>
          <w:p w14:paraId="7E581F20" w14:textId="77777777" w:rsidR="0012790E" w:rsidRPr="0012790E" w:rsidRDefault="0012790E">
            <w:pPr>
              <w:pStyle w:val="SummaryAgencyTitle-BP2"/>
              <w:rPr>
                <w:iCs/>
              </w:rPr>
            </w:pPr>
          </w:p>
        </w:tc>
        <w:tc>
          <w:tcPr>
            <w:tcW w:w="851" w:type="dxa"/>
            <w:vAlign w:val="bottom"/>
          </w:tcPr>
          <w:p w14:paraId="15AF0A56" w14:textId="77777777" w:rsidR="0012790E" w:rsidRPr="0012790E" w:rsidRDefault="0012790E">
            <w:pPr>
              <w:pStyle w:val="SummaryAgencyTitle-BP2"/>
              <w:rPr>
                <w:iCs/>
              </w:rPr>
            </w:pPr>
          </w:p>
        </w:tc>
        <w:tc>
          <w:tcPr>
            <w:tcW w:w="851" w:type="dxa"/>
            <w:vAlign w:val="bottom"/>
          </w:tcPr>
          <w:p w14:paraId="772C3485" w14:textId="77777777" w:rsidR="0012790E" w:rsidRPr="0012790E" w:rsidRDefault="0012790E">
            <w:pPr>
              <w:pStyle w:val="SummaryAgencyTitle-BP2"/>
              <w:rPr>
                <w:iCs/>
              </w:rPr>
            </w:pPr>
          </w:p>
        </w:tc>
      </w:tr>
      <w:tr w:rsidR="0012790E" w:rsidRPr="0012790E" w14:paraId="1AEB2EC2" w14:textId="77777777">
        <w:tc>
          <w:tcPr>
            <w:tcW w:w="3470" w:type="dxa"/>
            <w:shd w:val="clear" w:color="auto" w:fill="auto"/>
            <w:vAlign w:val="bottom"/>
          </w:tcPr>
          <w:p w14:paraId="574DC39D" w14:textId="77777777" w:rsidR="0012790E" w:rsidRPr="0012790E" w:rsidRDefault="0012790E">
            <w:pPr>
              <w:pStyle w:val="SummaryMeasureTitlewithTheme"/>
            </w:pPr>
            <w:r w:rsidRPr="0012790E">
              <w:t>Housing Support(b)</w:t>
            </w:r>
          </w:p>
        </w:tc>
        <w:tc>
          <w:tcPr>
            <w:tcW w:w="851" w:type="dxa"/>
            <w:vAlign w:val="bottom"/>
          </w:tcPr>
          <w:p w14:paraId="5D564BA7" w14:textId="77777777" w:rsidR="0012790E" w:rsidRPr="0012790E" w:rsidRDefault="0012790E">
            <w:pPr>
              <w:pStyle w:val="Summarytabletextrightaligned"/>
              <w:rPr>
                <w:szCs w:val="16"/>
              </w:rPr>
            </w:pPr>
            <w:r w:rsidRPr="0012790E">
              <w:rPr>
                <w:szCs w:val="16"/>
              </w:rPr>
              <w:noBreakHyphen/>
            </w:r>
          </w:p>
        </w:tc>
        <w:tc>
          <w:tcPr>
            <w:tcW w:w="851" w:type="dxa"/>
            <w:shd w:val="clear" w:color="auto" w:fill="E6F2FF"/>
            <w:vAlign w:val="bottom"/>
          </w:tcPr>
          <w:p w14:paraId="52A13BE7" w14:textId="77777777" w:rsidR="0012790E" w:rsidRPr="0012790E" w:rsidRDefault="0012790E">
            <w:pPr>
              <w:pStyle w:val="Summarytabletextrightaligned"/>
              <w:rPr>
                <w:szCs w:val="16"/>
              </w:rPr>
            </w:pPr>
            <w:r w:rsidRPr="0012790E">
              <w:rPr>
                <w:szCs w:val="16"/>
              </w:rPr>
              <w:t>0.5</w:t>
            </w:r>
          </w:p>
        </w:tc>
        <w:tc>
          <w:tcPr>
            <w:tcW w:w="851" w:type="dxa"/>
            <w:vAlign w:val="bottom"/>
          </w:tcPr>
          <w:p w14:paraId="0E83FEE3" w14:textId="77777777" w:rsidR="0012790E" w:rsidRPr="0012790E" w:rsidRDefault="0012790E">
            <w:pPr>
              <w:pStyle w:val="Summarytabletextrightaligned"/>
              <w:rPr>
                <w:szCs w:val="16"/>
              </w:rPr>
            </w:pPr>
            <w:r w:rsidRPr="0012790E">
              <w:rPr>
                <w:szCs w:val="16"/>
              </w:rPr>
              <w:t>0.5</w:t>
            </w:r>
          </w:p>
        </w:tc>
        <w:tc>
          <w:tcPr>
            <w:tcW w:w="851" w:type="dxa"/>
            <w:vAlign w:val="bottom"/>
          </w:tcPr>
          <w:p w14:paraId="78D60881" w14:textId="77777777" w:rsidR="0012790E" w:rsidRPr="0012790E" w:rsidRDefault="0012790E">
            <w:pPr>
              <w:pStyle w:val="Summarytabletextrightaligned"/>
              <w:rPr>
                <w:szCs w:val="16"/>
              </w:rPr>
            </w:pPr>
            <w:r w:rsidRPr="0012790E">
              <w:rPr>
                <w:szCs w:val="16"/>
              </w:rPr>
              <w:t>0.5</w:t>
            </w:r>
          </w:p>
        </w:tc>
        <w:tc>
          <w:tcPr>
            <w:tcW w:w="851" w:type="dxa"/>
            <w:vAlign w:val="bottom"/>
          </w:tcPr>
          <w:p w14:paraId="461125FD" w14:textId="77777777" w:rsidR="0012790E" w:rsidRPr="0012790E" w:rsidRDefault="0012790E">
            <w:pPr>
              <w:pStyle w:val="Summarytabletextrightaligned"/>
              <w:rPr>
                <w:szCs w:val="16"/>
              </w:rPr>
            </w:pPr>
            <w:r w:rsidRPr="0012790E">
              <w:rPr>
                <w:szCs w:val="16"/>
              </w:rPr>
              <w:noBreakHyphen/>
            </w:r>
          </w:p>
        </w:tc>
      </w:tr>
      <w:tr w:rsidR="0012790E" w:rsidRPr="0012790E" w14:paraId="4F9CB762" w14:textId="77777777">
        <w:tc>
          <w:tcPr>
            <w:tcW w:w="3470" w:type="dxa"/>
            <w:shd w:val="clear" w:color="auto" w:fill="auto"/>
            <w:vAlign w:val="bottom"/>
          </w:tcPr>
          <w:p w14:paraId="4B6D85C4" w14:textId="77777777" w:rsidR="0012790E" w:rsidRPr="0012790E" w:rsidRDefault="0012790E">
            <w:pPr>
              <w:pStyle w:val="SummaryAgencyTitle-BP2"/>
              <w:rPr>
                <w:iCs/>
              </w:rPr>
            </w:pPr>
            <w:r w:rsidRPr="0012790E">
              <w:rPr>
                <w:iCs/>
              </w:rPr>
              <w:t>Inspector</w:t>
            </w:r>
            <w:r w:rsidRPr="0012790E">
              <w:rPr>
                <w:iCs/>
              </w:rPr>
              <w:noBreakHyphen/>
              <w:t>General of Taxation</w:t>
            </w:r>
          </w:p>
        </w:tc>
        <w:tc>
          <w:tcPr>
            <w:tcW w:w="851" w:type="dxa"/>
            <w:vAlign w:val="bottom"/>
          </w:tcPr>
          <w:p w14:paraId="43B1A05F" w14:textId="77777777" w:rsidR="0012790E" w:rsidRPr="0012790E" w:rsidRDefault="0012790E">
            <w:pPr>
              <w:pStyle w:val="SummaryAgencyTitle-BP2"/>
              <w:rPr>
                <w:iCs/>
              </w:rPr>
            </w:pPr>
          </w:p>
        </w:tc>
        <w:tc>
          <w:tcPr>
            <w:tcW w:w="851" w:type="dxa"/>
            <w:shd w:val="clear" w:color="auto" w:fill="E6F2FF"/>
            <w:vAlign w:val="bottom"/>
          </w:tcPr>
          <w:p w14:paraId="10623322" w14:textId="77777777" w:rsidR="0012790E" w:rsidRPr="0012790E" w:rsidRDefault="0012790E">
            <w:pPr>
              <w:pStyle w:val="SummaryAgencyTitle-BP2"/>
              <w:rPr>
                <w:iCs/>
              </w:rPr>
            </w:pPr>
          </w:p>
        </w:tc>
        <w:tc>
          <w:tcPr>
            <w:tcW w:w="851" w:type="dxa"/>
            <w:vAlign w:val="bottom"/>
          </w:tcPr>
          <w:p w14:paraId="225051EE" w14:textId="77777777" w:rsidR="0012790E" w:rsidRPr="0012790E" w:rsidRDefault="0012790E">
            <w:pPr>
              <w:pStyle w:val="SummaryAgencyTitle-BP2"/>
              <w:rPr>
                <w:iCs/>
              </w:rPr>
            </w:pPr>
          </w:p>
        </w:tc>
        <w:tc>
          <w:tcPr>
            <w:tcW w:w="851" w:type="dxa"/>
            <w:vAlign w:val="bottom"/>
          </w:tcPr>
          <w:p w14:paraId="7E63E23C" w14:textId="77777777" w:rsidR="0012790E" w:rsidRPr="0012790E" w:rsidRDefault="0012790E">
            <w:pPr>
              <w:pStyle w:val="SummaryAgencyTitle-BP2"/>
              <w:rPr>
                <w:iCs/>
              </w:rPr>
            </w:pPr>
          </w:p>
        </w:tc>
        <w:tc>
          <w:tcPr>
            <w:tcW w:w="851" w:type="dxa"/>
            <w:vAlign w:val="bottom"/>
          </w:tcPr>
          <w:p w14:paraId="58EB22A3" w14:textId="77777777" w:rsidR="0012790E" w:rsidRPr="0012790E" w:rsidRDefault="0012790E">
            <w:pPr>
              <w:pStyle w:val="SummaryAgencyTitle-BP2"/>
              <w:rPr>
                <w:iCs/>
              </w:rPr>
            </w:pPr>
          </w:p>
        </w:tc>
      </w:tr>
      <w:tr w:rsidR="0012790E" w:rsidRPr="0012790E" w14:paraId="4B026A88" w14:textId="77777777">
        <w:tc>
          <w:tcPr>
            <w:tcW w:w="3470" w:type="dxa"/>
            <w:shd w:val="clear" w:color="auto" w:fill="auto"/>
            <w:vAlign w:val="bottom"/>
          </w:tcPr>
          <w:p w14:paraId="4A340138" w14:textId="77777777" w:rsidR="0012790E" w:rsidRPr="0012790E" w:rsidRDefault="0012790E">
            <w:pPr>
              <w:pStyle w:val="SummaryMeasureTitlewithTheme"/>
            </w:pPr>
            <w:r w:rsidRPr="0012790E">
              <w:t>Treasury Portfolio – additional resourcing(b)</w:t>
            </w:r>
          </w:p>
        </w:tc>
        <w:tc>
          <w:tcPr>
            <w:tcW w:w="851" w:type="dxa"/>
            <w:tcBorders>
              <w:bottom w:val="single" w:sz="4" w:space="0" w:color="293F5B"/>
            </w:tcBorders>
            <w:vAlign w:val="bottom"/>
          </w:tcPr>
          <w:p w14:paraId="481F9A49"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shd w:val="clear" w:color="auto" w:fill="E6F2FF"/>
            <w:vAlign w:val="bottom"/>
          </w:tcPr>
          <w:p w14:paraId="7F6EAD4B" w14:textId="77777777" w:rsidR="0012790E" w:rsidRPr="0012790E" w:rsidRDefault="0012790E">
            <w:pPr>
              <w:pStyle w:val="Summarytabletextrightaligned"/>
              <w:rPr>
                <w:szCs w:val="16"/>
              </w:rPr>
            </w:pPr>
            <w:r w:rsidRPr="0012790E">
              <w:rPr>
                <w:szCs w:val="16"/>
              </w:rPr>
              <w:t>0.5</w:t>
            </w:r>
          </w:p>
        </w:tc>
        <w:tc>
          <w:tcPr>
            <w:tcW w:w="851" w:type="dxa"/>
            <w:tcBorders>
              <w:bottom w:val="single" w:sz="4" w:space="0" w:color="293F5B"/>
            </w:tcBorders>
            <w:vAlign w:val="bottom"/>
          </w:tcPr>
          <w:p w14:paraId="53FB2116"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64313928" w14:textId="77777777" w:rsidR="0012790E" w:rsidRPr="0012790E" w:rsidRDefault="0012790E">
            <w:pPr>
              <w:pStyle w:val="Summarytabletextrightaligned"/>
              <w:rPr>
                <w:szCs w:val="16"/>
              </w:rPr>
            </w:pPr>
            <w:r w:rsidRPr="0012790E">
              <w:rPr>
                <w:szCs w:val="16"/>
              </w:rPr>
              <w:noBreakHyphen/>
            </w:r>
          </w:p>
        </w:tc>
        <w:tc>
          <w:tcPr>
            <w:tcW w:w="851" w:type="dxa"/>
            <w:tcBorders>
              <w:bottom w:val="single" w:sz="4" w:space="0" w:color="293F5B"/>
            </w:tcBorders>
            <w:vAlign w:val="bottom"/>
          </w:tcPr>
          <w:p w14:paraId="4F6AB083" w14:textId="77777777" w:rsidR="0012790E" w:rsidRPr="0012790E" w:rsidRDefault="0012790E">
            <w:pPr>
              <w:pStyle w:val="Summarytabletextrightaligned"/>
              <w:rPr>
                <w:szCs w:val="16"/>
              </w:rPr>
            </w:pPr>
            <w:r w:rsidRPr="0012790E">
              <w:rPr>
                <w:szCs w:val="16"/>
              </w:rPr>
              <w:noBreakHyphen/>
            </w:r>
          </w:p>
        </w:tc>
      </w:tr>
      <w:tr w:rsidR="0012790E" w:rsidRPr="0012790E" w14:paraId="10939419" w14:textId="77777777">
        <w:tc>
          <w:tcPr>
            <w:tcW w:w="3470" w:type="dxa"/>
            <w:shd w:val="clear" w:color="auto" w:fill="auto"/>
            <w:vAlign w:val="bottom"/>
          </w:tcPr>
          <w:p w14:paraId="36BDAE30" w14:textId="77777777" w:rsidR="0012790E" w:rsidRPr="0012790E" w:rsidRDefault="0012790E">
            <w:pPr>
              <w:pStyle w:val="Summarytabletextleftalignedbold"/>
            </w:pPr>
            <w:r w:rsidRPr="0012790E">
              <w:t>Portfolio total</w:t>
            </w:r>
          </w:p>
        </w:tc>
        <w:tc>
          <w:tcPr>
            <w:tcW w:w="851" w:type="dxa"/>
            <w:tcBorders>
              <w:top w:val="single" w:sz="4" w:space="0" w:color="293F5B"/>
              <w:bottom w:val="single" w:sz="4" w:space="0" w:color="293F5B"/>
            </w:tcBorders>
            <w:vAlign w:val="bottom"/>
          </w:tcPr>
          <w:p w14:paraId="25D0258E" w14:textId="77777777" w:rsidR="0012790E" w:rsidRPr="0012790E" w:rsidRDefault="0012790E">
            <w:pPr>
              <w:pStyle w:val="Summarytabletextrightalignedbold"/>
              <w:rPr>
                <w:bCs/>
                <w:szCs w:val="16"/>
              </w:rPr>
            </w:pPr>
            <w:r w:rsidRPr="0012790E">
              <w:rPr>
                <w:bCs/>
                <w:szCs w:val="16"/>
              </w:rPr>
              <w:t>933.1</w:t>
            </w:r>
          </w:p>
        </w:tc>
        <w:tc>
          <w:tcPr>
            <w:tcW w:w="851" w:type="dxa"/>
            <w:tcBorders>
              <w:top w:val="single" w:sz="4" w:space="0" w:color="293F5B"/>
              <w:bottom w:val="single" w:sz="4" w:space="0" w:color="293F5B"/>
            </w:tcBorders>
            <w:shd w:val="clear" w:color="auto" w:fill="E6F2FF"/>
            <w:vAlign w:val="bottom"/>
          </w:tcPr>
          <w:p w14:paraId="3D3D8251" w14:textId="270285AD" w:rsidR="0012790E" w:rsidRPr="0012790E" w:rsidRDefault="00BE3475">
            <w:pPr>
              <w:pStyle w:val="Summarytabletextrightalignedbold"/>
              <w:rPr>
                <w:bCs/>
                <w:szCs w:val="16"/>
              </w:rPr>
            </w:pPr>
            <w:r>
              <w:rPr>
                <w:bCs/>
                <w:szCs w:val="16"/>
              </w:rPr>
              <w:t>4,</w:t>
            </w:r>
            <w:r w:rsidR="003C3DC6">
              <w:rPr>
                <w:bCs/>
                <w:szCs w:val="16"/>
              </w:rPr>
              <w:t>288</w:t>
            </w:r>
            <w:r w:rsidR="0012035B">
              <w:rPr>
                <w:bCs/>
                <w:szCs w:val="16"/>
              </w:rPr>
              <w:t>.4</w:t>
            </w:r>
          </w:p>
        </w:tc>
        <w:tc>
          <w:tcPr>
            <w:tcW w:w="851" w:type="dxa"/>
            <w:tcBorders>
              <w:top w:val="single" w:sz="4" w:space="0" w:color="293F5B"/>
              <w:bottom w:val="single" w:sz="4" w:space="0" w:color="293F5B"/>
            </w:tcBorders>
            <w:vAlign w:val="bottom"/>
          </w:tcPr>
          <w:p w14:paraId="7BBD2D12" w14:textId="6658768F" w:rsidR="0012790E" w:rsidRPr="0012790E" w:rsidRDefault="00BE3475">
            <w:pPr>
              <w:pStyle w:val="Summarytabletextrightalignedbold"/>
              <w:rPr>
                <w:bCs/>
                <w:szCs w:val="16"/>
              </w:rPr>
            </w:pPr>
            <w:r>
              <w:rPr>
                <w:bCs/>
                <w:szCs w:val="16"/>
              </w:rPr>
              <w:t>2,</w:t>
            </w:r>
            <w:r w:rsidR="009451C7">
              <w:rPr>
                <w:bCs/>
                <w:szCs w:val="16"/>
              </w:rPr>
              <w:t>503.6</w:t>
            </w:r>
          </w:p>
        </w:tc>
        <w:tc>
          <w:tcPr>
            <w:tcW w:w="851" w:type="dxa"/>
            <w:tcBorders>
              <w:top w:val="single" w:sz="4" w:space="0" w:color="293F5B"/>
              <w:bottom w:val="single" w:sz="4" w:space="0" w:color="293F5B"/>
            </w:tcBorders>
            <w:vAlign w:val="bottom"/>
          </w:tcPr>
          <w:p w14:paraId="23770EF7" w14:textId="46CBEDBB" w:rsidR="0012790E" w:rsidRPr="0012790E" w:rsidRDefault="00BE3475">
            <w:pPr>
              <w:pStyle w:val="Summarytabletextrightalignedbold"/>
              <w:rPr>
                <w:bCs/>
                <w:szCs w:val="16"/>
              </w:rPr>
            </w:pPr>
            <w:r>
              <w:rPr>
                <w:bCs/>
                <w:szCs w:val="16"/>
              </w:rPr>
              <w:t>2,</w:t>
            </w:r>
            <w:r w:rsidR="009451C7">
              <w:rPr>
                <w:bCs/>
                <w:szCs w:val="16"/>
              </w:rPr>
              <w:t>413.9</w:t>
            </w:r>
          </w:p>
        </w:tc>
        <w:tc>
          <w:tcPr>
            <w:tcW w:w="851" w:type="dxa"/>
            <w:tcBorders>
              <w:top w:val="single" w:sz="4" w:space="0" w:color="293F5B"/>
              <w:bottom w:val="single" w:sz="4" w:space="0" w:color="293F5B"/>
            </w:tcBorders>
            <w:vAlign w:val="bottom"/>
          </w:tcPr>
          <w:p w14:paraId="2985E449" w14:textId="7E92F3DC" w:rsidR="0012790E" w:rsidRPr="0012790E" w:rsidRDefault="00BE3475">
            <w:pPr>
              <w:pStyle w:val="Summarytabletextrightalignedbold"/>
              <w:rPr>
                <w:bCs/>
                <w:szCs w:val="16"/>
              </w:rPr>
            </w:pPr>
            <w:r>
              <w:rPr>
                <w:bCs/>
                <w:szCs w:val="16"/>
              </w:rPr>
              <w:t>2,</w:t>
            </w:r>
            <w:r w:rsidR="009451C7">
              <w:rPr>
                <w:bCs/>
                <w:szCs w:val="16"/>
              </w:rPr>
              <w:t>813.0</w:t>
            </w:r>
          </w:p>
        </w:tc>
      </w:tr>
      <w:tr w:rsidR="0012790E" w:rsidRPr="0012790E" w14:paraId="0287047E" w14:textId="77777777" w:rsidTr="00F319D9">
        <w:tc>
          <w:tcPr>
            <w:tcW w:w="3470" w:type="dxa"/>
            <w:shd w:val="clear" w:color="auto" w:fill="auto"/>
            <w:vAlign w:val="bottom"/>
          </w:tcPr>
          <w:p w14:paraId="08A532D1" w14:textId="66A243EB" w:rsidR="0012790E" w:rsidRPr="0012790E" w:rsidRDefault="0012790E">
            <w:pPr>
              <w:pStyle w:val="Summarytabletextleftalignedbold"/>
            </w:pPr>
            <w:r w:rsidRPr="0012790E">
              <w:t>Decisions taken but not yet announced</w:t>
            </w:r>
            <w:r w:rsidR="009E7E61">
              <w:t xml:space="preserve"> and not for publication</w:t>
            </w:r>
          </w:p>
        </w:tc>
        <w:tc>
          <w:tcPr>
            <w:tcW w:w="851" w:type="dxa"/>
            <w:tcBorders>
              <w:top w:val="single" w:sz="4" w:space="0" w:color="293F5B"/>
              <w:bottom w:val="single" w:sz="4" w:space="0" w:color="293F5B"/>
            </w:tcBorders>
          </w:tcPr>
          <w:p w14:paraId="449B2416" w14:textId="40035B8C" w:rsidR="0012790E" w:rsidRPr="0012790E" w:rsidRDefault="007B7B36">
            <w:pPr>
              <w:pStyle w:val="Summarytabletextrightalignedbold"/>
              <w:rPr>
                <w:bCs/>
                <w:szCs w:val="16"/>
              </w:rPr>
            </w:pPr>
            <w:r>
              <w:rPr>
                <w:bCs/>
                <w:szCs w:val="16"/>
              </w:rPr>
              <w:t>-958.8</w:t>
            </w:r>
          </w:p>
        </w:tc>
        <w:tc>
          <w:tcPr>
            <w:tcW w:w="851" w:type="dxa"/>
            <w:tcBorders>
              <w:top w:val="single" w:sz="4" w:space="0" w:color="293F5B"/>
              <w:bottom w:val="single" w:sz="4" w:space="0" w:color="293F5B"/>
            </w:tcBorders>
            <w:shd w:val="clear" w:color="auto" w:fill="E6F2FF"/>
          </w:tcPr>
          <w:p w14:paraId="0EC4479F" w14:textId="1ED17DC4" w:rsidR="0012790E" w:rsidRPr="0012790E" w:rsidRDefault="008C33FA">
            <w:pPr>
              <w:pStyle w:val="Summarytabletextrightalignedbold"/>
              <w:rPr>
                <w:bCs/>
                <w:szCs w:val="16"/>
              </w:rPr>
            </w:pPr>
            <w:r>
              <w:rPr>
                <w:bCs/>
                <w:szCs w:val="16"/>
              </w:rPr>
              <w:t>1</w:t>
            </w:r>
            <w:r w:rsidR="0075635E">
              <w:rPr>
                <w:bCs/>
                <w:szCs w:val="16"/>
              </w:rPr>
              <w:t>,124.5</w:t>
            </w:r>
          </w:p>
        </w:tc>
        <w:tc>
          <w:tcPr>
            <w:tcW w:w="851" w:type="dxa"/>
            <w:tcBorders>
              <w:top w:val="single" w:sz="4" w:space="0" w:color="293F5B"/>
              <w:bottom w:val="single" w:sz="4" w:space="0" w:color="293F5B"/>
            </w:tcBorders>
          </w:tcPr>
          <w:p w14:paraId="1AFC5A42" w14:textId="52A583A8" w:rsidR="0012790E" w:rsidRPr="0012790E" w:rsidRDefault="00CA44BA">
            <w:pPr>
              <w:pStyle w:val="Summarytabletextrightalignedbold"/>
              <w:rPr>
                <w:bCs/>
                <w:szCs w:val="16"/>
              </w:rPr>
            </w:pPr>
            <w:r>
              <w:t>3,222.7</w:t>
            </w:r>
          </w:p>
        </w:tc>
        <w:tc>
          <w:tcPr>
            <w:tcW w:w="851" w:type="dxa"/>
            <w:tcBorders>
              <w:top w:val="single" w:sz="4" w:space="0" w:color="293F5B"/>
              <w:bottom w:val="single" w:sz="4" w:space="0" w:color="293F5B"/>
            </w:tcBorders>
          </w:tcPr>
          <w:p w14:paraId="5E1F51FE" w14:textId="1E947DD5" w:rsidR="0012790E" w:rsidRPr="0012790E" w:rsidRDefault="00FF158F">
            <w:pPr>
              <w:pStyle w:val="Summarytabletextrightalignedbold"/>
              <w:rPr>
                <w:bCs/>
                <w:szCs w:val="16"/>
              </w:rPr>
            </w:pPr>
            <w:r>
              <w:t>2,252.3</w:t>
            </w:r>
          </w:p>
        </w:tc>
        <w:tc>
          <w:tcPr>
            <w:tcW w:w="851" w:type="dxa"/>
            <w:tcBorders>
              <w:top w:val="single" w:sz="4" w:space="0" w:color="293F5B"/>
              <w:bottom w:val="single" w:sz="4" w:space="0" w:color="293F5B"/>
            </w:tcBorders>
          </w:tcPr>
          <w:p w14:paraId="72996A11" w14:textId="5E6020AF" w:rsidR="0012790E" w:rsidRPr="0012790E" w:rsidRDefault="006253A9">
            <w:pPr>
              <w:pStyle w:val="Summarytabletextrightalignedbold"/>
              <w:rPr>
                <w:bCs/>
                <w:szCs w:val="16"/>
              </w:rPr>
            </w:pPr>
            <w:r>
              <w:t>72.0</w:t>
            </w:r>
          </w:p>
        </w:tc>
      </w:tr>
      <w:tr w:rsidR="0012790E" w:rsidRPr="0012790E" w14:paraId="2FD626F3" w14:textId="77777777" w:rsidTr="00F319D9">
        <w:tc>
          <w:tcPr>
            <w:tcW w:w="3470" w:type="dxa"/>
            <w:tcBorders>
              <w:bottom w:val="single" w:sz="4" w:space="0" w:color="293F5B"/>
            </w:tcBorders>
            <w:shd w:val="clear" w:color="auto" w:fill="auto"/>
            <w:vAlign w:val="bottom"/>
          </w:tcPr>
          <w:p w14:paraId="10C4020F" w14:textId="530A8975" w:rsidR="0012790E" w:rsidRPr="0012790E" w:rsidRDefault="0012790E">
            <w:pPr>
              <w:pStyle w:val="Summarytabletextleftalignedbold"/>
            </w:pPr>
            <w:r w:rsidRPr="0012790E">
              <w:t>Total impact of payment measures(</w:t>
            </w:r>
            <w:r w:rsidR="00FE1184">
              <w:t>c</w:t>
            </w:r>
            <w:r w:rsidRPr="0012790E">
              <w:t>)</w:t>
            </w:r>
          </w:p>
        </w:tc>
        <w:tc>
          <w:tcPr>
            <w:tcW w:w="851" w:type="dxa"/>
            <w:tcBorders>
              <w:top w:val="single" w:sz="4" w:space="0" w:color="293F5B"/>
              <w:bottom w:val="single" w:sz="4" w:space="0" w:color="293F5B"/>
            </w:tcBorders>
          </w:tcPr>
          <w:p w14:paraId="4A8FBA57" w14:textId="56483534" w:rsidR="0012790E" w:rsidRPr="0012790E" w:rsidRDefault="009F2D55">
            <w:pPr>
              <w:pStyle w:val="Summarytabletextrightalignedbold"/>
              <w:rPr>
                <w:bCs/>
                <w:szCs w:val="16"/>
              </w:rPr>
            </w:pPr>
            <w:r w:rsidRPr="006A0132">
              <w:t xml:space="preserve"> 298.2 </w:t>
            </w:r>
          </w:p>
        </w:tc>
        <w:tc>
          <w:tcPr>
            <w:tcW w:w="851" w:type="dxa"/>
            <w:tcBorders>
              <w:top w:val="single" w:sz="4" w:space="0" w:color="293F5B"/>
              <w:bottom w:val="single" w:sz="4" w:space="0" w:color="293F5B"/>
            </w:tcBorders>
            <w:shd w:val="clear" w:color="auto" w:fill="E6F2FF"/>
          </w:tcPr>
          <w:p w14:paraId="06EC71A1" w14:textId="2B2DF4B8" w:rsidR="0012790E" w:rsidRPr="0012790E" w:rsidRDefault="009F2D55">
            <w:pPr>
              <w:pStyle w:val="Summarytabletextrightalignedbold"/>
              <w:rPr>
                <w:bCs/>
                <w:szCs w:val="16"/>
              </w:rPr>
            </w:pPr>
            <w:r w:rsidRPr="006A0132">
              <w:t xml:space="preserve"> 11,724.4 </w:t>
            </w:r>
          </w:p>
        </w:tc>
        <w:tc>
          <w:tcPr>
            <w:tcW w:w="851" w:type="dxa"/>
            <w:tcBorders>
              <w:top w:val="single" w:sz="4" w:space="0" w:color="293F5B"/>
              <w:bottom w:val="single" w:sz="4" w:space="0" w:color="293F5B"/>
            </w:tcBorders>
          </w:tcPr>
          <w:p w14:paraId="37CFCEAF" w14:textId="1D11EEBE" w:rsidR="0012790E" w:rsidRPr="0012790E" w:rsidRDefault="009F2D55">
            <w:pPr>
              <w:pStyle w:val="Summarytabletextrightalignedbold"/>
              <w:rPr>
                <w:bCs/>
                <w:szCs w:val="16"/>
              </w:rPr>
            </w:pPr>
            <w:r w:rsidRPr="006A0132">
              <w:t xml:space="preserve"> 9,304.1 </w:t>
            </w:r>
          </w:p>
        </w:tc>
        <w:tc>
          <w:tcPr>
            <w:tcW w:w="851" w:type="dxa"/>
            <w:tcBorders>
              <w:top w:val="single" w:sz="4" w:space="0" w:color="293F5B"/>
              <w:bottom w:val="single" w:sz="4" w:space="0" w:color="293F5B"/>
            </w:tcBorders>
          </w:tcPr>
          <w:p w14:paraId="3A38D4F5" w14:textId="5400B5D4" w:rsidR="0012790E" w:rsidRPr="0012790E" w:rsidRDefault="009F2D55">
            <w:pPr>
              <w:pStyle w:val="Summarytabletextrightalignedbold"/>
              <w:rPr>
                <w:bCs/>
                <w:szCs w:val="16"/>
              </w:rPr>
            </w:pPr>
            <w:r w:rsidRPr="006A0132">
              <w:t xml:space="preserve"> 5,242.6 </w:t>
            </w:r>
          </w:p>
        </w:tc>
        <w:tc>
          <w:tcPr>
            <w:tcW w:w="851" w:type="dxa"/>
            <w:tcBorders>
              <w:top w:val="single" w:sz="4" w:space="0" w:color="293F5B"/>
              <w:bottom w:val="single" w:sz="4" w:space="0" w:color="293F5B"/>
            </w:tcBorders>
          </w:tcPr>
          <w:p w14:paraId="314E9C7D" w14:textId="3A4C78CE" w:rsidR="0012790E" w:rsidRPr="0012790E" w:rsidRDefault="009F2D55">
            <w:pPr>
              <w:pStyle w:val="Summarytabletextrightalignedbold"/>
              <w:rPr>
                <w:bCs/>
                <w:szCs w:val="16"/>
              </w:rPr>
            </w:pPr>
            <w:r w:rsidRPr="006A0132">
              <w:t xml:space="preserve"> 5,933.9 </w:t>
            </w:r>
          </w:p>
        </w:tc>
      </w:tr>
    </w:tbl>
    <w:p w14:paraId="45A11351" w14:textId="77777777" w:rsidR="0012790E" w:rsidRPr="0012790E" w:rsidRDefault="0012790E" w:rsidP="0012790E">
      <w:pPr>
        <w:pStyle w:val="ChartandTableFootnote"/>
      </w:pPr>
    </w:p>
    <w:tbl>
      <w:tblPr>
        <w:tblW w:w="7652" w:type="dxa"/>
        <w:tblLayout w:type="fixed"/>
        <w:tblCellMar>
          <w:left w:w="0" w:type="dxa"/>
        </w:tblCellMar>
        <w:tblLook w:val="0000" w:firstRow="0" w:lastRow="0" w:firstColumn="0" w:lastColumn="0" w:noHBand="0" w:noVBand="0"/>
      </w:tblPr>
      <w:tblGrid>
        <w:gridCol w:w="369"/>
        <w:gridCol w:w="7283"/>
      </w:tblGrid>
      <w:tr w:rsidR="0012790E" w:rsidRPr="0012790E" w14:paraId="13F9096F" w14:textId="77777777" w:rsidTr="000B2F0D">
        <w:tc>
          <w:tcPr>
            <w:tcW w:w="369" w:type="dxa"/>
          </w:tcPr>
          <w:p w14:paraId="4F6ED880" w14:textId="77777777" w:rsidR="0012790E" w:rsidRPr="0012790E" w:rsidRDefault="0012790E">
            <w:pPr>
              <w:pStyle w:val="ChartandTableFootnote"/>
            </w:pPr>
            <w:r w:rsidRPr="0012790E">
              <w:t>*</w:t>
            </w:r>
          </w:p>
        </w:tc>
        <w:tc>
          <w:tcPr>
            <w:tcW w:w="7283" w:type="dxa"/>
          </w:tcPr>
          <w:p w14:paraId="6A748AAD" w14:textId="77777777" w:rsidR="0012790E" w:rsidRPr="0012790E" w:rsidRDefault="0012790E">
            <w:pPr>
              <w:pStyle w:val="ChartandTableFootnote"/>
            </w:pPr>
            <w:r w:rsidRPr="0012790E">
              <w:t>The nature of the measure is such that a reliable estimate cannot be provided.</w:t>
            </w:r>
          </w:p>
        </w:tc>
      </w:tr>
      <w:tr w:rsidR="0012790E" w:rsidRPr="0012790E" w14:paraId="5A282FA5" w14:textId="77777777" w:rsidTr="000B2F0D">
        <w:tc>
          <w:tcPr>
            <w:tcW w:w="369" w:type="dxa"/>
          </w:tcPr>
          <w:p w14:paraId="53EBA118" w14:textId="77777777" w:rsidR="0012790E" w:rsidRPr="0012790E" w:rsidRDefault="0012790E">
            <w:pPr>
              <w:pStyle w:val="ChartandTableFootnote"/>
            </w:pPr>
            <w:r w:rsidRPr="0012790E">
              <w:t>..</w:t>
            </w:r>
          </w:p>
        </w:tc>
        <w:tc>
          <w:tcPr>
            <w:tcW w:w="7283" w:type="dxa"/>
          </w:tcPr>
          <w:p w14:paraId="118FF149" w14:textId="77777777" w:rsidR="0012790E" w:rsidRPr="0012790E" w:rsidRDefault="0012790E">
            <w:pPr>
              <w:pStyle w:val="ChartandTableFootnote"/>
            </w:pPr>
            <w:r w:rsidRPr="54937204">
              <w:rPr>
                <w:lang w:val="en-US"/>
              </w:rPr>
              <w:t>Not zero, but rounded to zero.</w:t>
            </w:r>
          </w:p>
        </w:tc>
      </w:tr>
      <w:tr w:rsidR="0012790E" w:rsidRPr="0012790E" w14:paraId="1A0CC4EF" w14:textId="77777777" w:rsidTr="000B2F0D">
        <w:tc>
          <w:tcPr>
            <w:tcW w:w="369" w:type="dxa"/>
          </w:tcPr>
          <w:p w14:paraId="52B8BAA3" w14:textId="77777777" w:rsidR="0012790E" w:rsidRPr="0012790E" w:rsidRDefault="0012790E">
            <w:pPr>
              <w:pStyle w:val="ChartandTableFootnote"/>
            </w:pPr>
            <w:r w:rsidRPr="0012790E">
              <w:noBreakHyphen/>
            </w:r>
          </w:p>
        </w:tc>
        <w:tc>
          <w:tcPr>
            <w:tcW w:w="7283" w:type="dxa"/>
          </w:tcPr>
          <w:p w14:paraId="13DCD60F" w14:textId="77777777" w:rsidR="0012790E" w:rsidRPr="0012790E" w:rsidRDefault="0012790E">
            <w:pPr>
              <w:pStyle w:val="ChartandTableFootnote"/>
            </w:pPr>
            <w:r w:rsidRPr="0012790E">
              <w:t>Nil.</w:t>
            </w:r>
          </w:p>
        </w:tc>
      </w:tr>
      <w:tr w:rsidR="0012790E" w:rsidRPr="0012790E" w14:paraId="22947E5F" w14:textId="77777777" w:rsidTr="000B2F0D">
        <w:tc>
          <w:tcPr>
            <w:tcW w:w="369" w:type="dxa"/>
          </w:tcPr>
          <w:p w14:paraId="76EBC33D" w14:textId="77777777" w:rsidR="0012790E" w:rsidRPr="0012790E" w:rsidRDefault="0012790E" w:rsidP="54937204">
            <w:pPr>
              <w:pStyle w:val="ChartandTableFootnote"/>
              <w:rPr>
                <w:lang w:val="en-US"/>
              </w:rPr>
            </w:pPr>
            <w:r w:rsidRPr="54937204">
              <w:rPr>
                <w:lang w:val="en-US"/>
              </w:rPr>
              <w:t>nfp</w:t>
            </w:r>
          </w:p>
        </w:tc>
        <w:tc>
          <w:tcPr>
            <w:tcW w:w="7283" w:type="dxa"/>
          </w:tcPr>
          <w:p w14:paraId="4DADE0C3" w14:textId="77777777" w:rsidR="0012790E" w:rsidRPr="0012790E" w:rsidRDefault="0012790E">
            <w:pPr>
              <w:pStyle w:val="ChartandTableFootnote"/>
            </w:pPr>
            <w:r w:rsidRPr="0012790E">
              <w:t>not for publication.</w:t>
            </w:r>
          </w:p>
        </w:tc>
      </w:tr>
    </w:tbl>
    <w:p w14:paraId="35C0BAB5" w14:textId="563342DB" w:rsidR="0012790E" w:rsidRPr="0012790E" w:rsidRDefault="0012790E" w:rsidP="000B2F0D">
      <w:pPr>
        <w:pStyle w:val="ChartandTableFootnoteAlpha"/>
        <w:numPr>
          <w:ilvl w:val="0"/>
          <w:numId w:val="25"/>
        </w:numPr>
      </w:pPr>
      <w:r>
        <w:tab/>
      </w:r>
      <w:r w:rsidRPr="55ACB4FA">
        <w:rPr>
          <w:lang w:val="en-US"/>
        </w:rPr>
        <w:t>A minus sign before an estimate indicates a reduction in payments, no sign before an estimate indicates increased payments.</w:t>
      </w:r>
    </w:p>
    <w:p w14:paraId="3DC7946F" w14:textId="0ADBA5DA" w:rsidR="0012790E" w:rsidRPr="0012790E" w:rsidRDefault="0012790E" w:rsidP="000B2F0D">
      <w:pPr>
        <w:pStyle w:val="ChartandTableFootnoteAlpha"/>
      </w:pPr>
      <w:r w:rsidRPr="0012790E">
        <w:rPr>
          <w:sz w:val="18"/>
          <w:szCs w:val="18"/>
        </w:rPr>
        <w:tab/>
      </w:r>
      <w:r w:rsidRPr="0012790E">
        <w:t>These measures can also be found in the receipt measures summary table.</w:t>
      </w:r>
    </w:p>
    <w:p w14:paraId="1C6D2E51" w14:textId="2C0BDE54" w:rsidR="0012790E" w:rsidRPr="0012790E" w:rsidRDefault="0012790E" w:rsidP="000B2F0D">
      <w:pPr>
        <w:pStyle w:val="ChartandTableFootnoteAlpha"/>
      </w:pPr>
      <w:bookmarkStart w:id="3" w:name="OLE_LINK1"/>
      <w:r w:rsidRPr="0012790E">
        <w:rPr>
          <w:sz w:val="18"/>
          <w:szCs w:val="18"/>
        </w:rPr>
        <w:tab/>
      </w:r>
      <w:r w:rsidRPr="0012790E">
        <w:t>Measures may not add due to rounding</w:t>
      </w:r>
      <w:bookmarkEnd w:id="3"/>
      <w:r w:rsidRPr="0012790E">
        <w:t>.</w:t>
      </w:r>
    </w:p>
    <w:p w14:paraId="69DB5E6B" w14:textId="1353AB40" w:rsidR="00C76022" w:rsidRPr="00394FE4" w:rsidRDefault="00394FE4" w:rsidP="00394FE4">
      <w:pPr>
        <w:pStyle w:val="ChartandTableFootnoteAlpha"/>
      </w:pPr>
      <w:r w:rsidRPr="00394FE4">
        <w:t>This measure will offset an increase in NDIS payments of $14.4 billion over four years from 2024</w:t>
      </w:r>
      <w:r w:rsidR="00AA646C">
        <w:t>–</w:t>
      </w:r>
      <w:r w:rsidRPr="00394FE4">
        <w:t>25 projected by the NDIS Actuary based on data up to December 2023, to moderate additional growth in NDIS expenditure to that projected at the 2023</w:t>
      </w:r>
      <w:r w:rsidR="00AA646C">
        <w:t>–</w:t>
      </w:r>
      <w:r w:rsidRPr="00394FE4">
        <w:t>24 MYEFO and ensure the NDIS remains on track to achieve the NDIS Sustainability Framework agreed by National Cabinet from 1 July 2026.</w:t>
      </w:r>
    </w:p>
    <w:p w14:paraId="2396AD7F" w14:textId="77777777" w:rsidR="0012790E" w:rsidRDefault="0012790E" w:rsidP="0012790E">
      <w:pPr>
        <w:widowControl w:val="0"/>
        <w:spacing w:line="187" w:lineRule="exact"/>
        <w:rPr>
          <w:lang w:val="en-AU"/>
        </w:rPr>
        <w:sectPr w:rsidR="0012790E" w:rsidSect="00EA5BFE">
          <w:headerReference w:type="even" r:id="rId126"/>
          <w:headerReference w:type="default" r:id="rId127"/>
          <w:footerReference w:type="even" r:id="rId128"/>
          <w:footerReference w:type="default" r:id="rId129"/>
          <w:footerReference w:type="first" r:id="rId130"/>
          <w:pgSz w:w="11905" w:h="16837"/>
          <w:pgMar w:top="2835" w:right="2098" w:bottom="2466" w:left="2098" w:header="1814" w:footer="1814" w:gutter="0"/>
          <w:cols w:space="720"/>
          <w:noEndnote/>
          <w:docGrid w:linePitch="272"/>
        </w:sectPr>
      </w:pPr>
    </w:p>
    <w:p w14:paraId="329562F2" w14:textId="14E716B9" w:rsidR="0012790E" w:rsidRPr="001C06E6" w:rsidRDefault="0012790E">
      <w:pPr>
        <w:pStyle w:val="PortfolioName"/>
      </w:pPr>
      <w:r w:rsidRPr="001C06E6">
        <w:rPr>
          <w:bCs/>
          <w:szCs w:val="26"/>
        </w:rPr>
        <w:lastRenderedPageBreak/>
        <w:t>Agriculture, Fisheries and Forestry</w:t>
      </w:r>
    </w:p>
    <w:p w14:paraId="2801AE04" w14:textId="77777777" w:rsidR="0012790E" w:rsidRPr="001C06E6" w:rsidRDefault="0012790E">
      <w:pPr>
        <w:pStyle w:val="MeasureTitle"/>
      </w:pPr>
      <w:r w:rsidRPr="001C06E6">
        <w:rPr>
          <w:bCs/>
        </w:rPr>
        <w:t>Agriculture – other priorities</w:t>
      </w:r>
    </w:p>
    <w:p w14:paraId="637D8998"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C167B15" w14:textId="77777777">
        <w:tc>
          <w:tcPr>
            <w:tcW w:w="2497" w:type="dxa"/>
            <w:tcBorders>
              <w:top w:val="single" w:sz="4" w:space="0" w:color="293F5B"/>
              <w:bottom w:val="single" w:sz="4" w:space="0" w:color="293F5B"/>
            </w:tcBorders>
            <w:shd w:val="clear" w:color="auto" w:fill="auto"/>
          </w:tcPr>
          <w:p w14:paraId="62148A9F"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916E003"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0D9C9C4C"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4C24D4D8"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C063604"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552FF3C" w14:textId="77777777" w:rsidR="0012790E" w:rsidRPr="001C06E6" w:rsidRDefault="0012790E">
            <w:pPr>
              <w:pStyle w:val="MeasureTableYearHeadings"/>
              <w:keepNext/>
            </w:pPr>
            <w:r w:rsidRPr="001C06E6">
              <w:t>2027</w:t>
            </w:r>
            <w:r>
              <w:noBreakHyphen/>
            </w:r>
            <w:r w:rsidRPr="001C06E6">
              <w:t>28</w:t>
            </w:r>
          </w:p>
        </w:tc>
      </w:tr>
      <w:tr w:rsidR="0012790E" w:rsidRPr="001C06E6" w14:paraId="567E9751" w14:textId="77777777">
        <w:tc>
          <w:tcPr>
            <w:tcW w:w="2497" w:type="dxa"/>
            <w:tcBorders>
              <w:top w:val="single" w:sz="4" w:space="0" w:color="293F5B"/>
              <w:bottom w:val="single" w:sz="4" w:space="0" w:color="293F5B"/>
            </w:tcBorders>
            <w:shd w:val="clear" w:color="auto" w:fill="auto"/>
          </w:tcPr>
          <w:p w14:paraId="357CD01D"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1048A93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E8FDA00" w14:textId="77777777" w:rsidR="0012790E" w:rsidRPr="001C06E6" w:rsidRDefault="0012790E">
            <w:pPr>
              <w:pStyle w:val="MeasureTableDataRightAlignedwith2ptsspacing"/>
              <w:keepNext/>
            </w:pPr>
            <w:r w:rsidRPr="001C06E6">
              <w:t>1.2</w:t>
            </w:r>
          </w:p>
        </w:tc>
        <w:tc>
          <w:tcPr>
            <w:tcW w:w="1045" w:type="dxa"/>
            <w:tcBorders>
              <w:top w:val="single" w:sz="4" w:space="0" w:color="293F5B"/>
              <w:bottom w:val="single" w:sz="4" w:space="0" w:color="293F5B"/>
            </w:tcBorders>
            <w:shd w:val="clear" w:color="auto" w:fill="auto"/>
          </w:tcPr>
          <w:p w14:paraId="7FAB0EFC" w14:textId="77777777" w:rsidR="0012790E" w:rsidRPr="001C06E6" w:rsidRDefault="0012790E">
            <w:pPr>
              <w:pStyle w:val="MeasureTableDataRightAlignedwith2ptsspacing"/>
              <w:keepNext/>
            </w:pPr>
            <w:r w:rsidRPr="001C06E6">
              <w:t>0.6</w:t>
            </w:r>
          </w:p>
        </w:tc>
        <w:tc>
          <w:tcPr>
            <w:tcW w:w="1045" w:type="dxa"/>
            <w:tcBorders>
              <w:top w:val="single" w:sz="4" w:space="0" w:color="293F5B"/>
              <w:bottom w:val="single" w:sz="4" w:space="0" w:color="293F5B"/>
            </w:tcBorders>
            <w:shd w:val="clear" w:color="auto" w:fill="auto"/>
          </w:tcPr>
          <w:p w14:paraId="606AC35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AD4F316" w14:textId="77777777" w:rsidR="0012790E" w:rsidRPr="001C06E6" w:rsidRDefault="0012790E">
            <w:pPr>
              <w:pStyle w:val="MeasureTableDataRightAlignedwith2ptsspacing"/>
              <w:keepNext/>
            </w:pPr>
            <w:r w:rsidRPr="001C06E6">
              <w:t>-</w:t>
            </w:r>
          </w:p>
        </w:tc>
      </w:tr>
      <w:tr w:rsidR="0012790E" w:rsidRPr="001C06E6" w14:paraId="33465597" w14:textId="77777777">
        <w:tc>
          <w:tcPr>
            <w:tcW w:w="2497" w:type="dxa"/>
            <w:tcBorders>
              <w:top w:val="single" w:sz="4" w:space="0" w:color="293F5B"/>
              <w:bottom w:val="single" w:sz="4" w:space="0" w:color="293F5B"/>
            </w:tcBorders>
            <w:shd w:val="clear" w:color="auto" w:fill="auto"/>
          </w:tcPr>
          <w:p w14:paraId="517FCFDF" w14:textId="77777777" w:rsidR="0012790E" w:rsidRPr="001C06E6" w:rsidRDefault="0012790E">
            <w:pPr>
              <w:pStyle w:val="MeasureTableHeadingleftalignedwith2ptsspacing"/>
              <w:keepNext/>
            </w:pPr>
            <w:r>
              <w:t xml:space="preserve">Department of Agriculture, Fisheries and Forestry </w:t>
            </w:r>
          </w:p>
        </w:tc>
        <w:tc>
          <w:tcPr>
            <w:tcW w:w="1045" w:type="dxa"/>
            <w:tcBorders>
              <w:top w:val="single" w:sz="4" w:space="0" w:color="293F5B"/>
              <w:bottom w:val="single" w:sz="4" w:space="0" w:color="293F5B"/>
            </w:tcBorders>
            <w:shd w:val="clear" w:color="auto" w:fill="auto"/>
          </w:tcPr>
          <w:p w14:paraId="2F5688DC" w14:textId="77777777" w:rsidR="0012790E" w:rsidRPr="001C06E6" w:rsidRDefault="0012790E">
            <w:pPr>
              <w:pStyle w:val="MeasureTableDataRightAlignedwith2ptsspacing"/>
              <w:keepNext/>
            </w:pPr>
            <w:r>
              <w:t xml:space="preserve">-6.2 </w:t>
            </w:r>
          </w:p>
        </w:tc>
        <w:tc>
          <w:tcPr>
            <w:tcW w:w="1045" w:type="dxa"/>
            <w:tcBorders>
              <w:top w:val="single" w:sz="4" w:space="0" w:color="293F5B"/>
              <w:bottom w:val="single" w:sz="4" w:space="0" w:color="293F5B"/>
            </w:tcBorders>
            <w:shd w:val="clear" w:color="auto" w:fill="auto"/>
          </w:tcPr>
          <w:p w14:paraId="25CD3A83" w14:textId="77777777" w:rsidR="0012790E" w:rsidRPr="001C06E6" w:rsidRDefault="0012790E">
            <w:pPr>
              <w:pStyle w:val="MeasureTableDataRightAlignedwith2ptsspacing"/>
              <w:keepNext/>
            </w:pPr>
            <w:r>
              <w:t xml:space="preserve">2.2 </w:t>
            </w:r>
          </w:p>
        </w:tc>
        <w:tc>
          <w:tcPr>
            <w:tcW w:w="1045" w:type="dxa"/>
            <w:tcBorders>
              <w:top w:val="single" w:sz="4" w:space="0" w:color="293F5B"/>
              <w:bottom w:val="single" w:sz="4" w:space="0" w:color="293F5B"/>
            </w:tcBorders>
            <w:shd w:val="clear" w:color="auto" w:fill="auto"/>
          </w:tcPr>
          <w:p w14:paraId="4D4A7E38" w14:textId="77777777" w:rsidR="0012790E" w:rsidRPr="001C06E6" w:rsidRDefault="0012790E">
            <w:pPr>
              <w:pStyle w:val="MeasureTableDataRightAlignedwith2ptsspacing"/>
              <w:keepNext/>
            </w:pPr>
            <w:r>
              <w:t xml:space="preserve">5.0 </w:t>
            </w:r>
          </w:p>
        </w:tc>
        <w:tc>
          <w:tcPr>
            <w:tcW w:w="1045" w:type="dxa"/>
            <w:tcBorders>
              <w:top w:val="single" w:sz="4" w:space="0" w:color="293F5B"/>
              <w:bottom w:val="single" w:sz="4" w:space="0" w:color="293F5B"/>
            </w:tcBorders>
            <w:shd w:val="clear" w:color="auto" w:fill="auto"/>
          </w:tcPr>
          <w:p w14:paraId="3DD900E3" w14:textId="77777777" w:rsidR="0012790E" w:rsidRPr="001C06E6" w:rsidRDefault="0012790E">
            <w:pPr>
              <w:pStyle w:val="MeasureTableDataRightAlignedwith2ptsspacing"/>
              <w:keepNext/>
            </w:pPr>
            <w:r>
              <w:t xml:space="preserve">3.4 </w:t>
            </w:r>
          </w:p>
        </w:tc>
        <w:tc>
          <w:tcPr>
            <w:tcW w:w="1045" w:type="dxa"/>
            <w:tcBorders>
              <w:top w:val="single" w:sz="4" w:space="0" w:color="293F5B"/>
              <w:bottom w:val="single" w:sz="4" w:space="0" w:color="293F5B"/>
            </w:tcBorders>
            <w:shd w:val="clear" w:color="auto" w:fill="auto"/>
          </w:tcPr>
          <w:p w14:paraId="4903D670" w14:textId="77777777" w:rsidR="0012790E" w:rsidRPr="001C06E6" w:rsidRDefault="0012790E">
            <w:pPr>
              <w:pStyle w:val="MeasureTableDataRightAlignedwith2ptsspacing"/>
              <w:keepNext/>
            </w:pPr>
            <w:r>
              <w:t xml:space="preserve">3.9 </w:t>
            </w:r>
          </w:p>
        </w:tc>
      </w:tr>
      <w:tr w:rsidR="0012790E" w:rsidRPr="001C06E6" w14:paraId="5A0F39B5" w14:textId="77777777">
        <w:tc>
          <w:tcPr>
            <w:tcW w:w="2497" w:type="dxa"/>
            <w:tcBorders>
              <w:top w:val="single" w:sz="4" w:space="0" w:color="293F5B"/>
              <w:bottom w:val="single" w:sz="4" w:space="0" w:color="293F5B"/>
            </w:tcBorders>
            <w:shd w:val="clear" w:color="auto" w:fill="auto"/>
          </w:tcPr>
          <w:p w14:paraId="2C4E3F99"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0EA9DD5" w14:textId="77777777" w:rsidR="0012790E" w:rsidRPr="001C06E6" w:rsidRDefault="0012790E">
            <w:pPr>
              <w:pStyle w:val="Totaldatarowrightaligned"/>
              <w:keepNext/>
            </w:pPr>
            <w:r w:rsidRPr="001C06E6">
              <w:t>-6.2</w:t>
            </w:r>
          </w:p>
        </w:tc>
        <w:tc>
          <w:tcPr>
            <w:tcW w:w="1045" w:type="dxa"/>
            <w:tcBorders>
              <w:top w:val="single" w:sz="4" w:space="0" w:color="293F5B"/>
              <w:bottom w:val="single" w:sz="4" w:space="0" w:color="293F5B"/>
            </w:tcBorders>
            <w:shd w:val="clear" w:color="auto" w:fill="auto"/>
          </w:tcPr>
          <w:p w14:paraId="53B5D8A2" w14:textId="77777777" w:rsidR="0012790E" w:rsidRPr="001C06E6" w:rsidRDefault="0012790E">
            <w:pPr>
              <w:pStyle w:val="Totaldatarowrightaligned"/>
              <w:keepNext/>
            </w:pPr>
            <w:r w:rsidRPr="001C06E6">
              <w:t>3.4</w:t>
            </w:r>
          </w:p>
        </w:tc>
        <w:tc>
          <w:tcPr>
            <w:tcW w:w="1045" w:type="dxa"/>
            <w:tcBorders>
              <w:top w:val="single" w:sz="4" w:space="0" w:color="293F5B"/>
              <w:bottom w:val="single" w:sz="4" w:space="0" w:color="293F5B"/>
            </w:tcBorders>
            <w:shd w:val="clear" w:color="auto" w:fill="auto"/>
          </w:tcPr>
          <w:p w14:paraId="02449A0B" w14:textId="77777777" w:rsidR="0012790E" w:rsidRPr="001C06E6" w:rsidRDefault="0012790E">
            <w:pPr>
              <w:pStyle w:val="Totaldatarowrightaligned"/>
              <w:keepNext/>
            </w:pPr>
            <w:r w:rsidRPr="001C06E6">
              <w:t>5.6</w:t>
            </w:r>
          </w:p>
        </w:tc>
        <w:tc>
          <w:tcPr>
            <w:tcW w:w="1045" w:type="dxa"/>
            <w:tcBorders>
              <w:top w:val="single" w:sz="4" w:space="0" w:color="293F5B"/>
              <w:bottom w:val="single" w:sz="4" w:space="0" w:color="293F5B"/>
            </w:tcBorders>
            <w:shd w:val="clear" w:color="auto" w:fill="auto"/>
          </w:tcPr>
          <w:p w14:paraId="1CD64DA6" w14:textId="77777777" w:rsidR="0012790E" w:rsidRPr="001C06E6" w:rsidRDefault="0012790E">
            <w:pPr>
              <w:pStyle w:val="Totaldatarowrightaligned"/>
              <w:keepNext/>
            </w:pPr>
            <w:r w:rsidRPr="001C06E6">
              <w:t>3.4</w:t>
            </w:r>
          </w:p>
        </w:tc>
        <w:tc>
          <w:tcPr>
            <w:tcW w:w="1045" w:type="dxa"/>
            <w:tcBorders>
              <w:top w:val="single" w:sz="4" w:space="0" w:color="293F5B"/>
              <w:bottom w:val="single" w:sz="4" w:space="0" w:color="293F5B"/>
            </w:tcBorders>
            <w:shd w:val="clear" w:color="auto" w:fill="auto"/>
          </w:tcPr>
          <w:p w14:paraId="646D8EE1" w14:textId="77777777" w:rsidR="0012790E" w:rsidRPr="001C06E6" w:rsidRDefault="0012790E">
            <w:pPr>
              <w:pStyle w:val="Totaldatarowrightaligned"/>
              <w:keepNext/>
            </w:pPr>
            <w:r w:rsidRPr="001C06E6">
              <w:t>3.9</w:t>
            </w:r>
          </w:p>
        </w:tc>
      </w:tr>
      <w:tr w:rsidR="0012790E" w:rsidRPr="001C06E6" w14:paraId="5D368FF0" w14:textId="77777777">
        <w:tc>
          <w:tcPr>
            <w:tcW w:w="2497" w:type="dxa"/>
            <w:tcBorders>
              <w:top w:val="single" w:sz="4" w:space="0" w:color="293F5B"/>
            </w:tcBorders>
            <w:shd w:val="clear" w:color="auto" w:fill="auto"/>
          </w:tcPr>
          <w:p w14:paraId="1525CB25"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65EEFD9E" w14:textId="77777777" w:rsidR="0012790E" w:rsidRPr="001C06E6" w:rsidRDefault="0012790E">
            <w:pPr>
              <w:pStyle w:val="AgencyName"/>
              <w:keepNext/>
            </w:pPr>
          </w:p>
        </w:tc>
        <w:tc>
          <w:tcPr>
            <w:tcW w:w="1045" w:type="dxa"/>
            <w:tcBorders>
              <w:top w:val="single" w:sz="4" w:space="0" w:color="293F5B"/>
            </w:tcBorders>
            <w:shd w:val="clear" w:color="auto" w:fill="auto"/>
          </w:tcPr>
          <w:p w14:paraId="1C847290" w14:textId="77777777" w:rsidR="0012790E" w:rsidRPr="001C06E6" w:rsidRDefault="0012790E">
            <w:pPr>
              <w:pStyle w:val="AgencyName"/>
              <w:keepNext/>
            </w:pPr>
          </w:p>
        </w:tc>
        <w:tc>
          <w:tcPr>
            <w:tcW w:w="1045" w:type="dxa"/>
            <w:tcBorders>
              <w:top w:val="single" w:sz="4" w:space="0" w:color="293F5B"/>
            </w:tcBorders>
            <w:shd w:val="clear" w:color="auto" w:fill="auto"/>
          </w:tcPr>
          <w:p w14:paraId="202BC1D3" w14:textId="77777777" w:rsidR="0012790E" w:rsidRPr="001C06E6" w:rsidRDefault="0012790E">
            <w:pPr>
              <w:pStyle w:val="AgencyName"/>
              <w:keepNext/>
            </w:pPr>
          </w:p>
        </w:tc>
        <w:tc>
          <w:tcPr>
            <w:tcW w:w="1045" w:type="dxa"/>
            <w:tcBorders>
              <w:top w:val="single" w:sz="4" w:space="0" w:color="293F5B"/>
            </w:tcBorders>
            <w:shd w:val="clear" w:color="auto" w:fill="auto"/>
          </w:tcPr>
          <w:p w14:paraId="49B78861" w14:textId="77777777" w:rsidR="0012790E" w:rsidRPr="001C06E6" w:rsidRDefault="0012790E">
            <w:pPr>
              <w:pStyle w:val="AgencyName"/>
              <w:keepNext/>
            </w:pPr>
          </w:p>
        </w:tc>
        <w:tc>
          <w:tcPr>
            <w:tcW w:w="1045" w:type="dxa"/>
            <w:tcBorders>
              <w:top w:val="single" w:sz="4" w:space="0" w:color="293F5B"/>
            </w:tcBorders>
            <w:shd w:val="clear" w:color="auto" w:fill="auto"/>
          </w:tcPr>
          <w:p w14:paraId="20F7CB14" w14:textId="77777777" w:rsidR="0012790E" w:rsidRPr="001C06E6" w:rsidRDefault="0012790E">
            <w:pPr>
              <w:pStyle w:val="AgencyName"/>
              <w:keepNext/>
            </w:pPr>
          </w:p>
        </w:tc>
      </w:tr>
      <w:tr w:rsidR="0012790E" w:rsidRPr="001C06E6" w14:paraId="43313BE0" w14:textId="77777777">
        <w:tc>
          <w:tcPr>
            <w:tcW w:w="2497" w:type="dxa"/>
            <w:tcBorders>
              <w:bottom w:val="single" w:sz="4" w:space="0" w:color="293F5B"/>
            </w:tcBorders>
            <w:shd w:val="clear" w:color="auto" w:fill="auto"/>
          </w:tcPr>
          <w:p w14:paraId="113CC395" w14:textId="77777777" w:rsidR="0012790E" w:rsidRPr="001C06E6" w:rsidRDefault="0012790E">
            <w:pPr>
              <w:pStyle w:val="AgencyNamewith2ptsspacing"/>
              <w:keepNext/>
            </w:pPr>
            <w:r>
              <w:t xml:space="preserve">Department of Agriculture, Fisheries and Forestry </w:t>
            </w:r>
          </w:p>
        </w:tc>
        <w:tc>
          <w:tcPr>
            <w:tcW w:w="1045" w:type="dxa"/>
            <w:tcBorders>
              <w:bottom w:val="single" w:sz="4" w:space="0" w:color="293F5B"/>
            </w:tcBorders>
            <w:shd w:val="clear" w:color="auto" w:fill="auto"/>
          </w:tcPr>
          <w:p w14:paraId="6327D2FD" w14:textId="77777777" w:rsidR="0012790E" w:rsidRPr="001C06E6" w:rsidRDefault="0012790E">
            <w:pPr>
              <w:pStyle w:val="Measuretabledatarightaligneditalics"/>
              <w:keepNext/>
            </w:pPr>
            <w:r>
              <w:t xml:space="preserve">-1.7 </w:t>
            </w:r>
          </w:p>
        </w:tc>
        <w:tc>
          <w:tcPr>
            <w:tcW w:w="1045" w:type="dxa"/>
            <w:tcBorders>
              <w:bottom w:val="single" w:sz="4" w:space="0" w:color="293F5B"/>
            </w:tcBorders>
            <w:shd w:val="clear" w:color="auto" w:fill="auto"/>
          </w:tcPr>
          <w:p w14:paraId="09D62608" w14:textId="77777777" w:rsidR="0012790E" w:rsidRPr="001C06E6" w:rsidRDefault="0012790E">
            <w:pPr>
              <w:pStyle w:val="Measuretabledatarightaligneditalics"/>
              <w:keepNext/>
            </w:pPr>
            <w:r>
              <w:t xml:space="preserve">-1.1 </w:t>
            </w:r>
          </w:p>
        </w:tc>
        <w:tc>
          <w:tcPr>
            <w:tcW w:w="1045" w:type="dxa"/>
            <w:tcBorders>
              <w:bottom w:val="single" w:sz="4" w:space="0" w:color="293F5B"/>
            </w:tcBorders>
            <w:shd w:val="clear" w:color="auto" w:fill="auto"/>
          </w:tcPr>
          <w:p w14:paraId="777DA684" w14:textId="77777777" w:rsidR="0012790E" w:rsidRPr="001C06E6" w:rsidRDefault="0012790E">
            <w:pPr>
              <w:pStyle w:val="Measuretabledatarightaligneditalics"/>
              <w:keepNext/>
            </w:pPr>
            <w:r>
              <w:t xml:space="preserve">-0.2 </w:t>
            </w:r>
          </w:p>
        </w:tc>
        <w:tc>
          <w:tcPr>
            <w:tcW w:w="1045" w:type="dxa"/>
            <w:tcBorders>
              <w:bottom w:val="single" w:sz="4" w:space="0" w:color="293F5B"/>
            </w:tcBorders>
            <w:shd w:val="clear" w:color="auto" w:fill="auto"/>
          </w:tcPr>
          <w:p w14:paraId="2A6A1D33" w14:textId="77777777" w:rsidR="0012790E" w:rsidRPr="001C06E6" w:rsidRDefault="0012790E">
            <w:pPr>
              <w:pStyle w:val="Measuretabledatarightaligneditalics"/>
              <w:keepNext/>
            </w:pPr>
            <w:r>
              <w:t xml:space="preserve">0.2 </w:t>
            </w:r>
          </w:p>
        </w:tc>
        <w:tc>
          <w:tcPr>
            <w:tcW w:w="1045" w:type="dxa"/>
            <w:tcBorders>
              <w:bottom w:val="single" w:sz="4" w:space="0" w:color="293F5B"/>
            </w:tcBorders>
            <w:shd w:val="clear" w:color="auto" w:fill="auto"/>
          </w:tcPr>
          <w:p w14:paraId="43EF021F" w14:textId="77777777" w:rsidR="0012790E" w:rsidRPr="001C06E6" w:rsidRDefault="0012790E">
            <w:pPr>
              <w:pStyle w:val="Measuretabledatarightaligneditalics"/>
              <w:keepNext/>
            </w:pPr>
            <w:r>
              <w:t xml:space="preserve">0.2 </w:t>
            </w:r>
          </w:p>
        </w:tc>
      </w:tr>
    </w:tbl>
    <w:p w14:paraId="52D2C755" w14:textId="77777777" w:rsidR="0012790E" w:rsidRPr="001C06E6" w:rsidRDefault="0012790E">
      <w:pPr>
        <w:keepNext/>
        <w:widowControl w:val="0"/>
        <w:spacing w:line="184" w:lineRule="exact"/>
        <w:rPr>
          <w:i/>
          <w:iCs/>
          <w:color w:val="000000"/>
          <w:sz w:val="16"/>
          <w:szCs w:val="16"/>
          <w:lang w:val="en-AU"/>
        </w:rPr>
      </w:pPr>
    </w:p>
    <w:p w14:paraId="7B35E23D" w14:textId="77777777" w:rsidR="0012790E" w:rsidRDefault="0012790E" w:rsidP="54937204">
      <w:pPr>
        <w:pStyle w:val="Normal2"/>
        <w:rPr>
          <w:rFonts w:cs="Book Antiqua"/>
          <w:lang w:val="en-US"/>
        </w:rPr>
      </w:pPr>
      <w:r w:rsidRPr="54937204">
        <w:rPr>
          <w:rFonts w:cs="Book Antiqua"/>
          <w:lang w:val="en-US"/>
        </w:rPr>
        <w:t>The Government will provide $20.7 million over five years from 2023–24 (and $3.4 million per year ongoing) to support priorities in the agriculture, fisheries and forestry portfolio. Funding includes:</w:t>
      </w:r>
    </w:p>
    <w:p w14:paraId="5D35409C" w14:textId="77777777" w:rsidR="0012790E" w:rsidRDefault="0012790E">
      <w:pPr>
        <w:pStyle w:val="Bullet"/>
      </w:pPr>
      <w:r w:rsidRPr="001C06E6">
        <w:t>$13.9</w:t>
      </w:r>
      <w:r>
        <w:t> </w:t>
      </w:r>
      <w:r w:rsidRPr="001C06E6">
        <w:t xml:space="preserve">million over four years from </w:t>
      </w:r>
      <w:r>
        <w:t>2024–25</w:t>
      </w:r>
      <w:r w:rsidRPr="001C06E6">
        <w:t xml:space="preserve"> (and $3.4</w:t>
      </w:r>
      <w:r>
        <w:t> </w:t>
      </w:r>
      <w:r w:rsidRPr="001C06E6">
        <w:t>million per year ongoing) to maintain drought policy capability in the Department of Agriculture, Fisheries and Forestry to support Australia’s readiness to respond to drought events</w:t>
      </w:r>
      <w:r>
        <w:t xml:space="preserve"> </w:t>
      </w:r>
    </w:p>
    <w:p w14:paraId="5EFC83A7" w14:textId="77777777" w:rsidR="0012790E" w:rsidRDefault="0012790E">
      <w:pPr>
        <w:pStyle w:val="Bullet"/>
      </w:pPr>
      <w:r w:rsidRPr="001C06E6">
        <w:t>$3.4</w:t>
      </w:r>
      <w:r>
        <w:t> </w:t>
      </w:r>
      <w:r w:rsidRPr="001C06E6">
        <w:t xml:space="preserve">million over four years from </w:t>
      </w:r>
      <w:r>
        <w:t>2024–25</w:t>
      </w:r>
      <w:r w:rsidRPr="001C06E6">
        <w:t xml:space="preserve"> to develop a national Timber Fibre Strategy and review the National Forestry Policy Statement in collaboration with the states and territories</w:t>
      </w:r>
      <w:r>
        <w:t xml:space="preserve"> </w:t>
      </w:r>
    </w:p>
    <w:p w14:paraId="1853757D" w14:textId="77777777" w:rsidR="0012790E" w:rsidRDefault="0012790E">
      <w:pPr>
        <w:pStyle w:val="Bullet"/>
      </w:pPr>
      <w:r w:rsidRPr="001C06E6">
        <w:t>$1.5</w:t>
      </w:r>
      <w:r>
        <w:t> </w:t>
      </w:r>
      <w:r w:rsidRPr="001C06E6">
        <w:t xml:space="preserve">million over two years from </w:t>
      </w:r>
      <w:r>
        <w:t>2023–24</w:t>
      </w:r>
      <w:r w:rsidRPr="001C06E6">
        <w:t xml:space="preserve"> to improve existing arrangements for the accurate and clear labelling of plant</w:t>
      </w:r>
      <w:r>
        <w:noBreakHyphen/>
      </w:r>
      <w:r w:rsidRPr="001C06E6">
        <w:t>based alternative protein products</w:t>
      </w:r>
      <w:r>
        <w:t xml:space="preserve"> </w:t>
      </w:r>
    </w:p>
    <w:p w14:paraId="54CEEB64" w14:textId="77777777" w:rsidR="0012790E" w:rsidRDefault="0012790E">
      <w:pPr>
        <w:pStyle w:val="Bullet"/>
      </w:pPr>
      <w:r w:rsidRPr="001C06E6">
        <w:t>$1.0</w:t>
      </w:r>
      <w:r>
        <w:t> </w:t>
      </w:r>
      <w:r w:rsidRPr="001C06E6">
        <w:t xml:space="preserve">million over two years from </w:t>
      </w:r>
      <w:r>
        <w:t>2024–25</w:t>
      </w:r>
      <w:r w:rsidRPr="001C06E6">
        <w:t xml:space="preserve"> for a skilled agricultural work liaison pilot to attract graduates to work in agriculture</w:t>
      </w:r>
      <w:r>
        <w:t xml:space="preserve"> </w:t>
      </w:r>
    </w:p>
    <w:p w14:paraId="212930E6" w14:textId="4730BCAB" w:rsidR="0012790E" w:rsidRDefault="0012790E">
      <w:pPr>
        <w:pStyle w:val="Bullet"/>
      </w:pPr>
      <w:r w:rsidRPr="001C06E6">
        <w:t>$0.5</w:t>
      </w:r>
      <w:r>
        <w:t> </w:t>
      </w:r>
      <w:r w:rsidRPr="001C06E6">
        <w:t xml:space="preserve">million over two years from </w:t>
      </w:r>
      <w:r>
        <w:t>2024–25</w:t>
      </w:r>
      <w:r w:rsidRPr="001C06E6">
        <w:t xml:space="preserve"> to continue the AgCAREERSTART pilot program for two cohort years to encourage young people to consider a career in</w:t>
      </w:r>
      <w:r w:rsidR="006F10F3">
        <w:t> </w:t>
      </w:r>
      <w:r w:rsidRPr="001C06E6">
        <w:t>agriculture</w:t>
      </w:r>
      <w:r>
        <w:t xml:space="preserve"> </w:t>
      </w:r>
    </w:p>
    <w:p w14:paraId="4445ABAA" w14:textId="77777777" w:rsidR="0012790E" w:rsidRDefault="0012790E">
      <w:pPr>
        <w:pStyle w:val="Bullet"/>
      </w:pPr>
      <w:r w:rsidRPr="001C06E6">
        <w:t>$0.4</w:t>
      </w:r>
      <w:r>
        <w:t> </w:t>
      </w:r>
      <w:r w:rsidRPr="001C06E6">
        <w:t xml:space="preserve">million over three years from </w:t>
      </w:r>
      <w:r>
        <w:t>2024–25</w:t>
      </w:r>
      <w:r w:rsidRPr="001C06E6">
        <w:t xml:space="preserve"> for Farmsafe Australia to extend the National Farm Safety Week campaign.</w:t>
      </w:r>
      <w:r>
        <w:t xml:space="preserve"> </w:t>
      </w:r>
    </w:p>
    <w:p w14:paraId="3FD776DE" w14:textId="77777777" w:rsidR="0012790E" w:rsidRDefault="0012790E" w:rsidP="54937204">
      <w:pPr>
        <w:pStyle w:val="Normal2"/>
        <w:rPr>
          <w:rFonts w:cs="Book Antiqua"/>
          <w:lang w:val="en-US"/>
        </w:rPr>
      </w:pPr>
      <w:r w:rsidRPr="54937204">
        <w:rPr>
          <w:rFonts w:cs="Book Antiqua"/>
          <w:lang w:val="en-US"/>
        </w:rPr>
        <w:t xml:space="preserve">The Government will also terminate the Plantation Development Concessional Loans program and redirect the available loan provision ($37.5 million) to other loan products managed by the Regional Investment Corporation to maintain support for the farm business sector. </w:t>
      </w:r>
    </w:p>
    <w:p w14:paraId="47F801E2" w14:textId="77777777" w:rsidR="0012790E" w:rsidRDefault="0012790E" w:rsidP="54937204">
      <w:pPr>
        <w:pStyle w:val="Normal2"/>
        <w:rPr>
          <w:rFonts w:cs="Book Antiqua"/>
          <w:lang w:val="en-US"/>
        </w:rPr>
      </w:pPr>
      <w:r w:rsidRPr="54937204">
        <w:rPr>
          <w:rFonts w:cs="Book Antiqua"/>
          <w:lang w:val="en-US"/>
        </w:rPr>
        <w:lastRenderedPageBreak/>
        <w:t xml:space="preserve">The cost of this measure will be partially met from a reprioritisation of existing funding in the Agriculture, Fisheries and Forestry Portfolio. </w:t>
      </w:r>
    </w:p>
    <w:p w14:paraId="106D0FC6" w14:textId="77777777" w:rsidR="0012790E" w:rsidRPr="001C06E6" w:rsidRDefault="0012790E">
      <w:pPr>
        <w:pStyle w:val="MeasureTitle"/>
        <w:rPr>
          <w:b w:val="0"/>
          <w:bCs/>
        </w:rPr>
      </w:pPr>
      <w:r w:rsidRPr="001C06E6">
        <w:rPr>
          <w:bCs/>
        </w:rPr>
        <w:t>Agriculture and Land Sectors – low emissions future</w:t>
      </w:r>
    </w:p>
    <w:p w14:paraId="4302DC25"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20F57F1" w14:textId="77777777">
        <w:tc>
          <w:tcPr>
            <w:tcW w:w="2497" w:type="dxa"/>
            <w:tcBorders>
              <w:top w:val="single" w:sz="4" w:space="0" w:color="293F5B"/>
              <w:bottom w:val="single" w:sz="4" w:space="0" w:color="293F5B"/>
            </w:tcBorders>
            <w:shd w:val="clear" w:color="auto" w:fill="auto"/>
          </w:tcPr>
          <w:p w14:paraId="5FC460A4"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BBC4E52"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521551FE"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6F74B94"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81B1920"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29FA87B" w14:textId="77777777" w:rsidR="0012790E" w:rsidRPr="001C06E6" w:rsidRDefault="0012790E">
            <w:pPr>
              <w:pStyle w:val="MeasureTableYearHeadings"/>
              <w:keepNext/>
            </w:pPr>
            <w:r w:rsidRPr="001C06E6">
              <w:t>2027</w:t>
            </w:r>
            <w:r>
              <w:noBreakHyphen/>
            </w:r>
            <w:r w:rsidRPr="001C06E6">
              <w:t>28</w:t>
            </w:r>
          </w:p>
        </w:tc>
      </w:tr>
      <w:tr w:rsidR="0012790E" w:rsidRPr="001C06E6" w14:paraId="6F1B01C8" w14:textId="77777777">
        <w:tc>
          <w:tcPr>
            <w:tcW w:w="2497" w:type="dxa"/>
            <w:tcBorders>
              <w:top w:val="single" w:sz="4" w:space="0" w:color="293F5B"/>
              <w:bottom w:val="single" w:sz="4" w:space="0" w:color="293F5B"/>
            </w:tcBorders>
            <w:shd w:val="clear" w:color="auto" w:fill="auto"/>
          </w:tcPr>
          <w:p w14:paraId="11AD898D" w14:textId="77777777" w:rsidR="0012790E" w:rsidRPr="001C06E6" w:rsidRDefault="0012790E">
            <w:pPr>
              <w:pStyle w:val="MeasureTableHeadingleftalignedwith2ptsspacing"/>
              <w:keepNext/>
            </w:pPr>
            <w:r>
              <w:t xml:space="preserve">Department of Agriculture, Fisheries and Forestry </w:t>
            </w:r>
          </w:p>
        </w:tc>
        <w:tc>
          <w:tcPr>
            <w:tcW w:w="1045" w:type="dxa"/>
            <w:tcBorders>
              <w:top w:val="single" w:sz="4" w:space="0" w:color="293F5B"/>
              <w:bottom w:val="single" w:sz="4" w:space="0" w:color="293F5B"/>
            </w:tcBorders>
            <w:shd w:val="clear" w:color="auto" w:fill="auto"/>
          </w:tcPr>
          <w:p w14:paraId="4982A743"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457824B" w14:textId="77777777" w:rsidR="0012790E" w:rsidRPr="001C06E6" w:rsidRDefault="0012790E">
            <w:pPr>
              <w:pStyle w:val="MeasureTableDataRightAlignedwith2ptsspacing"/>
              <w:keepNext/>
            </w:pPr>
            <w:r>
              <w:t xml:space="preserve">9.9 </w:t>
            </w:r>
          </w:p>
        </w:tc>
        <w:tc>
          <w:tcPr>
            <w:tcW w:w="1045" w:type="dxa"/>
            <w:tcBorders>
              <w:top w:val="single" w:sz="4" w:space="0" w:color="293F5B"/>
              <w:bottom w:val="single" w:sz="4" w:space="0" w:color="293F5B"/>
            </w:tcBorders>
            <w:shd w:val="clear" w:color="auto" w:fill="auto"/>
          </w:tcPr>
          <w:p w14:paraId="1C2E3FA1" w14:textId="77777777" w:rsidR="0012790E" w:rsidRPr="001C06E6" w:rsidRDefault="0012790E">
            <w:pPr>
              <w:pStyle w:val="MeasureTableDataRightAlignedwith2ptsspacing"/>
              <w:keepNext/>
            </w:pPr>
            <w:r>
              <w:t xml:space="preserve">13.4 </w:t>
            </w:r>
          </w:p>
        </w:tc>
        <w:tc>
          <w:tcPr>
            <w:tcW w:w="1045" w:type="dxa"/>
            <w:tcBorders>
              <w:top w:val="single" w:sz="4" w:space="0" w:color="293F5B"/>
              <w:bottom w:val="single" w:sz="4" w:space="0" w:color="293F5B"/>
            </w:tcBorders>
            <w:shd w:val="clear" w:color="auto" w:fill="auto"/>
          </w:tcPr>
          <w:p w14:paraId="354BC8CC" w14:textId="77777777" w:rsidR="0012790E" w:rsidRPr="001C06E6" w:rsidRDefault="0012790E">
            <w:pPr>
              <w:pStyle w:val="MeasureTableDataRightAlignedwith2ptsspacing"/>
              <w:keepNext/>
            </w:pPr>
            <w:r>
              <w:t xml:space="preserve">6.8 </w:t>
            </w:r>
          </w:p>
        </w:tc>
        <w:tc>
          <w:tcPr>
            <w:tcW w:w="1045" w:type="dxa"/>
            <w:tcBorders>
              <w:top w:val="single" w:sz="4" w:space="0" w:color="293F5B"/>
              <w:bottom w:val="single" w:sz="4" w:space="0" w:color="293F5B"/>
            </w:tcBorders>
            <w:shd w:val="clear" w:color="auto" w:fill="auto"/>
          </w:tcPr>
          <w:p w14:paraId="376314A0" w14:textId="77777777" w:rsidR="0012790E" w:rsidRPr="001C06E6" w:rsidRDefault="0012790E">
            <w:pPr>
              <w:pStyle w:val="MeasureTableDataRightAlignedwith2ptsspacing"/>
              <w:keepNext/>
            </w:pPr>
            <w:r>
              <w:t xml:space="preserve">6.9 </w:t>
            </w:r>
          </w:p>
        </w:tc>
      </w:tr>
      <w:tr w:rsidR="0012790E" w:rsidRPr="001C06E6" w14:paraId="2B5BC99D" w14:textId="77777777">
        <w:tc>
          <w:tcPr>
            <w:tcW w:w="2497" w:type="dxa"/>
            <w:tcBorders>
              <w:top w:val="single" w:sz="4" w:space="0" w:color="293F5B"/>
              <w:bottom w:val="single" w:sz="4" w:space="0" w:color="293F5B"/>
            </w:tcBorders>
            <w:shd w:val="clear" w:color="auto" w:fill="auto"/>
          </w:tcPr>
          <w:p w14:paraId="7A2056AE"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45AA4952"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0CBAF39" w14:textId="77777777" w:rsidR="0012790E" w:rsidRPr="001C06E6" w:rsidRDefault="0012790E">
            <w:pPr>
              <w:pStyle w:val="MeasureTableDataRightAlignedwith2ptsspacing"/>
              <w:keepNext/>
            </w:pPr>
            <w:r>
              <w:t xml:space="preserve">8.6   </w:t>
            </w:r>
          </w:p>
        </w:tc>
        <w:tc>
          <w:tcPr>
            <w:tcW w:w="1045" w:type="dxa"/>
            <w:tcBorders>
              <w:top w:val="single" w:sz="4" w:space="0" w:color="293F5B"/>
              <w:bottom w:val="single" w:sz="4" w:space="0" w:color="293F5B"/>
            </w:tcBorders>
            <w:shd w:val="clear" w:color="auto" w:fill="auto"/>
          </w:tcPr>
          <w:p w14:paraId="110DEEC8" w14:textId="77777777" w:rsidR="0012790E" w:rsidRPr="001C06E6" w:rsidRDefault="0012790E">
            <w:pPr>
              <w:pStyle w:val="MeasureTableDataRightAlignedwith2ptsspacing"/>
              <w:keepNext/>
            </w:pPr>
            <w:r>
              <w:t xml:space="preserve">4.3   </w:t>
            </w:r>
          </w:p>
        </w:tc>
        <w:tc>
          <w:tcPr>
            <w:tcW w:w="1045" w:type="dxa"/>
            <w:tcBorders>
              <w:top w:val="single" w:sz="4" w:space="0" w:color="293F5B"/>
              <w:bottom w:val="single" w:sz="4" w:space="0" w:color="293F5B"/>
            </w:tcBorders>
            <w:shd w:val="clear" w:color="auto" w:fill="auto"/>
          </w:tcPr>
          <w:p w14:paraId="5E8E36A9" w14:textId="77777777" w:rsidR="0012790E" w:rsidRPr="001C06E6" w:rsidRDefault="0012790E">
            <w:pPr>
              <w:pStyle w:val="MeasureTableDataRightAlignedwith2ptsspacing"/>
              <w:keepNext/>
            </w:pPr>
            <w:r>
              <w:t xml:space="preserve">3.8   </w:t>
            </w:r>
          </w:p>
        </w:tc>
        <w:tc>
          <w:tcPr>
            <w:tcW w:w="1045" w:type="dxa"/>
            <w:tcBorders>
              <w:top w:val="single" w:sz="4" w:space="0" w:color="293F5B"/>
              <w:bottom w:val="single" w:sz="4" w:space="0" w:color="293F5B"/>
            </w:tcBorders>
            <w:shd w:val="clear" w:color="auto" w:fill="auto"/>
          </w:tcPr>
          <w:p w14:paraId="10D3E097" w14:textId="77777777" w:rsidR="0012790E" w:rsidRPr="001C06E6" w:rsidRDefault="0012790E">
            <w:pPr>
              <w:pStyle w:val="MeasureTableDataRightAlignedwith2ptsspacing"/>
              <w:keepNext/>
            </w:pPr>
            <w:r>
              <w:t xml:space="preserve">2.3   </w:t>
            </w:r>
          </w:p>
        </w:tc>
      </w:tr>
      <w:tr w:rsidR="0012790E" w:rsidRPr="001C06E6" w14:paraId="48A3C0C8" w14:textId="77777777">
        <w:tc>
          <w:tcPr>
            <w:tcW w:w="2497" w:type="dxa"/>
            <w:tcBorders>
              <w:top w:val="single" w:sz="4" w:space="0" w:color="293F5B"/>
              <w:bottom w:val="single" w:sz="4" w:space="0" w:color="293F5B"/>
            </w:tcBorders>
            <w:shd w:val="clear" w:color="auto" w:fill="auto"/>
          </w:tcPr>
          <w:p w14:paraId="7B524DD2"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1F805D90"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1A9222EC" w14:textId="77777777" w:rsidR="0012790E" w:rsidRPr="001C06E6" w:rsidRDefault="0012790E">
            <w:pPr>
              <w:pStyle w:val="Totaldatarowrightaligned"/>
              <w:keepNext/>
            </w:pPr>
            <w:r w:rsidRPr="001C06E6">
              <w:t>18.4</w:t>
            </w:r>
          </w:p>
        </w:tc>
        <w:tc>
          <w:tcPr>
            <w:tcW w:w="1045" w:type="dxa"/>
            <w:tcBorders>
              <w:top w:val="single" w:sz="4" w:space="0" w:color="293F5B"/>
              <w:bottom w:val="single" w:sz="4" w:space="0" w:color="293F5B"/>
            </w:tcBorders>
            <w:shd w:val="clear" w:color="auto" w:fill="auto"/>
          </w:tcPr>
          <w:p w14:paraId="735287C1" w14:textId="77777777" w:rsidR="0012790E" w:rsidRPr="001C06E6" w:rsidRDefault="0012790E">
            <w:pPr>
              <w:pStyle w:val="Totaldatarowrightaligned"/>
              <w:keepNext/>
            </w:pPr>
            <w:r w:rsidRPr="001C06E6">
              <w:t>17.8</w:t>
            </w:r>
          </w:p>
        </w:tc>
        <w:tc>
          <w:tcPr>
            <w:tcW w:w="1045" w:type="dxa"/>
            <w:tcBorders>
              <w:top w:val="single" w:sz="4" w:space="0" w:color="293F5B"/>
              <w:bottom w:val="single" w:sz="4" w:space="0" w:color="293F5B"/>
            </w:tcBorders>
            <w:shd w:val="clear" w:color="auto" w:fill="auto"/>
          </w:tcPr>
          <w:p w14:paraId="402EF704" w14:textId="77777777" w:rsidR="0012790E" w:rsidRPr="001C06E6" w:rsidRDefault="0012790E">
            <w:pPr>
              <w:pStyle w:val="Totaldatarowrightaligned"/>
              <w:keepNext/>
            </w:pPr>
            <w:r w:rsidRPr="001C06E6">
              <w:t>10.6</w:t>
            </w:r>
          </w:p>
        </w:tc>
        <w:tc>
          <w:tcPr>
            <w:tcW w:w="1045" w:type="dxa"/>
            <w:tcBorders>
              <w:top w:val="single" w:sz="4" w:space="0" w:color="293F5B"/>
              <w:bottom w:val="single" w:sz="4" w:space="0" w:color="293F5B"/>
            </w:tcBorders>
            <w:shd w:val="clear" w:color="auto" w:fill="auto"/>
          </w:tcPr>
          <w:p w14:paraId="64C730B0" w14:textId="77777777" w:rsidR="0012790E" w:rsidRPr="001C06E6" w:rsidRDefault="0012790E">
            <w:pPr>
              <w:pStyle w:val="Totaldatarowrightaligned"/>
              <w:keepNext/>
            </w:pPr>
            <w:r w:rsidRPr="001C06E6">
              <w:t>9.2</w:t>
            </w:r>
          </w:p>
        </w:tc>
      </w:tr>
    </w:tbl>
    <w:p w14:paraId="4D278143"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7F96C18D" w14:textId="77777777" w:rsidR="0012790E" w:rsidRDefault="0012790E">
      <w:pPr>
        <w:pStyle w:val="Normal2"/>
        <w:rPr>
          <w:rFonts w:cs="Book Antiqua"/>
        </w:rPr>
      </w:pPr>
      <w:r w:rsidRPr="001C06E6">
        <w:rPr>
          <w:rFonts w:cs="Book Antiqua"/>
        </w:rPr>
        <w:t>The Government will provide $63.8</w:t>
      </w:r>
      <w:r>
        <w:rPr>
          <w:rFonts w:cs="Book Antiqua"/>
        </w:rPr>
        <w:t> </w:t>
      </w:r>
      <w:r w:rsidRPr="001C06E6">
        <w:rPr>
          <w:rFonts w:cs="Book Antiqua"/>
        </w:rPr>
        <w:t xml:space="preserve">million over ten years from </w:t>
      </w:r>
      <w:r>
        <w:rPr>
          <w:rFonts w:cs="Book Antiqua"/>
        </w:rPr>
        <w:t>2024–25</w:t>
      </w:r>
      <w:r w:rsidRPr="001C06E6">
        <w:rPr>
          <w:rFonts w:cs="Book Antiqua"/>
        </w:rPr>
        <w:t xml:space="preserve"> (and $0.9</w:t>
      </w:r>
      <w:r>
        <w:rPr>
          <w:rFonts w:cs="Book Antiqua"/>
        </w:rPr>
        <w:t> </w:t>
      </w:r>
      <w:r w:rsidRPr="001C06E6">
        <w:rPr>
          <w:rFonts w:cs="Book Antiqua"/>
        </w:rPr>
        <w:t>million per year ongoing) to support initial emission reduction efforts in the agriculture</w:t>
      </w:r>
      <w:r>
        <w:rPr>
          <w:rFonts w:cs="Book Antiqua"/>
        </w:rPr>
        <w:t xml:space="preserve"> </w:t>
      </w:r>
      <w:r w:rsidRPr="001C06E6">
        <w:rPr>
          <w:rFonts w:cs="Book Antiqua"/>
        </w:rPr>
        <w:t>and land sectors as part of Australia’s transition to net zero by 2050.</w:t>
      </w:r>
      <w:r>
        <w:rPr>
          <w:rFonts w:cs="Book Antiqua"/>
        </w:rPr>
        <w:t xml:space="preserve"> </w:t>
      </w:r>
    </w:p>
    <w:p w14:paraId="558C32BC" w14:textId="77777777" w:rsidR="0012790E" w:rsidRPr="001C06E6" w:rsidRDefault="0012790E">
      <w:pPr>
        <w:pStyle w:val="MeasureTitle"/>
        <w:rPr>
          <w:b w:val="0"/>
          <w:bCs/>
        </w:rPr>
      </w:pPr>
      <w:r w:rsidRPr="001C06E6">
        <w:rPr>
          <w:bCs/>
        </w:rPr>
        <w:t>Future Drought Fund – better support for farmers and communities to manage</w:t>
      </w:r>
      <w:r>
        <w:rPr>
          <w:bCs/>
        </w:rPr>
        <w:t xml:space="preserve"> </w:t>
      </w:r>
      <w:r w:rsidRPr="001C06E6">
        <w:rPr>
          <w:bCs/>
        </w:rPr>
        <w:t>drought and adapt to climate change</w:t>
      </w:r>
    </w:p>
    <w:p w14:paraId="7E834184"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A0F293F" w14:textId="77777777">
        <w:tc>
          <w:tcPr>
            <w:tcW w:w="2497" w:type="dxa"/>
            <w:tcBorders>
              <w:top w:val="single" w:sz="4" w:space="0" w:color="293F5B"/>
              <w:bottom w:val="single" w:sz="4" w:space="0" w:color="293F5B"/>
            </w:tcBorders>
            <w:shd w:val="clear" w:color="auto" w:fill="auto"/>
          </w:tcPr>
          <w:p w14:paraId="0C756263"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E4C2624"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A5FF312"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DFCB1A8"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2387C1C"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BFDFE3D" w14:textId="77777777" w:rsidR="0012790E" w:rsidRPr="001C06E6" w:rsidRDefault="0012790E">
            <w:pPr>
              <w:pStyle w:val="MeasureTableYearHeadings"/>
              <w:keepNext/>
            </w:pPr>
            <w:r w:rsidRPr="001C06E6">
              <w:t>2027</w:t>
            </w:r>
            <w:r>
              <w:noBreakHyphen/>
            </w:r>
            <w:r w:rsidRPr="001C06E6">
              <w:t>28</w:t>
            </w:r>
          </w:p>
        </w:tc>
      </w:tr>
      <w:tr w:rsidR="0012790E" w:rsidRPr="001C06E6" w14:paraId="2EB6DEC4" w14:textId="77777777">
        <w:tc>
          <w:tcPr>
            <w:tcW w:w="2497" w:type="dxa"/>
            <w:tcBorders>
              <w:top w:val="single" w:sz="4" w:space="0" w:color="293F5B"/>
              <w:bottom w:val="single" w:sz="4" w:space="0" w:color="293F5B"/>
            </w:tcBorders>
            <w:shd w:val="clear" w:color="auto" w:fill="auto"/>
          </w:tcPr>
          <w:p w14:paraId="32AE53D8" w14:textId="77777777" w:rsidR="0012790E" w:rsidRPr="001C06E6" w:rsidRDefault="0012790E">
            <w:pPr>
              <w:pStyle w:val="MeasureTableHeadingleftalignedwith2ptsspacing"/>
              <w:keepNext/>
            </w:pPr>
            <w:r>
              <w:t xml:space="preserve">Department of Agriculture, Fisheries and Forestry </w:t>
            </w:r>
          </w:p>
        </w:tc>
        <w:tc>
          <w:tcPr>
            <w:tcW w:w="1045" w:type="dxa"/>
            <w:tcBorders>
              <w:top w:val="single" w:sz="4" w:space="0" w:color="293F5B"/>
              <w:bottom w:val="single" w:sz="4" w:space="0" w:color="293F5B"/>
            </w:tcBorders>
            <w:shd w:val="clear" w:color="auto" w:fill="auto"/>
          </w:tcPr>
          <w:p w14:paraId="64D345F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8309716" w14:textId="77777777" w:rsidR="0012790E" w:rsidRPr="001C06E6" w:rsidRDefault="0012790E">
            <w:pPr>
              <w:pStyle w:val="MeasureTableDataRightAlignedwith2ptsspacing"/>
              <w:keepNext/>
            </w:pPr>
            <w:r>
              <w:t xml:space="preserve">11.1 </w:t>
            </w:r>
          </w:p>
        </w:tc>
        <w:tc>
          <w:tcPr>
            <w:tcW w:w="1045" w:type="dxa"/>
            <w:tcBorders>
              <w:top w:val="single" w:sz="4" w:space="0" w:color="293F5B"/>
              <w:bottom w:val="single" w:sz="4" w:space="0" w:color="293F5B"/>
            </w:tcBorders>
            <w:shd w:val="clear" w:color="auto" w:fill="auto"/>
          </w:tcPr>
          <w:p w14:paraId="1B20E5DC" w14:textId="77777777" w:rsidR="0012790E" w:rsidRPr="001C06E6" w:rsidRDefault="0012790E">
            <w:pPr>
              <w:pStyle w:val="MeasureTableDataRightAlignedwith2ptsspacing"/>
              <w:keepNext/>
            </w:pPr>
            <w:r>
              <w:t xml:space="preserve">10.7 </w:t>
            </w:r>
          </w:p>
        </w:tc>
        <w:tc>
          <w:tcPr>
            <w:tcW w:w="1045" w:type="dxa"/>
            <w:tcBorders>
              <w:top w:val="single" w:sz="4" w:space="0" w:color="293F5B"/>
              <w:bottom w:val="single" w:sz="4" w:space="0" w:color="293F5B"/>
            </w:tcBorders>
            <w:shd w:val="clear" w:color="auto" w:fill="auto"/>
          </w:tcPr>
          <w:p w14:paraId="581EEB9B" w14:textId="77777777" w:rsidR="0012790E" w:rsidRPr="001C06E6" w:rsidRDefault="0012790E">
            <w:pPr>
              <w:pStyle w:val="MeasureTableDataRightAlignedwith2ptsspacing"/>
              <w:keepNext/>
            </w:pPr>
            <w:r>
              <w:t xml:space="preserve">9.3 </w:t>
            </w:r>
          </w:p>
        </w:tc>
        <w:tc>
          <w:tcPr>
            <w:tcW w:w="1045" w:type="dxa"/>
            <w:tcBorders>
              <w:top w:val="single" w:sz="4" w:space="0" w:color="293F5B"/>
              <w:bottom w:val="single" w:sz="4" w:space="0" w:color="293F5B"/>
            </w:tcBorders>
            <w:shd w:val="clear" w:color="auto" w:fill="auto"/>
          </w:tcPr>
          <w:p w14:paraId="35418C79" w14:textId="77777777" w:rsidR="0012790E" w:rsidRPr="001C06E6" w:rsidRDefault="0012790E">
            <w:pPr>
              <w:pStyle w:val="MeasureTableDataRightAlignedwith2ptsspacing"/>
              <w:keepNext/>
            </w:pPr>
            <w:r>
              <w:t xml:space="preserve">11.1 </w:t>
            </w:r>
          </w:p>
        </w:tc>
      </w:tr>
    </w:tbl>
    <w:p w14:paraId="388CD2C1" w14:textId="77777777" w:rsidR="0012790E" w:rsidRPr="001C06E6" w:rsidRDefault="0012790E">
      <w:pPr>
        <w:keepNext/>
        <w:widowControl w:val="0"/>
        <w:spacing w:line="184" w:lineRule="exact"/>
        <w:rPr>
          <w:color w:val="000000"/>
          <w:sz w:val="16"/>
          <w:szCs w:val="16"/>
          <w:lang w:val="en-AU"/>
        </w:rPr>
      </w:pPr>
    </w:p>
    <w:p w14:paraId="0D7E0FE1" w14:textId="77777777" w:rsidR="0012790E" w:rsidRDefault="0012790E" w:rsidP="54937204">
      <w:pPr>
        <w:pStyle w:val="Normal2"/>
        <w:rPr>
          <w:rFonts w:cs="Book Antiqua"/>
          <w:lang w:val="en-US"/>
        </w:rPr>
      </w:pPr>
      <w:r w:rsidRPr="54937204">
        <w:rPr>
          <w:rFonts w:cs="Book Antiqua"/>
          <w:lang w:val="en-US"/>
        </w:rPr>
        <w:t>The Government will allocate $519.1 million over eight years from 2024–25 from the Future Drought Fund for initiatives that provide improved support to farmers and communities to manage drought and adapt to climate change. Funding includes:</w:t>
      </w:r>
    </w:p>
    <w:p w14:paraId="3833F571" w14:textId="77777777" w:rsidR="0012790E" w:rsidRDefault="0012790E">
      <w:pPr>
        <w:pStyle w:val="Bullet"/>
      </w:pPr>
      <w:r w:rsidRPr="001C06E6">
        <w:t>$132.0</w:t>
      </w:r>
      <w:r>
        <w:t> </w:t>
      </w:r>
      <w:r w:rsidRPr="001C06E6">
        <w:t xml:space="preserve">million over eight years from </w:t>
      </w:r>
      <w:r>
        <w:t>2024–25</w:t>
      </w:r>
      <w:r w:rsidRPr="001C06E6">
        <w:t xml:space="preserve"> to continue the </w:t>
      </w:r>
      <w:r w:rsidRPr="001C06E6">
        <w:rPr>
          <w:i/>
          <w:iCs/>
        </w:rPr>
        <w:t>Drought Resilience Adoption and Innovation Hubs</w:t>
      </w:r>
      <w:r w:rsidRPr="001C06E6">
        <w:t xml:space="preserve"> model to support activities to address the challenges of drought and climate variability in local areas</w:t>
      </w:r>
      <w:r>
        <w:t xml:space="preserve"> </w:t>
      </w:r>
    </w:p>
    <w:p w14:paraId="3C5BCD90" w14:textId="77777777" w:rsidR="0012790E" w:rsidRDefault="0012790E">
      <w:pPr>
        <w:pStyle w:val="Bullet"/>
      </w:pPr>
      <w:r w:rsidRPr="001C06E6">
        <w:t>$83.2</w:t>
      </w:r>
      <w:r>
        <w:t> </w:t>
      </w:r>
      <w:r w:rsidRPr="001C06E6">
        <w:t xml:space="preserve">million over five years from </w:t>
      </w:r>
      <w:r>
        <w:t>2024–25</w:t>
      </w:r>
      <w:r w:rsidRPr="001C06E6">
        <w:t xml:space="preserve"> to continue the </w:t>
      </w:r>
      <w:r w:rsidRPr="001C06E6">
        <w:rPr>
          <w:i/>
          <w:iCs/>
        </w:rPr>
        <w:t>Farm Business Resilience Program</w:t>
      </w:r>
      <w:r w:rsidRPr="001C06E6">
        <w:t xml:space="preserve"> to provide farmers, farm workers and advisers with access to learning and development opportunities and continue the scholarships program</w:t>
      </w:r>
      <w:r>
        <w:t xml:space="preserve"> </w:t>
      </w:r>
    </w:p>
    <w:p w14:paraId="28E9DB2A" w14:textId="0B754B27" w:rsidR="0012790E" w:rsidRDefault="0012790E">
      <w:pPr>
        <w:pStyle w:val="Bullet"/>
      </w:pPr>
      <w:r w:rsidRPr="001C06E6">
        <w:t>$67.0</w:t>
      </w:r>
      <w:r>
        <w:t> </w:t>
      </w:r>
      <w:r w:rsidRPr="001C06E6">
        <w:t xml:space="preserve">million over four years from </w:t>
      </w:r>
      <w:r>
        <w:t>2025–26</w:t>
      </w:r>
      <w:r w:rsidRPr="001C06E6">
        <w:t xml:space="preserve"> for the next phase of the </w:t>
      </w:r>
      <w:r w:rsidRPr="001C06E6">
        <w:rPr>
          <w:i/>
          <w:iCs/>
        </w:rPr>
        <w:t>Regional Drought Resilience Planning</w:t>
      </w:r>
      <w:r w:rsidRPr="001C06E6">
        <w:t xml:space="preserve"> program, with a greater focus on implementation of activities in</w:t>
      </w:r>
      <w:r w:rsidR="006F10F3">
        <w:t> </w:t>
      </w:r>
      <w:r w:rsidRPr="001C06E6">
        <w:t>plans</w:t>
      </w:r>
      <w:r>
        <w:t xml:space="preserve"> </w:t>
      </w:r>
    </w:p>
    <w:p w14:paraId="2E89A989" w14:textId="77777777" w:rsidR="0012790E" w:rsidRDefault="0012790E">
      <w:pPr>
        <w:pStyle w:val="Bullet"/>
      </w:pPr>
      <w:r w:rsidRPr="001C06E6">
        <w:t>$60.3</w:t>
      </w:r>
      <w:r>
        <w:t> </w:t>
      </w:r>
      <w:r w:rsidRPr="001C06E6">
        <w:t xml:space="preserve">million over six years from </w:t>
      </w:r>
      <w:r>
        <w:t>2024–25</w:t>
      </w:r>
      <w:r w:rsidRPr="001C06E6">
        <w:t xml:space="preserve"> to continue and expand the </w:t>
      </w:r>
      <w:r w:rsidRPr="001C06E6">
        <w:rPr>
          <w:i/>
          <w:iCs/>
        </w:rPr>
        <w:t>Long Term Trials</w:t>
      </w:r>
      <w:r w:rsidRPr="001C06E6">
        <w:t xml:space="preserve"> program to test drought and climate resilience farming practices and support the adoption of drought resilience innovations</w:t>
      </w:r>
      <w:r>
        <w:t xml:space="preserve"> </w:t>
      </w:r>
    </w:p>
    <w:p w14:paraId="7239A6FC" w14:textId="77777777" w:rsidR="0012790E" w:rsidRDefault="0012790E">
      <w:pPr>
        <w:pStyle w:val="Bullet"/>
      </w:pPr>
      <w:r w:rsidRPr="001C06E6">
        <w:lastRenderedPageBreak/>
        <w:t>$40.0</w:t>
      </w:r>
      <w:r>
        <w:t> </w:t>
      </w:r>
      <w:r w:rsidRPr="001C06E6">
        <w:t xml:space="preserve">million over six years from </w:t>
      </w:r>
      <w:r>
        <w:t>2024–25</w:t>
      </w:r>
      <w:r w:rsidRPr="001C06E6">
        <w:t xml:space="preserve"> for the Resilient Landscapes program to support trials and demonstrate how natural resources management practices contribute to drought and climate resilience</w:t>
      </w:r>
      <w:r>
        <w:t xml:space="preserve"> </w:t>
      </w:r>
    </w:p>
    <w:p w14:paraId="28C816EC" w14:textId="77777777" w:rsidR="0012790E" w:rsidRDefault="0012790E">
      <w:pPr>
        <w:pStyle w:val="Bullet"/>
      </w:pPr>
      <w:r w:rsidRPr="001C06E6">
        <w:t>$37.0</w:t>
      </w:r>
      <w:r>
        <w:t> </w:t>
      </w:r>
      <w:r w:rsidRPr="001C06E6">
        <w:t xml:space="preserve">million over three years from </w:t>
      </w:r>
      <w:r>
        <w:t>2025–26</w:t>
      </w:r>
      <w:r w:rsidRPr="001C06E6">
        <w:t xml:space="preserve"> for the new Scaling Success program to support previously funded Future Drought Fund projects that demonstrated successful drought and climate resilience outcomes</w:t>
      </w:r>
      <w:r>
        <w:t xml:space="preserve"> </w:t>
      </w:r>
    </w:p>
    <w:p w14:paraId="1F241B80" w14:textId="77777777" w:rsidR="0012790E" w:rsidRDefault="0012790E">
      <w:pPr>
        <w:pStyle w:val="Bullet"/>
      </w:pPr>
      <w:r w:rsidRPr="001C06E6">
        <w:t>$36.0</w:t>
      </w:r>
      <w:r>
        <w:t> </w:t>
      </w:r>
      <w:r w:rsidRPr="001C06E6">
        <w:t xml:space="preserve">million over four years from </w:t>
      </w:r>
      <w:r>
        <w:t>2024–25</w:t>
      </w:r>
      <w:r w:rsidRPr="001C06E6">
        <w:t xml:space="preserve"> for the Future Drought Fund Communities Program to support social resilience and the mental wellbeing of</w:t>
      </w:r>
      <w:r>
        <w:t xml:space="preserve"> </w:t>
      </w:r>
      <w:r w:rsidRPr="001C06E6">
        <w:t>farmers and communities</w:t>
      </w:r>
      <w:r>
        <w:t xml:space="preserve"> </w:t>
      </w:r>
    </w:p>
    <w:p w14:paraId="473FC714" w14:textId="77777777" w:rsidR="0012790E" w:rsidRDefault="0012790E">
      <w:pPr>
        <w:pStyle w:val="Bullet"/>
      </w:pPr>
      <w:r w:rsidRPr="001C06E6">
        <w:t>$20.0</w:t>
      </w:r>
      <w:r>
        <w:t> </w:t>
      </w:r>
      <w:r w:rsidRPr="001C06E6">
        <w:t xml:space="preserve">million over three years from </w:t>
      </w:r>
      <w:r>
        <w:t>2025–26</w:t>
      </w:r>
      <w:r w:rsidRPr="001C06E6">
        <w:t xml:space="preserve"> for the Innovation Challenges Pilot program to accelerate research and innovation in response to drought and climate challenges</w:t>
      </w:r>
      <w:r>
        <w:t xml:space="preserve"> </w:t>
      </w:r>
    </w:p>
    <w:p w14:paraId="74C53257" w14:textId="77777777" w:rsidR="0012790E" w:rsidRDefault="0012790E">
      <w:pPr>
        <w:pStyle w:val="Bullet"/>
      </w:pPr>
      <w:r w:rsidRPr="001C06E6">
        <w:t>$17.2</w:t>
      </w:r>
      <w:r>
        <w:t> </w:t>
      </w:r>
      <w:r w:rsidRPr="001C06E6">
        <w:t xml:space="preserve">million over four years from </w:t>
      </w:r>
      <w:r>
        <w:t>2024–25</w:t>
      </w:r>
      <w:r w:rsidRPr="001C06E6">
        <w:t xml:space="preserve"> to continue the </w:t>
      </w:r>
      <w:r w:rsidRPr="001C06E6">
        <w:rPr>
          <w:i/>
          <w:iCs/>
        </w:rPr>
        <w:t>Climate Services for Agriculture</w:t>
      </w:r>
      <w:r w:rsidRPr="001C06E6">
        <w:t xml:space="preserve"> program and the My Climate View online tool to provide accessible and tailored climate information for farmers and regional communities</w:t>
      </w:r>
      <w:r>
        <w:t xml:space="preserve"> </w:t>
      </w:r>
    </w:p>
    <w:p w14:paraId="4C2918E8" w14:textId="77777777" w:rsidR="0012790E" w:rsidRDefault="0012790E">
      <w:pPr>
        <w:pStyle w:val="Bullet"/>
      </w:pPr>
      <w:r w:rsidRPr="001C06E6">
        <w:t>$15.0</w:t>
      </w:r>
      <w:r>
        <w:t> </w:t>
      </w:r>
      <w:r w:rsidRPr="001C06E6">
        <w:t xml:space="preserve">million over four years from </w:t>
      </w:r>
      <w:r>
        <w:t>2024–25</w:t>
      </w:r>
      <w:r w:rsidRPr="001C06E6">
        <w:t xml:space="preserve"> to partner with First Nations people and communities to support connection to Country through the management of drought and climate risks</w:t>
      </w:r>
      <w:r>
        <w:t xml:space="preserve"> </w:t>
      </w:r>
    </w:p>
    <w:p w14:paraId="5FAD6C4C" w14:textId="77777777" w:rsidR="0012790E" w:rsidRDefault="0012790E">
      <w:pPr>
        <w:pStyle w:val="Bullet"/>
      </w:pPr>
      <w:r w:rsidRPr="001C06E6">
        <w:t>$11.4</w:t>
      </w:r>
      <w:r>
        <w:t> </w:t>
      </w:r>
      <w:r w:rsidRPr="001C06E6">
        <w:t xml:space="preserve">million over four years from </w:t>
      </w:r>
      <w:r>
        <w:t>2024–25</w:t>
      </w:r>
      <w:r w:rsidRPr="001C06E6">
        <w:t xml:space="preserve"> to support enabling and evaluation activities to deliver drought and climate resilience outcomes.</w:t>
      </w:r>
      <w:r>
        <w:t xml:space="preserve"> </w:t>
      </w:r>
    </w:p>
    <w:p w14:paraId="1B208EA8" w14:textId="77777777" w:rsidR="0012790E" w:rsidRDefault="0012790E">
      <w:pPr>
        <w:pStyle w:val="Normal2"/>
        <w:rPr>
          <w:rFonts w:cs="Book Antiqua"/>
        </w:rPr>
      </w:pPr>
      <w:r w:rsidRPr="001C06E6">
        <w:rPr>
          <w:rFonts w:cs="Book Antiqua"/>
        </w:rPr>
        <w:t>The Government will also provide $42.2</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for the</w:t>
      </w:r>
      <w:r>
        <w:rPr>
          <w:rFonts w:cs="Book Antiqua"/>
        </w:rPr>
        <w:t xml:space="preserve"> </w:t>
      </w:r>
      <w:r w:rsidRPr="001C06E6">
        <w:rPr>
          <w:rFonts w:cs="Book Antiqua"/>
        </w:rPr>
        <w:t>Department of Agriculture, Fisheries and Forestry to support the delivery of the Future</w:t>
      </w:r>
      <w:r>
        <w:rPr>
          <w:rFonts w:cs="Book Antiqua"/>
        </w:rPr>
        <w:t xml:space="preserve"> </w:t>
      </w:r>
      <w:r w:rsidRPr="001C06E6">
        <w:rPr>
          <w:rFonts w:cs="Book Antiqua"/>
        </w:rPr>
        <w:t>Drought Fund initiatives.</w:t>
      </w:r>
      <w:r>
        <w:rPr>
          <w:rFonts w:cs="Book Antiqua"/>
        </w:rPr>
        <w:t xml:space="preserve"> </w:t>
      </w:r>
    </w:p>
    <w:p w14:paraId="4B0D7DDA" w14:textId="77777777" w:rsidR="0012790E" w:rsidRPr="001C06E6" w:rsidRDefault="0012790E">
      <w:pPr>
        <w:pStyle w:val="MeasureTitle"/>
        <w:rPr>
          <w:b w:val="0"/>
          <w:bCs/>
        </w:rPr>
      </w:pPr>
      <w:r w:rsidRPr="001C06E6">
        <w:rPr>
          <w:bCs/>
        </w:rPr>
        <w:t>Phase Out of Live Sheep Exports by Sea – transition support</w:t>
      </w:r>
    </w:p>
    <w:p w14:paraId="5FA1DE39"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4241FFD5" w14:textId="77777777">
        <w:tc>
          <w:tcPr>
            <w:tcW w:w="2497" w:type="dxa"/>
            <w:tcBorders>
              <w:top w:val="single" w:sz="4" w:space="0" w:color="293F5B"/>
              <w:bottom w:val="single" w:sz="4" w:space="0" w:color="293F5B"/>
            </w:tcBorders>
            <w:shd w:val="clear" w:color="auto" w:fill="auto"/>
          </w:tcPr>
          <w:p w14:paraId="5FD71C3A"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A62D002"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BD2CEFF"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15BC031"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7E8CA14"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89D3688" w14:textId="77777777" w:rsidR="0012790E" w:rsidRPr="001C06E6" w:rsidRDefault="0012790E">
            <w:pPr>
              <w:pStyle w:val="MeasureTableYearHeadings"/>
              <w:keepNext/>
            </w:pPr>
            <w:r w:rsidRPr="001C06E6">
              <w:t>2027</w:t>
            </w:r>
            <w:r>
              <w:noBreakHyphen/>
            </w:r>
            <w:r w:rsidRPr="001C06E6">
              <w:t>28</w:t>
            </w:r>
          </w:p>
        </w:tc>
      </w:tr>
      <w:tr w:rsidR="00593916" w:rsidRPr="001C06E6" w14:paraId="55D57F05" w14:textId="77777777">
        <w:tc>
          <w:tcPr>
            <w:tcW w:w="2497" w:type="dxa"/>
            <w:tcBorders>
              <w:top w:val="single" w:sz="4" w:space="0" w:color="293F5B"/>
              <w:bottom w:val="single" w:sz="4" w:space="0" w:color="293F5B"/>
            </w:tcBorders>
            <w:shd w:val="clear" w:color="auto" w:fill="auto"/>
          </w:tcPr>
          <w:p w14:paraId="7900751A" w14:textId="77777777" w:rsidR="00593916" w:rsidRPr="001C06E6" w:rsidRDefault="00593916" w:rsidP="00593916">
            <w:pPr>
              <w:pStyle w:val="MeasureTableHeadingleftalignedwith2ptsspacing"/>
              <w:keepNext/>
            </w:pPr>
            <w:r>
              <w:t xml:space="preserve">Department of Agriculture, Fisheries and Forestry </w:t>
            </w:r>
          </w:p>
        </w:tc>
        <w:tc>
          <w:tcPr>
            <w:tcW w:w="1045" w:type="dxa"/>
            <w:tcBorders>
              <w:top w:val="single" w:sz="4" w:space="0" w:color="293F5B"/>
              <w:bottom w:val="single" w:sz="4" w:space="0" w:color="293F5B"/>
            </w:tcBorders>
            <w:shd w:val="clear" w:color="auto" w:fill="auto"/>
          </w:tcPr>
          <w:p w14:paraId="219967C6" w14:textId="66E69B74" w:rsidR="00593916" w:rsidRPr="001C06E6" w:rsidRDefault="00593916" w:rsidP="00593916">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52EDE30" w14:textId="37E69F36" w:rsidR="00593916" w:rsidRPr="001C06E6" w:rsidRDefault="00593916" w:rsidP="00593916">
            <w:pPr>
              <w:pStyle w:val="MeasureTableDataRightAlignedwith2ptsspacing"/>
              <w:keepNext/>
            </w:pPr>
            <w:r>
              <w:t xml:space="preserve">15.9 </w:t>
            </w:r>
          </w:p>
        </w:tc>
        <w:tc>
          <w:tcPr>
            <w:tcW w:w="1045" w:type="dxa"/>
            <w:tcBorders>
              <w:top w:val="single" w:sz="4" w:space="0" w:color="293F5B"/>
              <w:bottom w:val="single" w:sz="4" w:space="0" w:color="293F5B"/>
            </w:tcBorders>
            <w:shd w:val="clear" w:color="auto" w:fill="auto"/>
          </w:tcPr>
          <w:p w14:paraId="420EA750" w14:textId="2576ADF0" w:rsidR="00593916" w:rsidRPr="001C06E6" w:rsidRDefault="00593916" w:rsidP="00593916">
            <w:pPr>
              <w:pStyle w:val="MeasureTableDataRightAlignedwith2ptsspacing"/>
              <w:keepNext/>
            </w:pPr>
            <w:r>
              <w:t xml:space="preserve">25.5 </w:t>
            </w:r>
          </w:p>
        </w:tc>
        <w:tc>
          <w:tcPr>
            <w:tcW w:w="1045" w:type="dxa"/>
            <w:tcBorders>
              <w:top w:val="single" w:sz="4" w:space="0" w:color="293F5B"/>
              <w:bottom w:val="single" w:sz="4" w:space="0" w:color="293F5B"/>
            </w:tcBorders>
            <w:shd w:val="clear" w:color="auto" w:fill="auto"/>
          </w:tcPr>
          <w:p w14:paraId="473573AA" w14:textId="54FBA96D" w:rsidR="00593916" w:rsidRPr="001C06E6" w:rsidRDefault="00593916" w:rsidP="00593916">
            <w:pPr>
              <w:pStyle w:val="MeasureTableDataRightAlignedwith2ptsspacing"/>
              <w:keepNext/>
            </w:pPr>
            <w:r>
              <w:t xml:space="preserve">24.1 </w:t>
            </w:r>
          </w:p>
        </w:tc>
        <w:tc>
          <w:tcPr>
            <w:tcW w:w="1045" w:type="dxa"/>
            <w:tcBorders>
              <w:top w:val="single" w:sz="4" w:space="0" w:color="293F5B"/>
              <w:bottom w:val="single" w:sz="4" w:space="0" w:color="293F5B"/>
            </w:tcBorders>
            <w:shd w:val="clear" w:color="auto" w:fill="auto"/>
          </w:tcPr>
          <w:p w14:paraId="68A32529" w14:textId="559FA140" w:rsidR="00593916" w:rsidRPr="001C06E6" w:rsidRDefault="00593916" w:rsidP="00593916">
            <w:pPr>
              <w:pStyle w:val="MeasureTableDataRightAlignedwith2ptsspacing"/>
              <w:keepNext/>
            </w:pPr>
            <w:r>
              <w:t xml:space="preserve">21.5 </w:t>
            </w:r>
          </w:p>
        </w:tc>
      </w:tr>
      <w:tr w:rsidR="0012790E" w:rsidRPr="001C06E6" w14:paraId="130BFF83" w14:textId="77777777">
        <w:tc>
          <w:tcPr>
            <w:tcW w:w="2497" w:type="dxa"/>
            <w:tcBorders>
              <w:top w:val="single" w:sz="4" w:space="0" w:color="293F5B"/>
              <w:bottom w:val="single" w:sz="4" w:space="0" w:color="293F5B"/>
            </w:tcBorders>
            <w:shd w:val="clear" w:color="auto" w:fill="auto"/>
          </w:tcPr>
          <w:p w14:paraId="7A76B695"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3747752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B6733B6" w14:textId="67F9E83E" w:rsidR="0012790E" w:rsidRPr="001C06E6" w:rsidRDefault="002E7729">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5137AA54" w14:textId="794F841D" w:rsidR="0012790E" w:rsidRPr="001C06E6" w:rsidRDefault="002E7729">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5F8E30D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CF52151" w14:textId="77777777" w:rsidR="0012790E" w:rsidRPr="001C06E6" w:rsidRDefault="0012790E">
            <w:pPr>
              <w:pStyle w:val="MeasureTableDataRightAlignedwith2ptsspacing"/>
              <w:keepNext/>
            </w:pPr>
            <w:r w:rsidRPr="001C06E6">
              <w:t>-</w:t>
            </w:r>
          </w:p>
        </w:tc>
      </w:tr>
      <w:tr w:rsidR="0012790E" w:rsidRPr="001C06E6" w14:paraId="2384B9C2" w14:textId="77777777">
        <w:tc>
          <w:tcPr>
            <w:tcW w:w="2497" w:type="dxa"/>
            <w:tcBorders>
              <w:top w:val="single" w:sz="4" w:space="0" w:color="293F5B"/>
              <w:bottom w:val="single" w:sz="4" w:space="0" w:color="293F5B"/>
            </w:tcBorders>
            <w:shd w:val="clear" w:color="auto" w:fill="auto"/>
          </w:tcPr>
          <w:p w14:paraId="4E560B66" w14:textId="77777777" w:rsidR="0012790E" w:rsidRPr="001C06E6" w:rsidRDefault="0012790E">
            <w:pPr>
              <w:pStyle w:val="MeasureTableHeadingleftalignedwith2ptsspacing"/>
              <w:keepNext/>
            </w:pPr>
            <w:r>
              <w:t xml:space="preserve">Australian Trade and Investment Commission </w:t>
            </w:r>
          </w:p>
        </w:tc>
        <w:tc>
          <w:tcPr>
            <w:tcW w:w="1045" w:type="dxa"/>
            <w:tcBorders>
              <w:top w:val="single" w:sz="4" w:space="0" w:color="293F5B"/>
              <w:bottom w:val="single" w:sz="4" w:space="0" w:color="293F5B"/>
            </w:tcBorders>
            <w:shd w:val="clear" w:color="auto" w:fill="auto"/>
          </w:tcPr>
          <w:p w14:paraId="5600147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C1E9703" w14:textId="77777777" w:rsidR="0012790E" w:rsidRPr="001C06E6" w:rsidRDefault="0012790E">
            <w:pPr>
              <w:pStyle w:val="MeasureTableDataRightAlignedwith2ptsspacing"/>
              <w:keepNext/>
            </w:pPr>
            <w:r>
              <w:t xml:space="preserve">3.0 </w:t>
            </w:r>
          </w:p>
        </w:tc>
        <w:tc>
          <w:tcPr>
            <w:tcW w:w="1045" w:type="dxa"/>
            <w:tcBorders>
              <w:top w:val="single" w:sz="4" w:space="0" w:color="293F5B"/>
              <w:bottom w:val="single" w:sz="4" w:space="0" w:color="293F5B"/>
            </w:tcBorders>
            <w:shd w:val="clear" w:color="auto" w:fill="auto"/>
          </w:tcPr>
          <w:p w14:paraId="1C943040" w14:textId="77777777" w:rsidR="0012790E" w:rsidRPr="001C06E6" w:rsidRDefault="0012790E">
            <w:pPr>
              <w:pStyle w:val="MeasureTableDataRightAlignedwith2ptsspacing"/>
              <w:keepNext/>
            </w:pPr>
            <w:r>
              <w:t xml:space="preserve">3.0 </w:t>
            </w:r>
          </w:p>
        </w:tc>
        <w:tc>
          <w:tcPr>
            <w:tcW w:w="1045" w:type="dxa"/>
            <w:tcBorders>
              <w:top w:val="single" w:sz="4" w:space="0" w:color="293F5B"/>
              <w:bottom w:val="single" w:sz="4" w:space="0" w:color="293F5B"/>
            </w:tcBorders>
            <w:shd w:val="clear" w:color="auto" w:fill="auto"/>
          </w:tcPr>
          <w:p w14:paraId="7C0BB8C6" w14:textId="77777777" w:rsidR="0012790E" w:rsidRPr="001C06E6" w:rsidRDefault="0012790E">
            <w:pPr>
              <w:pStyle w:val="MeasureTableDataRightAlignedwith2ptsspacing"/>
              <w:keepNext/>
            </w:pPr>
            <w:r>
              <w:t xml:space="preserve">3.1 </w:t>
            </w:r>
          </w:p>
        </w:tc>
        <w:tc>
          <w:tcPr>
            <w:tcW w:w="1045" w:type="dxa"/>
            <w:tcBorders>
              <w:top w:val="single" w:sz="4" w:space="0" w:color="293F5B"/>
              <w:bottom w:val="single" w:sz="4" w:space="0" w:color="293F5B"/>
            </w:tcBorders>
            <w:shd w:val="clear" w:color="auto" w:fill="auto"/>
          </w:tcPr>
          <w:p w14:paraId="68BC869A" w14:textId="77777777" w:rsidR="0012790E" w:rsidRPr="001C06E6" w:rsidRDefault="0012790E">
            <w:pPr>
              <w:pStyle w:val="MeasureTableDataRightAlignedwith2ptsspacing"/>
              <w:keepNext/>
            </w:pPr>
            <w:r>
              <w:t xml:space="preserve">- </w:t>
            </w:r>
          </w:p>
        </w:tc>
      </w:tr>
      <w:tr w:rsidR="0012790E" w:rsidRPr="001C06E6" w14:paraId="1823652B" w14:textId="77777777">
        <w:tc>
          <w:tcPr>
            <w:tcW w:w="2497" w:type="dxa"/>
            <w:tcBorders>
              <w:top w:val="single" w:sz="4" w:space="0" w:color="293F5B"/>
              <w:bottom w:val="single" w:sz="4" w:space="0" w:color="293F5B"/>
            </w:tcBorders>
            <w:shd w:val="clear" w:color="auto" w:fill="auto"/>
          </w:tcPr>
          <w:p w14:paraId="38EA64F7"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13303BFD"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C7A0DBC" w14:textId="77777777" w:rsidR="0012790E" w:rsidRPr="001C06E6" w:rsidRDefault="0012790E">
            <w:pPr>
              <w:pStyle w:val="Totaldatarowrightaligned"/>
              <w:keepNext/>
            </w:pPr>
            <w:r w:rsidRPr="001C06E6">
              <w:t>18.9</w:t>
            </w:r>
          </w:p>
        </w:tc>
        <w:tc>
          <w:tcPr>
            <w:tcW w:w="1045" w:type="dxa"/>
            <w:tcBorders>
              <w:top w:val="single" w:sz="4" w:space="0" w:color="293F5B"/>
              <w:bottom w:val="single" w:sz="4" w:space="0" w:color="293F5B"/>
            </w:tcBorders>
            <w:shd w:val="clear" w:color="auto" w:fill="auto"/>
          </w:tcPr>
          <w:p w14:paraId="316DC14F" w14:textId="77777777" w:rsidR="0012790E" w:rsidRPr="001C06E6" w:rsidRDefault="0012790E">
            <w:pPr>
              <w:pStyle w:val="Totaldatarowrightaligned"/>
              <w:keepNext/>
            </w:pPr>
            <w:r w:rsidRPr="001C06E6">
              <w:t>28.5</w:t>
            </w:r>
          </w:p>
        </w:tc>
        <w:tc>
          <w:tcPr>
            <w:tcW w:w="1045" w:type="dxa"/>
            <w:tcBorders>
              <w:top w:val="single" w:sz="4" w:space="0" w:color="293F5B"/>
              <w:bottom w:val="single" w:sz="4" w:space="0" w:color="293F5B"/>
            </w:tcBorders>
            <w:shd w:val="clear" w:color="auto" w:fill="auto"/>
          </w:tcPr>
          <w:p w14:paraId="5A9DCFA3" w14:textId="77777777" w:rsidR="0012790E" w:rsidRPr="001C06E6" w:rsidRDefault="0012790E">
            <w:pPr>
              <w:pStyle w:val="Totaldatarowrightaligned"/>
              <w:keepNext/>
            </w:pPr>
            <w:r w:rsidRPr="001C06E6">
              <w:t>27.1</w:t>
            </w:r>
          </w:p>
        </w:tc>
        <w:tc>
          <w:tcPr>
            <w:tcW w:w="1045" w:type="dxa"/>
            <w:tcBorders>
              <w:top w:val="single" w:sz="4" w:space="0" w:color="293F5B"/>
              <w:bottom w:val="single" w:sz="4" w:space="0" w:color="293F5B"/>
            </w:tcBorders>
            <w:shd w:val="clear" w:color="auto" w:fill="auto"/>
          </w:tcPr>
          <w:p w14:paraId="7333752E" w14:textId="77777777" w:rsidR="0012790E" w:rsidRPr="001C06E6" w:rsidRDefault="0012790E">
            <w:pPr>
              <w:pStyle w:val="Totaldatarowrightaligned"/>
              <w:keepNext/>
            </w:pPr>
            <w:r w:rsidRPr="001C06E6">
              <w:t>21.5</w:t>
            </w:r>
          </w:p>
        </w:tc>
      </w:tr>
    </w:tbl>
    <w:p w14:paraId="20ECD50D"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38B61091" w14:textId="77777777" w:rsidR="0012790E" w:rsidRDefault="0012790E">
      <w:pPr>
        <w:pStyle w:val="Normal2"/>
        <w:rPr>
          <w:rFonts w:cs="Book Antiqua"/>
        </w:rPr>
      </w:pPr>
      <w:r w:rsidRPr="001C06E6">
        <w:rPr>
          <w:rFonts w:cs="Book Antiqua"/>
        </w:rPr>
        <w:t>The Government will provide $107.0</w:t>
      </w:r>
      <w:r>
        <w:rPr>
          <w:rFonts w:cs="Book Antiqua"/>
        </w:rPr>
        <w:t> </w:t>
      </w:r>
      <w:r w:rsidRPr="001C06E6">
        <w:rPr>
          <w:rFonts w:cs="Book Antiqua"/>
        </w:rPr>
        <w:t xml:space="preserve">million over five years from </w:t>
      </w:r>
      <w:r>
        <w:rPr>
          <w:rFonts w:cs="Book Antiqua"/>
        </w:rPr>
        <w:t>2024–25</w:t>
      </w:r>
      <w:r w:rsidRPr="001C06E6">
        <w:rPr>
          <w:rFonts w:cs="Book Antiqua"/>
        </w:rPr>
        <w:t xml:space="preserve"> for a suite of</w:t>
      </w:r>
      <w:r>
        <w:rPr>
          <w:rFonts w:cs="Book Antiqua"/>
        </w:rPr>
        <w:t xml:space="preserve"> </w:t>
      </w:r>
      <w:r w:rsidRPr="001C06E6">
        <w:rPr>
          <w:rFonts w:cs="Book Antiqua"/>
        </w:rPr>
        <w:t>actions for sheep producers and the supply chain, market development, sheep</w:t>
      </w:r>
      <w:r>
        <w:rPr>
          <w:rFonts w:cs="Book Antiqua"/>
        </w:rPr>
        <w:t xml:space="preserve"> </w:t>
      </w:r>
      <w:r w:rsidRPr="001C06E6">
        <w:rPr>
          <w:rFonts w:cs="Book Antiqua"/>
        </w:rPr>
        <w:t>welfare, implementation and engagement to support an orderly phase out of live</w:t>
      </w:r>
      <w:r>
        <w:rPr>
          <w:rFonts w:cs="Book Antiqua"/>
        </w:rPr>
        <w:t xml:space="preserve"> </w:t>
      </w:r>
      <w:r w:rsidRPr="001C06E6">
        <w:rPr>
          <w:rFonts w:cs="Book Antiqua"/>
        </w:rPr>
        <w:t>sheep exports by sea, so that individuals, supply chain businesses and communities</w:t>
      </w:r>
      <w:r>
        <w:rPr>
          <w:rFonts w:cs="Book Antiqua"/>
        </w:rPr>
        <w:t xml:space="preserve"> </w:t>
      </w:r>
      <w:r w:rsidRPr="001C06E6">
        <w:rPr>
          <w:rFonts w:cs="Book Antiqua"/>
        </w:rPr>
        <w:t>are well positioned and ready when the trade ends. Funding includes:</w:t>
      </w:r>
    </w:p>
    <w:p w14:paraId="3BA65109" w14:textId="564E0F31" w:rsidR="0012790E" w:rsidRDefault="0012790E">
      <w:pPr>
        <w:pStyle w:val="Bullet"/>
      </w:pPr>
      <w:r w:rsidRPr="001C06E6">
        <w:lastRenderedPageBreak/>
        <w:t>$64.6</w:t>
      </w:r>
      <w:r>
        <w:t> </w:t>
      </w:r>
      <w:r w:rsidRPr="001C06E6">
        <w:t xml:space="preserve">million to </w:t>
      </w:r>
      <w:r w:rsidR="00F175BE">
        <w:t xml:space="preserve">assist </w:t>
      </w:r>
      <w:r w:rsidRPr="001C06E6">
        <w:t xml:space="preserve">sheep producers and the supply chain, particularly in Western Australia, to capitalise on </w:t>
      </w:r>
      <w:r w:rsidR="004957F7">
        <w:t xml:space="preserve">existing and </w:t>
      </w:r>
      <w:r w:rsidRPr="001C06E6">
        <w:t>emerging opportunities so that they are well positioned when the trade ends, including for businesses to plan and implement transition actions, expansion of domestic sheep processing capacity, support for community wellbeing activities and additional rural financial counsellors</w:t>
      </w:r>
      <w:r>
        <w:t xml:space="preserve"> </w:t>
      </w:r>
    </w:p>
    <w:p w14:paraId="767F8F3F" w14:textId="77777777" w:rsidR="0012790E" w:rsidRDefault="0012790E">
      <w:pPr>
        <w:pStyle w:val="Bullet"/>
      </w:pPr>
      <w:r w:rsidRPr="001C06E6">
        <w:t>$27.0</w:t>
      </w:r>
      <w:r>
        <w:t> </w:t>
      </w:r>
      <w:r w:rsidRPr="001C06E6">
        <w:t>million to enhance demand within Australia and internationally for sheep products and to maintain and develop market opportunities with a range of delivery partners, including Austrade. This funding will support activities such as market analyses, consumer studies, product promotions and building business relationships, and enable Agricultural Counsellors and Austrade to support diverse trade to the Middle East and North Africa region</w:t>
      </w:r>
      <w:r>
        <w:t xml:space="preserve"> </w:t>
      </w:r>
    </w:p>
    <w:p w14:paraId="16A760F2" w14:textId="0BA9AEE9" w:rsidR="0012790E" w:rsidRDefault="0012790E">
      <w:pPr>
        <w:pStyle w:val="Bullet"/>
      </w:pPr>
      <w:r w:rsidRPr="001C06E6">
        <w:t>$11.0</w:t>
      </w:r>
      <w:r>
        <w:t> </w:t>
      </w:r>
      <w:r w:rsidRPr="001C06E6">
        <w:t xml:space="preserve">million </w:t>
      </w:r>
      <w:r w:rsidR="00514234">
        <w:t>for</w:t>
      </w:r>
      <w:r w:rsidRPr="001C06E6">
        <w:t xml:space="preserve"> the implementation of the phase out, including a stocktake of transition progress in </w:t>
      </w:r>
      <w:r>
        <w:t>2026–27</w:t>
      </w:r>
      <w:r w:rsidRPr="001C06E6">
        <w:t xml:space="preserve"> and continued engagement with</w:t>
      </w:r>
      <w:r>
        <w:t xml:space="preserve"> </w:t>
      </w:r>
      <w:r w:rsidRPr="001C06E6">
        <w:t>industry, communities, trading partners and other stakeholders</w:t>
      </w:r>
      <w:r>
        <w:t xml:space="preserve"> </w:t>
      </w:r>
    </w:p>
    <w:p w14:paraId="2E3EDD89" w14:textId="40BB67F1" w:rsidR="0012790E" w:rsidRDefault="0012790E">
      <w:pPr>
        <w:pStyle w:val="Bullet"/>
      </w:pPr>
      <w:r w:rsidRPr="001C06E6">
        <w:t>$2.6</w:t>
      </w:r>
      <w:r>
        <w:t> </w:t>
      </w:r>
      <w:r w:rsidRPr="001C06E6">
        <w:t xml:space="preserve">million to continue to improve sheep welfare standards </w:t>
      </w:r>
      <w:r w:rsidR="00514234">
        <w:t>so that they are practical and</w:t>
      </w:r>
      <w:r w:rsidRPr="001C06E6">
        <w:t xml:space="preserve"> meet community expectations and for Australia to enhance its engagement in the World Organisation for Animal Health </w:t>
      </w:r>
    </w:p>
    <w:p w14:paraId="3CC59E65" w14:textId="40D08DC8" w:rsidR="0012790E" w:rsidRDefault="0012790E">
      <w:pPr>
        <w:pStyle w:val="Bullet"/>
      </w:pPr>
      <w:r w:rsidRPr="001C06E6">
        <w:t>$1.7</w:t>
      </w:r>
      <w:r>
        <w:t> </w:t>
      </w:r>
      <w:r w:rsidRPr="001C06E6">
        <w:t xml:space="preserve">million to appoint a Transition Advocate to </w:t>
      </w:r>
      <w:r w:rsidR="00514234">
        <w:t>facilitate</w:t>
      </w:r>
      <w:r w:rsidR="00514234" w:rsidRPr="001C06E6">
        <w:t xml:space="preserve"> </w:t>
      </w:r>
      <w:r w:rsidRPr="001C06E6">
        <w:t>two</w:t>
      </w:r>
      <w:r>
        <w:noBreakHyphen/>
      </w:r>
      <w:r w:rsidRPr="001C06E6">
        <w:t>way communication between industry and government, information to industry about the transition plan and associated support, and advice to government on how the transition is progressing</w:t>
      </w:r>
      <w:r w:rsidR="004A5CC0">
        <w:t>.</w:t>
      </w:r>
      <w:r>
        <w:t xml:space="preserve"> </w:t>
      </w:r>
    </w:p>
    <w:p w14:paraId="045A696E" w14:textId="5BF9400B" w:rsidR="0012790E" w:rsidRDefault="0012790E">
      <w:pPr>
        <w:pStyle w:val="Normal2"/>
        <w:rPr>
          <w:rFonts w:cs="Book Antiqua"/>
        </w:rPr>
      </w:pPr>
      <w:r w:rsidRPr="001C06E6">
        <w:rPr>
          <w:rFonts w:cs="Book Antiqua"/>
        </w:rPr>
        <w:t>Partial funding for this measure will be held in the Contingency Reserve until final</w:t>
      </w:r>
      <w:r>
        <w:rPr>
          <w:rFonts w:cs="Book Antiqua"/>
        </w:rPr>
        <w:t xml:space="preserve"> </w:t>
      </w:r>
      <w:r w:rsidRPr="001C06E6">
        <w:rPr>
          <w:rFonts w:cs="Book Antiqua"/>
        </w:rPr>
        <w:t>design and delivery options are settled</w:t>
      </w:r>
      <w:r w:rsidR="004A5CC0">
        <w:rPr>
          <w:rFonts w:cs="Book Antiqua"/>
        </w:rPr>
        <w:t>.</w:t>
      </w:r>
    </w:p>
    <w:p w14:paraId="1B8B412F" w14:textId="5BA18A4B" w:rsidR="0012790E" w:rsidRDefault="0012790E">
      <w:pPr>
        <w:pStyle w:val="Normal2"/>
        <w:rPr>
          <w:rFonts w:cs="Book Antiqua"/>
        </w:rPr>
      </w:pPr>
      <w:r w:rsidRPr="001C06E6">
        <w:rPr>
          <w:rFonts w:cs="Book Antiqua"/>
        </w:rPr>
        <w:t>The measure includes $9.4</w:t>
      </w:r>
      <w:r>
        <w:rPr>
          <w:rFonts w:cs="Book Antiqua"/>
        </w:rPr>
        <w:t> </w:t>
      </w:r>
      <w:r w:rsidRPr="001C06E6">
        <w:rPr>
          <w:rFonts w:cs="Book Antiqua"/>
        </w:rPr>
        <w:t>million already provided for by the Government and builds</w:t>
      </w:r>
      <w:r>
        <w:rPr>
          <w:rFonts w:cs="Book Antiqua"/>
        </w:rPr>
        <w:t xml:space="preserve"> </w:t>
      </w:r>
      <w:r w:rsidRPr="001C06E6">
        <w:rPr>
          <w:rFonts w:cs="Book Antiqua"/>
        </w:rPr>
        <w:t xml:space="preserve">on the </w:t>
      </w:r>
      <w:r>
        <w:rPr>
          <w:rFonts w:cs="Book Antiqua"/>
        </w:rPr>
        <w:t>2023–24 </w:t>
      </w:r>
      <w:r w:rsidRPr="001C06E6">
        <w:rPr>
          <w:rFonts w:cs="Book Antiqua"/>
        </w:rPr>
        <w:t xml:space="preserve">Budget measure titled </w:t>
      </w:r>
      <w:r w:rsidRPr="001C06E6">
        <w:rPr>
          <w:rFonts w:cs="Book Antiqua"/>
          <w:i/>
          <w:iCs/>
        </w:rPr>
        <w:t xml:space="preserve">Phase Out of Live Sheep Exports by Sea </w:t>
      </w:r>
      <w:r w:rsidR="003B1164">
        <w:rPr>
          <w:rFonts w:cs="Book Antiqua"/>
          <w:i/>
          <w:iCs/>
        </w:rPr>
        <w:t>–</w:t>
      </w:r>
      <w:r>
        <w:rPr>
          <w:rFonts w:cs="Book Antiqua"/>
          <w:i/>
          <w:iCs/>
        </w:rPr>
        <w:t xml:space="preserve"> </w:t>
      </w:r>
      <w:r w:rsidRPr="001C06E6">
        <w:rPr>
          <w:rFonts w:cs="Book Antiqua"/>
          <w:i/>
          <w:iCs/>
        </w:rPr>
        <w:t>independent panel</w:t>
      </w:r>
      <w:r w:rsidRPr="001C06E6">
        <w:rPr>
          <w:rFonts w:cs="Book Antiqua"/>
        </w:rPr>
        <w:t>.</w:t>
      </w:r>
      <w:r>
        <w:rPr>
          <w:rFonts w:cs="Book Antiqua"/>
        </w:rPr>
        <w:t xml:space="preserve"> </w:t>
      </w:r>
    </w:p>
    <w:p w14:paraId="48505F99" w14:textId="77777777" w:rsidR="0012790E" w:rsidRDefault="0012790E">
      <w:pPr>
        <w:pStyle w:val="PortfolioName"/>
        <w:rPr>
          <w:bCs/>
          <w:szCs w:val="26"/>
        </w:rPr>
        <w:sectPr w:rsidR="0012790E" w:rsidSect="00EA5BFE">
          <w:headerReference w:type="even" r:id="rId131"/>
          <w:headerReference w:type="default" r:id="rId132"/>
          <w:footerReference w:type="even" r:id="rId133"/>
          <w:footerReference w:type="default" r:id="rId134"/>
          <w:footerReference w:type="first" r:id="rId135"/>
          <w:pgSz w:w="11905" w:h="16837"/>
          <w:pgMar w:top="2835" w:right="2098" w:bottom="2466" w:left="2098" w:header="1814" w:footer="1814" w:gutter="0"/>
          <w:cols w:space="720"/>
          <w:noEndnote/>
          <w:docGrid w:linePitch="272"/>
        </w:sectPr>
      </w:pPr>
    </w:p>
    <w:p w14:paraId="4E703AE9" w14:textId="77777777" w:rsidR="0012790E" w:rsidRPr="001C06E6" w:rsidRDefault="0012790E">
      <w:pPr>
        <w:pStyle w:val="PortfolioName"/>
      </w:pPr>
      <w:r w:rsidRPr="54937204">
        <w:rPr>
          <w:lang w:val="en-US"/>
        </w:rPr>
        <w:lastRenderedPageBreak/>
        <w:t>Attorney</w:t>
      </w:r>
      <w:r>
        <w:rPr>
          <w:bCs/>
          <w:szCs w:val="26"/>
        </w:rPr>
        <w:noBreakHyphen/>
      </w:r>
      <w:r w:rsidRPr="54937204">
        <w:rPr>
          <w:lang w:val="en-US"/>
        </w:rPr>
        <w:t>General's</w:t>
      </w:r>
    </w:p>
    <w:p w14:paraId="4290DDAD" w14:textId="77777777" w:rsidR="0012790E" w:rsidRPr="001C06E6" w:rsidRDefault="0012790E">
      <w:pPr>
        <w:pStyle w:val="MeasureTitle"/>
      </w:pPr>
      <w:r w:rsidRPr="54937204">
        <w:rPr>
          <w:lang w:val="en-US"/>
        </w:rPr>
        <w:t>Anti</w:t>
      </w:r>
      <w:r>
        <w:rPr>
          <w:bCs/>
        </w:rPr>
        <w:noBreakHyphen/>
      </w:r>
      <w:r w:rsidRPr="54937204">
        <w:rPr>
          <w:lang w:val="en-US"/>
        </w:rPr>
        <w:t>Money Laundering and Counter</w:t>
      </w:r>
      <w:r>
        <w:rPr>
          <w:bCs/>
        </w:rPr>
        <w:noBreakHyphen/>
      </w:r>
      <w:r w:rsidRPr="54937204">
        <w:rPr>
          <w:lang w:val="en-US"/>
        </w:rPr>
        <w:t>Terrorism Financing Reform</w:t>
      </w:r>
    </w:p>
    <w:p w14:paraId="4A95184E"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80C7500" w14:textId="77777777">
        <w:tc>
          <w:tcPr>
            <w:tcW w:w="2497" w:type="dxa"/>
            <w:tcBorders>
              <w:top w:val="single" w:sz="4" w:space="0" w:color="293F5B"/>
              <w:bottom w:val="single" w:sz="4" w:space="0" w:color="293F5B"/>
            </w:tcBorders>
            <w:shd w:val="clear" w:color="auto" w:fill="auto"/>
          </w:tcPr>
          <w:p w14:paraId="54D235BC"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F645F7D"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8B0115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4596ACD2"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070C92F"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1E2E232" w14:textId="77777777" w:rsidR="0012790E" w:rsidRPr="001C06E6" w:rsidRDefault="0012790E">
            <w:pPr>
              <w:pStyle w:val="MeasureTableYearHeadings"/>
              <w:keepNext/>
            </w:pPr>
            <w:r w:rsidRPr="001C06E6">
              <w:t>2027</w:t>
            </w:r>
            <w:r>
              <w:noBreakHyphen/>
            </w:r>
            <w:r w:rsidRPr="001C06E6">
              <w:t>28</w:t>
            </w:r>
          </w:p>
        </w:tc>
      </w:tr>
      <w:tr w:rsidR="0012790E" w:rsidRPr="001C06E6" w14:paraId="2E16DB7D" w14:textId="77777777">
        <w:tc>
          <w:tcPr>
            <w:tcW w:w="2497" w:type="dxa"/>
            <w:tcBorders>
              <w:top w:val="single" w:sz="4" w:space="0" w:color="293F5B"/>
              <w:bottom w:val="single" w:sz="4" w:space="0" w:color="293F5B"/>
            </w:tcBorders>
            <w:shd w:val="clear" w:color="auto" w:fill="auto"/>
          </w:tcPr>
          <w:p w14:paraId="50F15CDD" w14:textId="77777777" w:rsidR="0012790E" w:rsidRPr="001C06E6" w:rsidRDefault="0012790E">
            <w:pPr>
              <w:pStyle w:val="MeasureTableHeadingleftalignedwith2ptsspacing"/>
              <w:keepNext/>
            </w:pPr>
            <w:r>
              <w:t xml:space="preserve">Australian Transaction Reports and Analysis Centre </w:t>
            </w:r>
          </w:p>
        </w:tc>
        <w:tc>
          <w:tcPr>
            <w:tcW w:w="1045" w:type="dxa"/>
            <w:tcBorders>
              <w:top w:val="single" w:sz="4" w:space="0" w:color="293F5B"/>
              <w:bottom w:val="single" w:sz="4" w:space="0" w:color="293F5B"/>
            </w:tcBorders>
            <w:shd w:val="clear" w:color="auto" w:fill="auto"/>
          </w:tcPr>
          <w:p w14:paraId="5684584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E3BC5BB" w14:textId="77777777" w:rsidR="0012790E" w:rsidRPr="001C06E6" w:rsidRDefault="0012790E">
            <w:pPr>
              <w:pStyle w:val="MeasureTableDataRightAlignedwith2ptsspacing"/>
              <w:keepNext/>
            </w:pPr>
            <w:r>
              <w:t xml:space="preserve">47.6 </w:t>
            </w:r>
          </w:p>
        </w:tc>
        <w:tc>
          <w:tcPr>
            <w:tcW w:w="1045" w:type="dxa"/>
            <w:tcBorders>
              <w:top w:val="single" w:sz="4" w:space="0" w:color="293F5B"/>
              <w:bottom w:val="single" w:sz="4" w:space="0" w:color="293F5B"/>
            </w:tcBorders>
            <w:shd w:val="clear" w:color="auto" w:fill="auto"/>
          </w:tcPr>
          <w:p w14:paraId="461D6F46" w14:textId="4F5BFE5C" w:rsidR="0012790E" w:rsidRPr="001C06E6" w:rsidRDefault="00105A62">
            <w:pPr>
              <w:pStyle w:val="MeasureTableDataRightAlignedwith2ptsspacing"/>
              <w:keepNext/>
            </w:pPr>
            <w:r>
              <w:t>113.</w:t>
            </w:r>
            <w:r w:rsidR="00DD77F0">
              <w:t>2</w:t>
            </w:r>
            <w:r>
              <w:t xml:space="preserve"> </w:t>
            </w:r>
          </w:p>
        </w:tc>
        <w:tc>
          <w:tcPr>
            <w:tcW w:w="1045" w:type="dxa"/>
            <w:tcBorders>
              <w:top w:val="single" w:sz="4" w:space="0" w:color="293F5B"/>
              <w:bottom w:val="single" w:sz="4" w:space="0" w:color="293F5B"/>
            </w:tcBorders>
            <w:shd w:val="clear" w:color="auto" w:fill="auto"/>
          </w:tcPr>
          <w:p w14:paraId="7242B02F"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36E0087" w14:textId="77777777" w:rsidR="0012790E" w:rsidRPr="001C06E6" w:rsidRDefault="0012790E">
            <w:pPr>
              <w:pStyle w:val="MeasureTableDataRightAlignedwith2ptsspacing"/>
              <w:keepNext/>
            </w:pPr>
            <w:r>
              <w:t xml:space="preserve">- </w:t>
            </w:r>
          </w:p>
        </w:tc>
      </w:tr>
      <w:tr w:rsidR="0012790E" w:rsidRPr="001C06E6" w14:paraId="4B5F36EC" w14:textId="77777777">
        <w:tc>
          <w:tcPr>
            <w:tcW w:w="2497" w:type="dxa"/>
            <w:tcBorders>
              <w:top w:val="single" w:sz="4" w:space="0" w:color="293F5B"/>
              <w:bottom w:val="single" w:sz="4" w:space="0" w:color="293F5B"/>
            </w:tcBorders>
            <w:shd w:val="clear" w:color="auto" w:fill="auto"/>
          </w:tcPr>
          <w:p w14:paraId="3DEF16D6" w14:textId="77777777" w:rsidR="0012790E" w:rsidRPr="001C06E6" w:rsidRDefault="0012790E">
            <w:pPr>
              <w:pStyle w:val="MeasureTableHeadingleftalignedwith2ptsspacing"/>
              <w:keepNext/>
            </w:pPr>
            <w:r w:rsidRPr="001C06E6">
              <w:t>Attorney</w:t>
            </w:r>
            <w:r>
              <w:noBreakHyphen/>
            </w:r>
            <w:r w:rsidRPr="001C06E6">
              <w:t>General's Department</w:t>
            </w:r>
          </w:p>
        </w:tc>
        <w:tc>
          <w:tcPr>
            <w:tcW w:w="1045" w:type="dxa"/>
            <w:tcBorders>
              <w:top w:val="single" w:sz="4" w:space="0" w:color="293F5B"/>
              <w:bottom w:val="single" w:sz="4" w:space="0" w:color="293F5B"/>
            </w:tcBorders>
            <w:shd w:val="clear" w:color="auto" w:fill="auto"/>
          </w:tcPr>
          <w:p w14:paraId="184BF41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4DF38B2" w14:textId="77777777" w:rsidR="0012790E" w:rsidRPr="001C06E6" w:rsidRDefault="0012790E">
            <w:pPr>
              <w:pStyle w:val="MeasureTableDataRightAlignedwith2ptsspacing"/>
              <w:keepNext/>
            </w:pPr>
            <w:r w:rsidRPr="001C06E6">
              <w:t>1.7</w:t>
            </w:r>
          </w:p>
        </w:tc>
        <w:tc>
          <w:tcPr>
            <w:tcW w:w="1045" w:type="dxa"/>
            <w:tcBorders>
              <w:top w:val="single" w:sz="4" w:space="0" w:color="293F5B"/>
              <w:bottom w:val="single" w:sz="4" w:space="0" w:color="293F5B"/>
            </w:tcBorders>
            <w:shd w:val="clear" w:color="auto" w:fill="auto"/>
          </w:tcPr>
          <w:p w14:paraId="728EDC8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DB00FE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65EBC01" w14:textId="77777777" w:rsidR="0012790E" w:rsidRPr="001C06E6" w:rsidRDefault="0012790E">
            <w:pPr>
              <w:pStyle w:val="MeasureTableDataRightAlignedwith2ptsspacing"/>
              <w:keepNext/>
            </w:pPr>
            <w:r w:rsidRPr="001C06E6">
              <w:t>-</w:t>
            </w:r>
          </w:p>
        </w:tc>
      </w:tr>
      <w:tr w:rsidR="0012790E" w:rsidRPr="001C06E6" w14:paraId="19E1A383" w14:textId="77777777">
        <w:tc>
          <w:tcPr>
            <w:tcW w:w="2497" w:type="dxa"/>
            <w:tcBorders>
              <w:top w:val="single" w:sz="4" w:space="0" w:color="293F5B"/>
              <w:bottom w:val="single" w:sz="4" w:space="0" w:color="293F5B"/>
            </w:tcBorders>
            <w:shd w:val="clear" w:color="auto" w:fill="auto"/>
          </w:tcPr>
          <w:p w14:paraId="1ECADD4B"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67984CC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8C55F07"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26DB845C" w14:textId="173A018A" w:rsidR="0012790E" w:rsidRPr="001C06E6" w:rsidRDefault="00DD77F0">
            <w:pPr>
              <w:pStyle w:val="MeasureTableDataRightAlignedwith2ptsspacing"/>
              <w:keepNext/>
            </w:pPr>
            <w:r>
              <w:t>0.1</w:t>
            </w:r>
          </w:p>
        </w:tc>
        <w:tc>
          <w:tcPr>
            <w:tcW w:w="1045" w:type="dxa"/>
            <w:tcBorders>
              <w:top w:val="single" w:sz="4" w:space="0" w:color="293F5B"/>
              <w:bottom w:val="single" w:sz="4" w:space="0" w:color="293F5B"/>
            </w:tcBorders>
            <w:shd w:val="clear" w:color="auto" w:fill="auto"/>
          </w:tcPr>
          <w:p w14:paraId="4E7177B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20A8D75" w14:textId="77777777" w:rsidR="0012790E" w:rsidRPr="001C06E6" w:rsidRDefault="0012790E">
            <w:pPr>
              <w:pStyle w:val="MeasureTableDataRightAlignedwith2ptsspacing"/>
              <w:keepNext/>
            </w:pPr>
            <w:r w:rsidRPr="001C06E6">
              <w:t>-</w:t>
            </w:r>
          </w:p>
        </w:tc>
      </w:tr>
      <w:tr w:rsidR="0012790E" w:rsidRPr="001C06E6" w14:paraId="531537CA" w14:textId="77777777">
        <w:tc>
          <w:tcPr>
            <w:tcW w:w="2497" w:type="dxa"/>
            <w:tcBorders>
              <w:top w:val="single" w:sz="4" w:space="0" w:color="293F5B"/>
              <w:bottom w:val="single" w:sz="4" w:space="0" w:color="293F5B"/>
            </w:tcBorders>
            <w:shd w:val="clear" w:color="auto" w:fill="auto"/>
          </w:tcPr>
          <w:p w14:paraId="11C715A8"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1D968C60"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393F726" w14:textId="63145B23" w:rsidR="0012790E" w:rsidRPr="001C06E6" w:rsidRDefault="0012790E">
            <w:pPr>
              <w:pStyle w:val="Totaldatarowrightaligned"/>
              <w:keepNext/>
            </w:pPr>
            <w:r w:rsidRPr="001C06E6">
              <w:t>49.</w:t>
            </w:r>
            <w:r w:rsidR="00F426BA">
              <w:t>4</w:t>
            </w:r>
          </w:p>
        </w:tc>
        <w:tc>
          <w:tcPr>
            <w:tcW w:w="1045" w:type="dxa"/>
            <w:tcBorders>
              <w:top w:val="single" w:sz="4" w:space="0" w:color="293F5B"/>
              <w:bottom w:val="single" w:sz="4" w:space="0" w:color="293F5B"/>
            </w:tcBorders>
            <w:shd w:val="clear" w:color="auto" w:fill="auto"/>
          </w:tcPr>
          <w:p w14:paraId="4E7D3017" w14:textId="77777777" w:rsidR="0012790E" w:rsidRPr="001C06E6" w:rsidRDefault="0012790E">
            <w:pPr>
              <w:pStyle w:val="Totaldatarowrightaligned"/>
              <w:keepNext/>
            </w:pPr>
            <w:r w:rsidRPr="001C06E6">
              <w:t>113.3</w:t>
            </w:r>
          </w:p>
        </w:tc>
        <w:tc>
          <w:tcPr>
            <w:tcW w:w="1045" w:type="dxa"/>
            <w:tcBorders>
              <w:top w:val="single" w:sz="4" w:space="0" w:color="293F5B"/>
              <w:bottom w:val="single" w:sz="4" w:space="0" w:color="293F5B"/>
            </w:tcBorders>
            <w:shd w:val="clear" w:color="auto" w:fill="auto"/>
          </w:tcPr>
          <w:p w14:paraId="33AAC08B"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8A95456" w14:textId="77777777" w:rsidR="0012790E" w:rsidRPr="001C06E6" w:rsidRDefault="0012790E">
            <w:pPr>
              <w:pStyle w:val="Totaldatarowrightaligned"/>
              <w:keepNext/>
            </w:pPr>
            <w:r w:rsidRPr="001C06E6">
              <w:t>-</w:t>
            </w:r>
          </w:p>
        </w:tc>
      </w:tr>
    </w:tbl>
    <w:p w14:paraId="700A2456"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5020DCEB" w14:textId="1D38CBB7" w:rsidR="0012790E" w:rsidRDefault="0012790E" w:rsidP="54937204">
      <w:pPr>
        <w:pStyle w:val="Normal2"/>
        <w:rPr>
          <w:rFonts w:cs="Book Antiqua"/>
          <w:lang w:val="en-US"/>
        </w:rPr>
      </w:pPr>
      <w:r w:rsidRPr="54937204">
        <w:rPr>
          <w:rFonts w:cs="Book Antiqua"/>
          <w:lang w:val="en-US"/>
        </w:rPr>
        <w:t xml:space="preserve">The Government will provide $168.0 million over four years from 2024–25 to implement reforms to strengthen Australia’s </w:t>
      </w:r>
      <w:r w:rsidRPr="54937204">
        <w:rPr>
          <w:rFonts w:cs="Book Antiqua"/>
          <w:i/>
          <w:iCs/>
          <w:lang w:val="en-US"/>
        </w:rPr>
        <w:t>Anti</w:t>
      </w:r>
      <w:r>
        <w:rPr>
          <w:rFonts w:cs="Book Antiqua"/>
          <w:i/>
          <w:iCs/>
        </w:rPr>
        <w:noBreakHyphen/>
      </w:r>
      <w:r w:rsidRPr="54937204">
        <w:rPr>
          <w:rFonts w:cs="Book Antiqua"/>
          <w:i/>
          <w:iCs/>
          <w:lang w:val="en-US"/>
        </w:rPr>
        <w:t>Money Laundering and Counter</w:t>
      </w:r>
      <w:r>
        <w:rPr>
          <w:rFonts w:cs="Book Antiqua"/>
          <w:i/>
          <w:iCs/>
        </w:rPr>
        <w:noBreakHyphen/>
      </w:r>
      <w:r w:rsidRPr="54937204">
        <w:rPr>
          <w:rFonts w:cs="Book Antiqua"/>
          <w:i/>
          <w:iCs/>
          <w:lang w:val="en-US"/>
        </w:rPr>
        <w:t>Terrorism Financing</w:t>
      </w:r>
      <w:r w:rsidR="00E00F9E">
        <w:rPr>
          <w:rFonts w:cs="Book Antiqua"/>
          <w:i/>
          <w:iCs/>
          <w:lang w:val="en-US"/>
        </w:rPr>
        <w:t> </w:t>
      </w:r>
      <w:r w:rsidRPr="54937204">
        <w:rPr>
          <w:rFonts w:cs="Book Antiqua"/>
          <w:i/>
          <w:iCs/>
          <w:lang w:val="en-US"/>
        </w:rPr>
        <w:t>Act 2006</w:t>
      </w:r>
      <w:r w:rsidRPr="54937204">
        <w:rPr>
          <w:rFonts w:cs="Book Antiqua"/>
          <w:lang w:val="en-US"/>
        </w:rPr>
        <w:t>, to enhance Australia’s ability to detect and disrupt illicit financing. Funding</w:t>
      </w:r>
      <w:r w:rsidR="00E00F9E">
        <w:rPr>
          <w:rFonts w:cs="Book Antiqua"/>
          <w:lang w:val="en-US"/>
        </w:rPr>
        <w:t> </w:t>
      </w:r>
      <w:r w:rsidRPr="54937204">
        <w:rPr>
          <w:rFonts w:cs="Book Antiqua"/>
          <w:lang w:val="en-US"/>
        </w:rPr>
        <w:t>includes:</w:t>
      </w:r>
    </w:p>
    <w:p w14:paraId="17C80FF2" w14:textId="77777777" w:rsidR="0012790E" w:rsidRDefault="0012790E">
      <w:pPr>
        <w:pStyle w:val="Bullet"/>
      </w:pPr>
      <w:r w:rsidRPr="001C06E6">
        <w:t>$160.8</w:t>
      </w:r>
      <w:r>
        <w:t> </w:t>
      </w:r>
      <w:r w:rsidRPr="001C06E6">
        <w:t xml:space="preserve">million over two years from </w:t>
      </w:r>
      <w:r>
        <w:t>2024–25</w:t>
      </w:r>
      <w:r w:rsidRPr="001C06E6">
        <w:t xml:space="preserve"> for the Australian Transaction Reports and Analysis Centre to expand its regulatory, intelligence and data capabilities and provide guidance to newly regulated entities</w:t>
      </w:r>
      <w:r>
        <w:t xml:space="preserve"> </w:t>
      </w:r>
    </w:p>
    <w:p w14:paraId="711871F4" w14:textId="77777777" w:rsidR="0012790E" w:rsidRDefault="0012790E">
      <w:pPr>
        <w:pStyle w:val="Bullet"/>
      </w:pPr>
      <w:r w:rsidRPr="001C06E6">
        <w:t>$7.0</w:t>
      </w:r>
      <w:r>
        <w:t> </w:t>
      </w:r>
      <w:r w:rsidRPr="001C06E6">
        <w:t xml:space="preserve">million over four years from </w:t>
      </w:r>
      <w:r>
        <w:t>2024–25</w:t>
      </w:r>
      <w:r w:rsidRPr="001C06E6">
        <w:t xml:space="preserve"> for the Attorney</w:t>
      </w:r>
      <w:r>
        <w:noBreakHyphen/>
      </w:r>
      <w:r w:rsidRPr="001C06E6">
        <w:t>General’s Department to support the implementation of the legislative reforms through the provision of policy and legal advice and stakeholder consultation, and to deliver a program of anti</w:t>
      </w:r>
      <w:r>
        <w:noBreakHyphen/>
      </w:r>
      <w:r w:rsidRPr="001C06E6">
        <w:t>money laundering and counter</w:t>
      </w:r>
      <w:r>
        <w:noBreakHyphen/>
      </w:r>
      <w:r w:rsidRPr="001C06E6">
        <w:t>terrorism financing capacity building in the Pacific.</w:t>
      </w:r>
      <w:r>
        <w:t xml:space="preserve"> </w:t>
      </w:r>
    </w:p>
    <w:p w14:paraId="51D8A2F0" w14:textId="77777777" w:rsidR="0012790E" w:rsidRDefault="0012790E">
      <w:pPr>
        <w:pStyle w:val="Normal2"/>
        <w:rPr>
          <w:rFonts w:cs="Book Antiqua"/>
        </w:rPr>
      </w:pPr>
      <w:r w:rsidRPr="001C06E6">
        <w:rPr>
          <w:rFonts w:cs="Book Antiqua"/>
        </w:rPr>
        <w:t xml:space="preserve">Funding from </w:t>
      </w:r>
      <w:r>
        <w:rPr>
          <w:rFonts w:cs="Book Antiqua"/>
        </w:rPr>
        <w:t>2025–26</w:t>
      </w:r>
      <w:r w:rsidRPr="001C06E6">
        <w:rPr>
          <w:rFonts w:cs="Book Antiqua"/>
        </w:rPr>
        <w:t xml:space="preserve"> for this measure will be held in the Contingency Reserve until</w:t>
      </w:r>
      <w:r>
        <w:rPr>
          <w:rFonts w:cs="Book Antiqua"/>
        </w:rPr>
        <w:t xml:space="preserve"> </w:t>
      </w:r>
      <w:r w:rsidRPr="001C06E6">
        <w:rPr>
          <w:rFonts w:cs="Book Antiqua"/>
        </w:rPr>
        <w:t>the legislative reforms have passed the Parliament.</w:t>
      </w:r>
      <w:r>
        <w:rPr>
          <w:rFonts w:cs="Book Antiqua"/>
        </w:rPr>
        <w:t xml:space="preserve"> </w:t>
      </w:r>
    </w:p>
    <w:p w14:paraId="7EEFB06B" w14:textId="77777777" w:rsidR="0012790E" w:rsidRDefault="0012790E">
      <w:pPr>
        <w:pStyle w:val="Normal2"/>
        <w:rPr>
          <w:rFonts w:cs="Book Antiqua"/>
        </w:rPr>
      </w:pPr>
      <w:r w:rsidRPr="001C06E6">
        <w:rPr>
          <w:rFonts w:cs="Book Antiqua"/>
        </w:rPr>
        <w:t>The cost of this measure will be partially met from the Confiscated Assets Account</w:t>
      </w:r>
      <w:r>
        <w:rPr>
          <w:rFonts w:cs="Book Antiqua"/>
        </w:rPr>
        <w:t xml:space="preserve"> </w:t>
      </w:r>
      <w:r w:rsidRPr="001C06E6">
        <w:rPr>
          <w:rFonts w:cs="Book Antiqua"/>
        </w:rPr>
        <w:t xml:space="preserve">under the </w:t>
      </w:r>
      <w:r w:rsidRPr="001C06E6">
        <w:rPr>
          <w:rFonts w:cs="Book Antiqua"/>
          <w:i/>
          <w:iCs/>
        </w:rPr>
        <w:t>Proceeds of Crime Act 2002</w:t>
      </w:r>
      <w:r w:rsidRPr="001C06E6">
        <w:rPr>
          <w:rFonts w:cs="Book Antiqua"/>
        </w:rPr>
        <w:t>.</w:t>
      </w:r>
      <w:r>
        <w:rPr>
          <w:rFonts w:cs="Book Antiqua"/>
        </w:rPr>
        <w:t xml:space="preserve"> </w:t>
      </w:r>
    </w:p>
    <w:p w14:paraId="4C4FF3E7" w14:textId="77777777" w:rsidR="0012790E" w:rsidRDefault="0012790E" w:rsidP="54937204">
      <w:pPr>
        <w:pStyle w:val="Normal2"/>
        <w:rPr>
          <w:rFonts w:cs="Book Antiqua"/>
          <w:lang w:val="en-US"/>
        </w:rPr>
      </w:pPr>
      <w:r w:rsidRPr="54937204">
        <w:rPr>
          <w:rFonts w:cs="Book Antiqua"/>
          <w:lang w:val="en-US"/>
        </w:rPr>
        <w:t xml:space="preserve">This measure builds on the 2023–24 Budget measure titled </w:t>
      </w:r>
      <w:r w:rsidRPr="54937204">
        <w:rPr>
          <w:rFonts w:cs="Book Antiqua"/>
          <w:i/>
          <w:iCs/>
          <w:lang w:val="en-US"/>
        </w:rPr>
        <w:t>Strengthening Australia’s Anti</w:t>
      </w:r>
      <w:r>
        <w:rPr>
          <w:rFonts w:cs="Book Antiqua"/>
          <w:i/>
          <w:iCs/>
        </w:rPr>
        <w:noBreakHyphen/>
      </w:r>
      <w:r w:rsidRPr="54937204">
        <w:rPr>
          <w:rFonts w:cs="Book Antiqua"/>
          <w:i/>
          <w:iCs/>
          <w:lang w:val="en-US"/>
        </w:rPr>
        <w:t>Money Laundering Framework</w:t>
      </w:r>
      <w:r w:rsidRPr="54937204">
        <w:rPr>
          <w:rFonts w:cs="Book Antiqua"/>
          <w:lang w:val="en-US"/>
        </w:rPr>
        <w:t xml:space="preserve">. </w:t>
      </w:r>
    </w:p>
    <w:p w14:paraId="324CC8A6" w14:textId="77777777" w:rsidR="0012790E" w:rsidRPr="001C06E6" w:rsidRDefault="0012790E" w:rsidP="54937204">
      <w:pPr>
        <w:pStyle w:val="MeasureTitle"/>
        <w:rPr>
          <w:b w:val="0"/>
          <w:lang w:val="en-US"/>
        </w:rPr>
      </w:pPr>
      <w:r w:rsidRPr="54937204">
        <w:rPr>
          <w:lang w:val="en-US"/>
        </w:rPr>
        <w:lastRenderedPageBreak/>
        <w:t>Attorney</w:t>
      </w:r>
      <w:r>
        <w:rPr>
          <w:bCs/>
        </w:rPr>
        <w:noBreakHyphen/>
      </w:r>
      <w:r w:rsidRPr="54937204">
        <w:rPr>
          <w:lang w:val="en-US"/>
        </w:rPr>
        <w:t>General's – reprioritisation</w:t>
      </w:r>
    </w:p>
    <w:p w14:paraId="46BA5914"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09AE9BF" w14:textId="77777777">
        <w:tc>
          <w:tcPr>
            <w:tcW w:w="2497" w:type="dxa"/>
            <w:tcBorders>
              <w:top w:val="single" w:sz="4" w:space="0" w:color="293F5B"/>
              <w:bottom w:val="single" w:sz="4" w:space="0" w:color="293F5B"/>
            </w:tcBorders>
            <w:shd w:val="clear" w:color="auto" w:fill="auto"/>
          </w:tcPr>
          <w:p w14:paraId="75F826C2"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BF3E027"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5EB25C9"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9158643"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9CC5D95"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02EDB2B" w14:textId="77777777" w:rsidR="0012790E" w:rsidRPr="001C06E6" w:rsidRDefault="0012790E">
            <w:pPr>
              <w:pStyle w:val="MeasureTableYearHeadings"/>
              <w:keepNext/>
            </w:pPr>
            <w:r w:rsidRPr="001C06E6">
              <w:t>2027</w:t>
            </w:r>
            <w:r>
              <w:noBreakHyphen/>
            </w:r>
            <w:r w:rsidRPr="001C06E6">
              <w:t>28</w:t>
            </w:r>
          </w:p>
        </w:tc>
      </w:tr>
      <w:tr w:rsidR="0012790E" w:rsidRPr="001C06E6" w14:paraId="7FD59928" w14:textId="77777777">
        <w:tc>
          <w:tcPr>
            <w:tcW w:w="2497" w:type="dxa"/>
            <w:tcBorders>
              <w:top w:val="single" w:sz="4" w:space="0" w:color="293F5B"/>
              <w:bottom w:val="single" w:sz="4" w:space="0" w:color="293F5B"/>
            </w:tcBorders>
            <w:shd w:val="clear" w:color="auto" w:fill="auto"/>
          </w:tcPr>
          <w:p w14:paraId="42061828"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7ED9933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BF19944" w14:textId="77777777" w:rsidR="0012790E" w:rsidRPr="001C06E6" w:rsidRDefault="0012790E">
            <w:pPr>
              <w:pStyle w:val="MeasureTableDataRightAlignedwith2ptsspacing"/>
              <w:keepNext/>
            </w:pPr>
            <w:r w:rsidRPr="001C06E6">
              <w:t>-4.3</w:t>
            </w:r>
          </w:p>
        </w:tc>
        <w:tc>
          <w:tcPr>
            <w:tcW w:w="1045" w:type="dxa"/>
            <w:tcBorders>
              <w:top w:val="single" w:sz="4" w:space="0" w:color="293F5B"/>
              <w:bottom w:val="single" w:sz="4" w:space="0" w:color="293F5B"/>
            </w:tcBorders>
            <w:shd w:val="clear" w:color="auto" w:fill="auto"/>
          </w:tcPr>
          <w:p w14:paraId="7E91C24E" w14:textId="77777777" w:rsidR="0012790E" w:rsidRPr="001C06E6" w:rsidRDefault="0012790E">
            <w:pPr>
              <w:pStyle w:val="MeasureTableDataRightAlignedwith2ptsspacing"/>
              <w:keepNext/>
            </w:pPr>
            <w:r w:rsidRPr="001C06E6">
              <w:t>-4.3</w:t>
            </w:r>
          </w:p>
        </w:tc>
        <w:tc>
          <w:tcPr>
            <w:tcW w:w="1045" w:type="dxa"/>
            <w:tcBorders>
              <w:top w:val="single" w:sz="4" w:space="0" w:color="293F5B"/>
              <w:bottom w:val="single" w:sz="4" w:space="0" w:color="293F5B"/>
            </w:tcBorders>
            <w:shd w:val="clear" w:color="auto" w:fill="auto"/>
          </w:tcPr>
          <w:p w14:paraId="38D82D3D" w14:textId="77777777" w:rsidR="0012790E" w:rsidRPr="001C06E6" w:rsidRDefault="0012790E">
            <w:pPr>
              <w:pStyle w:val="MeasureTableDataRightAlignedwith2ptsspacing"/>
              <w:keepNext/>
            </w:pPr>
            <w:r w:rsidRPr="001C06E6">
              <w:t>-4.3</w:t>
            </w:r>
          </w:p>
        </w:tc>
        <w:tc>
          <w:tcPr>
            <w:tcW w:w="1045" w:type="dxa"/>
            <w:tcBorders>
              <w:top w:val="single" w:sz="4" w:space="0" w:color="293F5B"/>
              <w:bottom w:val="single" w:sz="4" w:space="0" w:color="293F5B"/>
            </w:tcBorders>
            <w:shd w:val="clear" w:color="auto" w:fill="auto"/>
          </w:tcPr>
          <w:p w14:paraId="584C3D39" w14:textId="77777777" w:rsidR="0012790E" w:rsidRPr="001C06E6" w:rsidRDefault="0012790E">
            <w:pPr>
              <w:pStyle w:val="MeasureTableDataRightAlignedwith2ptsspacing"/>
              <w:keepNext/>
            </w:pPr>
            <w:r w:rsidRPr="001C06E6">
              <w:t>-4.3</w:t>
            </w:r>
          </w:p>
        </w:tc>
      </w:tr>
      <w:tr w:rsidR="0012790E" w:rsidRPr="001C06E6" w14:paraId="2A0CB39F" w14:textId="77777777">
        <w:tc>
          <w:tcPr>
            <w:tcW w:w="2497" w:type="dxa"/>
            <w:tcBorders>
              <w:top w:val="single" w:sz="4" w:space="0" w:color="293F5B"/>
              <w:bottom w:val="single" w:sz="4" w:space="0" w:color="293F5B"/>
            </w:tcBorders>
            <w:shd w:val="clear" w:color="auto" w:fill="auto"/>
          </w:tcPr>
          <w:p w14:paraId="4061917C" w14:textId="77777777" w:rsidR="0012790E" w:rsidRPr="001C06E6" w:rsidRDefault="0012790E">
            <w:pPr>
              <w:pStyle w:val="MeasureTableHeadingleftalignedwith2ptsspacing"/>
              <w:keepNext/>
            </w:pPr>
            <w:r w:rsidRPr="001C06E6">
              <w:t>Attorney</w:t>
            </w:r>
            <w:r>
              <w:noBreakHyphen/>
            </w:r>
            <w:r w:rsidRPr="001C06E6">
              <w:t>General's Department</w:t>
            </w:r>
          </w:p>
        </w:tc>
        <w:tc>
          <w:tcPr>
            <w:tcW w:w="1045" w:type="dxa"/>
            <w:tcBorders>
              <w:top w:val="single" w:sz="4" w:space="0" w:color="293F5B"/>
              <w:bottom w:val="single" w:sz="4" w:space="0" w:color="293F5B"/>
            </w:tcBorders>
            <w:shd w:val="clear" w:color="auto" w:fill="auto"/>
          </w:tcPr>
          <w:p w14:paraId="7A1728EC" w14:textId="77777777" w:rsidR="0012790E" w:rsidRPr="001C06E6" w:rsidRDefault="0012790E">
            <w:pPr>
              <w:pStyle w:val="MeasureTableDataRightAlignedwith2ptsspacing"/>
              <w:keepNext/>
            </w:pPr>
            <w:r w:rsidRPr="001C06E6">
              <w:t>-6.9</w:t>
            </w:r>
          </w:p>
        </w:tc>
        <w:tc>
          <w:tcPr>
            <w:tcW w:w="1045" w:type="dxa"/>
            <w:tcBorders>
              <w:top w:val="single" w:sz="4" w:space="0" w:color="293F5B"/>
              <w:bottom w:val="single" w:sz="4" w:space="0" w:color="293F5B"/>
            </w:tcBorders>
            <w:shd w:val="clear" w:color="auto" w:fill="auto"/>
          </w:tcPr>
          <w:p w14:paraId="6589CEA2" w14:textId="77777777" w:rsidR="0012790E" w:rsidRPr="001C06E6" w:rsidRDefault="0012790E">
            <w:pPr>
              <w:pStyle w:val="MeasureTableDataRightAlignedwith2ptsspacing"/>
              <w:keepNext/>
            </w:pPr>
            <w:r w:rsidRPr="001C06E6">
              <w:t>-14.3</w:t>
            </w:r>
          </w:p>
        </w:tc>
        <w:tc>
          <w:tcPr>
            <w:tcW w:w="1045" w:type="dxa"/>
            <w:tcBorders>
              <w:top w:val="single" w:sz="4" w:space="0" w:color="293F5B"/>
              <w:bottom w:val="single" w:sz="4" w:space="0" w:color="293F5B"/>
            </w:tcBorders>
            <w:shd w:val="clear" w:color="auto" w:fill="auto"/>
          </w:tcPr>
          <w:p w14:paraId="72C90214" w14:textId="77777777" w:rsidR="0012790E" w:rsidRPr="001C06E6" w:rsidRDefault="0012790E">
            <w:pPr>
              <w:pStyle w:val="MeasureTableDataRightAlignedwith2ptsspacing"/>
              <w:keepNext/>
            </w:pPr>
            <w:r w:rsidRPr="001C06E6">
              <w:t>-16.2</w:t>
            </w:r>
          </w:p>
        </w:tc>
        <w:tc>
          <w:tcPr>
            <w:tcW w:w="1045" w:type="dxa"/>
            <w:tcBorders>
              <w:top w:val="single" w:sz="4" w:space="0" w:color="293F5B"/>
              <w:bottom w:val="single" w:sz="4" w:space="0" w:color="293F5B"/>
            </w:tcBorders>
            <w:shd w:val="clear" w:color="auto" w:fill="auto"/>
          </w:tcPr>
          <w:p w14:paraId="2461A251" w14:textId="77777777" w:rsidR="0012790E" w:rsidRPr="001C06E6" w:rsidRDefault="0012790E">
            <w:pPr>
              <w:pStyle w:val="MeasureTableDataRightAlignedwith2ptsspacing"/>
              <w:keepNext/>
            </w:pPr>
            <w:r w:rsidRPr="001C06E6">
              <w:t>-17.0</w:t>
            </w:r>
          </w:p>
        </w:tc>
        <w:tc>
          <w:tcPr>
            <w:tcW w:w="1045" w:type="dxa"/>
            <w:tcBorders>
              <w:top w:val="single" w:sz="4" w:space="0" w:color="293F5B"/>
              <w:bottom w:val="single" w:sz="4" w:space="0" w:color="293F5B"/>
            </w:tcBorders>
            <w:shd w:val="clear" w:color="auto" w:fill="auto"/>
          </w:tcPr>
          <w:p w14:paraId="509CCA60" w14:textId="77777777" w:rsidR="0012790E" w:rsidRPr="001C06E6" w:rsidRDefault="0012790E">
            <w:pPr>
              <w:pStyle w:val="MeasureTableDataRightAlignedwith2ptsspacing"/>
              <w:keepNext/>
            </w:pPr>
            <w:r w:rsidRPr="001C06E6">
              <w:t>-20.1</w:t>
            </w:r>
          </w:p>
        </w:tc>
      </w:tr>
      <w:tr w:rsidR="0012790E" w:rsidRPr="001C06E6" w14:paraId="2C425D13" w14:textId="77777777">
        <w:tc>
          <w:tcPr>
            <w:tcW w:w="2497" w:type="dxa"/>
            <w:tcBorders>
              <w:top w:val="single" w:sz="4" w:space="0" w:color="293F5B"/>
              <w:bottom w:val="single" w:sz="4" w:space="0" w:color="293F5B"/>
            </w:tcBorders>
            <w:shd w:val="clear" w:color="auto" w:fill="auto"/>
          </w:tcPr>
          <w:p w14:paraId="4453A012"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730AD0D" w14:textId="77777777" w:rsidR="0012790E" w:rsidRPr="001C06E6" w:rsidRDefault="0012790E">
            <w:pPr>
              <w:pStyle w:val="Totaldatarowrightaligned"/>
              <w:keepNext/>
            </w:pPr>
            <w:r w:rsidRPr="001C06E6">
              <w:t>-6.9</w:t>
            </w:r>
          </w:p>
        </w:tc>
        <w:tc>
          <w:tcPr>
            <w:tcW w:w="1045" w:type="dxa"/>
            <w:tcBorders>
              <w:top w:val="single" w:sz="4" w:space="0" w:color="293F5B"/>
              <w:bottom w:val="single" w:sz="4" w:space="0" w:color="293F5B"/>
            </w:tcBorders>
            <w:shd w:val="clear" w:color="auto" w:fill="auto"/>
          </w:tcPr>
          <w:p w14:paraId="016BB5C0" w14:textId="77777777" w:rsidR="0012790E" w:rsidRPr="001C06E6" w:rsidRDefault="0012790E">
            <w:pPr>
              <w:pStyle w:val="Totaldatarowrightaligned"/>
              <w:keepNext/>
            </w:pPr>
            <w:r w:rsidRPr="001C06E6">
              <w:t>-18.6</w:t>
            </w:r>
          </w:p>
        </w:tc>
        <w:tc>
          <w:tcPr>
            <w:tcW w:w="1045" w:type="dxa"/>
            <w:tcBorders>
              <w:top w:val="single" w:sz="4" w:space="0" w:color="293F5B"/>
              <w:bottom w:val="single" w:sz="4" w:space="0" w:color="293F5B"/>
            </w:tcBorders>
            <w:shd w:val="clear" w:color="auto" w:fill="auto"/>
          </w:tcPr>
          <w:p w14:paraId="1C283B0D" w14:textId="77777777" w:rsidR="0012790E" w:rsidRPr="001C06E6" w:rsidRDefault="0012790E">
            <w:pPr>
              <w:pStyle w:val="Totaldatarowrightaligned"/>
              <w:keepNext/>
            </w:pPr>
            <w:r w:rsidRPr="001C06E6">
              <w:t>-20.5</w:t>
            </w:r>
          </w:p>
        </w:tc>
        <w:tc>
          <w:tcPr>
            <w:tcW w:w="1045" w:type="dxa"/>
            <w:tcBorders>
              <w:top w:val="single" w:sz="4" w:space="0" w:color="293F5B"/>
              <w:bottom w:val="single" w:sz="4" w:space="0" w:color="293F5B"/>
            </w:tcBorders>
            <w:shd w:val="clear" w:color="auto" w:fill="auto"/>
          </w:tcPr>
          <w:p w14:paraId="4E6E3352" w14:textId="77777777" w:rsidR="0012790E" w:rsidRPr="001C06E6" w:rsidRDefault="0012790E">
            <w:pPr>
              <w:pStyle w:val="Totaldatarowrightaligned"/>
              <w:keepNext/>
            </w:pPr>
            <w:r w:rsidRPr="001C06E6">
              <w:t>-21.4</w:t>
            </w:r>
          </w:p>
        </w:tc>
        <w:tc>
          <w:tcPr>
            <w:tcW w:w="1045" w:type="dxa"/>
            <w:tcBorders>
              <w:top w:val="single" w:sz="4" w:space="0" w:color="293F5B"/>
              <w:bottom w:val="single" w:sz="4" w:space="0" w:color="293F5B"/>
            </w:tcBorders>
            <w:shd w:val="clear" w:color="auto" w:fill="auto"/>
          </w:tcPr>
          <w:p w14:paraId="74B3AEB5" w14:textId="77777777" w:rsidR="0012790E" w:rsidRPr="001C06E6" w:rsidRDefault="0012790E">
            <w:pPr>
              <w:pStyle w:val="Totaldatarowrightaligned"/>
              <w:keepNext/>
            </w:pPr>
            <w:r w:rsidRPr="001C06E6">
              <w:t>-24.4</w:t>
            </w:r>
          </w:p>
        </w:tc>
      </w:tr>
    </w:tbl>
    <w:p w14:paraId="08F97D8B"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6651F697" w14:textId="77777777" w:rsidR="0012790E" w:rsidRDefault="0012790E" w:rsidP="54937204">
      <w:pPr>
        <w:pStyle w:val="Normal2"/>
        <w:rPr>
          <w:rFonts w:cs="Book Antiqua"/>
          <w:lang w:val="en-US"/>
        </w:rPr>
      </w:pPr>
      <w:r w:rsidRPr="54937204">
        <w:rPr>
          <w:rFonts w:cs="Book Antiqua"/>
          <w:lang w:val="en-US"/>
        </w:rPr>
        <w:t>The Government will reprioritise $91.8 million over five years from 2023–24 (and $24.4 million per year ongoing) across the Attorney</w:t>
      </w:r>
      <w:r>
        <w:rPr>
          <w:rFonts w:cs="Book Antiqua"/>
        </w:rPr>
        <w:noBreakHyphen/>
      </w:r>
      <w:r w:rsidRPr="54937204">
        <w:rPr>
          <w:rFonts w:cs="Book Antiqua"/>
          <w:lang w:val="en-US"/>
        </w:rPr>
        <w:t xml:space="preserve">General’s portfolio to fund portfolio policy priorities, including through the reversal of unlegislated 2020–21 measures. </w:t>
      </w:r>
    </w:p>
    <w:p w14:paraId="716DE86D" w14:textId="77777777" w:rsidR="0012790E" w:rsidRDefault="0012790E" w:rsidP="54937204">
      <w:pPr>
        <w:pStyle w:val="Normal2"/>
        <w:rPr>
          <w:rFonts w:cs="Book Antiqua"/>
          <w:lang w:val="en-US"/>
        </w:rPr>
      </w:pPr>
      <w:r w:rsidRPr="54937204">
        <w:rPr>
          <w:rFonts w:cs="Book Antiqua"/>
          <w:lang w:val="en-US"/>
        </w:rPr>
        <w:t xml:space="preserve">The savings from this measure will be reprioritised to partially fund the 2024–25 Budget measures titled </w:t>
      </w:r>
      <w:r w:rsidRPr="54937204">
        <w:rPr>
          <w:rFonts w:cs="Book Antiqua"/>
          <w:i/>
          <w:iCs/>
          <w:lang w:val="en-US"/>
        </w:rPr>
        <w:t>Enhancing First Nations Justice Policy Outcomes</w:t>
      </w:r>
      <w:r w:rsidRPr="54937204">
        <w:rPr>
          <w:rFonts w:cs="Book Antiqua"/>
          <w:lang w:val="en-US"/>
        </w:rPr>
        <w:t xml:space="preserve"> and </w:t>
      </w:r>
      <w:r w:rsidRPr="54937204">
        <w:rPr>
          <w:rFonts w:cs="Book Antiqua"/>
          <w:i/>
          <w:iCs/>
          <w:lang w:val="en-US"/>
        </w:rPr>
        <w:t>Attorney</w:t>
      </w:r>
      <w:r>
        <w:rPr>
          <w:rFonts w:cs="Book Antiqua"/>
          <w:i/>
          <w:iCs/>
        </w:rPr>
        <w:noBreakHyphen/>
      </w:r>
      <w:r w:rsidRPr="54937204">
        <w:rPr>
          <w:rFonts w:cs="Book Antiqua"/>
          <w:i/>
          <w:iCs/>
          <w:lang w:val="en-US"/>
        </w:rPr>
        <w:t>General’s portfolio – additional resourcing</w:t>
      </w:r>
      <w:r w:rsidRPr="54937204">
        <w:rPr>
          <w:rFonts w:cs="Book Antiqua"/>
          <w:lang w:val="en-US"/>
        </w:rPr>
        <w:t xml:space="preserve"> in the Attorney</w:t>
      </w:r>
      <w:r>
        <w:rPr>
          <w:rFonts w:cs="Book Antiqua"/>
        </w:rPr>
        <w:noBreakHyphen/>
      </w:r>
      <w:r w:rsidRPr="54937204">
        <w:rPr>
          <w:rFonts w:cs="Book Antiqua"/>
          <w:lang w:val="en-US"/>
        </w:rPr>
        <w:t xml:space="preserve">General’s portfolio, and </w:t>
      </w:r>
      <w:r w:rsidRPr="54937204">
        <w:rPr>
          <w:rFonts w:cs="Book Antiqua"/>
          <w:i/>
          <w:iCs/>
          <w:lang w:val="en-US"/>
        </w:rPr>
        <w:t xml:space="preserve">National Security Agencies – additional funding </w:t>
      </w:r>
      <w:r w:rsidRPr="54937204">
        <w:rPr>
          <w:rFonts w:cs="Book Antiqua"/>
          <w:lang w:val="en-US"/>
        </w:rPr>
        <w:t xml:space="preserve">in the Home Affairs portfolio. </w:t>
      </w:r>
    </w:p>
    <w:p w14:paraId="207A9B2E" w14:textId="77777777" w:rsidR="0012790E" w:rsidRPr="001C06E6" w:rsidRDefault="0012790E" w:rsidP="54937204">
      <w:pPr>
        <w:pStyle w:val="MeasureTitle"/>
        <w:rPr>
          <w:b w:val="0"/>
          <w:lang w:val="en-US"/>
        </w:rPr>
      </w:pPr>
      <w:r w:rsidRPr="54937204">
        <w:rPr>
          <w:lang w:val="en-US"/>
        </w:rPr>
        <w:t>Attorney</w:t>
      </w:r>
      <w:r>
        <w:rPr>
          <w:bCs/>
        </w:rPr>
        <w:noBreakHyphen/>
      </w:r>
      <w:r w:rsidRPr="54937204">
        <w:rPr>
          <w:lang w:val="en-US"/>
        </w:rPr>
        <w:t>General's Portfolio – additional resourcing</w:t>
      </w:r>
    </w:p>
    <w:p w14:paraId="1A9FF7AC"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ADE8F81" w14:textId="77777777">
        <w:tc>
          <w:tcPr>
            <w:tcW w:w="2497" w:type="dxa"/>
            <w:tcBorders>
              <w:top w:val="single" w:sz="4" w:space="0" w:color="293F5B"/>
              <w:bottom w:val="single" w:sz="4" w:space="0" w:color="293F5B"/>
            </w:tcBorders>
            <w:shd w:val="clear" w:color="auto" w:fill="auto"/>
          </w:tcPr>
          <w:p w14:paraId="05ED51A9"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C628181"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A0F2C25"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31D7210"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BADBBDB"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30CBDEA" w14:textId="77777777" w:rsidR="0012790E" w:rsidRPr="001C06E6" w:rsidRDefault="0012790E">
            <w:pPr>
              <w:pStyle w:val="MeasureTableYearHeadings"/>
              <w:keepNext/>
            </w:pPr>
            <w:r w:rsidRPr="001C06E6">
              <w:t>2027</w:t>
            </w:r>
            <w:r>
              <w:noBreakHyphen/>
            </w:r>
            <w:r w:rsidRPr="001C06E6">
              <w:t>28</w:t>
            </w:r>
          </w:p>
        </w:tc>
      </w:tr>
      <w:tr w:rsidR="0012790E" w:rsidRPr="001C06E6" w14:paraId="39C517AB" w14:textId="77777777">
        <w:tc>
          <w:tcPr>
            <w:tcW w:w="2497" w:type="dxa"/>
            <w:tcBorders>
              <w:top w:val="single" w:sz="4" w:space="0" w:color="293F5B"/>
              <w:bottom w:val="single" w:sz="4" w:space="0" w:color="293F5B"/>
            </w:tcBorders>
            <w:shd w:val="clear" w:color="auto" w:fill="auto"/>
          </w:tcPr>
          <w:p w14:paraId="37340501" w14:textId="77777777" w:rsidR="0012790E" w:rsidRPr="001C06E6" w:rsidRDefault="0012790E">
            <w:pPr>
              <w:pStyle w:val="MeasureTableHeadingleftalignedwith2ptsspacing"/>
              <w:keepNext/>
            </w:pPr>
            <w:r>
              <w:t xml:space="preserve">Australian Criminal Intelligence Commission </w:t>
            </w:r>
          </w:p>
        </w:tc>
        <w:tc>
          <w:tcPr>
            <w:tcW w:w="1045" w:type="dxa"/>
            <w:tcBorders>
              <w:top w:val="single" w:sz="4" w:space="0" w:color="293F5B"/>
              <w:bottom w:val="single" w:sz="4" w:space="0" w:color="293F5B"/>
            </w:tcBorders>
            <w:shd w:val="clear" w:color="auto" w:fill="auto"/>
          </w:tcPr>
          <w:p w14:paraId="61B0D99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8987B14" w14:textId="77777777" w:rsidR="0012790E" w:rsidRPr="001C06E6" w:rsidRDefault="0012790E">
            <w:pPr>
              <w:pStyle w:val="MeasureTableDataRightAlignedwith2ptsspacing"/>
              <w:keepNext/>
            </w:pPr>
            <w:r>
              <w:t xml:space="preserve">70.3 </w:t>
            </w:r>
          </w:p>
        </w:tc>
        <w:tc>
          <w:tcPr>
            <w:tcW w:w="1045" w:type="dxa"/>
            <w:tcBorders>
              <w:top w:val="single" w:sz="4" w:space="0" w:color="293F5B"/>
              <w:bottom w:val="single" w:sz="4" w:space="0" w:color="293F5B"/>
            </w:tcBorders>
            <w:shd w:val="clear" w:color="auto" w:fill="auto"/>
          </w:tcPr>
          <w:p w14:paraId="6CB68674" w14:textId="77777777" w:rsidR="0012790E" w:rsidRPr="001C06E6" w:rsidRDefault="0012790E">
            <w:pPr>
              <w:pStyle w:val="MeasureTableDataRightAlignedwith2ptsspacing"/>
              <w:keepNext/>
            </w:pPr>
            <w:r>
              <w:t xml:space="preserve">28.4 </w:t>
            </w:r>
          </w:p>
        </w:tc>
        <w:tc>
          <w:tcPr>
            <w:tcW w:w="1045" w:type="dxa"/>
            <w:tcBorders>
              <w:top w:val="single" w:sz="4" w:space="0" w:color="293F5B"/>
              <w:bottom w:val="single" w:sz="4" w:space="0" w:color="293F5B"/>
            </w:tcBorders>
            <w:shd w:val="clear" w:color="auto" w:fill="auto"/>
          </w:tcPr>
          <w:p w14:paraId="31510854"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CB93F7B" w14:textId="77777777" w:rsidR="0012790E" w:rsidRPr="001C06E6" w:rsidRDefault="0012790E">
            <w:pPr>
              <w:pStyle w:val="MeasureTableDataRightAlignedwith2ptsspacing"/>
              <w:keepNext/>
            </w:pPr>
            <w:r>
              <w:t xml:space="preserve">- </w:t>
            </w:r>
          </w:p>
        </w:tc>
      </w:tr>
      <w:tr w:rsidR="0012790E" w:rsidRPr="001C06E6" w14:paraId="755118C6" w14:textId="77777777">
        <w:tc>
          <w:tcPr>
            <w:tcW w:w="2497" w:type="dxa"/>
            <w:tcBorders>
              <w:top w:val="single" w:sz="4" w:space="0" w:color="293F5B"/>
              <w:bottom w:val="single" w:sz="4" w:space="0" w:color="293F5B"/>
            </w:tcBorders>
            <w:shd w:val="clear" w:color="auto" w:fill="auto"/>
          </w:tcPr>
          <w:p w14:paraId="5929C79F" w14:textId="77777777" w:rsidR="0012790E" w:rsidRPr="001C06E6" w:rsidRDefault="0012790E">
            <w:pPr>
              <w:pStyle w:val="MeasureTableHeadingleftalignedwith2ptsspacing"/>
              <w:keepNext/>
            </w:pPr>
            <w:r>
              <w:t xml:space="preserve">Office of the Director of Public Prosecutions </w:t>
            </w:r>
          </w:p>
        </w:tc>
        <w:tc>
          <w:tcPr>
            <w:tcW w:w="1045" w:type="dxa"/>
            <w:tcBorders>
              <w:top w:val="single" w:sz="4" w:space="0" w:color="293F5B"/>
              <w:bottom w:val="single" w:sz="4" w:space="0" w:color="293F5B"/>
            </w:tcBorders>
            <w:shd w:val="clear" w:color="auto" w:fill="auto"/>
          </w:tcPr>
          <w:p w14:paraId="32DC0A0F"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E7ABF7C" w14:textId="77777777" w:rsidR="0012790E" w:rsidRPr="001C06E6" w:rsidRDefault="0012790E">
            <w:pPr>
              <w:pStyle w:val="MeasureTableDataRightAlignedwith2ptsspacing"/>
              <w:keepNext/>
            </w:pPr>
            <w:r>
              <w:t xml:space="preserve">16.3 </w:t>
            </w:r>
          </w:p>
        </w:tc>
        <w:tc>
          <w:tcPr>
            <w:tcW w:w="1045" w:type="dxa"/>
            <w:tcBorders>
              <w:top w:val="single" w:sz="4" w:space="0" w:color="293F5B"/>
              <w:bottom w:val="single" w:sz="4" w:space="0" w:color="293F5B"/>
            </w:tcBorders>
            <w:shd w:val="clear" w:color="auto" w:fill="auto"/>
          </w:tcPr>
          <w:p w14:paraId="0610D051" w14:textId="77777777" w:rsidR="0012790E" w:rsidRPr="001C06E6" w:rsidRDefault="0012790E">
            <w:pPr>
              <w:pStyle w:val="MeasureTableDataRightAlignedwith2ptsspacing"/>
              <w:keepNext/>
            </w:pPr>
            <w:r>
              <w:t xml:space="preserve">18.7 </w:t>
            </w:r>
          </w:p>
        </w:tc>
        <w:tc>
          <w:tcPr>
            <w:tcW w:w="1045" w:type="dxa"/>
            <w:tcBorders>
              <w:top w:val="single" w:sz="4" w:space="0" w:color="293F5B"/>
              <w:bottom w:val="single" w:sz="4" w:space="0" w:color="293F5B"/>
            </w:tcBorders>
            <w:shd w:val="clear" w:color="auto" w:fill="auto"/>
          </w:tcPr>
          <w:p w14:paraId="4E1465D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F943F66" w14:textId="77777777" w:rsidR="0012790E" w:rsidRPr="001C06E6" w:rsidRDefault="0012790E">
            <w:pPr>
              <w:pStyle w:val="MeasureTableDataRightAlignedwith2ptsspacing"/>
              <w:keepNext/>
            </w:pPr>
            <w:r>
              <w:t xml:space="preserve">- </w:t>
            </w:r>
          </w:p>
        </w:tc>
      </w:tr>
      <w:tr w:rsidR="0012790E" w:rsidRPr="001C06E6" w14:paraId="40D08FF3" w14:textId="77777777">
        <w:tc>
          <w:tcPr>
            <w:tcW w:w="2497" w:type="dxa"/>
            <w:tcBorders>
              <w:top w:val="single" w:sz="4" w:space="0" w:color="293F5B"/>
              <w:bottom w:val="single" w:sz="4" w:space="0" w:color="293F5B"/>
            </w:tcBorders>
            <w:shd w:val="clear" w:color="auto" w:fill="auto"/>
          </w:tcPr>
          <w:p w14:paraId="43305359"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2FFA5B1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2847DEF" w14:textId="77777777" w:rsidR="0012790E" w:rsidRPr="001C06E6" w:rsidRDefault="0012790E">
            <w:pPr>
              <w:pStyle w:val="MeasureTableDataRightAlignedwith2ptsspacing"/>
              <w:keepNext/>
            </w:pPr>
            <w:r w:rsidRPr="001C06E6">
              <w:t>9.5</w:t>
            </w:r>
          </w:p>
        </w:tc>
        <w:tc>
          <w:tcPr>
            <w:tcW w:w="1045" w:type="dxa"/>
            <w:tcBorders>
              <w:top w:val="single" w:sz="4" w:space="0" w:color="293F5B"/>
              <w:bottom w:val="single" w:sz="4" w:space="0" w:color="293F5B"/>
            </w:tcBorders>
            <w:shd w:val="clear" w:color="auto" w:fill="auto"/>
          </w:tcPr>
          <w:p w14:paraId="1FDFFCBD" w14:textId="77777777" w:rsidR="0012790E" w:rsidRPr="001C06E6" w:rsidRDefault="0012790E">
            <w:pPr>
              <w:pStyle w:val="MeasureTableDataRightAlignedwith2ptsspacing"/>
              <w:keepNext/>
            </w:pPr>
            <w:r w:rsidRPr="001C06E6">
              <w:t>4.7</w:t>
            </w:r>
          </w:p>
        </w:tc>
        <w:tc>
          <w:tcPr>
            <w:tcW w:w="1045" w:type="dxa"/>
            <w:tcBorders>
              <w:top w:val="single" w:sz="4" w:space="0" w:color="293F5B"/>
              <w:bottom w:val="single" w:sz="4" w:space="0" w:color="293F5B"/>
            </w:tcBorders>
            <w:shd w:val="clear" w:color="auto" w:fill="auto"/>
          </w:tcPr>
          <w:p w14:paraId="6EEF9A0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8F3ECCE" w14:textId="77777777" w:rsidR="0012790E" w:rsidRPr="001C06E6" w:rsidRDefault="0012790E">
            <w:pPr>
              <w:pStyle w:val="MeasureTableDataRightAlignedwith2ptsspacing"/>
              <w:keepNext/>
            </w:pPr>
            <w:r w:rsidRPr="001C06E6">
              <w:t>-</w:t>
            </w:r>
          </w:p>
        </w:tc>
      </w:tr>
      <w:tr w:rsidR="0012790E" w:rsidRPr="001C06E6" w14:paraId="3FECA2A2" w14:textId="77777777">
        <w:tc>
          <w:tcPr>
            <w:tcW w:w="2497" w:type="dxa"/>
            <w:tcBorders>
              <w:top w:val="single" w:sz="4" w:space="0" w:color="293F5B"/>
              <w:bottom w:val="single" w:sz="4" w:space="0" w:color="293F5B"/>
            </w:tcBorders>
            <w:shd w:val="clear" w:color="auto" w:fill="auto"/>
          </w:tcPr>
          <w:p w14:paraId="1C2F3386"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59D851C7"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AC61EAD"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7D93B573"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26A4FE7B"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22C37859" w14:textId="77777777" w:rsidR="0012790E" w:rsidRPr="001C06E6" w:rsidRDefault="0012790E">
            <w:pPr>
              <w:pStyle w:val="MeasureTableDataRightAlignedwith2ptsspacing"/>
              <w:keepNext/>
            </w:pPr>
            <w:r>
              <w:t xml:space="preserve">nfp   </w:t>
            </w:r>
          </w:p>
        </w:tc>
      </w:tr>
      <w:tr w:rsidR="0012790E" w:rsidRPr="001C06E6" w14:paraId="6674C28A" w14:textId="77777777">
        <w:tc>
          <w:tcPr>
            <w:tcW w:w="2497" w:type="dxa"/>
            <w:tcBorders>
              <w:top w:val="single" w:sz="4" w:space="0" w:color="293F5B"/>
              <w:bottom w:val="single" w:sz="4" w:space="0" w:color="293F5B"/>
            </w:tcBorders>
            <w:shd w:val="clear" w:color="auto" w:fill="auto"/>
          </w:tcPr>
          <w:p w14:paraId="7427F272" w14:textId="77777777" w:rsidR="0012790E" w:rsidRPr="001C06E6" w:rsidRDefault="0012790E">
            <w:pPr>
              <w:pStyle w:val="MeasureTableHeadingleftalignedwith2ptsspacing"/>
              <w:keepNext/>
            </w:pPr>
            <w:r>
              <w:t xml:space="preserve">Department of Foreign Affairs and Trade </w:t>
            </w:r>
          </w:p>
        </w:tc>
        <w:tc>
          <w:tcPr>
            <w:tcW w:w="1045" w:type="dxa"/>
            <w:tcBorders>
              <w:top w:val="single" w:sz="4" w:space="0" w:color="293F5B"/>
              <w:bottom w:val="single" w:sz="4" w:space="0" w:color="293F5B"/>
            </w:tcBorders>
            <w:shd w:val="clear" w:color="auto" w:fill="auto"/>
          </w:tcPr>
          <w:p w14:paraId="3B8CF833"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A1A8EE0"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57E7F2C0"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7858A59C"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7BD64728" w14:textId="77777777" w:rsidR="0012790E" w:rsidRPr="001C06E6" w:rsidRDefault="0012790E">
            <w:pPr>
              <w:pStyle w:val="MeasureTableDataRightAlignedwith2ptsspacing"/>
              <w:keepNext/>
            </w:pPr>
            <w:r>
              <w:t xml:space="preserve">nfp </w:t>
            </w:r>
          </w:p>
        </w:tc>
      </w:tr>
      <w:tr w:rsidR="0012790E" w:rsidRPr="001C06E6" w14:paraId="1AFC853D" w14:textId="77777777">
        <w:tc>
          <w:tcPr>
            <w:tcW w:w="2497" w:type="dxa"/>
            <w:tcBorders>
              <w:top w:val="single" w:sz="4" w:space="0" w:color="293F5B"/>
              <w:bottom w:val="single" w:sz="4" w:space="0" w:color="293F5B"/>
            </w:tcBorders>
            <w:shd w:val="clear" w:color="auto" w:fill="auto"/>
          </w:tcPr>
          <w:p w14:paraId="28580F76" w14:textId="77777777" w:rsidR="0012790E" w:rsidRPr="001C06E6" w:rsidRDefault="0012790E">
            <w:pPr>
              <w:pStyle w:val="MeasureTableHeadingleftalignedwith2ptsspacing"/>
              <w:keepNext/>
            </w:pPr>
            <w:r w:rsidRPr="001C06E6">
              <w:t>Attorney</w:t>
            </w:r>
            <w:r>
              <w:noBreakHyphen/>
            </w:r>
            <w:r w:rsidRPr="001C06E6">
              <w:t>General's Department</w:t>
            </w:r>
          </w:p>
        </w:tc>
        <w:tc>
          <w:tcPr>
            <w:tcW w:w="1045" w:type="dxa"/>
            <w:tcBorders>
              <w:top w:val="single" w:sz="4" w:space="0" w:color="293F5B"/>
              <w:bottom w:val="single" w:sz="4" w:space="0" w:color="293F5B"/>
            </w:tcBorders>
            <w:shd w:val="clear" w:color="auto" w:fill="auto"/>
          </w:tcPr>
          <w:p w14:paraId="5555E7D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BAC62B2"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7F5331F5"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35B08867"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506DAFC2" w14:textId="77777777" w:rsidR="0012790E" w:rsidRPr="001C06E6" w:rsidRDefault="0012790E">
            <w:pPr>
              <w:pStyle w:val="MeasureTableDataRightAlignedwith2ptsspacing"/>
              <w:keepNext/>
            </w:pPr>
            <w:r w:rsidRPr="001C06E6">
              <w:t>nfp</w:t>
            </w:r>
          </w:p>
        </w:tc>
      </w:tr>
      <w:tr w:rsidR="0012790E" w:rsidRPr="001C06E6" w14:paraId="4749DAD9" w14:textId="77777777">
        <w:tc>
          <w:tcPr>
            <w:tcW w:w="2497" w:type="dxa"/>
            <w:tcBorders>
              <w:top w:val="single" w:sz="4" w:space="0" w:color="293F5B"/>
              <w:bottom w:val="single" w:sz="4" w:space="0" w:color="293F5B"/>
            </w:tcBorders>
            <w:shd w:val="clear" w:color="auto" w:fill="auto"/>
          </w:tcPr>
          <w:p w14:paraId="64902DE1"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0A3CFDD6"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60E2C033" w14:textId="77777777" w:rsidR="0012790E" w:rsidRPr="001C06E6" w:rsidRDefault="0012790E">
            <w:pPr>
              <w:pStyle w:val="Totaldatarowrightaligned"/>
              <w:keepNext/>
            </w:pPr>
            <w:r w:rsidRPr="001C06E6">
              <w:t>96.2</w:t>
            </w:r>
          </w:p>
        </w:tc>
        <w:tc>
          <w:tcPr>
            <w:tcW w:w="1045" w:type="dxa"/>
            <w:tcBorders>
              <w:top w:val="single" w:sz="4" w:space="0" w:color="293F5B"/>
              <w:bottom w:val="single" w:sz="4" w:space="0" w:color="293F5B"/>
            </w:tcBorders>
            <w:shd w:val="clear" w:color="auto" w:fill="auto"/>
          </w:tcPr>
          <w:p w14:paraId="75F44CF9" w14:textId="77777777" w:rsidR="0012790E" w:rsidRPr="001C06E6" w:rsidRDefault="0012790E">
            <w:pPr>
              <w:pStyle w:val="Totaldatarowrightaligned"/>
              <w:keepNext/>
            </w:pPr>
            <w:r w:rsidRPr="001C06E6">
              <w:t>51.8</w:t>
            </w:r>
          </w:p>
        </w:tc>
        <w:tc>
          <w:tcPr>
            <w:tcW w:w="1045" w:type="dxa"/>
            <w:tcBorders>
              <w:top w:val="single" w:sz="4" w:space="0" w:color="293F5B"/>
              <w:bottom w:val="single" w:sz="4" w:space="0" w:color="293F5B"/>
            </w:tcBorders>
            <w:shd w:val="clear" w:color="auto" w:fill="auto"/>
          </w:tcPr>
          <w:p w14:paraId="3839F49A"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2269936F" w14:textId="77777777" w:rsidR="0012790E" w:rsidRPr="001C06E6" w:rsidRDefault="0012790E">
            <w:pPr>
              <w:pStyle w:val="Totaldatarowrightaligned"/>
              <w:keepNext/>
            </w:pPr>
            <w:r w:rsidRPr="001C06E6">
              <w:t>-</w:t>
            </w:r>
          </w:p>
        </w:tc>
      </w:tr>
    </w:tbl>
    <w:p w14:paraId="775D8248"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595C00FC" w14:textId="77777777" w:rsidR="0012790E" w:rsidRDefault="0012790E" w:rsidP="54937204">
      <w:pPr>
        <w:pStyle w:val="Normal2"/>
        <w:rPr>
          <w:rFonts w:cs="Book Antiqua"/>
          <w:lang w:val="en-US"/>
        </w:rPr>
      </w:pPr>
      <w:r w:rsidRPr="54937204">
        <w:rPr>
          <w:rFonts w:cs="Book Antiqua"/>
          <w:lang w:val="en-US"/>
        </w:rPr>
        <w:t>The Government will provide funding to support the delivery of Government priorities in the Attorney</w:t>
      </w:r>
      <w:r>
        <w:rPr>
          <w:rFonts w:cs="Book Antiqua"/>
        </w:rPr>
        <w:noBreakHyphen/>
      </w:r>
      <w:r w:rsidRPr="54937204">
        <w:rPr>
          <w:rFonts w:cs="Book Antiqua"/>
          <w:lang w:val="en-US"/>
        </w:rPr>
        <w:t>General’s portfolio, including:</w:t>
      </w:r>
    </w:p>
    <w:p w14:paraId="399EB510" w14:textId="77777777" w:rsidR="0012790E" w:rsidRDefault="0012790E">
      <w:pPr>
        <w:pStyle w:val="Bullet"/>
      </w:pPr>
      <w:r w:rsidRPr="001C06E6">
        <w:t>additional funding for the Attorney</w:t>
      </w:r>
      <w:r>
        <w:noBreakHyphen/>
      </w:r>
      <w:r w:rsidRPr="001C06E6">
        <w:t xml:space="preserve">General’s Department (AGD), Department of Foreign Affairs and Trade and Department of Climate Change, Energy, the </w:t>
      </w:r>
      <w:r w:rsidRPr="00E00F9E">
        <w:rPr>
          <w:spacing w:val="-2"/>
        </w:rPr>
        <w:t>Environment and Water to support Australia’s participation in international legal actions</w:t>
      </w:r>
      <w:r>
        <w:t xml:space="preserve"> </w:t>
      </w:r>
    </w:p>
    <w:p w14:paraId="189507C6" w14:textId="77777777" w:rsidR="0012790E" w:rsidRDefault="0012790E">
      <w:pPr>
        <w:pStyle w:val="Bullet"/>
      </w:pPr>
      <w:r w:rsidRPr="001C06E6">
        <w:t>$109.9</w:t>
      </w:r>
      <w:r>
        <w:t> </w:t>
      </w:r>
      <w:r w:rsidRPr="001C06E6">
        <w:t xml:space="preserve">million over two years from </w:t>
      </w:r>
      <w:r>
        <w:t>2024–25</w:t>
      </w:r>
      <w:r w:rsidRPr="001C06E6">
        <w:t xml:space="preserve"> to the Australian Criminal Intelligence Commission (ACIC) to support enhanced collaboration and information sharing through the continued integration of state and territory law enforcement agencies into the National Criminal Intelligence System</w:t>
      </w:r>
      <w:r>
        <w:t xml:space="preserve"> </w:t>
      </w:r>
    </w:p>
    <w:p w14:paraId="2857EC0E" w14:textId="77777777" w:rsidR="0012790E" w:rsidRDefault="0012790E">
      <w:pPr>
        <w:pStyle w:val="Bullet"/>
      </w:pPr>
      <w:r w:rsidRPr="001C06E6">
        <w:lastRenderedPageBreak/>
        <w:t>$48.7</w:t>
      </w:r>
      <w:r>
        <w:t> </w:t>
      </w:r>
      <w:r w:rsidRPr="001C06E6">
        <w:t xml:space="preserve">million in </w:t>
      </w:r>
      <w:r>
        <w:t>2024–25</w:t>
      </w:r>
      <w:r w:rsidRPr="001C06E6">
        <w:t xml:space="preserve"> to the ACIC to sustain operational activities and enhance its core capabilities to disrupt transnational, serious and organised crime</w:t>
      </w:r>
      <w:r>
        <w:t xml:space="preserve"> </w:t>
      </w:r>
    </w:p>
    <w:p w14:paraId="5007A69B" w14:textId="77777777" w:rsidR="0012790E" w:rsidRDefault="0012790E">
      <w:pPr>
        <w:pStyle w:val="Bullet"/>
      </w:pPr>
      <w:r w:rsidRPr="001C06E6">
        <w:t>$35.0</w:t>
      </w:r>
      <w:r>
        <w:t> </w:t>
      </w:r>
      <w:r w:rsidRPr="001C06E6">
        <w:t xml:space="preserve">million over two years from </w:t>
      </w:r>
      <w:r>
        <w:t>2024–25</w:t>
      </w:r>
      <w:r w:rsidRPr="001C06E6">
        <w:t xml:space="preserve"> to the Office of the Director of Public Prosecutions to strengthen its capacity to undertake criminal prosecutions on behalf of the Commonwealth</w:t>
      </w:r>
      <w:r>
        <w:t xml:space="preserve"> </w:t>
      </w:r>
    </w:p>
    <w:p w14:paraId="508F7A20" w14:textId="77777777" w:rsidR="0012790E" w:rsidRDefault="0012790E">
      <w:pPr>
        <w:pStyle w:val="Bullet"/>
      </w:pPr>
      <w:r w:rsidRPr="001C06E6">
        <w:t>$14.2</w:t>
      </w:r>
      <w:r>
        <w:t> </w:t>
      </w:r>
      <w:r w:rsidRPr="001C06E6">
        <w:t xml:space="preserve">million over two years from </w:t>
      </w:r>
      <w:r>
        <w:t>2024–25</w:t>
      </w:r>
      <w:r w:rsidRPr="001C06E6">
        <w:t xml:space="preserve"> to improve community safety in Alice Springs and surrounds</w:t>
      </w:r>
      <w:r>
        <w:t xml:space="preserve"> </w:t>
      </w:r>
    </w:p>
    <w:p w14:paraId="2B4CF418" w14:textId="745C77C2" w:rsidR="0012790E" w:rsidRDefault="0012790E">
      <w:pPr>
        <w:pStyle w:val="Bullet"/>
        <w:rPr>
          <w:iCs/>
        </w:rPr>
      </w:pPr>
      <w:r w:rsidRPr="001C06E6">
        <w:t>$5.6</w:t>
      </w:r>
      <w:r>
        <w:t> </w:t>
      </w:r>
      <w:r w:rsidRPr="001C06E6">
        <w:t xml:space="preserve">million over four years from </w:t>
      </w:r>
      <w:r>
        <w:t>2024–25</w:t>
      </w:r>
      <w:r w:rsidRPr="001C06E6">
        <w:t xml:space="preserve"> (and $0.7</w:t>
      </w:r>
      <w:r>
        <w:t> </w:t>
      </w:r>
      <w:r w:rsidRPr="001C06E6">
        <w:t>million per year ongoing) to AGD to</w:t>
      </w:r>
      <w:r w:rsidR="007F47D8">
        <w:t> </w:t>
      </w:r>
      <w:r w:rsidRPr="001C06E6">
        <w:t xml:space="preserve">administer the Community Safety Order (CSO) scheme, including extending the Expensive Commonwealth Criminal Cases Fund to cover legal assistance in CSO proceedings, as part of the Government’s continuing response to the High Court’s decision in </w:t>
      </w:r>
      <w:r w:rsidRPr="001C06E6">
        <w:rPr>
          <w:i/>
          <w:iCs/>
        </w:rPr>
        <w:t>NZYQ v Minister for Immigration, Citizenship and Multicultural Affairs &amp; Anor</w:t>
      </w:r>
      <w:r>
        <w:rPr>
          <w:iCs/>
        </w:rPr>
        <w:t xml:space="preserve"> </w:t>
      </w:r>
    </w:p>
    <w:p w14:paraId="423D07B9" w14:textId="77777777" w:rsidR="0012790E" w:rsidRDefault="0012790E">
      <w:pPr>
        <w:pStyle w:val="Bullet"/>
      </w:pPr>
      <w:r w:rsidRPr="001C06E6">
        <w:t>$2.5</w:t>
      </w:r>
      <w:r>
        <w:t> </w:t>
      </w:r>
      <w:r w:rsidRPr="001C06E6">
        <w:t xml:space="preserve">million over two years from </w:t>
      </w:r>
      <w:r>
        <w:t>2024–25</w:t>
      </w:r>
      <w:r w:rsidRPr="001C06E6">
        <w:t xml:space="preserve"> to AGD to undertake an audit of</w:t>
      </w:r>
      <w:r>
        <w:t xml:space="preserve"> </w:t>
      </w:r>
      <w:r w:rsidRPr="001C06E6">
        <w:t>Government supply chains and procurement procedures to tackle modern slavery risks.</w:t>
      </w:r>
      <w:r>
        <w:t xml:space="preserve"> </w:t>
      </w:r>
    </w:p>
    <w:p w14:paraId="3A5E173A"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the Confiscated Assets Account under the </w:t>
      </w:r>
      <w:r w:rsidRPr="54937204">
        <w:rPr>
          <w:rFonts w:cs="Book Antiqua"/>
          <w:i/>
          <w:iCs/>
          <w:lang w:val="en-US"/>
        </w:rPr>
        <w:t>Proceeds of Crime Act 2002</w:t>
      </w:r>
      <w:r w:rsidRPr="54937204">
        <w:rPr>
          <w:rFonts w:cs="Book Antiqua"/>
          <w:lang w:val="en-US"/>
        </w:rPr>
        <w:t xml:space="preserve"> and the National Policing Information Systems and Services Special Account, and savings identified in the 2024–25 Budget measure </w:t>
      </w:r>
      <w:r w:rsidRPr="54937204">
        <w:rPr>
          <w:rFonts w:cs="Book Antiqua"/>
          <w:i/>
          <w:iCs/>
          <w:lang w:val="en-US"/>
        </w:rPr>
        <w:t>Attorney</w:t>
      </w:r>
      <w:r>
        <w:rPr>
          <w:rFonts w:cs="Book Antiqua"/>
          <w:i/>
          <w:iCs/>
        </w:rPr>
        <w:noBreakHyphen/>
      </w:r>
      <w:r w:rsidRPr="54937204">
        <w:rPr>
          <w:rFonts w:cs="Book Antiqua"/>
          <w:i/>
          <w:iCs/>
          <w:lang w:val="en-US"/>
        </w:rPr>
        <w:t>General’s – reprioritisation</w:t>
      </w:r>
      <w:r w:rsidRPr="54937204">
        <w:rPr>
          <w:rFonts w:cs="Book Antiqua"/>
          <w:lang w:val="en-US"/>
        </w:rPr>
        <w:t xml:space="preserve">. </w:t>
      </w:r>
    </w:p>
    <w:p w14:paraId="46ADEFCD" w14:textId="77777777" w:rsidR="0012790E" w:rsidRDefault="0012790E">
      <w:pPr>
        <w:pStyle w:val="Normal2"/>
        <w:rPr>
          <w:rFonts w:cs="Book Antiqua"/>
        </w:rPr>
      </w:pPr>
      <w:r w:rsidRPr="001C06E6">
        <w:rPr>
          <w:rFonts w:cs="Book Antiqua"/>
        </w:rPr>
        <w:t>The Treasury manages Commonwealth payments to the states and territories.</w:t>
      </w:r>
      <w:r>
        <w:rPr>
          <w:rFonts w:cs="Book Antiqua"/>
        </w:rPr>
        <w:t xml:space="preserve"> </w:t>
      </w:r>
    </w:p>
    <w:p w14:paraId="19D55C3F" w14:textId="7777777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 xml:space="preserve">Budget measure titled </w:t>
      </w:r>
      <w:r w:rsidRPr="001C06E6">
        <w:rPr>
          <w:rFonts w:cs="Book Antiqua"/>
          <w:i/>
          <w:iCs/>
        </w:rPr>
        <w:t>Better, Safer Future for</w:t>
      </w:r>
      <w:r>
        <w:rPr>
          <w:rFonts w:cs="Book Antiqua"/>
          <w:i/>
          <w:iCs/>
        </w:rPr>
        <w:t xml:space="preserve"> </w:t>
      </w:r>
      <w:r w:rsidRPr="001C06E6">
        <w:rPr>
          <w:rFonts w:cs="Book Antiqua"/>
          <w:i/>
          <w:iCs/>
        </w:rPr>
        <w:t>Central Australia Plan</w:t>
      </w:r>
      <w:r w:rsidRPr="001C06E6">
        <w:rPr>
          <w:rFonts w:cs="Book Antiqua"/>
        </w:rPr>
        <w:t xml:space="preserve"> and the </w:t>
      </w:r>
      <w:r>
        <w:rPr>
          <w:rFonts w:cs="Book Antiqua"/>
        </w:rPr>
        <w:t>2023–24 </w:t>
      </w:r>
      <w:r w:rsidRPr="001C06E6">
        <w:rPr>
          <w:rFonts w:cs="Book Antiqua"/>
        </w:rPr>
        <w:t xml:space="preserve">MYEFO measure titled </w:t>
      </w:r>
      <w:r w:rsidRPr="001C06E6">
        <w:rPr>
          <w:rFonts w:cs="Book Antiqua"/>
          <w:i/>
          <w:iCs/>
        </w:rPr>
        <w:t>Community Safety</w:t>
      </w:r>
      <w:r>
        <w:rPr>
          <w:rFonts w:cs="Book Antiqua"/>
          <w:i/>
          <w:iCs/>
        </w:rPr>
        <w:t xml:space="preserve"> </w:t>
      </w:r>
      <w:r w:rsidRPr="001C06E6">
        <w:rPr>
          <w:rFonts w:cs="Book Antiqua"/>
          <w:i/>
          <w:iCs/>
        </w:rPr>
        <w:t>Measures in Response to the High Court’s Decision in NZYQ v Minister for</w:t>
      </w:r>
      <w:r>
        <w:rPr>
          <w:rFonts w:cs="Book Antiqua"/>
          <w:i/>
          <w:iCs/>
        </w:rPr>
        <w:t xml:space="preserve"> </w:t>
      </w:r>
      <w:r w:rsidRPr="001C06E6">
        <w:rPr>
          <w:rFonts w:cs="Book Antiqua"/>
          <w:i/>
          <w:iCs/>
        </w:rPr>
        <w:t>Immigration, Citizenship and Multicultural Affairs &amp; Anor</w:t>
      </w:r>
      <w:r w:rsidRPr="001C06E6">
        <w:rPr>
          <w:rFonts w:cs="Book Antiqua"/>
        </w:rPr>
        <w:t>.</w:t>
      </w:r>
      <w:r>
        <w:rPr>
          <w:rFonts w:cs="Book Antiqua"/>
        </w:rPr>
        <w:t xml:space="preserve"> </w:t>
      </w:r>
    </w:p>
    <w:p w14:paraId="2940AF62" w14:textId="77777777" w:rsidR="0012790E" w:rsidRDefault="0012790E" w:rsidP="54937204">
      <w:pPr>
        <w:pStyle w:val="Normal2"/>
        <w:rPr>
          <w:rFonts w:cs="Book Antiqua"/>
          <w:lang w:val="en-US"/>
        </w:rPr>
      </w:pPr>
      <w:r w:rsidRPr="54937204">
        <w:rPr>
          <w:rFonts w:cs="Book Antiqua"/>
          <w:lang w:val="en-US"/>
        </w:rPr>
        <w:t xml:space="preserve">Some of the financial implications of this measure are not for publication (nfp) as publication could impair the Commonwealth’s position in legal actions. </w:t>
      </w:r>
    </w:p>
    <w:p w14:paraId="31951BEB" w14:textId="77777777" w:rsidR="0012790E" w:rsidRDefault="0012790E">
      <w:pPr>
        <w:pStyle w:val="Normal2"/>
        <w:rPr>
          <w:rFonts w:cs="Book Antiqua"/>
        </w:rPr>
      </w:pPr>
      <w:r w:rsidRPr="001C06E6">
        <w:rPr>
          <w:rFonts w:cs="Book Antiqua"/>
        </w:rPr>
        <w:t xml:space="preserve">Parts of this measure support the implementation of the </w:t>
      </w:r>
      <w:r w:rsidRPr="001C06E6">
        <w:rPr>
          <w:rFonts w:cs="Book Antiqua"/>
          <w:i/>
          <w:iCs/>
        </w:rPr>
        <w:t>National Plan to End Violence</w:t>
      </w:r>
      <w:r>
        <w:rPr>
          <w:rFonts w:cs="Book Antiqua"/>
          <w:i/>
          <w:iCs/>
        </w:rPr>
        <w:t xml:space="preserve"> </w:t>
      </w:r>
      <w:r w:rsidRPr="001C06E6">
        <w:rPr>
          <w:rFonts w:cs="Book Antiqua"/>
          <w:i/>
          <w:iCs/>
        </w:rPr>
        <w:t xml:space="preserve">Against Women and Children </w:t>
      </w:r>
      <w:r>
        <w:rPr>
          <w:rFonts w:cs="Book Antiqua"/>
          <w:i/>
          <w:iCs/>
        </w:rPr>
        <w:t>2022–32</w:t>
      </w:r>
      <w:r w:rsidRPr="001C06E6">
        <w:rPr>
          <w:rFonts w:cs="Book Antiqua"/>
        </w:rPr>
        <w:t>.</w:t>
      </w:r>
      <w:r>
        <w:rPr>
          <w:rFonts w:cs="Book Antiqua"/>
        </w:rPr>
        <w:t xml:space="preserve"> </w:t>
      </w:r>
    </w:p>
    <w:p w14:paraId="405CCDA1" w14:textId="77777777" w:rsidR="0012790E" w:rsidRPr="001C06E6" w:rsidRDefault="0012790E">
      <w:pPr>
        <w:pStyle w:val="MeasureTitle"/>
        <w:rPr>
          <w:b w:val="0"/>
          <w:bCs/>
        </w:rPr>
      </w:pPr>
      <w:r w:rsidRPr="001C06E6">
        <w:rPr>
          <w:bCs/>
        </w:rPr>
        <w:lastRenderedPageBreak/>
        <w:t>Enhancing First Nations Justice Policy Outcomes</w:t>
      </w:r>
    </w:p>
    <w:p w14:paraId="4349695D"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868B887" w14:textId="77777777">
        <w:tc>
          <w:tcPr>
            <w:tcW w:w="2497" w:type="dxa"/>
            <w:tcBorders>
              <w:top w:val="single" w:sz="4" w:space="0" w:color="293F5B"/>
              <w:bottom w:val="single" w:sz="4" w:space="0" w:color="293F5B"/>
            </w:tcBorders>
            <w:shd w:val="clear" w:color="auto" w:fill="auto"/>
          </w:tcPr>
          <w:p w14:paraId="725BE063"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9BC1A5E"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504C7146"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FA25E34"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304A737"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48FB6E8" w14:textId="77777777" w:rsidR="0012790E" w:rsidRPr="001C06E6" w:rsidRDefault="0012790E">
            <w:pPr>
              <w:pStyle w:val="MeasureTableYearHeadings"/>
              <w:keepNext/>
            </w:pPr>
            <w:r w:rsidRPr="001C06E6">
              <w:t>2027</w:t>
            </w:r>
            <w:r>
              <w:noBreakHyphen/>
            </w:r>
            <w:r w:rsidRPr="001C06E6">
              <w:t>28</w:t>
            </w:r>
          </w:p>
        </w:tc>
      </w:tr>
      <w:tr w:rsidR="0012790E" w:rsidRPr="001C06E6" w14:paraId="702A8061" w14:textId="77777777">
        <w:tc>
          <w:tcPr>
            <w:tcW w:w="2497" w:type="dxa"/>
            <w:tcBorders>
              <w:top w:val="single" w:sz="4" w:space="0" w:color="293F5B"/>
              <w:bottom w:val="single" w:sz="4" w:space="0" w:color="293F5B"/>
            </w:tcBorders>
            <w:shd w:val="clear" w:color="auto" w:fill="auto"/>
          </w:tcPr>
          <w:p w14:paraId="547BC924" w14:textId="77777777" w:rsidR="0012790E" w:rsidRPr="001C06E6" w:rsidRDefault="0012790E">
            <w:pPr>
              <w:pStyle w:val="MeasureTableHeadingleftalignedwith2ptsspacing"/>
              <w:keepNext/>
            </w:pPr>
            <w:r w:rsidRPr="001C06E6">
              <w:t>Attorney</w:t>
            </w:r>
            <w:r>
              <w:noBreakHyphen/>
            </w:r>
            <w:r w:rsidRPr="001C06E6">
              <w:t>General's Department</w:t>
            </w:r>
          </w:p>
        </w:tc>
        <w:tc>
          <w:tcPr>
            <w:tcW w:w="1045" w:type="dxa"/>
            <w:tcBorders>
              <w:top w:val="single" w:sz="4" w:space="0" w:color="293F5B"/>
              <w:bottom w:val="single" w:sz="4" w:space="0" w:color="293F5B"/>
            </w:tcBorders>
            <w:shd w:val="clear" w:color="auto" w:fill="auto"/>
          </w:tcPr>
          <w:p w14:paraId="2BE0497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66F1679" w14:textId="77777777" w:rsidR="0012790E" w:rsidRPr="001C06E6" w:rsidRDefault="0012790E">
            <w:pPr>
              <w:pStyle w:val="MeasureTableDataRightAlignedwith2ptsspacing"/>
              <w:keepNext/>
            </w:pPr>
            <w:r w:rsidRPr="001C06E6">
              <w:t>8.6</w:t>
            </w:r>
          </w:p>
        </w:tc>
        <w:tc>
          <w:tcPr>
            <w:tcW w:w="1045" w:type="dxa"/>
            <w:tcBorders>
              <w:top w:val="single" w:sz="4" w:space="0" w:color="293F5B"/>
              <w:bottom w:val="single" w:sz="4" w:space="0" w:color="293F5B"/>
            </w:tcBorders>
            <w:shd w:val="clear" w:color="auto" w:fill="auto"/>
          </w:tcPr>
          <w:p w14:paraId="7EBDFB4B" w14:textId="77777777" w:rsidR="0012790E" w:rsidRPr="001C06E6" w:rsidRDefault="0012790E">
            <w:pPr>
              <w:pStyle w:val="MeasureTableDataRightAlignedwith2ptsspacing"/>
              <w:keepNext/>
            </w:pPr>
            <w:r w:rsidRPr="001C06E6">
              <w:t>8.4</w:t>
            </w:r>
          </w:p>
        </w:tc>
        <w:tc>
          <w:tcPr>
            <w:tcW w:w="1045" w:type="dxa"/>
            <w:tcBorders>
              <w:top w:val="single" w:sz="4" w:space="0" w:color="293F5B"/>
              <w:bottom w:val="single" w:sz="4" w:space="0" w:color="293F5B"/>
            </w:tcBorders>
            <w:shd w:val="clear" w:color="auto" w:fill="auto"/>
          </w:tcPr>
          <w:p w14:paraId="595E5632" w14:textId="77777777" w:rsidR="0012790E" w:rsidRPr="001C06E6" w:rsidRDefault="0012790E">
            <w:pPr>
              <w:pStyle w:val="MeasureTableDataRightAlignedwith2ptsspacing"/>
              <w:keepNext/>
            </w:pPr>
            <w:r w:rsidRPr="001C06E6">
              <w:t>2.6</w:t>
            </w:r>
          </w:p>
        </w:tc>
        <w:tc>
          <w:tcPr>
            <w:tcW w:w="1045" w:type="dxa"/>
            <w:tcBorders>
              <w:top w:val="single" w:sz="4" w:space="0" w:color="293F5B"/>
              <w:bottom w:val="single" w:sz="4" w:space="0" w:color="293F5B"/>
            </w:tcBorders>
            <w:shd w:val="clear" w:color="auto" w:fill="auto"/>
          </w:tcPr>
          <w:p w14:paraId="131D9003" w14:textId="77777777" w:rsidR="0012790E" w:rsidRPr="001C06E6" w:rsidRDefault="0012790E">
            <w:pPr>
              <w:pStyle w:val="MeasureTableDataRightAlignedwith2ptsspacing"/>
              <w:keepNext/>
            </w:pPr>
            <w:r w:rsidRPr="001C06E6">
              <w:t>2.8</w:t>
            </w:r>
          </w:p>
        </w:tc>
      </w:tr>
      <w:tr w:rsidR="0012790E" w:rsidRPr="001C06E6" w14:paraId="5AEE6622" w14:textId="77777777">
        <w:tc>
          <w:tcPr>
            <w:tcW w:w="2497" w:type="dxa"/>
            <w:tcBorders>
              <w:top w:val="single" w:sz="4" w:space="0" w:color="293F5B"/>
              <w:bottom w:val="single" w:sz="4" w:space="0" w:color="293F5B"/>
            </w:tcBorders>
            <w:shd w:val="clear" w:color="auto" w:fill="auto"/>
          </w:tcPr>
          <w:p w14:paraId="298BF968" w14:textId="77777777" w:rsidR="0012790E" w:rsidRPr="001C06E6" w:rsidRDefault="0012790E">
            <w:pPr>
              <w:pStyle w:val="MeasureTableHeadingleftalignedwith2ptsspacing"/>
              <w:keepNext/>
            </w:pPr>
            <w:r w:rsidRPr="001C06E6">
              <w:t>Federal Court of Australia</w:t>
            </w:r>
          </w:p>
        </w:tc>
        <w:tc>
          <w:tcPr>
            <w:tcW w:w="1045" w:type="dxa"/>
            <w:tcBorders>
              <w:top w:val="single" w:sz="4" w:space="0" w:color="293F5B"/>
              <w:bottom w:val="single" w:sz="4" w:space="0" w:color="293F5B"/>
            </w:tcBorders>
            <w:shd w:val="clear" w:color="auto" w:fill="auto"/>
          </w:tcPr>
          <w:p w14:paraId="79EBE17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935BEDD" w14:textId="77777777" w:rsidR="0012790E" w:rsidRPr="001C06E6" w:rsidRDefault="0012790E">
            <w:pPr>
              <w:pStyle w:val="MeasureTableDataRightAlignedwith2ptsspacing"/>
              <w:keepNext/>
            </w:pPr>
            <w:r w:rsidRPr="001C06E6">
              <w:t>5.7</w:t>
            </w:r>
          </w:p>
        </w:tc>
        <w:tc>
          <w:tcPr>
            <w:tcW w:w="1045" w:type="dxa"/>
            <w:tcBorders>
              <w:top w:val="single" w:sz="4" w:space="0" w:color="293F5B"/>
              <w:bottom w:val="single" w:sz="4" w:space="0" w:color="293F5B"/>
            </w:tcBorders>
            <w:shd w:val="clear" w:color="auto" w:fill="auto"/>
          </w:tcPr>
          <w:p w14:paraId="4DE8114E" w14:textId="77777777" w:rsidR="0012790E" w:rsidRPr="001C06E6" w:rsidRDefault="0012790E">
            <w:pPr>
              <w:pStyle w:val="MeasureTableDataRightAlignedwith2ptsspacing"/>
              <w:keepNext/>
            </w:pPr>
            <w:r w:rsidRPr="001C06E6">
              <w:t>5.6</w:t>
            </w:r>
          </w:p>
        </w:tc>
        <w:tc>
          <w:tcPr>
            <w:tcW w:w="1045" w:type="dxa"/>
            <w:tcBorders>
              <w:top w:val="single" w:sz="4" w:space="0" w:color="293F5B"/>
              <w:bottom w:val="single" w:sz="4" w:space="0" w:color="293F5B"/>
            </w:tcBorders>
            <w:shd w:val="clear" w:color="auto" w:fill="auto"/>
          </w:tcPr>
          <w:p w14:paraId="5AECC230" w14:textId="77777777" w:rsidR="0012790E" w:rsidRPr="001C06E6" w:rsidRDefault="0012790E">
            <w:pPr>
              <w:pStyle w:val="MeasureTableDataRightAlignedwith2ptsspacing"/>
              <w:keepNext/>
            </w:pPr>
            <w:r w:rsidRPr="001C06E6">
              <w:t>4.8</w:t>
            </w:r>
          </w:p>
        </w:tc>
        <w:tc>
          <w:tcPr>
            <w:tcW w:w="1045" w:type="dxa"/>
            <w:tcBorders>
              <w:top w:val="single" w:sz="4" w:space="0" w:color="293F5B"/>
              <w:bottom w:val="single" w:sz="4" w:space="0" w:color="293F5B"/>
            </w:tcBorders>
            <w:shd w:val="clear" w:color="auto" w:fill="auto"/>
          </w:tcPr>
          <w:p w14:paraId="47E29802" w14:textId="77777777" w:rsidR="0012790E" w:rsidRPr="001C06E6" w:rsidRDefault="0012790E">
            <w:pPr>
              <w:pStyle w:val="MeasureTableDataRightAlignedwith2ptsspacing"/>
              <w:keepNext/>
            </w:pPr>
            <w:r w:rsidRPr="001C06E6">
              <w:t>4.1</w:t>
            </w:r>
          </w:p>
        </w:tc>
      </w:tr>
      <w:tr w:rsidR="0012790E" w:rsidRPr="001C06E6" w14:paraId="7D5BE788" w14:textId="77777777">
        <w:tc>
          <w:tcPr>
            <w:tcW w:w="2497" w:type="dxa"/>
            <w:tcBorders>
              <w:top w:val="single" w:sz="4" w:space="0" w:color="293F5B"/>
              <w:bottom w:val="single" w:sz="4" w:space="0" w:color="293F5B"/>
            </w:tcBorders>
            <w:shd w:val="clear" w:color="auto" w:fill="auto"/>
          </w:tcPr>
          <w:p w14:paraId="06D1054A" w14:textId="77777777" w:rsidR="0012790E" w:rsidRPr="001C06E6" w:rsidRDefault="0012790E">
            <w:pPr>
              <w:pStyle w:val="MeasureTableHeadingleftalignedwith2ptsspacing"/>
              <w:keepNext/>
            </w:pPr>
            <w:r>
              <w:t xml:space="preserve">Australian Law Reform Commission </w:t>
            </w:r>
          </w:p>
        </w:tc>
        <w:tc>
          <w:tcPr>
            <w:tcW w:w="1045" w:type="dxa"/>
            <w:tcBorders>
              <w:top w:val="single" w:sz="4" w:space="0" w:color="293F5B"/>
              <w:bottom w:val="single" w:sz="4" w:space="0" w:color="293F5B"/>
            </w:tcBorders>
            <w:shd w:val="clear" w:color="auto" w:fill="auto"/>
          </w:tcPr>
          <w:p w14:paraId="1BC4A0A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15500E9" w14:textId="77777777" w:rsidR="0012790E" w:rsidRPr="001C06E6" w:rsidRDefault="0012790E">
            <w:pPr>
              <w:pStyle w:val="MeasureTableDataRightAlignedwith2ptsspacing"/>
              <w:keepNext/>
            </w:pPr>
            <w:r>
              <w:t xml:space="preserve">0.2 </w:t>
            </w:r>
          </w:p>
        </w:tc>
        <w:tc>
          <w:tcPr>
            <w:tcW w:w="1045" w:type="dxa"/>
            <w:tcBorders>
              <w:top w:val="single" w:sz="4" w:space="0" w:color="293F5B"/>
              <w:bottom w:val="single" w:sz="4" w:space="0" w:color="293F5B"/>
            </w:tcBorders>
            <w:shd w:val="clear" w:color="auto" w:fill="auto"/>
          </w:tcPr>
          <w:p w14:paraId="1510D259" w14:textId="77777777" w:rsidR="0012790E" w:rsidRPr="001C06E6" w:rsidRDefault="0012790E">
            <w:pPr>
              <w:pStyle w:val="MeasureTableDataRightAlignedwith2ptsspacing"/>
              <w:keepNext/>
            </w:pPr>
            <w:r>
              <w:t xml:space="preserve">0.3 </w:t>
            </w:r>
          </w:p>
        </w:tc>
        <w:tc>
          <w:tcPr>
            <w:tcW w:w="1045" w:type="dxa"/>
            <w:tcBorders>
              <w:top w:val="single" w:sz="4" w:space="0" w:color="293F5B"/>
              <w:bottom w:val="single" w:sz="4" w:space="0" w:color="293F5B"/>
            </w:tcBorders>
            <w:shd w:val="clear" w:color="auto" w:fill="auto"/>
          </w:tcPr>
          <w:p w14:paraId="416262C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674E401" w14:textId="77777777" w:rsidR="0012790E" w:rsidRPr="001C06E6" w:rsidRDefault="0012790E">
            <w:pPr>
              <w:pStyle w:val="MeasureTableDataRightAlignedwith2ptsspacing"/>
              <w:keepNext/>
            </w:pPr>
            <w:r>
              <w:t xml:space="preserve">- </w:t>
            </w:r>
          </w:p>
        </w:tc>
      </w:tr>
      <w:tr w:rsidR="0012790E" w:rsidRPr="001C06E6" w14:paraId="503BEAE4" w14:textId="77777777">
        <w:tc>
          <w:tcPr>
            <w:tcW w:w="2497" w:type="dxa"/>
            <w:tcBorders>
              <w:top w:val="single" w:sz="4" w:space="0" w:color="293F5B"/>
              <w:bottom w:val="single" w:sz="4" w:space="0" w:color="293F5B"/>
            </w:tcBorders>
            <w:shd w:val="clear" w:color="auto" w:fill="auto"/>
          </w:tcPr>
          <w:p w14:paraId="49CE3F45"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085E2571"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1ECF1EB1" w14:textId="77777777" w:rsidR="0012790E" w:rsidRPr="001C06E6" w:rsidRDefault="0012790E">
            <w:pPr>
              <w:pStyle w:val="Totaldatarowrightaligned"/>
              <w:keepNext/>
            </w:pPr>
            <w:r w:rsidRPr="001C06E6">
              <w:t>14.5</w:t>
            </w:r>
          </w:p>
        </w:tc>
        <w:tc>
          <w:tcPr>
            <w:tcW w:w="1045" w:type="dxa"/>
            <w:tcBorders>
              <w:top w:val="single" w:sz="4" w:space="0" w:color="293F5B"/>
              <w:bottom w:val="single" w:sz="4" w:space="0" w:color="293F5B"/>
            </w:tcBorders>
            <w:shd w:val="clear" w:color="auto" w:fill="auto"/>
          </w:tcPr>
          <w:p w14:paraId="0AD94073" w14:textId="77777777" w:rsidR="0012790E" w:rsidRPr="001C06E6" w:rsidRDefault="0012790E">
            <w:pPr>
              <w:pStyle w:val="Totaldatarowrightaligned"/>
              <w:keepNext/>
            </w:pPr>
            <w:r w:rsidRPr="001C06E6">
              <w:t>14.3</w:t>
            </w:r>
          </w:p>
        </w:tc>
        <w:tc>
          <w:tcPr>
            <w:tcW w:w="1045" w:type="dxa"/>
            <w:tcBorders>
              <w:top w:val="single" w:sz="4" w:space="0" w:color="293F5B"/>
              <w:bottom w:val="single" w:sz="4" w:space="0" w:color="293F5B"/>
            </w:tcBorders>
            <w:shd w:val="clear" w:color="auto" w:fill="auto"/>
          </w:tcPr>
          <w:p w14:paraId="4B8A2E94" w14:textId="77777777" w:rsidR="0012790E" w:rsidRPr="001C06E6" w:rsidRDefault="0012790E">
            <w:pPr>
              <w:pStyle w:val="Totaldatarowrightaligned"/>
              <w:keepNext/>
            </w:pPr>
            <w:r w:rsidRPr="001C06E6">
              <w:t>7.4</w:t>
            </w:r>
          </w:p>
        </w:tc>
        <w:tc>
          <w:tcPr>
            <w:tcW w:w="1045" w:type="dxa"/>
            <w:tcBorders>
              <w:top w:val="single" w:sz="4" w:space="0" w:color="293F5B"/>
              <w:bottom w:val="single" w:sz="4" w:space="0" w:color="293F5B"/>
            </w:tcBorders>
            <w:shd w:val="clear" w:color="auto" w:fill="auto"/>
          </w:tcPr>
          <w:p w14:paraId="0F29C374" w14:textId="77777777" w:rsidR="0012790E" w:rsidRPr="001C06E6" w:rsidRDefault="0012790E">
            <w:pPr>
              <w:pStyle w:val="Totaldatarowrightaligned"/>
              <w:keepNext/>
            </w:pPr>
            <w:r w:rsidRPr="001C06E6">
              <w:t>6.9</w:t>
            </w:r>
          </w:p>
        </w:tc>
      </w:tr>
    </w:tbl>
    <w:p w14:paraId="25AF1E0C"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4A207771" w14:textId="77777777" w:rsidR="0012790E" w:rsidRDefault="0012790E">
      <w:pPr>
        <w:pStyle w:val="Normal2"/>
        <w:rPr>
          <w:rFonts w:cs="Book Antiqua"/>
        </w:rPr>
      </w:pPr>
      <w:r w:rsidRPr="001C06E6">
        <w:rPr>
          <w:rFonts w:cs="Book Antiqua"/>
        </w:rPr>
        <w:t>The Government will provide $43.1</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(and $3.6</w:t>
      </w:r>
      <w:r>
        <w:rPr>
          <w:rFonts w:cs="Book Antiqua"/>
        </w:rPr>
        <w:t> </w:t>
      </w:r>
      <w:r w:rsidRPr="001C06E6">
        <w:rPr>
          <w:rFonts w:cs="Book Antiqua"/>
        </w:rPr>
        <w:t>million per year ongoing) to improve justice outcomes for First Nations individuals and</w:t>
      </w:r>
      <w:r>
        <w:rPr>
          <w:rFonts w:cs="Book Antiqua"/>
        </w:rPr>
        <w:t xml:space="preserve"> </w:t>
      </w:r>
      <w:r w:rsidRPr="001C06E6">
        <w:rPr>
          <w:rFonts w:cs="Book Antiqua"/>
        </w:rPr>
        <w:t>families. Funding includes:</w:t>
      </w:r>
    </w:p>
    <w:p w14:paraId="5A931605" w14:textId="77777777" w:rsidR="0012790E" w:rsidRDefault="0012790E">
      <w:pPr>
        <w:pStyle w:val="Bullet"/>
      </w:pPr>
      <w:r w:rsidRPr="001C06E6">
        <w:t>$20.2</w:t>
      </w:r>
      <w:r>
        <w:t> </w:t>
      </w:r>
      <w:r w:rsidRPr="001C06E6">
        <w:t xml:space="preserve">million over four years from </w:t>
      </w:r>
      <w:r>
        <w:t>2024–25</w:t>
      </w:r>
      <w:r w:rsidRPr="001C06E6">
        <w:t xml:space="preserve"> (and $3.6</w:t>
      </w:r>
      <w:r>
        <w:t> </w:t>
      </w:r>
      <w:r w:rsidRPr="001C06E6">
        <w:t>million per year ongoing) to the Federal Court of Australia and the National Native Title Tribunal to preserve culturally and historically significant native title records and address the backlog of native title claims and post</w:t>
      </w:r>
      <w:r>
        <w:noBreakHyphen/>
      </w:r>
      <w:r w:rsidRPr="001C06E6">
        <w:t>determination disputes</w:t>
      </w:r>
      <w:r>
        <w:t xml:space="preserve"> </w:t>
      </w:r>
    </w:p>
    <w:p w14:paraId="57C0B434" w14:textId="77777777" w:rsidR="0012790E" w:rsidRDefault="0012790E">
      <w:pPr>
        <w:pStyle w:val="Bullet"/>
      </w:pPr>
      <w:r w:rsidRPr="001C06E6">
        <w:t>$11.7</w:t>
      </w:r>
      <w:r>
        <w:t> </w:t>
      </w:r>
      <w:r w:rsidRPr="001C06E6">
        <w:t xml:space="preserve">million over two years from </w:t>
      </w:r>
      <w:r>
        <w:t>2024–25</w:t>
      </w:r>
      <w:r w:rsidRPr="001C06E6">
        <w:t xml:space="preserve"> to extend the First Nations Family Dispute Resolution pilot to support culturally safe family dispute resolution services</w:t>
      </w:r>
      <w:r>
        <w:t xml:space="preserve"> </w:t>
      </w:r>
    </w:p>
    <w:p w14:paraId="16CE086F" w14:textId="77777777" w:rsidR="0012790E" w:rsidRDefault="0012790E">
      <w:pPr>
        <w:pStyle w:val="Bullet"/>
      </w:pPr>
      <w:r w:rsidRPr="001C06E6">
        <w:t>$10.7</w:t>
      </w:r>
      <w:r>
        <w:t> </w:t>
      </w:r>
      <w:r w:rsidRPr="001C06E6">
        <w:t xml:space="preserve">million over four years from </w:t>
      </w:r>
      <w:r>
        <w:t>2024–25</w:t>
      </w:r>
      <w:r w:rsidRPr="001C06E6">
        <w:t xml:space="preserve"> to continue funding for the Justice Policy Partnership to work in partnership with all government and non</w:t>
      </w:r>
      <w:r>
        <w:noBreakHyphen/>
      </w:r>
      <w:r w:rsidRPr="001C06E6">
        <w:t>government First Nations members to reduce adult and youth incarceration rates for First Nations peoples (Targets 10 and 11 of the National Agreement on Closing the Gap)</w:t>
      </w:r>
      <w:r>
        <w:t xml:space="preserve"> </w:t>
      </w:r>
    </w:p>
    <w:p w14:paraId="7926401F" w14:textId="77777777" w:rsidR="0012790E" w:rsidRDefault="0012790E">
      <w:pPr>
        <w:pStyle w:val="Bullet"/>
      </w:pPr>
      <w:r w:rsidRPr="001C06E6">
        <w:t>$0.5</w:t>
      </w:r>
      <w:r>
        <w:t> </w:t>
      </w:r>
      <w:r w:rsidRPr="001C06E6">
        <w:t xml:space="preserve">million over two years from </w:t>
      </w:r>
      <w:r>
        <w:t>2024–25</w:t>
      </w:r>
      <w:r w:rsidRPr="001C06E6">
        <w:t xml:space="preserve"> to the Australian Law Reform</w:t>
      </w:r>
      <w:r>
        <w:t xml:space="preserve"> </w:t>
      </w:r>
      <w:r w:rsidRPr="001C06E6">
        <w:t>Commission to review the future acts regime within the Native Title Act.</w:t>
      </w:r>
      <w:r>
        <w:t xml:space="preserve"> </w:t>
      </w:r>
    </w:p>
    <w:p w14:paraId="4B76CF23"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savings identified in the 2024–25 Budget measure titled </w:t>
      </w:r>
      <w:r w:rsidRPr="54937204">
        <w:rPr>
          <w:rFonts w:cs="Book Antiqua"/>
          <w:i/>
          <w:iCs/>
          <w:lang w:val="en-US"/>
        </w:rPr>
        <w:t>Attorney</w:t>
      </w:r>
      <w:r>
        <w:rPr>
          <w:rFonts w:cs="Book Antiqua"/>
          <w:i/>
          <w:iCs/>
        </w:rPr>
        <w:noBreakHyphen/>
      </w:r>
      <w:r w:rsidRPr="54937204">
        <w:rPr>
          <w:rFonts w:cs="Book Antiqua"/>
          <w:i/>
          <w:iCs/>
          <w:lang w:val="en-US"/>
        </w:rPr>
        <w:t>General’s – reprioritisation</w:t>
      </w:r>
      <w:r w:rsidRPr="54937204">
        <w:rPr>
          <w:rFonts w:cs="Book Antiqua"/>
          <w:lang w:val="en-US"/>
        </w:rPr>
        <w:t xml:space="preserve">. </w:t>
      </w:r>
    </w:p>
    <w:p w14:paraId="27F53E85" w14:textId="77777777" w:rsidR="0012790E" w:rsidRDefault="0012790E">
      <w:pPr>
        <w:pStyle w:val="Normal2"/>
        <w:rPr>
          <w:rFonts w:cs="Book Antiqua"/>
        </w:rPr>
      </w:pPr>
      <w:r w:rsidRPr="001C06E6">
        <w:rPr>
          <w:rFonts w:cs="Book Antiqua"/>
        </w:rPr>
        <w:t xml:space="preserve">Parts of this measure support the implementation of the </w:t>
      </w:r>
      <w:r w:rsidRPr="001C06E6">
        <w:rPr>
          <w:rFonts w:cs="Book Antiqua"/>
          <w:i/>
          <w:iCs/>
        </w:rPr>
        <w:t>National Plan to End Violence</w:t>
      </w:r>
      <w:r>
        <w:rPr>
          <w:rFonts w:cs="Book Antiqua"/>
          <w:i/>
          <w:iCs/>
        </w:rPr>
        <w:t xml:space="preserve"> </w:t>
      </w:r>
      <w:r w:rsidRPr="001C06E6">
        <w:rPr>
          <w:rFonts w:cs="Book Antiqua"/>
          <w:i/>
          <w:iCs/>
        </w:rPr>
        <w:t xml:space="preserve">Against Women and Children </w:t>
      </w:r>
      <w:r>
        <w:rPr>
          <w:rFonts w:cs="Book Antiqua"/>
          <w:i/>
          <w:iCs/>
        </w:rPr>
        <w:t>2022–32</w:t>
      </w:r>
      <w:r w:rsidRPr="001C06E6">
        <w:rPr>
          <w:rFonts w:cs="Book Antiqua"/>
        </w:rPr>
        <w:t>.</w:t>
      </w:r>
      <w:r>
        <w:rPr>
          <w:rFonts w:cs="Book Antiqua"/>
        </w:rPr>
        <w:t xml:space="preserve"> </w:t>
      </w:r>
    </w:p>
    <w:p w14:paraId="066C2EC4" w14:textId="77777777" w:rsidR="0012790E" w:rsidRPr="001C06E6" w:rsidRDefault="0012790E">
      <w:pPr>
        <w:pStyle w:val="MeasureTitle"/>
        <w:rPr>
          <w:b w:val="0"/>
          <w:bCs/>
        </w:rPr>
      </w:pPr>
      <w:r w:rsidRPr="001C06E6">
        <w:rPr>
          <w:bCs/>
        </w:rPr>
        <w:lastRenderedPageBreak/>
        <w:t>Establishment of the Administrative Review Tribunal and Addressing Extremely</w:t>
      </w:r>
      <w:r>
        <w:rPr>
          <w:bCs/>
        </w:rPr>
        <w:t xml:space="preserve"> </w:t>
      </w:r>
      <w:r w:rsidRPr="001C06E6">
        <w:rPr>
          <w:bCs/>
        </w:rPr>
        <w:t>High Migration Backlogs in the Courts</w:t>
      </w:r>
    </w:p>
    <w:p w14:paraId="7F4ABC63"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8B4FB6B" w14:textId="77777777">
        <w:tc>
          <w:tcPr>
            <w:tcW w:w="2497" w:type="dxa"/>
            <w:tcBorders>
              <w:top w:val="single" w:sz="4" w:space="0" w:color="293F5B"/>
              <w:bottom w:val="single" w:sz="4" w:space="0" w:color="293F5B"/>
            </w:tcBorders>
            <w:shd w:val="clear" w:color="auto" w:fill="auto"/>
          </w:tcPr>
          <w:p w14:paraId="712A2217"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86ABD92"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1F77590"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D65E1F6"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89A939A"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D1D50E3" w14:textId="77777777" w:rsidR="0012790E" w:rsidRPr="001C06E6" w:rsidRDefault="0012790E">
            <w:pPr>
              <w:pStyle w:val="MeasureTableYearHeadings"/>
              <w:keepNext/>
            </w:pPr>
            <w:r w:rsidRPr="001C06E6">
              <w:t>2027</w:t>
            </w:r>
            <w:r>
              <w:noBreakHyphen/>
            </w:r>
            <w:r w:rsidRPr="001C06E6">
              <w:t>28</w:t>
            </w:r>
          </w:p>
        </w:tc>
      </w:tr>
      <w:tr w:rsidR="0012790E" w:rsidRPr="001C06E6" w14:paraId="2E743065" w14:textId="77777777">
        <w:tc>
          <w:tcPr>
            <w:tcW w:w="2497" w:type="dxa"/>
            <w:tcBorders>
              <w:top w:val="single" w:sz="4" w:space="0" w:color="293F5B"/>
              <w:bottom w:val="single" w:sz="4" w:space="0" w:color="293F5B"/>
            </w:tcBorders>
            <w:shd w:val="clear" w:color="auto" w:fill="auto"/>
          </w:tcPr>
          <w:p w14:paraId="721E0186"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042D60BA" w14:textId="77777777" w:rsidR="0012790E" w:rsidRPr="001C06E6" w:rsidRDefault="0012790E">
            <w:pPr>
              <w:pStyle w:val="MeasureTableDataRightAlignedwith2ptsspacing"/>
              <w:keepNext/>
            </w:pPr>
            <w:r w:rsidRPr="001C06E6">
              <w:t>7.3</w:t>
            </w:r>
          </w:p>
        </w:tc>
        <w:tc>
          <w:tcPr>
            <w:tcW w:w="1045" w:type="dxa"/>
            <w:tcBorders>
              <w:top w:val="single" w:sz="4" w:space="0" w:color="293F5B"/>
              <w:bottom w:val="single" w:sz="4" w:space="0" w:color="293F5B"/>
            </w:tcBorders>
            <w:shd w:val="clear" w:color="auto" w:fill="auto"/>
          </w:tcPr>
          <w:p w14:paraId="5BE47A8A" w14:textId="77777777" w:rsidR="0012790E" w:rsidRPr="001C06E6" w:rsidRDefault="0012790E">
            <w:pPr>
              <w:pStyle w:val="MeasureTableDataRightAlignedwith2ptsspacing"/>
              <w:keepNext/>
            </w:pPr>
            <w:r w:rsidRPr="001C06E6">
              <w:t>24.4</w:t>
            </w:r>
          </w:p>
        </w:tc>
        <w:tc>
          <w:tcPr>
            <w:tcW w:w="1045" w:type="dxa"/>
            <w:tcBorders>
              <w:top w:val="single" w:sz="4" w:space="0" w:color="293F5B"/>
              <w:bottom w:val="single" w:sz="4" w:space="0" w:color="293F5B"/>
            </w:tcBorders>
            <w:shd w:val="clear" w:color="auto" w:fill="auto"/>
          </w:tcPr>
          <w:p w14:paraId="673DD819" w14:textId="77777777" w:rsidR="0012790E" w:rsidRPr="001C06E6" w:rsidRDefault="0012790E">
            <w:pPr>
              <w:pStyle w:val="MeasureTableDataRightAlignedwith2ptsspacing"/>
              <w:keepNext/>
            </w:pPr>
            <w:r w:rsidRPr="001C06E6">
              <w:t>12.2</w:t>
            </w:r>
          </w:p>
        </w:tc>
        <w:tc>
          <w:tcPr>
            <w:tcW w:w="1045" w:type="dxa"/>
            <w:tcBorders>
              <w:top w:val="single" w:sz="4" w:space="0" w:color="293F5B"/>
              <w:bottom w:val="single" w:sz="4" w:space="0" w:color="293F5B"/>
            </w:tcBorders>
            <w:shd w:val="clear" w:color="auto" w:fill="auto"/>
          </w:tcPr>
          <w:p w14:paraId="4A981A5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8382F1C" w14:textId="77777777" w:rsidR="0012790E" w:rsidRPr="001C06E6" w:rsidRDefault="0012790E">
            <w:pPr>
              <w:pStyle w:val="MeasureTableDataRightAlignedwith2ptsspacing"/>
              <w:keepNext/>
            </w:pPr>
            <w:r w:rsidRPr="001C06E6">
              <w:t>-</w:t>
            </w:r>
          </w:p>
        </w:tc>
      </w:tr>
      <w:tr w:rsidR="0012790E" w:rsidRPr="001C06E6" w14:paraId="01C31B8F" w14:textId="77777777">
        <w:tc>
          <w:tcPr>
            <w:tcW w:w="2497" w:type="dxa"/>
            <w:tcBorders>
              <w:top w:val="single" w:sz="4" w:space="0" w:color="293F5B"/>
              <w:bottom w:val="single" w:sz="4" w:space="0" w:color="293F5B"/>
            </w:tcBorders>
            <w:shd w:val="clear" w:color="auto" w:fill="auto"/>
          </w:tcPr>
          <w:p w14:paraId="3A7169C2"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2BF313DD" w14:textId="77777777" w:rsidR="0012790E" w:rsidRPr="001C06E6" w:rsidRDefault="0012790E">
            <w:pPr>
              <w:pStyle w:val="MeasureTableDataRightAlignedwith2ptsspacing"/>
              <w:keepNext/>
            </w:pPr>
            <w:r w:rsidRPr="001C06E6">
              <w:t>0.2</w:t>
            </w:r>
          </w:p>
        </w:tc>
        <w:tc>
          <w:tcPr>
            <w:tcW w:w="1045" w:type="dxa"/>
            <w:tcBorders>
              <w:top w:val="single" w:sz="4" w:space="0" w:color="293F5B"/>
              <w:bottom w:val="single" w:sz="4" w:space="0" w:color="293F5B"/>
            </w:tcBorders>
            <w:shd w:val="clear" w:color="auto" w:fill="auto"/>
          </w:tcPr>
          <w:p w14:paraId="274DDDB4" w14:textId="77777777" w:rsidR="0012790E" w:rsidRPr="001C06E6" w:rsidRDefault="0012790E">
            <w:pPr>
              <w:pStyle w:val="MeasureTableDataRightAlignedwith2ptsspacing"/>
              <w:keepNext/>
            </w:pPr>
            <w:r w:rsidRPr="001C06E6">
              <w:t>20.2</w:t>
            </w:r>
          </w:p>
        </w:tc>
        <w:tc>
          <w:tcPr>
            <w:tcW w:w="1045" w:type="dxa"/>
            <w:tcBorders>
              <w:top w:val="single" w:sz="4" w:space="0" w:color="293F5B"/>
              <w:bottom w:val="single" w:sz="4" w:space="0" w:color="293F5B"/>
            </w:tcBorders>
            <w:shd w:val="clear" w:color="auto" w:fill="auto"/>
          </w:tcPr>
          <w:p w14:paraId="713F02C0" w14:textId="77777777" w:rsidR="0012790E" w:rsidRPr="001C06E6" w:rsidRDefault="0012790E">
            <w:pPr>
              <w:pStyle w:val="MeasureTableDataRightAlignedwith2ptsspacing"/>
              <w:keepNext/>
            </w:pPr>
            <w:r w:rsidRPr="001C06E6">
              <w:t>6.7</w:t>
            </w:r>
          </w:p>
        </w:tc>
        <w:tc>
          <w:tcPr>
            <w:tcW w:w="1045" w:type="dxa"/>
            <w:tcBorders>
              <w:top w:val="single" w:sz="4" w:space="0" w:color="293F5B"/>
              <w:bottom w:val="single" w:sz="4" w:space="0" w:color="293F5B"/>
            </w:tcBorders>
            <w:shd w:val="clear" w:color="auto" w:fill="auto"/>
          </w:tcPr>
          <w:p w14:paraId="19598114" w14:textId="77777777" w:rsidR="0012790E" w:rsidRPr="001C06E6" w:rsidRDefault="0012790E">
            <w:pPr>
              <w:pStyle w:val="MeasureTableDataRightAlignedwith2ptsspacing"/>
              <w:keepNext/>
            </w:pPr>
            <w:r w:rsidRPr="001C06E6">
              <w:t>3.5</w:t>
            </w:r>
          </w:p>
        </w:tc>
        <w:tc>
          <w:tcPr>
            <w:tcW w:w="1045" w:type="dxa"/>
            <w:tcBorders>
              <w:top w:val="single" w:sz="4" w:space="0" w:color="293F5B"/>
              <w:bottom w:val="single" w:sz="4" w:space="0" w:color="293F5B"/>
            </w:tcBorders>
            <w:shd w:val="clear" w:color="auto" w:fill="auto"/>
          </w:tcPr>
          <w:p w14:paraId="19B9A386" w14:textId="77777777" w:rsidR="0012790E" w:rsidRPr="001C06E6" w:rsidRDefault="0012790E">
            <w:pPr>
              <w:pStyle w:val="MeasureTableDataRightAlignedwith2ptsspacing"/>
              <w:keepNext/>
            </w:pPr>
            <w:r w:rsidRPr="001C06E6">
              <w:t>3.5</w:t>
            </w:r>
          </w:p>
        </w:tc>
      </w:tr>
      <w:tr w:rsidR="0012790E" w:rsidRPr="001C06E6" w14:paraId="3AC3BBD3" w14:textId="77777777">
        <w:tc>
          <w:tcPr>
            <w:tcW w:w="2497" w:type="dxa"/>
            <w:tcBorders>
              <w:top w:val="single" w:sz="4" w:space="0" w:color="293F5B"/>
              <w:bottom w:val="single" w:sz="4" w:space="0" w:color="293F5B"/>
            </w:tcBorders>
            <w:shd w:val="clear" w:color="auto" w:fill="auto"/>
          </w:tcPr>
          <w:p w14:paraId="3504E231" w14:textId="77777777" w:rsidR="0012790E" w:rsidRPr="001C06E6" w:rsidRDefault="0012790E">
            <w:pPr>
              <w:pStyle w:val="MeasureTableHeadingleftalignedwith2ptsspacing"/>
              <w:keepNext/>
            </w:pPr>
            <w:r w:rsidRPr="001C06E6">
              <w:t>Administrative Appeals Tribunal</w:t>
            </w:r>
          </w:p>
        </w:tc>
        <w:tc>
          <w:tcPr>
            <w:tcW w:w="1045" w:type="dxa"/>
            <w:tcBorders>
              <w:top w:val="single" w:sz="4" w:space="0" w:color="293F5B"/>
              <w:bottom w:val="single" w:sz="4" w:space="0" w:color="293F5B"/>
            </w:tcBorders>
            <w:shd w:val="clear" w:color="auto" w:fill="auto"/>
          </w:tcPr>
          <w:p w14:paraId="17662FD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6464B3C" w14:textId="77777777" w:rsidR="0012790E" w:rsidRPr="001C06E6" w:rsidRDefault="0012790E">
            <w:pPr>
              <w:pStyle w:val="MeasureTableDataRightAlignedwith2ptsspacing"/>
              <w:keepNext/>
            </w:pPr>
            <w:r w:rsidRPr="001C06E6">
              <w:t>47.3</w:t>
            </w:r>
          </w:p>
        </w:tc>
        <w:tc>
          <w:tcPr>
            <w:tcW w:w="1045" w:type="dxa"/>
            <w:tcBorders>
              <w:top w:val="single" w:sz="4" w:space="0" w:color="293F5B"/>
              <w:bottom w:val="single" w:sz="4" w:space="0" w:color="293F5B"/>
            </w:tcBorders>
            <w:shd w:val="clear" w:color="auto" w:fill="auto"/>
          </w:tcPr>
          <w:p w14:paraId="11C10781" w14:textId="1EF927DB" w:rsidR="0012790E" w:rsidRPr="001C06E6" w:rsidRDefault="00137573">
            <w:pPr>
              <w:pStyle w:val="MeasureTableDataRightAlignedwith2ptsspacing"/>
              <w:keepNext/>
            </w:pPr>
            <w:r>
              <w:t>-173.8</w:t>
            </w:r>
          </w:p>
        </w:tc>
        <w:tc>
          <w:tcPr>
            <w:tcW w:w="1045" w:type="dxa"/>
            <w:tcBorders>
              <w:top w:val="single" w:sz="4" w:space="0" w:color="293F5B"/>
              <w:bottom w:val="single" w:sz="4" w:space="0" w:color="293F5B"/>
            </w:tcBorders>
            <w:shd w:val="clear" w:color="auto" w:fill="auto"/>
          </w:tcPr>
          <w:p w14:paraId="35499703" w14:textId="577AC3BD" w:rsidR="0012790E" w:rsidRPr="001C06E6" w:rsidRDefault="00137573">
            <w:pPr>
              <w:pStyle w:val="MeasureTableDataRightAlignedwith2ptsspacing"/>
              <w:keepNext/>
            </w:pPr>
            <w:r>
              <w:t>-163.6</w:t>
            </w:r>
          </w:p>
        </w:tc>
        <w:tc>
          <w:tcPr>
            <w:tcW w:w="1045" w:type="dxa"/>
            <w:tcBorders>
              <w:top w:val="single" w:sz="4" w:space="0" w:color="293F5B"/>
              <w:bottom w:val="single" w:sz="4" w:space="0" w:color="293F5B"/>
            </w:tcBorders>
            <w:shd w:val="clear" w:color="auto" w:fill="auto"/>
          </w:tcPr>
          <w:p w14:paraId="63331BF0" w14:textId="1BB418EE" w:rsidR="0012790E" w:rsidRPr="001C06E6" w:rsidRDefault="00137573">
            <w:pPr>
              <w:pStyle w:val="MeasureTableDataRightAlignedwith2ptsspacing"/>
              <w:keepNext/>
            </w:pPr>
            <w:r>
              <w:t>-162.4</w:t>
            </w:r>
          </w:p>
        </w:tc>
      </w:tr>
      <w:tr w:rsidR="00393422" w:rsidRPr="001C06E6" w14:paraId="3C45D103" w14:textId="77777777">
        <w:tc>
          <w:tcPr>
            <w:tcW w:w="2497" w:type="dxa"/>
            <w:tcBorders>
              <w:top w:val="single" w:sz="4" w:space="0" w:color="293F5B"/>
              <w:bottom w:val="single" w:sz="4" w:space="0" w:color="293F5B"/>
            </w:tcBorders>
            <w:shd w:val="clear" w:color="auto" w:fill="auto"/>
          </w:tcPr>
          <w:p w14:paraId="32FB1890" w14:textId="37082BCF" w:rsidR="00393422" w:rsidRPr="001C06E6" w:rsidRDefault="00393422">
            <w:pPr>
              <w:pStyle w:val="MeasureTableHeadingleftalignedwith2ptsspacing"/>
              <w:keepNext/>
            </w:pPr>
            <w:r>
              <w:t xml:space="preserve">Administrative </w:t>
            </w:r>
            <w:r w:rsidR="00235977">
              <w:t>Review Tribunal</w:t>
            </w:r>
          </w:p>
        </w:tc>
        <w:tc>
          <w:tcPr>
            <w:tcW w:w="1045" w:type="dxa"/>
            <w:tcBorders>
              <w:top w:val="single" w:sz="4" w:space="0" w:color="293F5B"/>
              <w:bottom w:val="single" w:sz="4" w:space="0" w:color="293F5B"/>
            </w:tcBorders>
            <w:shd w:val="clear" w:color="auto" w:fill="auto"/>
          </w:tcPr>
          <w:p w14:paraId="65EA23D4" w14:textId="3EDC837F" w:rsidR="00393422" w:rsidRPr="001C06E6" w:rsidRDefault="00137573">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626D5BD9" w14:textId="7EE237E5" w:rsidR="00393422" w:rsidRPr="001C06E6" w:rsidRDefault="00137573">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186979E3" w14:textId="1093BAC3" w:rsidR="00393422" w:rsidRPr="001C06E6" w:rsidRDefault="0028553C">
            <w:pPr>
              <w:pStyle w:val="MeasureTableDataRightAlignedwith2ptsspacing"/>
              <w:keepNext/>
            </w:pPr>
            <w:r>
              <w:t>220.2</w:t>
            </w:r>
          </w:p>
        </w:tc>
        <w:tc>
          <w:tcPr>
            <w:tcW w:w="1045" w:type="dxa"/>
            <w:tcBorders>
              <w:top w:val="single" w:sz="4" w:space="0" w:color="293F5B"/>
              <w:bottom w:val="single" w:sz="4" w:space="0" w:color="293F5B"/>
            </w:tcBorders>
            <w:shd w:val="clear" w:color="auto" w:fill="auto"/>
          </w:tcPr>
          <w:p w14:paraId="2175BC14" w14:textId="1CE488E3" w:rsidR="00393422" w:rsidRPr="001C06E6" w:rsidRDefault="0028553C">
            <w:pPr>
              <w:pStyle w:val="MeasureTableDataRightAlignedwith2ptsspacing"/>
              <w:keepNext/>
            </w:pPr>
            <w:r>
              <w:t>212.6</w:t>
            </w:r>
          </w:p>
        </w:tc>
        <w:tc>
          <w:tcPr>
            <w:tcW w:w="1045" w:type="dxa"/>
            <w:tcBorders>
              <w:top w:val="single" w:sz="4" w:space="0" w:color="293F5B"/>
              <w:bottom w:val="single" w:sz="4" w:space="0" w:color="293F5B"/>
            </w:tcBorders>
            <w:shd w:val="clear" w:color="auto" w:fill="auto"/>
          </w:tcPr>
          <w:p w14:paraId="3CBD1119" w14:textId="248FD4F9" w:rsidR="00393422" w:rsidRPr="001C06E6" w:rsidRDefault="0028553C">
            <w:pPr>
              <w:pStyle w:val="MeasureTableDataRightAlignedwith2ptsspacing"/>
              <w:keepNext/>
            </w:pPr>
            <w:r>
              <w:t>208.8</w:t>
            </w:r>
          </w:p>
        </w:tc>
      </w:tr>
      <w:tr w:rsidR="0012790E" w:rsidRPr="001C06E6" w14:paraId="691A3FB3" w14:textId="77777777">
        <w:tc>
          <w:tcPr>
            <w:tcW w:w="2497" w:type="dxa"/>
            <w:tcBorders>
              <w:top w:val="single" w:sz="4" w:space="0" w:color="293F5B"/>
              <w:bottom w:val="single" w:sz="4" w:space="0" w:color="293F5B"/>
            </w:tcBorders>
            <w:shd w:val="clear" w:color="auto" w:fill="auto"/>
          </w:tcPr>
          <w:p w14:paraId="02096E3D" w14:textId="77777777" w:rsidR="0012790E" w:rsidRPr="001C06E6" w:rsidRDefault="0012790E">
            <w:pPr>
              <w:pStyle w:val="MeasureTableHeadingleftalignedwith2ptsspacing"/>
              <w:keepNext/>
            </w:pPr>
            <w:r w:rsidRPr="001C06E6">
              <w:t>Federal Court of Australia</w:t>
            </w:r>
          </w:p>
        </w:tc>
        <w:tc>
          <w:tcPr>
            <w:tcW w:w="1045" w:type="dxa"/>
            <w:tcBorders>
              <w:top w:val="single" w:sz="4" w:space="0" w:color="293F5B"/>
              <w:bottom w:val="single" w:sz="4" w:space="0" w:color="293F5B"/>
            </w:tcBorders>
            <w:shd w:val="clear" w:color="auto" w:fill="auto"/>
          </w:tcPr>
          <w:p w14:paraId="3ED6D2C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2620EF7" w14:textId="77777777" w:rsidR="0012790E" w:rsidRPr="001C06E6" w:rsidRDefault="0012790E">
            <w:pPr>
              <w:pStyle w:val="MeasureTableDataRightAlignedwith2ptsspacing"/>
              <w:keepNext/>
            </w:pPr>
            <w:r w:rsidRPr="001C06E6">
              <w:t>36.8</w:t>
            </w:r>
          </w:p>
        </w:tc>
        <w:tc>
          <w:tcPr>
            <w:tcW w:w="1045" w:type="dxa"/>
            <w:tcBorders>
              <w:top w:val="single" w:sz="4" w:space="0" w:color="293F5B"/>
              <w:bottom w:val="single" w:sz="4" w:space="0" w:color="293F5B"/>
            </w:tcBorders>
            <w:shd w:val="clear" w:color="auto" w:fill="auto"/>
          </w:tcPr>
          <w:p w14:paraId="16E4FA51" w14:textId="77777777" w:rsidR="0012790E" w:rsidRPr="001C06E6" w:rsidRDefault="0012790E">
            <w:pPr>
              <w:pStyle w:val="MeasureTableDataRightAlignedwith2ptsspacing"/>
              <w:keepNext/>
            </w:pPr>
            <w:r w:rsidRPr="001C06E6">
              <w:t>24.7</w:t>
            </w:r>
          </w:p>
        </w:tc>
        <w:tc>
          <w:tcPr>
            <w:tcW w:w="1045" w:type="dxa"/>
            <w:tcBorders>
              <w:top w:val="single" w:sz="4" w:space="0" w:color="293F5B"/>
              <w:bottom w:val="single" w:sz="4" w:space="0" w:color="293F5B"/>
            </w:tcBorders>
            <w:shd w:val="clear" w:color="auto" w:fill="auto"/>
          </w:tcPr>
          <w:p w14:paraId="6963AE12" w14:textId="77777777" w:rsidR="0012790E" w:rsidRPr="001C06E6" w:rsidRDefault="0012790E">
            <w:pPr>
              <w:pStyle w:val="MeasureTableDataRightAlignedwith2ptsspacing"/>
              <w:keepNext/>
            </w:pPr>
            <w:r w:rsidRPr="001C06E6">
              <w:t>24.5</w:t>
            </w:r>
          </w:p>
        </w:tc>
        <w:tc>
          <w:tcPr>
            <w:tcW w:w="1045" w:type="dxa"/>
            <w:tcBorders>
              <w:top w:val="single" w:sz="4" w:space="0" w:color="293F5B"/>
              <w:bottom w:val="single" w:sz="4" w:space="0" w:color="293F5B"/>
            </w:tcBorders>
            <w:shd w:val="clear" w:color="auto" w:fill="auto"/>
          </w:tcPr>
          <w:p w14:paraId="3019CEAB" w14:textId="77777777" w:rsidR="0012790E" w:rsidRPr="001C06E6" w:rsidRDefault="0012790E">
            <w:pPr>
              <w:pStyle w:val="MeasureTableDataRightAlignedwith2ptsspacing"/>
              <w:keepNext/>
            </w:pPr>
            <w:r w:rsidRPr="001C06E6">
              <w:t>25.2</w:t>
            </w:r>
          </w:p>
        </w:tc>
      </w:tr>
      <w:tr w:rsidR="0012790E" w:rsidRPr="001C06E6" w14:paraId="587EF237" w14:textId="77777777">
        <w:tc>
          <w:tcPr>
            <w:tcW w:w="2497" w:type="dxa"/>
            <w:tcBorders>
              <w:top w:val="single" w:sz="4" w:space="0" w:color="293F5B"/>
              <w:bottom w:val="single" w:sz="4" w:space="0" w:color="293F5B"/>
            </w:tcBorders>
            <w:shd w:val="clear" w:color="auto" w:fill="auto"/>
          </w:tcPr>
          <w:p w14:paraId="2F0A9E1B" w14:textId="77777777" w:rsidR="0012790E" w:rsidRPr="001C06E6" w:rsidRDefault="0012790E">
            <w:pPr>
              <w:pStyle w:val="MeasureTableHeadingleftalignedwith2ptsspacing"/>
              <w:keepNext/>
            </w:pPr>
            <w:r w:rsidRPr="001C06E6">
              <w:t>Attorney</w:t>
            </w:r>
            <w:r>
              <w:noBreakHyphen/>
            </w:r>
            <w:r w:rsidRPr="001C06E6">
              <w:t>General's Department</w:t>
            </w:r>
          </w:p>
        </w:tc>
        <w:tc>
          <w:tcPr>
            <w:tcW w:w="1045" w:type="dxa"/>
            <w:tcBorders>
              <w:top w:val="single" w:sz="4" w:space="0" w:color="293F5B"/>
              <w:bottom w:val="single" w:sz="4" w:space="0" w:color="293F5B"/>
            </w:tcBorders>
            <w:shd w:val="clear" w:color="auto" w:fill="auto"/>
          </w:tcPr>
          <w:p w14:paraId="456030C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63AFF68" w14:textId="77777777" w:rsidR="0012790E" w:rsidRPr="001C06E6" w:rsidRDefault="0012790E">
            <w:pPr>
              <w:pStyle w:val="MeasureTableDataRightAlignedwith2ptsspacing"/>
              <w:keepNext/>
            </w:pPr>
            <w:r w:rsidRPr="001C06E6">
              <w:t>0.4</w:t>
            </w:r>
          </w:p>
        </w:tc>
        <w:tc>
          <w:tcPr>
            <w:tcW w:w="1045" w:type="dxa"/>
            <w:tcBorders>
              <w:top w:val="single" w:sz="4" w:space="0" w:color="293F5B"/>
              <w:bottom w:val="single" w:sz="4" w:space="0" w:color="293F5B"/>
            </w:tcBorders>
            <w:shd w:val="clear" w:color="auto" w:fill="auto"/>
          </w:tcPr>
          <w:p w14:paraId="7065017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DF5ED0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E93D5D5" w14:textId="77777777" w:rsidR="0012790E" w:rsidRPr="001C06E6" w:rsidRDefault="0012790E">
            <w:pPr>
              <w:pStyle w:val="MeasureTableDataRightAlignedwith2ptsspacing"/>
              <w:keepNext/>
            </w:pPr>
            <w:r w:rsidRPr="001C06E6">
              <w:t>-</w:t>
            </w:r>
          </w:p>
        </w:tc>
      </w:tr>
      <w:tr w:rsidR="0012790E" w:rsidRPr="001C06E6" w14:paraId="70AACF5D" w14:textId="77777777">
        <w:tc>
          <w:tcPr>
            <w:tcW w:w="2497" w:type="dxa"/>
            <w:tcBorders>
              <w:top w:val="single" w:sz="4" w:space="0" w:color="293F5B"/>
              <w:bottom w:val="single" w:sz="4" w:space="0" w:color="293F5B"/>
            </w:tcBorders>
            <w:shd w:val="clear" w:color="auto" w:fill="auto"/>
          </w:tcPr>
          <w:p w14:paraId="191F1DC5"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59C5D6B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5CB4DF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37B305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7FA15C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0225885" w14:textId="77777777" w:rsidR="0012790E" w:rsidRPr="001C06E6" w:rsidRDefault="0012790E">
            <w:pPr>
              <w:pStyle w:val="MeasureTableDataRightAlignedwith2ptsspacing"/>
              <w:keepNext/>
            </w:pPr>
            <w:r w:rsidRPr="001C06E6">
              <w:t>-</w:t>
            </w:r>
          </w:p>
        </w:tc>
      </w:tr>
      <w:tr w:rsidR="0012790E" w:rsidRPr="001C06E6" w14:paraId="0FD4CBB4" w14:textId="77777777">
        <w:tc>
          <w:tcPr>
            <w:tcW w:w="2497" w:type="dxa"/>
            <w:tcBorders>
              <w:top w:val="single" w:sz="4" w:space="0" w:color="293F5B"/>
              <w:bottom w:val="single" w:sz="4" w:space="0" w:color="293F5B"/>
            </w:tcBorders>
            <w:shd w:val="clear" w:color="auto" w:fill="auto"/>
          </w:tcPr>
          <w:p w14:paraId="63E21619" w14:textId="77777777" w:rsidR="0012790E" w:rsidRPr="001C06E6" w:rsidRDefault="0012790E">
            <w:pPr>
              <w:pStyle w:val="MeasureTableHeadingleftalignedwith2ptsspacing"/>
              <w:keepNext/>
            </w:pPr>
            <w:r w:rsidRPr="001C06E6">
              <w:t>Department of Veterans' Affairs</w:t>
            </w:r>
          </w:p>
        </w:tc>
        <w:tc>
          <w:tcPr>
            <w:tcW w:w="1045" w:type="dxa"/>
            <w:tcBorders>
              <w:top w:val="single" w:sz="4" w:space="0" w:color="293F5B"/>
              <w:bottom w:val="single" w:sz="4" w:space="0" w:color="293F5B"/>
            </w:tcBorders>
            <w:shd w:val="clear" w:color="auto" w:fill="auto"/>
          </w:tcPr>
          <w:p w14:paraId="7376ABE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AAD893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E7519B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D6806B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AD6DC79" w14:textId="77777777" w:rsidR="0012790E" w:rsidRPr="001C06E6" w:rsidRDefault="0012790E">
            <w:pPr>
              <w:pStyle w:val="MeasureTableDataRightAlignedwith2ptsspacing"/>
              <w:keepNext/>
            </w:pPr>
            <w:r w:rsidRPr="001C06E6">
              <w:t>-</w:t>
            </w:r>
          </w:p>
        </w:tc>
      </w:tr>
      <w:tr w:rsidR="0012790E" w:rsidRPr="001C06E6" w14:paraId="053A9418" w14:textId="77777777">
        <w:tc>
          <w:tcPr>
            <w:tcW w:w="2497" w:type="dxa"/>
            <w:tcBorders>
              <w:top w:val="single" w:sz="4" w:space="0" w:color="293F5B"/>
              <w:bottom w:val="single" w:sz="4" w:space="0" w:color="293F5B"/>
            </w:tcBorders>
            <w:shd w:val="clear" w:color="auto" w:fill="auto"/>
          </w:tcPr>
          <w:p w14:paraId="71975F47" w14:textId="77777777" w:rsidR="0012790E" w:rsidRPr="001C06E6" w:rsidRDefault="0012790E">
            <w:pPr>
              <w:pStyle w:val="MeasureTableHeadingleftalignedwith2ptsspacing"/>
              <w:keepNext/>
            </w:pPr>
            <w:r>
              <w:t xml:space="preserve">National Disability Insurance Agency </w:t>
            </w:r>
          </w:p>
        </w:tc>
        <w:tc>
          <w:tcPr>
            <w:tcW w:w="1045" w:type="dxa"/>
            <w:tcBorders>
              <w:top w:val="single" w:sz="4" w:space="0" w:color="293F5B"/>
              <w:bottom w:val="single" w:sz="4" w:space="0" w:color="293F5B"/>
            </w:tcBorders>
            <w:shd w:val="clear" w:color="auto" w:fill="auto"/>
          </w:tcPr>
          <w:p w14:paraId="572F0B0C"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2C7A6B2"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052E49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7192EBC"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C2291A7" w14:textId="77777777" w:rsidR="0012790E" w:rsidRPr="001C06E6" w:rsidRDefault="0012790E">
            <w:pPr>
              <w:pStyle w:val="MeasureTableDataRightAlignedwith2ptsspacing"/>
              <w:keepNext/>
            </w:pPr>
            <w:r>
              <w:t xml:space="preserve">- </w:t>
            </w:r>
          </w:p>
        </w:tc>
      </w:tr>
      <w:tr w:rsidR="0012790E" w:rsidRPr="001C06E6" w14:paraId="4D575AC9" w14:textId="77777777">
        <w:tc>
          <w:tcPr>
            <w:tcW w:w="2497" w:type="dxa"/>
            <w:tcBorders>
              <w:top w:val="single" w:sz="4" w:space="0" w:color="293F5B"/>
              <w:bottom w:val="single" w:sz="4" w:space="0" w:color="293F5B"/>
            </w:tcBorders>
            <w:shd w:val="clear" w:color="auto" w:fill="auto"/>
          </w:tcPr>
          <w:p w14:paraId="33501E95"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23B20702" w14:textId="77777777" w:rsidR="0012790E" w:rsidRPr="001C06E6" w:rsidRDefault="0012790E">
            <w:pPr>
              <w:pStyle w:val="Totaldatarowrightaligned"/>
              <w:keepNext/>
            </w:pPr>
            <w:r w:rsidRPr="001C06E6">
              <w:t>7.5</w:t>
            </w:r>
          </w:p>
        </w:tc>
        <w:tc>
          <w:tcPr>
            <w:tcW w:w="1045" w:type="dxa"/>
            <w:tcBorders>
              <w:top w:val="single" w:sz="4" w:space="0" w:color="293F5B"/>
              <w:bottom w:val="single" w:sz="4" w:space="0" w:color="293F5B"/>
            </w:tcBorders>
            <w:shd w:val="clear" w:color="auto" w:fill="auto"/>
          </w:tcPr>
          <w:p w14:paraId="7FC39923" w14:textId="77777777" w:rsidR="0012790E" w:rsidRPr="001C06E6" w:rsidRDefault="0012790E">
            <w:pPr>
              <w:pStyle w:val="Totaldatarowrightaligned"/>
              <w:keepNext/>
            </w:pPr>
            <w:r w:rsidRPr="001C06E6">
              <w:t>129.2</w:t>
            </w:r>
          </w:p>
        </w:tc>
        <w:tc>
          <w:tcPr>
            <w:tcW w:w="1045" w:type="dxa"/>
            <w:tcBorders>
              <w:top w:val="single" w:sz="4" w:space="0" w:color="293F5B"/>
              <w:bottom w:val="single" w:sz="4" w:space="0" w:color="293F5B"/>
            </w:tcBorders>
            <w:shd w:val="clear" w:color="auto" w:fill="auto"/>
          </w:tcPr>
          <w:p w14:paraId="0DD6C383" w14:textId="77777777" w:rsidR="0012790E" w:rsidRPr="001C06E6" w:rsidRDefault="0012790E">
            <w:pPr>
              <w:pStyle w:val="Totaldatarowrightaligned"/>
              <w:keepNext/>
            </w:pPr>
            <w:r w:rsidRPr="001C06E6">
              <w:t>90.0</w:t>
            </w:r>
          </w:p>
        </w:tc>
        <w:tc>
          <w:tcPr>
            <w:tcW w:w="1045" w:type="dxa"/>
            <w:tcBorders>
              <w:top w:val="single" w:sz="4" w:space="0" w:color="293F5B"/>
              <w:bottom w:val="single" w:sz="4" w:space="0" w:color="293F5B"/>
            </w:tcBorders>
            <w:shd w:val="clear" w:color="auto" w:fill="auto"/>
          </w:tcPr>
          <w:p w14:paraId="03172C5F" w14:textId="77777777" w:rsidR="0012790E" w:rsidRPr="001C06E6" w:rsidRDefault="0012790E">
            <w:pPr>
              <w:pStyle w:val="Totaldatarowrightaligned"/>
              <w:keepNext/>
            </w:pPr>
            <w:r w:rsidRPr="001C06E6">
              <w:t>77.0</w:t>
            </w:r>
          </w:p>
        </w:tc>
        <w:tc>
          <w:tcPr>
            <w:tcW w:w="1045" w:type="dxa"/>
            <w:tcBorders>
              <w:top w:val="single" w:sz="4" w:space="0" w:color="293F5B"/>
              <w:bottom w:val="single" w:sz="4" w:space="0" w:color="293F5B"/>
            </w:tcBorders>
            <w:shd w:val="clear" w:color="auto" w:fill="auto"/>
          </w:tcPr>
          <w:p w14:paraId="2B0DD955" w14:textId="77777777" w:rsidR="0012790E" w:rsidRPr="001C06E6" w:rsidRDefault="0012790E">
            <w:pPr>
              <w:pStyle w:val="Totaldatarowrightaligned"/>
              <w:keepNext/>
            </w:pPr>
            <w:r w:rsidRPr="001C06E6">
              <w:t>75.1</w:t>
            </w:r>
          </w:p>
        </w:tc>
      </w:tr>
      <w:tr w:rsidR="0012790E" w:rsidRPr="001C06E6" w14:paraId="5665924C" w14:textId="77777777">
        <w:tc>
          <w:tcPr>
            <w:tcW w:w="2497" w:type="dxa"/>
            <w:tcBorders>
              <w:top w:val="single" w:sz="4" w:space="0" w:color="293F5B"/>
            </w:tcBorders>
            <w:shd w:val="clear" w:color="auto" w:fill="auto"/>
          </w:tcPr>
          <w:p w14:paraId="2B42B7BF"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398FF55A" w14:textId="77777777" w:rsidR="0012790E" w:rsidRPr="001C06E6" w:rsidRDefault="0012790E">
            <w:pPr>
              <w:pStyle w:val="AgencyName"/>
              <w:keepNext/>
            </w:pPr>
          </w:p>
        </w:tc>
        <w:tc>
          <w:tcPr>
            <w:tcW w:w="1045" w:type="dxa"/>
            <w:tcBorders>
              <w:top w:val="single" w:sz="4" w:space="0" w:color="293F5B"/>
            </w:tcBorders>
            <w:shd w:val="clear" w:color="auto" w:fill="auto"/>
          </w:tcPr>
          <w:p w14:paraId="62C444CD" w14:textId="77777777" w:rsidR="0012790E" w:rsidRPr="001C06E6" w:rsidRDefault="0012790E">
            <w:pPr>
              <w:pStyle w:val="AgencyName"/>
              <w:keepNext/>
            </w:pPr>
          </w:p>
        </w:tc>
        <w:tc>
          <w:tcPr>
            <w:tcW w:w="1045" w:type="dxa"/>
            <w:tcBorders>
              <w:top w:val="single" w:sz="4" w:space="0" w:color="293F5B"/>
            </w:tcBorders>
            <w:shd w:val="clear" w:color="auto" w:fill="auto"/>
          </w:tcPr>
          <w:p w14:paraId="1E9054C6" w14:textId="77777777" w:rsidR="0012790E" w:rsidRPr="001C06E6" w:rsidRDefault="0012790E">
            <w:pPr>
              <w:pStyle w:val="AgencyName"/>
              <w:keepNext/>
            </w:pPr>
          </w:p>
        </w:tc>
        <w:tc>
          <w:tcPr>
            <w:tcW w:w="1045" w:type="dxa"/>
            <w:tcBorders>
              <w:top w:val="single" w:sz="4" w:space="0" w:color="293F5B"/>
            </w:tcBorders>
            <w:shd w:val="clear" w:color="auto" w:fill="auto"/>
          </w:tcPr>
          <w:p w14:paraId="221103C7" w14:textId="77777777" w:rsidR="0012790E" w:rsidRPr="001C06E6" w:rsidRDefault="0012790E">
            <w:pPr>
              <w:pStyle w:val="AgencyName"/>
              <w:keepNext/>
            </w:pPr>
          </w:p>
        </w:tc>
        <w:tc>
          <w:tcPr>
            <w:tcW w:w="1045" w:type="dxa"/>
            <w:tcBorders>
              <w:top w:val="single" w:sz="4" w:space="0" w:color="293F5B"/>
            </w:tcBorders>
            <w:shd w:val="clear" w:color="auto" w:fill="auto"/>
          </w:tcPr>
          <w:p w14:paraId="01CAA697" w14:textId="77777777" w:rsidR="0012790E" w:rsidRPr="001C06E6" w:rsidRDefault="0012790E">
            <w:pPr>
              <w:pStyle w:val="AgencyName"/>
              <w:keepNext/>
            </w:pPr>
          </w:p>
        </w:tc>
      </w:tr>
      <w:tr w:rsidR="0012790E" w:rsidRPr="001C06E6" w14:paraId="2866681D" w14:textId="77777777">
        <w:tc>
          <w:tcPr>
            <w:tcW w:w="2497" w:type="dxa"/>
            <w:tcBorders>
              <w:bottom w:val="single" w:sz="4" w:space="0" w:color="293F5B"/>
            </w:tcBorders>
            <w:shd w:val="clear" w:color="auto" w:fill="auto"/>
          </w:tcPr>
          <w:p w14:paraId="11AA443B" w14:textId="77777777" w:rsidR="0012790E" w:rsidRPr="001C06E6" w:rsidRDefault="0012790E">
            <w:pPr>
              <w:pStyle w:val="AgencyNamewith2ptsspacing"/>
              <w:keepNext/>
            </w:pPr>
            <w:r w:rsidRPr="001C06E6">
              <w:t>Federal Court of Australia</w:t>
            </w:r>
          </w:p>
        </w:tc>
        <w:tc>
          <w:tcPr>
            <w:tcW w:w="1045" w:type="dxa"/>
            <w:tcBorders>
              <w:bottom w:val="single" w:sz="4" w:space="0" w:color="293F5B"/>
            </w:tcBorders>
            <w:shd w:val="clear" w:color="auto" w:fill="auto"/>
          </w:tcPr>
          <w:p w14:paraId="4C085503"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76B23C2A" w14:textId="77777777" w:rsidR="0012790E" w:rsidRPr="001C06E6" w:rsidRDefault="0012790E">
            <w:pPr>
              <w:pStyle w:val="Measuretabledatarightaligneditalics"/>
              <w:keepNext/>
            </w:pPr>
            <w:r w:rsidRPr="001C06E6">
              <w:t>0.9</w:t>
            </w:r>
          </w:p>
        </w:tc>
        <w:tc>
          <w:tcPr>
            <w:tcW w:w="1045" w:type="dxa"/>
            <w:tcBorders>
              <w:bottom w:val="single" w:sz="4" w:space="0" w:color="293F5B"/>
            </w:tcBorders>
            <w:shd w:val="clear" w:color="auto" w:fill="auto"/>
          </w:tcPr>
          <w:p w14:paraId="2EBAFC90" w14:textId="77777777" w:rsidR="0012790E" w:rsidRPr="001C06E6" w:rsidRDefault="0012790E">
            <w:pPr>
              <w:pStyle w:val="Measuretabledatarightaligneditalics"/>
              <w:keepNext/>
            </w:pPr>
            <w:r w:rsidRPr="001C06E6">
              <w:t>1.5</w:t>
            </w:r>
          </w:p>
        </w:tc>
        <w:tc>
          <w:tcPr>
            <w:tcW w:w="1045" w:type="dxa"/>
            <w:tcBorders>
              <w:bottom w:val="single" w:sz="4" w:space="0" w:color="293F5B"/>
            </w:tcBorders>
            <w:shd w:val="clear" w:color="auto" w:fill="auto"/>
          </w:tcPr>
          <w:p w14:paraId="5677E9F7" w14:textId="77777777" w:rsidR="0012790E" w:rsidRPr="001C06E6" w:rsidRDefault="0012790E">
            <w:pPr>
              <w:pStyle w:val="Measuretabledatarightaligneditalics"/>
              <w:keepNext/>
            </w:pPr>
            <w:r w:rsidRPr="001C06E6">
              <w:t>6.3</w:t>
            </w:r>
          </w:p>
        </w:tc>
        <w:tc>
          <w:tcPr>
            <w:tcW w:w="1045" w:type="dxa"/>
            <w:tcBorders>
              <w:bottom w:val="single" w:sz="4" w:space="0" w:color="293F5B"/>
            </w:tcBorders>
            <w:shd w:val="clear" w:color="auto" w:fill="auto"/>
          </w:tcPr>
          <w:p w14:paraId="515797C6" w14:textId="77777777" w:rsidR="0012790E" w:rsidRPr="001C06E6" w:rsidRDefault="0012790E">
            <w:pPr>
              <w:pStyle w:val="Measuretabledatarightaligneditalics"/>
              <w:keepNext/>
            </w:pPr>
            <w:r w:rsidRPr="001C06E6">
              <w:t>6.5</w:t>
            </w:r>
          </w:p>
        </w:tc>
      </w:tr>
    </w:tbl>
    <w:p w14:paraId="7BB4EA90" w14:textId="77777777" w:rsidR="0012790E" w:rsidRPr="001C06E6" w:rsidRDefault="0012790E">
      <w:pPr>
        <w:keepNext/>
        <w:widowControl w:val="0"/>
        <w:tabs>
          <w:tab w:val="right" w:pos="3536"/>
          <w:tab w:val="right" w:pos="4579"/>
          <w:tab w:val="right" w:pos="5622"/>
          <w:tab w:val="right" w:pos="6664"/>
          <w:tab w:val="right" w:pos="7707"/>
        </w:tabs>
        <w:spacing w:line="240" w:lineRule="exact"/>
        <w:rPr>
          <w:i/>
          <w:iCs/>
          <w:color w:val="000000"/>
          <w:sz w:val="16"/>
          <w:szCs w:val="16"/>
          <w:lang w:val="en-AU"/>
        </w:rPr>
      </w:pPr>
    </w:p>
    <w:p w14:paraId="669781D5" w14:textId="7106522E" w:rsidR="0012790E" w:rsidRDefault="0012790E" w:rsidP="54937204">
      <w:pPr>
        <w:pStyle w:val="Normal2"/>
        <w:rPr>
          <w:rFonts w:cs="Book Antiqua"/>
          <w:lang w:val="en-US"/>
        </w:rPr>
      </w:pPr>
      <w:r w:rsidRPr="54937204">
        <w:rPr>
          <w:rFonts w:cs="Book Antiqua"/>
          <w:lang w:val="en-US"/>
        </w:rPr>
        <w:t>The Government will provide $1.0 billion over five years from 2023–24 (with $</w:t>
      </w:r>
      <w:r w:rsidR="00332320">
        <w:rPr>
          <w:rFonts w:cs="Book Antiqua"/>
          <w:lang w:val="en-US"/>
        </w:rPr>
        <w:t>2</w:t>
      </w:r>
      <w:r w:rsidR="00D00A46">
        <w:rPr>
          <w:rFonts w:cs="Book Antiqua"/>
          <w:lang w:val="en-US"/>
        </w:rPr>
        <w:t>10</w:t>
      </w:r>
      <w:r w:rsidR="009F3F57">
        <w:rPr>
          <w:rFonts w:cs="Book Antiqua"/>
          <w:lang w:val="en-US"/>
        </w:rPr>
        <w:t>.8</w:t>
      </w:r>
      <w:r w:rsidRPr="54937204">
        <w:rPr>
          <w:rFonts w:cs="Book Antiqua"/>
          <w:lang w:val="en-US"/>
        </w:rPr>
        <w:t> million per year ongoing from 2028–29 and an additional $194.2 million from 2028–29 to 2035–36) to establish and support the sustainable operation of the new Administrative Review Tribunal (ART), replacing the Administrative Appeals Tribunal (AAT), and to address court backlogs associated with high numbers of applications for judicial review of migration decisions. Funding for the commencement of the ART includes:</w:t>
      </w:r>
    </w:p>
    <w:p w14:paraId="5D5CBB64" w14:textId="5C0B2C75" w:rsidR="0012790E" w:rsidRDefault="0012790E">
      <w:pPr>
        <w:pStyle w:val="Bullet"/>
      </w:pPr>
      <w:r w:rsidRPr="001C06E6">
        <w:t>$854.3</w:t>
      </w:r>
      <w:r>
        <w:t> </w:t>
      </w:r>
      <w:r w:rsidRPr="001C06E6">
        <w:t xml:space="preserve">million over four years from </w:t>
      </w:r>
      <w:r>
        <w:t>2024–25</w:t>
      </w:r>
      <w:r w:rsidRPr="001C06E6">
        <w:t xml:space="preserve"> (and $208.8</w:t>
      </w:r>
      <w:r>
        <w:t> </w:t>
      </w:r>
      <w:r w:rsidRPr="001C06E6">
        <w:t>million per year ongoing) for a</w:t>
      </w:r>
      <w:r w:rsidR="009171BA">
        <w:t> </w:t>
      </w:r>
      <w:r w:rsidRPr="001C06E6">
        <w:t>capped, flexible demand</w:t>
      </w:r>
      <w:r>
        <w:noBreakHyphen/>
      </w:r>
      <w:r w:rsidRPr="001C06E6">
        <w:t>driven funding model for the ART, enabling it to finalise 100</w:t>
      </w:r>
      <w:r w:rsidR="009171BA">
        <w:t> </w:t>
      </w:r>
      <w:r w:rsidRPr="001C06E6">
        <w:t>per cent of case lodg</w:t>
      </w:r>
      <w:r w:rsidR="00401A3A">
        <w:t>e</w:t>
      </w:r>
      <w:r w:rsidRPr="001C06E6">
        <w:t>ments each year, and including improved regional accessibility and piloting First Nations Liaison Officer and user experience and accessibility programs</w:t>
      </w:r>
      <w:r>
        <w:t xml:space="preserve"> </w:t>
      </w:r>
    </w:p>
    <w:p w14:paraId="498DE490" w14:textId="5C6185E2" w:rsidR="0012790E" w:rsidRDefault="0012790E">
      <w:pPr>
        <w:pStyle w:val="Bullet"/>
      </w:pPr>
      <w:r w:rsidRPr="001C06E6">
        <w:t>$75.1</w:t>
      </w:r>
      <w:r>
        <w:t> </w:t>
      </w:r>
      <w:r w:rsidRPr="001C06E6">
        <w:t xml:space="preserve">million over five years from </w:t>
      </w:r>
      <w:r>
        <w:t>2023–24</w:t>
      </w:r>
      <w:r w:rsidRPr="001C06E6">
        <w:t xml:space="preserve"> (and $</w:t>
      </w:r>
      <w:r w:rsidR="009F3F57">
        <w:t>2.0</w:t>
      </w:r>
      <w:r>
        <w:t> </w:t>
      </w:r>
      <w:r w:rsidRPr="001C06E6">
        <w:t>million per year ongoing) to support agencies with the transition from the AAT to the ART</w:t>
      </w:r>
      <w:r>
        <w:t xml:space="preserve"> </w:t>
      </w:r>
    </w:p>
    <w:p w14:paraId="63863E1B" w14:textId="77777777" w:rsidR="0012790E" w:rsidRDefault="0012790E">
      <w:pPr>
        <w:pStyle w:val="Bullet"/>
      </w:pPr>
      <w:r w:rsidRPr="001C06E6">
        <w:t>$2.4</w:t>
      </w:r>
      <w:r>
        <w:t> </w:t>
      </w:r>
      <w:r w:rsidRPr="001C06E6">
        <w:t xml:space="preserve">million in </w:t>
      </w:r>
      <w:r>
        <w:t>2024–25</w:t>
      </w:r>
      <w:r w:rsidRPr="001C06E6">
        <w:t xml:space="preserve"> to the AAT for the Immigration Assessment Authority to continue merits review of unsuccessful protection visa applications eligible for fast</w:t>
      </w:r>
      <w:r>
        <w:noBreakHyphen/>
      </w:r>
      <w:r w:rsidRPr="001C06E6">
        <w:t xml:space="preserve">track review under the </w:t>
      </w:r>
      <w:r w:rsidRPr="001C06E6">
        <w:rPr>
          <w:i/>
          <w:iCs/>
        </w:rPr>
        <w:t>Migration Act 1958</w:t>
      </w:r>
      <w:r w:rsidRPr="001C06E6">
        <w:t>, pending commencement of the ART.</w:t>
      </w:r>
      <w:r>
        <w:t xml:space="preserve"> </w:t>
      </w:r>
    </w:p>
    <w:p w14:paraId="30096AD3" w14:textId="77777777" w:rsidR="0012790E" w:rsidRDefault="0012790E">
      <w:pPr>
        <w:pStyle w:val="Normal2"/>
        <w:rPr>
          <w:rFonts w:cs="Book Antiqua"/>
        </w:rPr>
      </w:pPr>
      <w:r w:rsidRPr="001C06E6">
        <w:rPr>
          <w:rFonts w:cs="Book Antiqua"/>
        </w:rPr>
        <w:t>The Government has already provided partial funding for this measure.</w:t>
      </w:r>
      <w:r>
        <w:rPr>
          <w:rFonts w:cs="Book Antiqua"/>
        </w:rPr>
        <w:t xml:space="preserve"> </w:t>
      </w:r>
    </w:p>
    <w:p w14:paraId="7453F265" w14:textId="77777777" w:rsidR="0012790E" w:rsidRDefault="0012790E" w:rsidP="54937204">
      <w:pPr>
        <w:pStyle w:val="Normal2"/>
        <w:rPr>
          <w:rFonts w:cs="Book Antiqua"/>
          <w:lang w:val="en-US"/>
        </w:rPr>
      </w:pPr>
      <w:r w:rsidRPr="54937204">
        <w:rPr>
          <w:rFonts w:cs="Book Antiqua"/>
          <w:lang w:val="en-US"/>
        </w:rPr>
        <w:t xml:space="preserve">The Government will also provide $115.6 million over four years from 2024–25 (and an additional $194.2 million from 2028–29 to 2035–36) to address extremely high migration backlogs in the federal courts, including through the establishment of two migration hubs dedicated to hearing migration and protection matters. </w:t>
      </w:r>
    </w:p>
    <w:p w14:paraId="53871369" w14:textId="77777777" w:rsidR="0012790E" w:rsidRDefault="0012790E" w:rsidP="54937204">
      <w:pPr>
        <w:pStyle w:val="Normal2"/>
        <w:rPr>
          <w:rFonts w:cs="Book Antiqua"/>
          <w:lang w:val="en-US"/>
        </w:rPr>
      </w:pPr>
      <w:r w:rsidRPr="54937204">
        <w:rPr>
          <w:rFonts w:cs="Book Antiqua"/>
          <w:lang w:val="en-US"/>
        </w:rPr>
        <w:lastRenderedPageBreak/>
        <w:t xml:space="preserve">The cost of this measure will be partially met from within the existing resourcing of the AAT, (with the AAT’s total annual appropriation transferring to the ART on the ART’s commencement), the Department of Social Services, Department of Veterans’ Affairs and the National Disability Insurance Agency. The cost of this measure will also be partially offset from federal court application fees. </w:t>
      </w:r>
    </w:p>
    <w:p w14:paraId="000093C4" w14:textId="77777777" w:rsidR="0012790E" w:rsidRPr="001C06E6" w:rsidRDefault="0012790E">
      <w:pPr>
        <w:pStyle w:val="Normal2"/>
        <w:rPr>
          <w:rFonts w:cs="Book Antiqua"/>
          <w:iCs/>
        </w:rPr>
      </w:pPr>
      <w:r w:rsidRPr="001C06E6">
        <w:rPr>
          <w:rFonts w:cs="Book Antiqua"/>
        </w:rPr>
        <w:t xml:space="preserve">This measure builds on the </w:t>
      </w:r>
      <w:r>
        <w:rPr>
          <w:rFonts w:cs="Book Antiqua"/>
        </w:rPr>
        <w:t>2023–24 </w:t>
      </w:r>
      <w:r w:rsidRPr="001C06E6">
        <w:rPr>
          <w:rFonts w:cs="Book Antiqua"/>
        </w:rPr>
        <w:t xml:space="preserve">Budget measures titled </w:t>
      </w:r>
      <w:r w:rsidRPr="001C06E6">
        <w:rPr>
          <w:rFonts w:cs="Book Antiqua"/>
          <w:i/>
          <w:iCs/>
        </w:rPr>
        <w:t>Institutional Reform to</w:t>
      </w:r>
      <w:r>
        <w:rPr>
          <w:rFonts w:cs="Book Antiqua"/>
          <w:i/>
          <w:iCs/>
        </w:rPr>
        <w:t xml:space="preserve"> </w:t>
      </w:r>
      <w:r w:rsidRPr="001C06E6">
        <w:rPr>
          <w:rFonts w:cs="Book Antiqua"/>
          <w:i/>
          <w:iCs/>
        </w:rPr>
        <w:t xml:space="preserve">Australia’s System of Federal Administrative Review </w:t>
      </w:r>
      <w:r w:rsidRPr="001C06E6">
        <w:rPr>
          <w:rFonts w:cs="Book Antiqua"/>
        </w:rPr>
        <w:t xml:space="preserve">and </w:t>
      </w:r>
      <w:r w:rsidRPr="001C06E6">
        <w:rPr>
          <w:rFonts w:cs="Book Antiqua"/>
          <w:i/>
          <w:iCs/>
        </w:rPr>
        <w:t>Continuation of Immigration</w:t>
      </w:r>
      <w:r>
        <w:rPr>
          <w:rFonts w:cs="Book Antiqua"/>
          <w:i/>
          <w:iCs/>
        </w:rPr>
        <w:t xml:space="preserve"> </w:t>
      </w:r>
      <w:r w:rsidRPr="001C06E6">
        <w:rPr>
          <w:rFonts w:cs="Book Antiqua"/>
          <w:i/>
          <w:iCs/>
        </w:rPr>
        <w:t>Assessment Authority</w:t>
      </w:r>
      <w:r w:rsidRPr="001C06E6">
        <w:rPr>
          <w:rFonts w:cs="Book Antiqua"/>
        </w:rPr>
        <w:t xml:space="preserve"> and the </w:t>
      </w:r>
      <w:r>
        <w:rPr>
          <w:rFonts w:cs="Book Antiqua"/>
        </w:rPr>
        <w:t>2023–24 </w:t>
      </w:r>
      <w:r w:rsidRPr="001C06E6">
        <w:rPr>
          <w:rFonts w:cs="Book Antiqua"/>
        </w:rPr>
        <w:t xml:space="preserve">MYEFO measure titled </w:t>
      </w:r>
      <w:r w:rsidRPr="001C06E6">
        <w:rPr>
          <w:rFonts w:cs="Book Antiqua"/>
          <w:i/>
          <w:iCs/>
        </w:rPr>
        <w:t>Migration System</w:t>
      </w:r>
      <w:r>
        <w:rPr>
          <w:rFonts w:cs="Book Antiqua"/>
          <w:i/>
          <w:iCs/>
        </w:rPr>
        <w:t xml:space="preserve"> </w:t>
      </w:r>
      <w:r w:rsidRPr="001C06E6">
        <w:rPr>
          <w:rFonts w:cs="Book Antiqua"/>
          <w:i/>
          <w:iCs/>
        </w:rPr>
        <w:t>Integrity.</w:t>
      </w:r>
      <w:r>
        <w:rPr>
          <w:rFonts w:cs="Book Antiqua"/>
          <w:i/>
          <w:iCs/>
        </w:rPr>
        <w:t xml:space="preserve"> </w:t>
      </w:r>
    </w:p>
    <w:p w14:paraId="313179E8" w14:textId="77777777" w:rsidR="0012790E" w:rsidRPr="001C06E6" w:rsidRDefault="0012790E">
      <w:pPr>
        <w:pStyle w:val="MeasureTitle"/>
        <w:rPr>
          <w:b w:val="0"/>
          <w:bCs/>
        </w:rPr>
      </w:pPr>
      <w:r w:rsidRPr="001C06E6">
        <w:rPr>
          <w:bCs/>
        </w:rPr>
        <w:t>National Firearms Register</w:t>
      </w:r>
    </w:p>
    <w:p w14:paraId="521E797F"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463F103D" w14:textId="77777777">
        <w:tc>
          <w:tcPr>
            <w:tcW w:w="2497" w:type="dxa"/>
            <w:tcBorders>
              <w:top w:val="single" w:sz="4" w:space="0" w:color="293F5B"/>
              <w:bottom w:val="single" w:sz="4" w:space="0" w:color="293F5B"/>
            </w:tcBorders>
            <w:shd w:val="clear" w:color="auto" w:fill="auto"/>
          </w:tcPr>
          <w:p w14:paraId="7627D7F2"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19464CF"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4EC49D1"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7D8B110"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F0DA05C"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8CDB254" w14:textId="77777777" w:rsidR="0012790E" w:rsidRPr="001C06E6" w:rsidRDefault="0012790E">
            <w:pPr>
              <w:pStyle w:val="MeasureTableYearHeadings"/>
              <w:keepNext/>
            </w:pPr>
            <w:r w:rsidRPr="001C06E6">
              <w:t>2027</w:t>
            </w:r>
            <w:r>
              <w:noBreakHyphen/>
            </w:r>
            <w:r w:rsidRPr="001C06E6">
              <w:t>28</w:t>
            </w:r>
          </w:p>
        </w:tc>
      </w:tr>
      <w:tr w:rsidR="0012790E" w:rsidRPr="001C06E6" w14:paraId="4EBCE9FD" w14:textId="77777777">
        <w:tc>
          <w:tcPr>
            <w:tcW w:w="2497" w:type="dxa"/>
            <w:tcBorders>
              <w:top w:val="single" w:sz="4" w:space="0" w:color="293F5B"/>
              <w:bottom w:val="single" w:sz="4" w:space="0" w:color="293F5B"/>
            </w:tcBorders>
            <w:shd w:val="clear" w:color="auto" w:fill="auto"/>
          </w:tcPr>
          <w:p w14:paraId="7C5ED830"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5D98961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1C28C27" w14:textId="77777777" w:rsidR="0012790E" w:rsidRPr="001C06E6" w:rsidRDefault="0012790E">
            <w:pPr>
              <w:pStyle w:val="MeasureTableDataRightAlignedwith2ptsspacing"/>
              <w:keepNext/>
            </w:pPr>
            <w:r w:rsidRPr="001C06E6">
              <w:t>18.3</w:t>
            </w:r>
          </w:p>
        </w:tc>
        <w:tc>
          <w:tcPr>
            <w:tcW w:w="1045" w:type="dxa"/>
            <w:tcBorders>
              <w:top w:val="single" w:sz="4" w:space="0" w:color="293F5B"/>
              <w:bottom w:val="single" w:sz="4" w:space="0" w:color="293F5B"/>
            </w:tcBorders>
            <w:shd w:val="clear" w:color="auto" w:fill="auto"/>
          </w:tcPr>
          <w:p w14:paraId="5F879CEB" w14:textId="77777777" w:rsidR="0012790E" w:rsidRPr="001C06E6" w:rsidRDefault="0012790E">
            <w:pPr>
              <w:pStyle w:val="MeasureTableDataRightAlignedwith2ptsspacing"/>
              <w:keepNext/>
            </w:pPr>
            <w:r w:rsidRPr="001C06E6">
              <w:t>66.1</w:t>
            </w:r>
          </w:p>
        </w:tc>
        <w:tc>
          <w:tcPr>
            <w:tcW w:w="1045" w:type="dxa"/>
            <w:tcBorders>
              <w:top w:val="single" w:sz="4" w:space="0" w:color="293F5B"/>
              <w:bottom w:val="single" w:sz="4" w:space="0" w:color="293F5B"/>
            </w:tcBorders>
            <w:shd w:val="clear" w:color="auto" w:fill="auto"/>
          </w:tcPr>
          <w:p w14:paraId="709BBAA9" w14:textId="77777777" w:rsidR="0012790E" w:rsidRPr="001C06E6" w:rsidRDefault="0012790E">
            <w:pPr>
              <w:pStyle w:val="MeasureTableDataRightAlignedwith2ptsspacing"/>
              <w:keepNext/>
            </w:pPr>
            <w:r w:rsidRPr="001C06E6">
              <w:t>17.3</w:t>
            </w:r>
          </w:p>
        </w:tc>
        <w:tc>
          <w:tcPr>
            <w:tcW w:w="1045" w:type="dxa"/>
            <w:tcBorders>
              <w:top w:val="single" w:sz="4" w:space="0" w:color="293F5B"/>
              <w:bottom w:val="single" w:sz="4" w:space="0" w:color="293F5B"/>
            </w:tcBorders>
            <w:shd w:val="clear" w:color="auto" w:fill="auto"/>
          </w:tcPr>
          <w:p w14:paraId="2154D6B0" w14:textId="77777777" w:rsidR="0012790E" w:rsidRPr="001C06E6" w:rsidRDefault="0012790E">
            <w:pPr>
              <w:pStyle w:val="MeasureTableDataRightAlignedwith2ptsspacing"/>
              <w:keepNext/>
            </w:pPr>
            <w:r w:rsidRPr="001C06E6">
              <w:t>-</w:t>
            </w:r>
          </w:p>
        </w:tc>
      </w:tr>
      <w:tr w:rsidR="0012790E" w:rsidRPr="001C06E6" w14:paraId="6F229FF4" w14:textId="77777777">
        <w:tc>
          <w:tcPr>
            <w:tcW w:w="2497" w:type="dxa"/>
            <w:tcBorders>
              <w:top w:val="single" w:sz="4" w:space="0" w:color="293F5B"/>
              <w:bottom w:val="single" w:sz="4" w:space="0" w:color="293F5B"/>
            </w:tcBorders>
            <w:shd w:val="clear" w:color="auto" w:fill="auto"/>
          </w:tcPr>
          <w:p w14:paraId="406976C3" w14:textId="77777777" w:rsidR="0012790E" w:rsidRPr="001C06E6" w:rsidRDefault="0012790E">
            <w:pPr>
              <w:pStyle w:val="MeasureTableHeadingleftalignedwith2ptsspacing"/>
              <w:keepNext/>
            </w:pPr>
            <w:r>
              <w:t xml:space="preserve">Australian Criminal Intelligence Commission </w:t>
            </w:r>
          </w:p>
        </w:tc>
        <w:tc>
          <w:tcPr>
            <w:tcW w:w="1045" w:type="dxa"/>
            <w:tcBorders>
              <w:top w:val="single" w:sz="4" w:space="0" w:color="293F5B"/>
              <w:bottom w:val="single" w:sz="4" w:space="0" w:color="293F5B"/>
            </w:tcBorders>
            <w:shd w:val="clear" w:color="auto" w:fill="auto"/>
          </w:tcPr>
          <w:p w14:paraId="28FDE73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F9CE52E" w14:textId="77777777" w:rsidR="0012790E" w:rsidRPr="001C06E6" w:rsidRDefault="0012790E">
            <w:pPr>
              <w:pStyle w:val="MeasureTableDataRightAlignedwith2ptsspacing"/>
              <w:keepNext/>
            </w:pPr>
            <w:r>
              <w:t xml:space="preserve">7.2 </w:t>
            </w:r>
          </w:p>
        </w:tc>
        <w:tc>
          <w:tcPr>
            <w:tcW w:w="1045" w:type="dxa"/>
            <w:tcBorders>
              <w:top w:val="single" w:sz="4" w:space="0" w:color="293F5B"/>
              <w:bottom w:val="single" w:sz="4" w:space="0" w:color="293F5B"/>
            </w:tcBorders>
            <w:shd w:val="clear" w:color="auto" w:fill="auto"/>
          </w:tcPr>
          <w:p w14:paraId="3110DD45" w14:textId="77777777" w:rsidR="0012790E" w:rsidRPr="001C06E6" w:rsidRDefault="0012790E">
            <w:pPr>
              <w:pStyle w:val="MeasureTableDataRightAlignedwith2ptsspacing"/>
              <w:keepNext/>
            </w:pPr>
            <w:r>
              <w:t xml:space="preserve">8.0 </w:t>
            </w:r>
          </w:p>
        </w:tc>
        <w:tc>
          <w:tcPr>
            <w:tcW w:w="1045" w:type="dxa"/>
            <w:tcBorders>
              <w:top w:val="single" w:sz="4" w:space="0" w:color="293F5B"/>
              <w:bottom w:val="single" w:sz="4" w:space="0" w:color="293F5B"/>
            </w:tcBorders>
            <w:shd w:val="clear" w:color="auto" w:fill="auto"/>
          </w:tcPr>
          <w:p w14:paraId="6F056573" w14:textId="77777777" w:rsidR="0012790E" w:rsidRPr="001C06E6" w:rsidRDefault="0012790E">
            <w:pPr>
              <w:pStyle w:val="MeasureTableDataRightAlignedwith2ptsspacing"/>
              <w:keepNext/>
            </w:pPr>
            <w:r>
              <w:t xml:space="preserve">5.7 </w:t>
            </w:r>
          </w:p>
        </w:tc>
        <w:tc>
          <w:tcPr>
            <w:tcW w:w="1045" w:type="dxa"/>
            <w:tcBorders>
              <w:top w:val="single" w:sz="4" w:space="0" w:color="293F5B"/>
              <w:bottom w:val="single" w:sz="4" w:space="0" w:color="293F5B"/>
            </w:tcBorders>
            <w:shd w:val="clear" w:color="auto" w:fill="auto"/>
          </w:tcPr>
          <w:p w14:paraId="3D11CE42" w14:textId="77777777" w:rsidR="0012790E" w:rsidRPr="001C06E6" w:rsidRDefault="0012790E">
            <w:pPr>
              <w:pStyle w:val="MeasureTableDataRightAlignedwith2ptsspacing"/>
              <w:keepNext/>
            </w:pPr>
            <w:r>
              <w:t xml:space="preserve">8.4 </w:t>
            </w:r>
          </w:p>
        </w:tc>
      </w:tr>
      <w:tr w:rsidR="0012790E" w:rsidRPr="001C06E6" w14:paraId="04CF3A2C" w14:textId="77777777">
        <w:tc>
          <w:tcPr>
            <w:tcW w:w="2497" w:type="dxa"/>
            <w:tcBorders>
              <w:top w:val="single" w:sz="4" w:space="0" w:color="293F5B"/>
              <w:bottom w:val="single" w:sz="4" w:space="0" w:color="293F5B"/>
            </w:tcBorders>
            <w:shd w:val="clear" w:color="auto" w:fill="auto"/>
          </w:tcPr>
          <w:p w14:paraId="1E5F35A6" w14:textId="77777777" w:rsidR="0012790E" w:rsidRPr="001C06E6" w:rsidRDefault="0012790E">
            <w:pPr>
              <w:pStyle w:val="MeasureTableHeadingleftalignedwith2ptsspacing"/>
              <w:keepNext/>
            </w:pPr>
            <w:r w:rsidRPr="001C06E6">
              <w:t>Attorney</w:t>
            </w:r>
            <w:r>
              <w:noBreakHyphen/>
            </w:r>
            <w:r w:rsidRPr="001C06E6">
              <w:t>General's Department</w:t>
            </w:r>
          </w:p>
        </w:tc>
        <w:tc>
          <w:tcPr>
            <w:tcW w:w="1045" w:type="dxa"/>
            <w:tcBorders>
              <w:top w:val="single" w:sz="4" w:space="0" w:color="293F5B"/>
              <w:bottom w:val="single" w:sz="4" w:space="0" w:color="293F5B"/>
            </w:tcBorders>
            <w:shd w:val="clear" w:color="auto" w:fill="auto"/>
          </w:tcPr>
          <w:p w14:paraId="4599EB4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CE32788" w14:textId="77777777" w:rsidR="0012790E" w:rsidRPr="001C06E6" w:rsidRDefault="0012790E">
            <w:pPr>
              <w:pStyle w:val="MeasureTableDataRightAlignedwith2ptsspacing"/>
              <w:keepNext/>
            </w:pPr>
            <w:r w:rsidRPr="001C06E6">
              <w:t>2.9</w:t>
            </w:r>
          </w:p>
        </w:tc>
        <w:tc>
          <w:tcPr>
            <w:tcW w:w="1045" w:type="dxa"/>
            <w:tcBorders>
              <w:top w:val="single" w:sz="4" w:space="0" w:color="293F5B"/>
              <w:bottom w:val="single" w:sz="4" w:space="0" w:color="293F5B"/>
            </w:tcBorders>
            <w:shd w:val="clear" w:color="auto" w:fill="auto"/>
          </w:tcPr>
          <w:p w14:paraId="71705D1A" w14:textId="77777777" w:rsidR="0012790E" w:rsidRPr="001C06E6" w:rsidRDefault="0012790E">
            <w:pPr>
              <w:pStyle w:val="MeasureTableDataRightAlignedwith2ptsspacing"/>
              <w:keepNext/>
            </w:pPr>
            <w:r w:rsidRPr="001C06E6">
              <w:t>3.1</w:t>
            </w:r>
          </w:p>
        </w:tc>
        <w:tc>
          <w:tcPr>
            <w:tcW w:w="1045" w:type="dxa"/>
            <w:tcBorders>
              <w:top w:val="single" w:sz="4" w:space="0" w:color="293F5B"/>
              <w:bottom w:val="single" w:sz="4" w:space="0" w:color="293F5B"/>
            </w:tcBorders>
            <w:shd w:val="clear" w:color="auto" w:fill="auto"/>
          </w:tcPr>
          <w:p w14:paraId="7EB0A055" w14:textId="77777777" w:rsidR="0012790E" w:rsidRPr="001C06E6" w:rsidRDefault="0012790E">
            <w:pPr>
              <w:pStyle w:val="MeasureTableDataRightAlignedwith2ptsspacing"/>
              <w:keepNext/>
            </w:pPr>
            <w:r w:rsidRPr="001C06E6">
              <w:t>0.8</w:t>
            </w:r>
          </w:p>
        </w:tc>
        <w:tc>
          <w:tcPr>
            <w:tcW w:w="1045" w:type="dxa"/>
            <w:tcBorders>
              <w:top w:val="single" w:sz="4" w:space="0" w:color="293F5B"/>
              <w:bottom w:val="single" w:sz="4" w:space="0" w:color="293F5B"/>
            </w:tcBorders>
            <w:shd w:val="clear" w:color="auto" w:fill="auto"/>
          </w:tcPr>
          <w:p w14:paraId="5903E0AD" w14:textId="77777777" w:rsidR="0012790E" w:rsidRPr="001C06E6" w:rsidRDefault="0012790E">
            <w:pPr>
              <w:pStyle w:val="MeasureTableDataRightAlignedwith2ptsspacing"/>
              <w:keepNext/>
            </w:pPr>
            <w:r w:rsidRPr="001C06E6">
              <w:t>1.1</w:t>
            </w:r>
          </w:p>
        </w:tc>
      </w:tr>
      <w:tr w:rsidR="0012790E" w:rsidRPr="001C06E6" w14:paraId="6FCA49EC" w14:textId="77777777">
        <w:tc>
          <w:tcPr>
            <w:tcW w:w="2497" w:type="dxa"/>
            <w:tcBorders>
              <w:top w:val="single" w:sz="4" w:space="0" w:color="293F5B"/>
              <w:bottom w:val="single" w:sz="4" w:space="0" w:color="293F5B"/>
            </w:tcBorders>
            <w:shd w:val="clear" w:color="auto" w:fill="auto"/>
          </w:tcPr>
          <w:p w14:paraId="1CF75DFD"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58DD68A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103F1C2" w14:textId="77777777" w:rsidR="0012790E" w:rsidRPr="001C06E6" w:rsidRDefault="0012790E">
            <w:pPr>
              <w:pStyle w:val="MeasureTableDataRightAlignedwith2ptsspacing"/>
              <w:keepNext/>
            </w:pPr>
            <w:r w:rsidRPr="001C06E6">
              <w:t>1.8</w:t>
            </w:r>
          </w:p>
        </w:tc>
        <w:tc>
          <w:tcPr>
            <w:tcW w:w="1045" w:type="dxa"/>
            <w:tcBorders>
              <w:top w:val="single" w:sz="4" w:space="0" w:color="293F5B"/>
              <w:bottom w:val="single" w:sz="4" w:space="0" w:color="293F5B"/>
            </w:tcBorders>
            <w:shd w:val="clear" w:color="auto" w:fill="auto"/>
          </w:tcPr>
          <w:p w14:paraId="4F5E7053" w14:textId="77777777" w:rsidR="0012790E" w:rsidRPr="001C06E6" w:rsidRDefault="0012790E">
            <w:pPr>
              <w:pStyle w:val="MeasureTableDataRightAlignedwith2ptsspacing"/>
              <w:keepNext/>
            </w:pPr>
            <w:r w:rsidRPr="001C06E6">
              <w:t>5.6</w:t>
            </w:r>
          </w:p>
        </w:tc>
        <w:tc>
          <w:tcPr>
            <w:tcW w:w="1045" w:type="dxa"/>
            <w:tcBorders>
              <w:top w:val="single" w:sz="4" w:space="0" w:color="293F5B"/>
              <w:bottom w:val="single" w:sz="4" w:space="0" w:color="293F5B"/>
            </w:tcBorders>
            <w:shd w:val="clear" w:color="auto" w:fill="auto"/>
          </w:tcPr>
          <w:p w14:paraId="7507F99D" w14:textId="77777777" w:rsidR="0012790E" w:rsidRPr="001C06E6" w:rsidRDefault="0012790E">
            <w:pPr>
              <w:pStyle w:val="MeasureTableDataRightAlignedwith2ptsspacing"/>
              <w:keepNext/>
            </w:pPr>
            <w:r w:rsidRPr="001C06E6">
              <w:t>8.9</w:t>
            </w:r>
          </w:p>
        </w:tc>
        <w:tc>
          <w:tcPr>
            <w:tcW w:w="1045" w:type="dxa"/>
            <w:tcBorders>
              <w:top w:val="single" w:sz="4" w:space="0" w:color="293F5B"/>
              <w:bottom w:val="single" w:sz="4" w:space="0" w:color="293F5B"/>
            </w:tcBorders>
            <w:shd w:val="clear" w:color="auto" w:fill="auto"/>
          </w:tcPr>
          <w:p w14:paraId="4DFFF797" w14:textId="77777777" w:rsidR="0012790E" w:rsidRPr="001C06E6" w:rsidRDefault="0012790E">
            <w:pPr>
              <w:pStyle w:val="MeasureTableDataRightAlignedwith2ptsspacing"/>
              <w:keepNext/>
            </w:pPr>
            <w:r w:rsidRPr="001C06E6">
              <w:t>4.5</w:t>
            </w:r>
          </w:p>
        </w:tc>
      </w:tr>
      <w:tr w:rsidR="0012790E" w:rsidRPr="001C06E6" w14:paraId="71A0E43E" w14:textId="77777777">
        <w:tc>
          <w:tcPr>
            <w:tcW w:w="2497" w:type="dxa"/>
            <w:tcBorders>
              <w:top w:val="single" w:sz="4" w:space="0" w:color="293F5B"/>
              <w:bottom w:val="single" w:sz="4" w:space="0" w:color="293F5B"/>
            </w:tcBorders>
            <w:shd w:val="clear" w:color="auto" w:fill="auto"/>
          </w:tcPr>
          <w:p w14:paraId="3E82DC6B" w14:textId="77777777" w:rsidR="0012790E" w:rsidRPr="001C06E6" w:rsidRDefault="0012790E">
            <w:pPr>
              <w:pStyle w:val="MeasureTableHeadingleftalignedwith2ptsspacing"/>
              <w:keepNext/>
            </w:pPr>
            <w:r w:rsidRPr="001C06E6">
              <w:t>Australian Federal Police</w:t>
            </w:r>
          </w:p>
        </w:tc>
        <w:tc>
          <w:tcPr>
            <w:tcW w:w="1045" w:type="dxa"/>
            <w:tcBorders>
              <w:top w:val="single" w:sz="4" w:space="0" w:color="293F5B"/>
              <w:bottom w:val="single" w:sz="4" w:space="0" w:color="293F5B"/>
            </w:tcBorders>
            <w:shd w:val="clear" w:color="auto" w:fill="auto"/>
          </w:tcPr>
          <w:p w14:paraId="3D4ECE1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345EED4" w14:textId="77777777" w:rsidR="0012790E" w:rsidRPr="001C06E6" w:rsidRDefault="0012790E">
            <w:pPr>
              <w:pStyle w:val="MeasureTableDataRightAlignedwith2ptsspacing"/>
              <w:keepNext/>
            </w:pPr>
            <w:r w:rsidRPr="001C06E6">
              <w:t>1.0</w:t>
            </w:r>
          </w:p>
        </w:tc>
        <w:tc>
          <w:tcPr>
            <w:tcW w:w="1045" w:type="dxa"/>
            <w:tcBorders>
              <w:top w:val="single" w:sz="4" w:space="0" w:color="293F5B"/>
              <w:bottom w:val="single" w:sz="4" w:space="0" w:color="293F5B"/>
            </w:tcBorders>
            <w:shd w:val="clear" w:color="auto" w:fill="auto"/>
          </w:tcPr>
          <w:p w14:paraId="7CE7E8A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7D4F38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F8F9054" w14:textId="77777777" w:rsidR="0012790E" w:rsidRPr="001C06E6" w:rsidRDefault="0012790E">
            <w:pPr>
              <w:pStyle w:val="MeasureTableDataRightAlignedwith2ptsspacing"/>
              <w:keepNext/>
            </w:pPr>
            <w:r w:rsidRPr="001C06E6">
              <w:t>-</w:t>
            </w:r>
          </w:p>
        </w:tc>
      </w:tr>
      <w:tr w:rsidR="0012790E" w:rsidRPr="001C06E6" w14:paraId="2726C525" w14:textId="77777777">
        <w:tc>
          <w:tcPr>
            <w:tcW w:w="2497" w:type="dxa"/>
            <w:tcBorders>
              <w:top w:val="single" w:sz="4" w:space="0" w:color="293F5B"/>
              <w:bottom w:val="single" w:sz="4" w:space="0" w:color="293F5B"/>
            </w:tcBorders>
            <w:shd w:val="clear" w:color="auto" w:fill="auto"/>
          </w:tcPr>
          <w:p w14:paraId="446116EF"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5BB9A4C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BF2DA27"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2EA7FA0A"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7D300C73"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375A882C" w14:textId="77777777" w:rsidR="0012790E" w:rsidRPr="001C06E6" w:rsidRDefault="0012790E">
            <w:pPr>
              <w:pStyle w:val="MeasureTableDataRightAlignedwith2ptsspacing"/>
              <w:keepNext/>
            </w:pPr>
            <w:r w:rsidRPr="001C06E6">
              <w:t>0.1</w:t>
            </w:r>
          </w:p>
        </w:tc>
      </w:tr>
      <w:tr w:rsidR="0012790E" w:rsidRPr="001C06E6" w14:paraId="3D09E315" w14:textId="77777777">
        <w:tc>
          <w:tcPr>
            <w:tcW w:w="2497" w:type="dxa"/>
            <w:tcBorders>
              <w:top w:val="single" w:sz="4" w:space="0" w:color="293F5B"/>
              <w:bottom w:val="single" w:sz="4" w:space="0" w:color="293F5B"/>
            </w:tcBorders>
            <w:shd w:val="clear" w:color="auto" w:fill="auto"/>
          </w:tcPr>
          <w:p w14:paraId="1565E905"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01A930B9"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2BEDCC2" w14:textId="77777777" w:rsidR="0012790E" w:rsidRPr="001C06E6" w:rsidRDefault="0012790E">
            <w:pPr>
              <w:pStyle w:val="Totaldatarowrightaligned"/>
              <w:keepNext/>
            </w:pPr>
            <w:r w:rsidRPr="001C06E6">
              <w:t>31.3</w:t>
            </w:r>
          </w:p>
        </w:tc>
        <w:tc>
          <w:tcPr>
            <w:tcW w:w="1045" w:type="dxa"/>
            <w:tcBorders>
              <w:top w:val="single" w:sz="4" w:space="0" w:color="293F5B"/>
              <w:bottom w:val="single" w:sz="4" w:space="0" w:color="293F5B"/>
            </w:tcBorders>
            <w:shd w:val="clear" w:color="auto" w:fill="auto"/>
          </w:tcPr>
          <w:p w14:paraId="7F27D71D" w14:textId="77777777" w:rsidR="0012790E" w:rsidRPr="001C06E6" w:rsidRDefault="0012790E">
            <w:pPr>
              <w:pStyle w:val="Totaldatarowrightaligned"/>
              <w:keepNext/>
            </w:pPr>
            <w:r w:rsidRPr="001C06E6">
              <w:t>82.9</w:t>
            </w:r>
          </w:p>
        </w:tc>
        <w:tc>
          <w:tcPr>
            <w:tcW w:w="1045" w:type="dxa"/>
            <w:tcBorders>
              <w:top w:val="single" w:sz="4" w:space="0" w:color="293F5B"/>
              <w:bottom w:val="single" w:sz="4" w:space="0" w:color="293F5B"/>
            </w:tcBorders>
            <w:shd w:val="clear" w:color="auto" w:fill="auto"/>
          </w:tcPr>
          <w:p w14:paraId="36747AA2" w14:textId="77777777" w:rsidR="0012790E" w:rsidRPr="001C06E6" w:rsidRDefault="0012790E">
            <w:pPr>
              <w:pStyle w:val="Totaldatarowrightaligned"/>
              <w:keepNext/>
            </w:pPr>
            <w:r w:rsidRPr="001C06E6">
              <w:t>32.9</w:t>
            </w:r>
          </w:p>
        </w:tc>
        <w:tc>
          <w:tcPr>
            <w:tcW w:w="1045" w:type="dxa"/>
            <w:tcBorders>
              <w:top w:val="single" w:sz="4" w:space="0" w:color="293F5B"/>
              <w:bottom w:val="single" w:sz="4" w:space="0" w:color="293F5B"/>
            </w:tcBorders>
            <w:shd w:val="clear" w:color="auto" w:fill="auto"/>
          </w:tcPr>
          <w:p w14:paraId="2D915F83" w14:textId="77777777" w:rsidR="0012790E" w:rsidRPr="001C06E6" w:rsidRDefault="0012790E">
            <w:pPr>
              <w:pStyle w:val="Totaldatarowrightaligned"/>
              <w:keepNext/>
            </w:pPr>
            <w:r w:rsidRPr="001C06E6">
              <w:t>14.2</w:t>
            </w:r>
          </w:p>
        </w:tc>
      </w:tr>
    </w:tbl>
    <w:p w14:paraId="3F5962D6"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63318D26" w14:textId="3F9DC8A6" w:rsidR="0012790E" w:rsidRDefault="0012790E" w:rsidP="54937204">
      <w:pPr>
        <w:pStyle w:val="Normal2"/>
        <w:rPr>
          <w:rFonts w:cs="Book Antiqua"/>
          <w:lang w:val="en-US"/>
        </w:rPr>
      </w:pPr>
      <w:r w:rsidRPr="54937204">
        <w:rPr>
          <w:rFonts w:cs="Book Antiqua"/>
          <w:lang w:val="en-US"/>
        </w:rPr>
        <w:t>The Government will provide $161.3 million over four years from 2024–25 to develop and</w:t>
      </w:r>
      <w:r w:rsidR="00E00F9E">
        <w:rPr>
          <w:rFonts w:cs="Book Antiqua"/>
          <w:lang w:val="en-US"/>
        </w:rPr>
        <w:t> </w:t>
      </w:r>
      <w:r w:rsidRPr="54937204">
        <w:rPr>
          <w:rFonts w:cs="Book Antiqua"/>
          <w:lang w:val="en-US"/>
        </w:rPr>
        <w:t>implement a National Firearms Register to keep the community and frontline police officers safe, to be delivered as a joint initiative between the Commonwealth, states and territories. Once established, police will know where firearms are, who owns them, and what other risks to the community and police may exist. Funding includes:</w:t>
      </w:r>
    </w:p>
    <w:p w14:paraId="7F00C9BC" w14:textId="77777777" w:rsidR="0012790E" w:rsidRDefault="0012790E">
      <w:pPr>
        <w:pStyle w:val="Bullet"/>
      </w:pPr>
      <w:r w:rsidRPr="001C06E6">
        <w:t>$101.7</w:t>
      </w:r>
      <w:r>
        <w:t> </w:t>
      </w:r>
      <w:r w:rsidRPr="001C06E6">
        <w:t xml:space="preserve">million over three years from </w:t>
      </w:r>
      <w:r>
        <w:t>2024–25</w:t>
      </w:r>
      <w:r w:rsidRPr="001C06E6">
        <w:t xml:space="preserve"> to contribute to the cost of state and territory registry reforms and system updates</w:t>
      </w:r>
      <w:r>
        <w:t xml:space="preserve"> </w:t>
      </w:r>
    </w:p>
    <w:p w14:paraId="5C4836D1" w14:textId="77777777" w:rsidR="0012790E" w:rsidRDefault="0012790E">
      <w:pPr>
        <w:pStyle w:val="Bullet"/>
      </w:pPr>
      <w:r w:rsidRPr="001C06E6">
        <w:t>$30.2</w:t>
      </w:r>
      <w:r>
        <w:t> </w:t>
      </w:r>
      <w:r w:rsidRPr="001C06E6">
        <w:t xml:space="preserve">million over four years from </w:t>
      </w:r>
      <w:r>
        <w:t>2024–25</w:t>
      </w:r>
      <w:r w:rsidRPr="001C06E6">
        <w:t xml:space="preserve"> for the Attorney</w:t>
      </w:r>
      <w:r>
        <w:noBreakHyphen/>
      </w:r>
      <w:r w:rsidRPr="001C06E6">
        <w:t>General’s Department, the Australian Federal Police and the Department of Home Affairs to deliver reforms and support upgrades to existing Commonwealth systems</w:t>
      </w:r>
      <w:r>
        <w:t xml:space="preserve"> </w:t>
      </w:r>
    </w:p>
    <w:p w14:paraId="596BE423" w14:textId="77777777" w:rsidR="0012790E" w:rsidRDefault="0012790E">
      <w:pPr>
        <w:pStyle w:val="Bullet"/>
      </w:pPr>
      <w:r w:rsidRPr="001C06E6">
        <w:t>$29.4</w:t>
      </w:r>
      <w:r>
        <w:t> </w:t>
      </w:r>
      <w:r w:rsidRPr="001C06E6">
        <w:t xml:space="preserve">million over four years from </w:t>
      </w:r>
      <w:r>
        <w:t>2024–25</w:t>
      </w:r>
      <w:r w:rsidRPr="001C06E6">
        <w:t xml:space="preserve"> for the Australian Criminal Intelligence Commission to build and operate the Register, with costs to be met from the National Policing Information Systems and Services Special Account.</w:t>
      </w:r>
      <w:r>
        <w:t xml:space="preserve"> </w:t>
      </w:r>
    </w:p>
    <w:p w14:paraId="1B1C085B" w14:textId="77777777" w:rsidR="0012790E" w:rsidRDefault="0012790E">
      <w:pPr>
        <w:pStyle w:val="Normal2"/>
        <w:rPr>
          <w:rFonts w:cs="Book Antiqua"/>
        </w:rPr>
      </w:pPr>
      <w:r w:rsidRPr="001C06E6">
        <w:rPr>
          <w:rFonts w:cs="Book Antiqua"/>
        </w:rPr>
        <w:t>The Treasury manages Commonwealth payments to the states and territories.</w:t>
      </w:r>
      <w:r>
        <w:rPr>
          <w:rFonts w:cs="Book Antiqua"/>
        </w:rPr>
        <w:t xml:space="preserve"> </w:t>
      </w:r>
    </w:p>
    <w:p w14:paraId="1D794548" w14:textId="77777777" w:rsidR="0012790E" w:rsidRPr="001C06E6" w:rsidRDefault="0012790E">
      <w:pPr>
        <w:pStyle w:val="MeasureTitle"/>
        <w:rPr>
          <w:b w:val="0"/>
          <w:bCs/>
        </w:rPr>
      </w:pPr>
      <w:r w:rsidRPr="001C06E6">
        <w:rPr>
          <w:bCs/>
        </w:rPr>
        <w:lastRenderedPageBreak/>
        <w:t>National Legal Assistance Partnership</w:t>
      </w:r>
    </w:p>
    <w:p w14:paraId="506393CD"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95B5A56" w14:textId="77777777">
        <w:tc>
          <w:tcPr>
            <w:tcW w:w="2497" w:type="dxa"/>
            <w:tcBorders>
              <w:top w:val="single" w:sz="4" w:space="0" w:color="293F5B"/>
              <w:bottom w:val="single" w:sz="4" w:space="0" w:color="293F5B"/>
            </w:tcBorders>
            <w:shd w:val="clear" w:color="auto" w:fill="auto"/>
          </w:tcPr>
          <w:p w14:paraId="172A059A"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225AE86"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AA532C1"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E98FB6A"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DF20186"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83160CC" w14:textId="77777777" w:rsidR="0012790E" w:rsidRPr="001C06E6" w:rsidRDefault="0012790E">
            <w:pPr>
              <w:pStyle w:val="MeasureTableYearHeadings"/>
              <w:keepNext/>
            </w:pPr>
            <w:r w:rsidRPr="001C06E6">
              <w:t>2027</w:t>
            </w:r>
            <w:r>
              <w:noBreakHyphen/>
            </w:r>
            <w:r w:rsidRPr="001C06E6">
              <w:t>28</w:t>
            </w:r>
          </w:p>
        </w:tc>
      </w:tr>
      <w:tr w:rsidR="0012790E" w:rsidRPr="001C06E6" w14:paraId="09658078" w14:textId="77777777">
        <w:tc>
          <w:tcPr>
            <w:tcW w:w="2497" w:type="dxa"/>
            <w:tcBorders>
              <w:top w:val="single" w:sz="4" w:space="0" w:color="293F5B"/>
              <w:bottom w:val="single" w:sz="4" w:space="0" w:color="293F5B"/>
            </w:tcBorders>
            <w:shd w:val="clear" w:color="auto" w:fill="auto"/>
          </w:tcPr>
          <w:p w14:paraId="30A5621F"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53B200A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ED0B646" w14:textId="77777777" w:rsidR="0012790E" w:rsidRPr="001C06E6" w:rsidRDefault="0012790E">
            <w:pPr>
              <w:pStyle w:val="MeasureTableDataRightAlignedwith2ptsspacing"/>
              <w:keepNext/>
            </w:pPr>
            <w:r w:rsidRPr="001C06E6">
              <w:t>35.5</w:t>
            </w:r>
          </w:p>
        </w:tc>
        <w:tc>
          <w:tcPr>
            <w:tcW w:w="1045" w:type="dxa"/>
            <w:tcBorders>
              <w:top w:val="single" w:sz="4" w:space="0" w:color="293F5B"/>
              <w:bottom w:val="single" w:sz="4" w:space="0" w:color="293F5B"/>
            </w:tcBorders>
            <w:shd w:val="clear" w:color="auto" w:fill="auto"/>
          </w:tcPr>
          <w:p w14:paraId="57ED9BE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183E71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C44E081" w14:textId="77777777" w:rsidR="0012790E" w:rsidRPr="001C06E6" w:rsidRDefault="0012790E">
            <w:pPr>
              <w:pStyle w:val="MeasureTableDataRightAlignedwith2ptsspacing"/>
              <w:keepNext/>
            </w:pPr>
            <w:r w:rsidRPr="001C06E6">
              <w:t>-</w:t>
            </w:r>
          </w:p>
        </w:tc>
      </w:tr>
      <w:tr w:rsidR="0012790E" w:rsidRPr="001C06E6" w14:paraId="5CF280AC" w14:textId="77777777">
        <w:tc>
          <w:tcPr>
            <w:tcW w:w="2497" w:type="dxa"/>
            <w:tcBorders>
              <w:top w:val="single" w:sz="4" w:space="0" w:color="293F5B"/>
              <w:bottom w:val="single" w:sz="4" w:space="0" w:color="293F5B"/>
            </w:tcBorders>
            <w:shd w:val="clear" w:color="auto" w:fill="auto"/>
          </w:tcPr>
          <w:p w14:paraId="15FE39A3" w14:textId="77777777" w:rsidR="0012790E" w:rsidRPr="001C06E6" w:rsidRDefault="0012790E">
            <w:pPr>
              <w:pStyle w:val="MeasureTableHeadingleftalignedwith2ptsspacing"/>
              <w:keepNext/>
            </w:pPr>
            <w:r>
              <w:t xml:space="preserve">National Indigenous Australians Agency </w:t>
            </w:r>
          </w:p>
        </w:tc>
        <w:tc>
          <w:tcPr>
            <w:tcW w:w="1045" w:type="dxa"/>
            <w:tcBorders>
              <w:top w:val="single" w:sz="4" w:space="0" w:color="293F5B"/>
              <w:bottom w:val="single" w:sz="4" w:space="0" w:color="293F5B"/>
            </w:tcBorders>
            <w:shd w:val="clear" w:color="auto" w:fill="auto"/>
          </w:tcPr>
          <w:p w14:paraId="54F5E4F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85E1E96" w14:textId="77777777" w:rsidR="0012790E" w:rsidRPr="001C06E6" w:rsidRDefault="0012790E">
            <w:pPr>
              <w:pStyle w:val="MeasureTableDataRightAlignedwith2ptsspacing"/>
              <w:keepNext/>
            </w:pPr>
            <w:r>
              <w:t xml:space="preserve">8.6 </w:t>
            </w:r>
          </w:p>
        </w:tc>
        <w:tc>
          <w:tcPr>
            <w:tcW w:w="1045" w:type="dxa"/>
            <w:tcBorders>
              <w:top w:val="single" w:sz="4" w:space="0" w:color="293F5B"/>
              <w:bottom w:val="single" w:sz="4" w:space="0" w:color="293F5B"/>
            </w:tcBorders>
            <w:shd w:val="clear" w:color="auto" w:fill="auto"/>
          </w:tcPr>
          <w:p w14:paraId="4DC8638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B9F998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4D07A59" w14:textId="77777777" w:rsidR="0012790E" w:rsidRPr="001C06E6" w:rsidRDefault="0012790E">
            <w:pPr>
              <w:pStyle w:val="MeasureTableDataRightAlignedwith2ptsspacing"/>
              <w:keepNext/>
            </w:pPr>
            <w:r>
              <w:t xml:space="preserve">- </w:t>
            </w:r>
          </w:p>
        </w:tc>
      </w:tr>
      <w:tr w:rsidR="0012790E" w:rsidRPr="001C06E6" w14:paraId="14C6ECA2" w14:textId="77777777">
        <w:tc>
          <w:tcPr>
            <w:tcW w:w="2497" w:type="dxa"/>
            <w:tcBorders>
              <w:top w:val="single" w:sz="4" w:space="0" w:color="293F5B"/>
              <w:bottom w:val="single" w:sz="4" w:space="0" w:color="293F5B"/>
            </w:tcBorders>
            <w:shd w:val="clear" w:color="auto" w:fill="auto"/>
          </w:tcPr>
          <w:p w14:paraId="5E3F263E"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37AAF79C"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4E9E268" w14:textId="77777777" w:rsidR="0012790E" w:rsidRPr="001C06E6" w:rsidRDefault="0012790E">
            <w:pPr>
              <w:pStyle w:val="Totaldatarowrightaligned"/>
              <w:keepNext/>
            </w:pPr>
            <w:r w:rsidRPr="001C06E6">
              <w:t>44.1</w:t>
            </w:r>
          </w:p>
        </w:tc>
        <w:tc>
          <w:tcPr>
            <w:tcW w:w="1045" w:type="dxa"/>
            <w:tcBorders>
              <w:top w:val="single" w:sz="4" w:space="0" w:color="293F5B"/>
              <w:bottom w:val="single" w:sz="4" w:space="0" w:color="293F5B"/>
            </w:tcBorders>
            <w:shd w:val="clear" w:color="auto" w:fill="auto"/>
          </w:tcPr>
          <w:p w14:paraId="0B9F753E"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7F618D9B"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C827B74" w14:textId="77777777" w:rsidR="0012790E" w:rsidRPr="001C06E6" w:rsidRDefault="0012790E">
            <w:pPr>
              <w:pStyle w:val="Totaldatarowrightaligned"/>
              <w:keepNext/>
            </w:pPr>
            <w:r w:rsidRPr="001C06E6">
              <w:t>-</w:t>
            </w:r>
          </w:p>
        </w:tc>
      </w:tr>
    </w:tbl>
    <w:p w14:paraId="2E70AE03"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33D0748B" w14:textId="6A2A4B14" w:rsidR="0012790E" w:rsidRDefault="0012790E" w:rsidP="54937204">
      <w:pPr>
        <w:pStyle w:val="Normal2"/>
        <w:rPr>
          <w:rFonts w:cs="Book Antiqua"/>
          <w:lang w:val="en-US"/>
        </w:rPr>
      </w:pPr>
      <w:r w:rsidRPr="54937204">
        <w:rPr>
          <w:rFonts w:cs="Book Antiqua"/>
          <w:lang w:val="en-US"/>
        </w:rPr>
        <w:t>The Government will provide additional funding of $44.1 million in 2024–25 to support the</w:t>
      </w:r>
      <w:r w:rsidR="00E00F9E">
        <w:rPr>
          <w:rFonts w:cs="Book Antiqua"/>
          <w:lang w:val="en-US"/>
        </w:rPr>
        <w:t> </w:t>
      </w:r>
      <w:r w:rsidRPr="54937204">
        <w:rPr>
          <w:rFonts w:cs="Book Antiqua"/>
          <w:lang w:val="en-US"/>
        </w:rPr>
        <w:t>National Legal Assistance Partnership and Family Violence Prevention Legal Services, including one</w:t>
      </w:r>
      <w:r>
        <w:rPr>
          <w:rFonts w:cs="Book Antiqua"/>
        </w:rPr>
        <w:noBreakHyphen/>
      </w:r>
      <w:r w:rsidRPr="54937204">
        <w:rPr>
          <w:rFonts w:cs="Book Antiqua"/>
          <w:lang w:val="en-US"/>
        </w:rPr>
        <w:t xml:space="preserve">year indexation supplementation to the funding for Legal Aid Commissions, Community Legal Centres and Aboriginal and Torres Strait Islander Legal Services, and additional funding to reduce community legal sector pay disparity. </w:t>
      </w:r>
    </w:p>
    <w:p w14:paraId="5F13CEF6" w14:textId="77777777" w:rsidR="0012790E" w:rsidRDefault="0012790E">
      <w:pPr>
        <w:pStyle w:val="Normal2"/>
        <w:rPr>
          <w:rFonts w:cs="Book Antiqua"/>
        </w:rPr>
      </w:pPr>
      <w:r w:rsidRPr="001C06E6">
        <w:rPr>
          <w:rFonts w:cs="Book Antiqua"/>
        </w:rPr>
        <w:t>The Treasury manages Commonwealth payments to the states and territories.</w:t>
      </w:r>
      <w:r>
        <w:rPr>
          <w:rFonts w:cs="Book Antiqua"/>
        </w:rPr>
        <w:t xml:space="preserve"> </w:t>
      </w:r>
    </w:p>
    <w:p w14:paraId="15F7A4BD" w14:textId="77777777" w:rsidR="0012790E" w:rsidRDefault="0012790E">
      <w:pPr>
        <w:pStyle w:val="Normal2"/>
        <w:rPr>
          <w:rFonts w:cs="Book Antiqua"/>
        </w:rPr>
      </w:pPr>
      <w:r w:rsidRPr="001C06E6">
        <w:rPr>
          <w:rFonts w:cs="Book Antiqua"/>
        </w:rPr>
        <w:t xml:space="preserve">This measure supports the implementation of the </w:t>
      </w:r>
      <w:r w:rsidRPr="001C06E6">
        <w:rPr>
          <w:rFonts w:cs="Book Antiqua"/>
          <w:i/>
          <w:iCs/>
        </w:rPr>
        <w:t>National Plan to End Violence</w:t>
      </w:r>
      <w:r>
        <w:rPr>
          <w:rFonts w:cs="Book Antiqua"/>
          <w:i/>
          <w:iCs/>
        </w:rPr>
        <w:t xml:space="preserve"> </w:t>
      </w:r>
      <w:r w:rsidRPr="001C06E6">
        <w:rPr>
          <w:rFonts w:cs="Book Antiqua"/>
          <w:i/>
          <w:iCs/>
        </w:rPr>
        <w:t xml:space="preserve">Against Women and Children </w:t>
      </w:r>
      <w:r>
        <w:rPr>
          <w:rFonts w:cs="Book Antiqua"/>
          <w:i/>
          <w:iCs/>
        </w:rPr>
        <w:t>2022–32</w:t>
      </w:r>
      <w:r w:rsidRPr="001C06E6">
        <w:rPr>
          <w:rFonts w:cs="Book Antiqua"/>
        </w:rPr>
        <w:t>.</w:t>
      </w:r>
      <w:r>
        <w:rPr>
          <w:rFonts w:cs="Book Antiqua"/>
        </w:rPr>
        <w:t xml:space="preserve"> </w:t>
      </w:r>
    </w:p>
    <w:p w14:paraId="58779351" w14:textId="77777777" w:rsidR="0012790E" w:rsidRPr="001C06E6" w:rsidRDefault="0012790E">
      <w:pPr>
        <w:pStyle w:val="MeasureTitle"/>
        <w:rPr>
          <w:b w:val="0"/>
          <w:bCs/>
        </w:rPr>
      </w:pPr>
      <w:r w:rsidRPr="001C06E6">
        <w:rPr>
          <w:bCs/>
        </w:rPr>
        <w:t>Policing Engagement and Training</w:t>
      </w:r>
    </w:p>
    <w:p w14:paraId="7E5B6E27"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64212A6" w14:textId="77777777">
        <w:tc>
          <w:tcPr>
            <w:tcW w:w="2497" w:type="dxa"/>
            <w:tcBorders>
              <w:top w:val="single" w:sz="4" w:space="0" w:color="293F5B"/>
              <w:bottom w:val="single" w:sz="4" w:space="0" w:color="293F5B"/>
            </w:tcBorders>
            <w:shd w:val="clear" w:color="auto" w:fill="auto"/>
          </w:tcPr>
          <w:p w14:paraId="149DC54F"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3A713FC"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BB66B6F"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04466B3"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B24D804"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F7FD604" w14:textId="77777777" w:rsidR="0012790E" w:rsidRPr="001C06E6" w:rsidRDefault="0012790E">
            <w:pPr>
              <w:pStyle w:val="MeasureTableYearHeadings"/>
              <w:keepNext/>
            </w:pPr>
            <w:r w:rsidRPr="001C06E6">
              <w:t>2027</w:t>
            </w:r>
            <w:r>
              <w:noBreakHyphen/>
            </w:r>
            <w:r w:rsidRPr="001C06E6">
              <w:t>28</w:t>
            </w:r>
          </w:p>
        </w:tc>
      </w:tr>
      <w:tr w:rsidR="0012790E" w:rsidRPr="001C06E6" w14:paraId="5395EBCA" w14:textId="77777777">
        <w:tc>
          <w:tcPr>
            <w:tcW w:w="2497" w:type="dxa"/>
            <w:tcBorders>
              <w:top w:val="single" w:sz="4" w:space="0" w:color="293F5B"/>
              <w:bottom w:val="single" w:sz="4" w:space="0" w:color="293F5B"/>
            </w:tcBorders>
            <w:shd w:val="clear" w:color="auto" w:fill="auto"/>
          </w:tcPr>
          <w:p w14:paraId="1FD230D1" w14:textId="77777777" w:rsidR="0012790E" w:rsidRPr="001C06E6" w:rsidRDefault="0012790E">
            <w:pPr>
              <w:pStyle w:val="MeasureTableHeadingleftalignedwith2ptsspacing"/>
              <w:keepNext/>
            </w:pPr>
            <w:r w:rsidRPr="001C06E6">
              <w:t>Department of Defence</w:t>
            </w:r>
          </w:p>
        </w:tc>
        <w:tc>
          <w:tcPr>
            <w:tcW w:w="1045" w:type="dxa"/>
            <w:tcBorders>
              <w:top w:val="single" w:sz="4" w:space="0" w:color="293F5B"/>
              <w:bottom w:val="single" w:sz="4" w:space="0" w:color="293F5B"/>
            </w:tcBorders>
            <w:shd w:val="clear" w:color="auto" w:fill="auto"/>
          </w:tcPr>
          <w:p w14:paraId="5DA7727A" w14:textId="672D322F" w:rsidR="0012790E" w:rsidRPr="001C06E6" w:rsidRDefault="007B5476">
            <w:pPr>
              <w:pStyle w:val="MeasureTableDataRightAlignedwith2ptsspacing"/>
              <w:keepNext/>
            </w:pPr>
            <w:r>
              <w:t>nfp</w:t>
            </w:r>
          </w:p>
        </w:tc>
        <w:tc>
          <w:tcPr>
            <w:tcW w:w="1045" w:type="dxa"/>
            <w:tcBorders>
              <w:top w:val="single" w:sz="4" w:space="0" w:color="293F5B"/>
              <w:bottom w:val="single" w:sz="4" w:space="0" w:color="293F5B"/>
            </w:tcBorders>
            <w:shd w:val="clear" w:color="auto" w:fill="auto"/>
          </w:tcPr>
          <w:p w14:paraId="7BDFA721"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4E1BA402"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156FC6DB"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7C2C8923" w14:textId="77777777" w:rsidR="0012790E" w:rsidRPr="001C06E6" w:rsidRDefault="0012790E">
            <w:pPr>
              <w:pStyle w:val="MeasureTableDataRightAlignedwith2ptsspacing"/>
              <w:keepNext/>
            </w:pPr>
            <w:r w:rsidRPr="001C06E6">
              <w:t>nfp</w:t>
            </w:r>
          </w:p>
        </w:tc>
      </w:tr>
      <w:tr w:rsidR="0012790E" w:rsidRPr="001C06E6" w14:paraId="2A51439A" w14:textId="77777777">
        <w:tc>
          <w:tcPr>
            <w:tcW w:w="2497" w:type="dxa"/>
            <w:tcBorders>
              <w:top w:val="single" w:sz="4" w:space="0" w:color="293F5B"/>
              <w:bottom w:val="single" w:sz="4" w:space="0" w:color="293F5B"/>
            </w:tcBorders>
            <w:shd w:val="clear" w:color="auto" w:fill="auto"/>
          </w:tcPr>
          <w:p w14:paraId="398389C3" w14:textId="77777777" w:rsidR="0012790E" w:rsidRPr="001C06E6" w:rsidRDefault="0012790E">
            <w:pPr>
              <w:pStyle w:val="MeasureTableHeadingleftalignedwith2ptsspacing"/>
              <w:keepNext/>
            </w:pPr>
            <w:r w:rsidRPr="001C06E6">
              <w:t>Australian Federal Police</w:t>
            </w:r>
          </w:p>
        </w:tc>
        <w:tc>
          <w:tcPr>
            <w:tcW w:w="1045" w:type="dxa"/>
            <w:tcBorders>
              <w:top w:val="single" w:sz="4" w:space="0" w:color="293F5B"/>
              <w:bottom w:val="single" w:sz="4" w:space="0" w:color="293F5B"/>
            </w:tcBorders>
            <w:shd w:val="clear" w:color="auto" w:fill="auto"/>
          </w:tcPr>
          <w:p w14:paraId="0648CE77" w14:textId="4BEB191A" w:rsidR="0012790E" w:rsidRPr="001C06E6" w:rsidRDefault="007B5476">
            <w:pPr>
              <w:pStyle w:val="MeasureTableDataRightAlignedwith2ptsspacing"/>
              <w:keepNext/>
            </w:pPr>
            <w:r>
              <w:t>nfp</w:t>
            </w:r>
          </w:p>
        </w:tc>
        <w:tc>
          <w:tcPr>
            <w:tcW w:w="1045" w:type="dxa"/>
            <w:tcBorders>
              <w:top w:val="single" w:sz="4" w:space="0" w:color="293F5B"/>
              <w:bottom w:val="single" w:sz="4" w:space="0" w:color="293F5B"/>
            </w:tcBorders>
            <w:shd w:val="clear" w:color="auto" w:fill="auto"/>
          </w:tcPr>
          <w:p w14:paraId="32256FCB"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613E79F0"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34D8D90F"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7E0BEB5D" w14:textId="77777777" w:rsidR="0012790E" w:rsidRPr="001C06E6" w:rsidRDefault="0012790E">
            <w:pPr>
              <w:pStyle w:val="MeasureTableDataRightAlignedwith2ptsspacing"/>
              <w:keepNext/>
            </w:pPr>
            <w:r w:rsidRPr="001C06E6">
              <w:t>nfp</w:t>
            </w:r>
          </w:p>
        </w:tc>
      </w:tr>
      <w:tr w:rsidR="0012790E" w:rsidRPr="001C06E6" w14:paraId="5A8E1F34" w14:textId="77777777">
        <w:tc>
          <w:tcPr>
            <w:tcW w:w="2497" w:type="dxa"/>
            <w:tcBorders>
              <w:top w:val="single" w:sz="4" w:space="0" w:color="293F5B"/>
              <w:bottom w:val="single" w:sz="4" w:space="0" w:color="293F5B"/>
            </w:tcBorders>
            <w:shd w:val="clear" w:color="auto" w:fill="auto"/>
          </w:tcPr>
          <w:p w14:paraId="0A9B2551"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7CF35B01" w14:textId="289C7424" w:rsidR="0012790E" w:rsidRPr="001C06E6" w:rsidRDefault="001D69DC" w:rsidP="001D69DC">
            <w:pPr>
              <w:pStyle w:val="Totaldatarowrightaligned"/>
              <w:keepNext/>
            </w:pPr>
            <w:r>
              <w:t>-</w:t>
            </w:r>
          </w:p>
        </w:tc>
        <w:tc>
          <w:tcPr>
            <w:tcW w:w="1045" w:type="dxa"/>
            <w:tcBorders>
              <w:top w:val="single" w:sz="4" w:space="0" w:color="293F5B"/>
              <w:bottom w:val="single" w:sz="4" w:space="0" w:color="293F5B"/>
            </w:tcBorders>
            <w:shd w:val="clear" w:color="auto" w:fill="auto"/>
          </w:tcPr>
          <w:p w14:paraId="1EF7399D" w14:textId="2725FFB4" w:rsidR="0012790E" w:rsidRPr="001C06E6" w:rsidRDefault="001D69DC" w:rsidP="001D69DC">
            <w:pPr>
              <w:pStyle w:val="Totaldatarowrightaligned"/>
              <w:keepNext/>
            </w:pPr>
            <w:r>
              <w:t>-</w:t>
            </w:r>
          </w:p>
        </w:tc>
        <w:tc>
          <w:tcPr>
            <w:tcW w:w="1045" w:type="dxa"/>
            <w:tcBorders>
              <w:top w:val="single" w:sz="4" w:space="0" w:color="293F5B"/>
              <w:bottom w:val="single" w:sz="4" w:space="0" w:color="293F5B"/>
            </w:tcBorders>
            <w:shd w:val="clear" w:color="auto" w:fill="auto"/>
          </w:tcPr>
          <w:p w14:paraId="0D6A0671" w14:textId="21A58676" w:rsidR="0012790E" w:rsidRPr="001C06E6" w:rsidRDefault="001D69DC" w:rsidP="001D69DC">
            <w:pPr>
              <w:pStyle w:val="Totaldatarowrightaligned"/>
              <w:keepNext/>
            </w:pPr>
            <w:r>
              <w:t>-</w:t>
            </w:r>
          </w:p>
        </w:tc>
        <w:tc>
          <w:tcPr>
            <w:tcW w:w="1045" w:type="dxa"/>
            <w:tcBorders>
              <w:top w:val="single" w:sz="4" w:space="0" w:color="293F5B"/>
              <w:bottom w:val="single" w:sz="4" w:space="0" w:color="293F5B"/>
            </w:tcBorders>
            <w:shd w:val="clear" w:color="auto" w:fill="auto"/>
          </w:tcPr>
          <w:p w14:paraId="3785DEB0" w14:textId="3BA14DA9" w:rsidR="0012790E" w:rsidRPr="001C06E6" w:rsidRDefault="001D69DC" w:rsidP="001D69DC">
            <w:pPr>
              <w:pStyle w:val="Totaldatarowrightaligned"/>
              <w:keepNext/>
            </w:pPr>
            <w:r>
              <w:t>-</w:t>
            </w:r>
          </w:p>
        </w:tc>
        <w:tc>
          <w:tcPr>
            <w:tcW w:w="1045" w:type="dxa"/>
            <w:tcBorders>
              <w:top w:val="single" w:sz="4" w:space="0" w:color="293F5B"/>
              <w:bottom w:val="single" w:sz="4" w:space="0" w:color="293F5B"/>
            </w:tcBorders>
            <w:shd w:val="clear" w:color="auto" w:fill="auto"/>
          </w:tcPr>
          <w:p w14:paraId="25BCE446" w14:textId="1261E7C6" w:rsidR="0012790E" w:rsidRPr="001C06E6" w:rsidRDefault="001D69DC" w:rsidP="001D69DC">
            <w:pPr>
              <w:pStyle w:val="Totaldatarowrightaligned"/>
              <w:keepNext/>
            </w:pPr>
            <w:r>
              <w:t>-</w:t>
            </w:r>
          </w:p>
        </w:tc>
      </w:tr>
    </w:tbl>
    <w:p w14:paraId="194FFC90"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2C98DEA8" w14:textId="3ABA5445" w:rsidR="0012790E" w:rsidRDefault="0012790E" w:rsidP="54937204">
      <w:pPr>
        <w:pStyle w:val="Normal2"/>
        <w:rPr>
          <w:rFonts w:cs="Book Antiqua"/>
          <w:lang w:val="en-US"/>
        </w:rPr>
      </w:pPr>
      <w:r w:rsidRPr="54937204">
        <w:rPr>
          <w:rFonts w:cs="Book Antiqua"/>
          <w:lang w:val="en-US"/>
        </w:rPr>
        <w:t xml:space="preserve">The Government will provide additional funding for police engagement and training, including modification of the Centre for National Resilience Brisbane at Pinkenba, to support the development, coordination and delivery of training. </w:t>
      </w:r>
    </w:p>
    <w:p w14:paraId="7FA28B4D" w14:textId="02D156EE" w:rsidR="0012790E" w:rsidRDefault="0012790E" w:rsidP="54937204">
      <w:pPr>
        <w:pStyle w:val="Normal2"/>
        <w:rPr>
          <w:rFonts w:cs="Book Antiqua"/>
          <w:lang w:val="en-US"/>
        </w:rPr>
      </w:pPr>
      <w:r w:rsidRPr="54937204">
        <w:rPr>
          <w:rFonts w:cs="Book Antiqua"/>
          <w:lang w:val="en-US"/>
        </w:rPr>
        <w:t xml:space="preserve">The cost of this measure will be partially met by redirecting existing resourcing from the Department of Defence for maintenance of the Centre for National Resilience Brisbane, provided under the measure </w:t>
      </w:r>
      <w:r w:rsidRPr="54937204">
        <w:rPr>
          <w:rFonts w:cs="Book Antiqua"/>
          <w:i/>
          <w:iCs/>
          <w:lang w:val="en-US"/>
        </w:rPr>
        <w:t>Purpose</w:t>
      </w:r>
      <w:r>
        <w:rPr>
          <w:rFonts w:cs="Book Antiqua"/>
          <w:i/>
          <w:iCs/>
        </w:rPr>
        <w:noBreakHyphen/>
      </w:r>
      <w:r w:rsidRPr="54937204">
        <w:rPr>
          <w:rFonts w:cs="Book Antiqua"/>
          <w:i/>
          <w:iCs/>
          <w:lang w:val="en-US"/>
        </w:rPr>
        <w:t xml:space="preserve">Built Quarantine Facilities – maintenance </w:t>
      </w:r>
      <w:r w:rsidRPr="54937204">
        <w:rPr>
          <w:rFonts w:cs="Book Antiqua"/>
          <w:lang w:val="en-US"/>
        </w:rPr>
        <w:t xml:space="preserve">in the </w:t>
      </w:r>
      <w:r w:rsidR="009171BA">
        <w:rPr>
          <w:rFonts w:cs="Book Antiqua"/>
          <w:lang w:val="en-US"/>
        </w:rPr>
        <w:br/>
      </w:r>
      <w:r w:rsidRPr="54937204">
        <w:rPr>
          <w:rFonts w:cs="Book Antiqua"/>
          <w:lang w:val="en-US"/>
        </w:rPr>
        <w:t>2022–23</w:t>
      </w:r>
      <w:r w:rsidR="009171BA">
        <w:rPr>
          <w:rFonts w:cs="Book Antiqua"/>
          <w:lang w:val="en-US"/>
        </w:rPr>
        <w:t> </w:t>
      </w:r>
      <w:r w:rsidRPr="54937204">
        <w:rPr>
          <w:rFonts w:cs="Book Antiqua"/>
          <w:lang w:val="en-US"/>
        </w:rPr>
        <w:t xml:space="preserve">October Budget. </w:t>
      </w:r>
    </w:p>
    <w:p w14:paraId="19C6F2A0" w14:textId="77777777" w:rsidR="0012790E" w:rsidRDefault="0012790E" w:rsidP="54937204">
      <w:pPr>
        <w:pStyle w:val="Normal2"/>
        <w:rPr>
          <w:rFonts w:cs="Book Antiqua"/>
          <w:lang w:val="en-US"/>
        </w:rPr>
      </w:pPr>
      <w:r w:rsidRPr="54937204">
        <w:rPr>
          <w:rFonts w:cs="Book Antiqua"/>
          <w:lang w:val="en-US"/>
        </w:rPr>
        <w:t xml:space="preserve">The financial implications are not for publication (nfp) as disclosure of funding would impair the Commonwealth’s position in negotiating contracts with industry. </w:t>
      </w:r>
    </w:p>
    <w:p w14:paraId="00569C1A" w14:textId="77777777" w:rsidR="0012790E" w:rsidRDefault="0012790E">
      <w:pPr>
        <w:pStyle w:val="PortfolioName"/>
        <w:rPr>
          <w:bCs/>
          <w:szCs w:val="26"/>
        </w:rPr>
        <w:sectPr w:rsidR="0012790E" w:rsidSect="00EA5BFE">
          <w:pgSz w:w="11905" w:h="16837"/>
          <w:pgMar w:top="2835" w:right="2098" w:bottom="2466" w:left="2098" w:header="1814" w:footer="1814" w:gutter="0"/>
          <w:cols w:space="720"/>
          <w:noEndnote/>
          <w:docGrid w:linePitch="272"/>
        </w:sectPr>
      </w:pPr>
    </w:p>
    <w:p w14:paraId="15AF38DC" w14:textId="77777777" w:rsidR="0012790E" w:rsidRPr="001C06E6" w:rsidRDefault="0012790E">
      <w:pPr>
        <w:pStyle w:val="PortfolioName"/>
      </w:pPr>
      <w:r w:rsidRPr="001C06E6">
        <w:rPr>
          <w:bCs/>
          <w:szCs w:val="26"/>
        </w:rPr>
        <w:lastRenderedPageBreak/>
        <w:t>Climate Change, Energy, the Environment and Water</w:t>
      </w:r>
    </w:p>
    <w:p w14:paraId="7E25183A" w14:textId="77777777" w:rsidR="0012790E" w:rsidRPr="001C06E6" w:rsidRDefault="0012790E">
      <w:pPr>
        <w:pStyle w:val="MeasureTitle"/>
      </w:pPr>
      <w:r w:rsidRPr="001C06E6">
        <w:rPr>
          <w:bCs/>
        </w:rPr>
        <w:t>Australia's International Climate Change Engagement</w:t>
      </w:r>
    </w:p>
    <w:p w14:paraId="701F5C24"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40B2A41F" w14:textId="77777777">
        <w:tc>
          <w:tcPr>
            <w:tcW w:w="2497" w:type="dxa"/>
            <w:tcBorders>
              <w:top w:val="single" w:sz="4" w:space="0" w:color="293F5B"/>
              <w:bottom w:val="single" w:sz="4" w:space="0" w:color="293F5B"/>
            </w:tcBorders>
            <w:shd w:val="clear" w:color="auto" w:fill="auto"/>
          </w:tcPr>
          <w:p w14:paraId="7E1EB2DB"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AC07D68"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597F6BE"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1E1A984"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9312CA1"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E8A0A1B" w14:textId="77777777" w:rsidR="0012790E" w:rsidRPr="001C06E6" w:rsidRDefault="0012790E">
            <w:pPr>
              <w:pStyle w:val="MeasureTableYearHeadings"/>
              <w:keepNext/>
            </w:pPr>
            <w:r w:rsidRPr="001C06E6">
              <w:t>2027</w:t>
            </w:r>
            <w:r>
              <w:noBreakHyphen/>
            </w:r>
            <w:r w:rsidRPr="001C06E6">
              <w:t>28</w:t>
            </w:r>
          </w:p>
        </w:tc>
      </w:tr>
      <w:tr w:rsidR="0012790E" w:rsidRPr="001C06E6" w14:paraId="0FCDD6D5" w14:textId="77777777">
        <w:tc>
          <w:tcPr>
            <w:tcW w:w="2497" w:type="dxa"/>
            <w:tcBorders>
              <w:top w:val="single" w:sz="4" w:space="0" w:color="293F5B"/>
              <w:bottom w:val="single" w:sz="4" w:space="0" w:color="293F5B"/>
            </w:tcBorders>
            <w:shd w:val="clear" w:color="auto" w:fill="auto"/>
          </w:tcPr>
          <w:p w14:paraId="204F0BE9" w14:textId="77777777" w:rsidR="0012790E" w:rsidRPr="001C06E6" w:rsidRDefault="0012790E">
            <w:pPr>
              <w:pStyle w:val="MeasureTableHeadingleftalignedwith2ptsspacing"/>
              <w:keepNext/>
            </w:pPr>
            <w:r>
              <w:t xml:space="preserve">Department of Foreign Affairs and Trade </w:t>
            </w:r>
          </w:p>
        </w:tc>
        <w:tc>
          <w:tcPr>
            <w:tcW w:w="1045" w:type="dxa"/>
            <w:tcBorders>
              <w:top w:val="single" w:sz="4" w:space="0" w:color="293F5B"/>
              <w:bottom w:val="single" w:sz="4" w:space="0" w:color="293F5B"/>
            </w:tcBorders>
            <w:shd w:val="clear" w:color="auto" w:fill="auto"/>
          </w:tcPr>
          <w:p w14:paraId="1388AA8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D0308C8" w14:textId="77777777" w:rsidR="0012790E" w:rsidRPr="001C06E6" w:rsidRDefault="0012790E">
            <w:pPr>
              <w:pStyle w:val="MeasureTableDataRightAlignedwith2ptsspacing"/>
              <w:keepNext/>
            </w:pPr>
            <w:r>
              <w:t xml:space="preserve">4.6 </w:t>
            </w:r>
          </w:p>
        </w:tc>
        <w:tc>
          <w:tcPr>
            <w:tcW w:w="1045" w:type="dxa"/>
            <w:tcBorders>
              <w:top w:val="single" w:sz="4" w:space="0" w:color="293F5B"/>
              <w:bottom w:val="single" w:sz="4" w:space="0" w:color="293F5B"/>
            </w:tcBorders>
            <w:shd w:val="clear" w:color="auto" w:fill="auto"/>
          </w:tcPr>
          <w:p w14:paraId="7874D7A4"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581998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7EAA522" w14:textId="77777777" w:rsidR="0012790E" w:rsidRPr="001C06E6" w:rsidRDefault="0012790E">
            <w:pPr>
              <w:pStyle w:val="MeasureTableDataRightAlignedwith2ptsspacing"/>
              <w:keepNext/>
            </w:pPr>
            <w:r>
              <w:t xml:space="preserve">- </w:t>
            </w:r>
          </w:p>
        </w:tc>
      </w:tr>
      <w:tr w:rsidR="0012790E" w:rsidRPr="001C06E6" w14:paraId="1BE24EE6" w14:textId="77777777">
        <w:tc>
          <w:tcPr>
            <w:tcW w:w="2497" w:type="dxa"/>
            <w:tcBorders>
              <w:top w:val="single" w:sz="4" w:space="0" w:color="293F5B"/>
              <w:bottom w:val="single" w:sz="4" w:space="0" w:color="293F5B"/>
            </w:tcBorders>
            <w:shd w:val="clear" w:color="auto" w:fill="auto"/>
          </w:tcPr>
          <w:p w14:paraId="66B755CF"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2263DB64" w14:textId="77777777" w:rsidR="0012790E" w:rsidRPr="001C06E6" w:rsidRDefault="0012790E">
            <w:pPr>
              <w:pStyle w:val="MeasureTableDataRightAlignedwith2ptsspacing"/>
              <w:keepNext/>
            </w:pPr>
            <w:r>
              <w:t xml:space="preserve">-0.7   </w:t>
            </w:r>
          </w:p>
        </w:tc>
        <w:tc>
          <w:tcPr>
            <w:tcW w:w="1045" w:type="dxa"/>
            <w:tcBorders>
              <w:top w:val="single" w:sz="4" w:space="0" w:color="293F5B"/>
              <w:bottom w:val="single" w:sz="4" w:space="0" w:color="293F5B"/>
            </w:tcBorders>
            <w:shd w:val="clear" w:color="auto" w:fill="auto"/>
          </w:tcPr>
          <w:p w14:paraId="6BE44219" w14:textId="77777777" w:rsidR="0012790E" w:rsidRPr="001C06E6" w:rsidRDefault="0012790E">
            <w:pPr>
              <w:pStyle w:val="MeasureTableDataRightAlignedwith2ptsspacing"/>
              <w:keepNext/>
            </w:pPr>
            <w:r>
              <w:t xml:space="preserve">37.6   </w:t>
            </w:r>
          </w:p>
        </w:tc>
        <w:tc>
          <w:tcPr>
            <w:tcW w:w="1045" w:type="dxa"/>
            <w:tcBorders>
              <w:top w:val="single" w:sz="4" w:space="0" w:color="293F5B"/>
              <w:bottom w:val="single" w:sz="4" w:space="0" w:color="293F5B"/>
            </w:tcBorders>
            <w:shd w:val="clear" w:color="auto" w:fill="auto"/>
          </w:tcPr>
          <w:p w14:paraId="2EC8B0D2" w14:textId="77777777" w:rsidR="0012790E" w:rsidRPr="001C06E6" w:rsidRDefault="0012790E">
            <w:pPr>
              <w:pStyle w:val="MeasureTableDataRightAlignedwith2ptsspacing"/>
              <w:keepNext/>
            </w:pPr>
            <w:r>
              <w:t xml:space="preserve">-25.2   </w:t>
            </w:r>
          </w:p>
        </w:tc>
        <w:tc>
          <w:tcPr>
            <w:tcW w:w="1045" w:type="dxa"/>
            <w:tcBorders>
              <w:top w:val="single" w:sz="4" w:space="0" w:color="293F5B"/>
              <w:bottom w:val="single" w:sz="4" w:space="0" w:color="293F5B"/>
            </w:tcBorders>
            <w:shd w:val="clear" w:color="auto" w:fill="auto"/>
          </w:tcPr>
          <w:p w14:paraId="643425F4" w14:textId="77777777" w:rsidR="0012790E" w:rsidRPr="001C06E6" w:rsidRDefault="0012790E">
            <w:pPr>
              <w:pStyle w:val="MeasureTableDataRightAlignedwith2ptsspacing"/>
              <w:keepNext/>
            </w:pPr>
            <w:r>
              <w:t xml:space="preserve">3.0   </w:t>
            </w:r>
          </w:p>
        </w:tc>
        <w:tc>
          <w:tcPr>
            <w:tcW w:w="1045" w:type="dxa"/>
            <w:tcBorders>
              <w:top w:val="single" w:sz="4" w:space="0" w:color="293F5B"/>
              <w:bottom w:val="single" w:sz="4" w:space="0" w:color="293F5B"/>
            </w:tcBorders>
            <w:shd w:val="clear" w:color="auto" w:fill="auto"/>
          </w:tcPr>
          <w:p w14:paraId="3FA0EE49" w14:textId="77777777" w:rsidR="0012790E" w:rsidRPr="001C06E6" w:rsidRDefault="0012790E">
            <w:pPr>
              <w:pStyle w:val="MeasureTableDataRightAlignedwith2ptsspacing"/>
              <w:keepNext/>
            </w:pPr>
            <w:r>
              <w:t xml:space="preserve">-2.5   </w:t>
            </w:r>
          </w:p>
        </w:tc>
      </w:tr>
      <w:tr w:rsidR="0012790E" w:rsidRPr="001C06E6" w14:paraId="2F834DED" w14:textId="77777777">
        <w:tc>
          <w:tcPr>
            <w:tcW w:w="2497" w:type="dxa"/>
            <w:tcBorders>
              <w:top w:val="single" w:sz="4" w:space="0" w:color="293F5B"/>
              <w:bottom w:val="single" w:sz="4" w:space="0" w:color="293F5B"/>
            </w:tcBorders>
            <w:shd w:val="clear" w:color="auto" w:fill="auto"/>
          </w:tcPr>
          <w:p w14:paraId="53F98201"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25FD3FE6" w14:textId="77777777" w:rsidR="0012790E" w:rsidRPr="001C06E6" w:rsidRDefault="0012790E">
            <w:pPr>
              <w:pStyle w:val="Totaldatarowrightaligned"/>
              <w:keepNext/>
            </w:pPr>
            <w:r w:rsidRPr="001C06E6">
              <w:t>-0.7</w:t>
            </w:r>
          </w:p>
        </w:tc>
        <w:tc>
          <w:tcPr>
            <w:tcW w:w="1045" w:type="dxa"/>
            <w:tcBorders>
              <w:top w:val="single" w:sz="4" w:space="0" w:color="293F5B"/>
              <w:bottom w:val="single" w:sz="4" w:space="0" w:color="293F5B"/>
            </w:tcBorders>
            <w:shd w:val="clear" w:color="auto" w:fill="auto"/>
          </w:tcPr>
          <w:p w14:paraId="7F8924BB" w14:textId="77777777" w:rsidR="0012790E" w:rsidRPr="001C06E6" w:rsidRDefault="0012790E">
            <w:pPr>
              <w:pStyle w:val="Totaldatarowrightaligned"/>
              <w:keepNext/>
            </w:pPr>
            <w:r w:rsidRPr="001C06E6">
              <w:t>42.2</w:t>
            </w:r>
          </w:p>
        </w:tc>
        <w:tc>
          <w:tcPr>
            <w:tcW w:w="1045" w:type="dxa"/>
            <w:tcBorders>
              <w:top w:val="single" w:sz="4" w:space="0" w:color="293F5B"/>
              <w:bottom w:val="single" w:sz="4" w:space="0" w:color="293F5B"/>
            </w:tcBorders>
            <w:shd w:val="clear" w:color="auto" w:fill="auto"/>
          </w:tcPr>
          <w:p w14:paraId="4B531364" w14:textId="77777777" w:rsidR="0012790E" w:rsidRPr="001C06E6" w:rsidRDefault="0012790E">
            <w:pPr>
              <w:pStyle w:val="Totaldatarowrightaligned"/>
              <w:keepNext/>
            </w:pPr>
            <w:r w:rsidRPr="001C06E6">
              <w:t>-25.2</w:t>
            </w:r>
          </w:p>
        </w:tc>
        <w:tc>
          <w:tcPr>
            <w:tcW w:w="1045" w:type="dxa"/>
            <w:tcBorders>
              <w:top w:val="single" w:sz="4" w:space="0" w:color="293F5B"/>
              <w:bottom w:val="single" w:sz="4" w:space="0" w:color="293F5B"/>
            </w:tcBorders>
            <w:shd w:val="clear" w:color="auto" w:fill="auto"/>
          </w:tcPr>
          <w:p w14:paraId="4D1BCE1A" w14:textId="77777777" w:rsidR="0012790E" w:rsidRPr="001C06E6" w:rsidRDefault="0012790E">
            <w:pPr>
              <w:pStyle w:val="Totaldatarowrightaligned"/>
              <w:keepNext/>
            </w:pPr>
            <w:r w:rsidRPr="001C06E6">
              <w:t>3.0</w:t>
            </w:r>
          </w:p>
        </w:tc>
        <w:tc>
          <w:tcPr>
            <w:tcW w:w="1045" w:type="dxa"/>
            <w:tcBorders>
              <w:top w:val="single" w:sz="4" w:space="0" w:color="293F5B"/>
              <w:bottom w:val="single" w:sz="4" w:space="0" w:color="293F5B"/>
            </w:tcBorders>
            <w:shd w:val="clear" w:color="auto" w:fill="auto"/>
          </w:tcPr>
          <w:p w14:paraId="3EBE8F11" w14:textId="77777777" w:rsidR="0012790E" w:rsidRPr="001C06E6" w:rsidRDefault="0012790E">
            <w:pPr>
              <w:pStyle w:val="Totaldatarowrightaligned"/>
              <w:keepNext/>
            </w:pPr>
            <w:r w:rsidRPr="001C06E6">
              <w:t>-2.5</w:t>
            </w:r>
          </w:p>
        </w:tc>
      </w:tr>
    </w:tbl>
    <w:p w14:paraId="5B515344"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59F42D32" w14:textId="4B471388" w:rsidR="0012790E" w:rsidRDefault="0012790E">
      <w:pPr>
        <w:pStyle w:val="Normal2"/>
        <w:rPr>
          <w:rFonts w:cs="Book Antiqua"/>
        </w:rPr>
      </w:pPr>
      <w:r w:rsidRPr="001C06E6">
        <w:rPr>
          <w:rFonts w:cs="Book Antiqua"/>
        </w:rPr>
        <w:t>The Government will provide an additional $76.2</w:t>
      </w:r>
      <w:r>
        <w:rPr>
          <w:rFonts w:cs="Book Antiqua"/>
        </w:rPr>
        <w:t> </w:t>
      </w:r>
      <w:r w:rsidRPr="001C06E6">
        <w:rPr>
          <w:rFonts w:cs="Book Antiqua"/>
        </w:rPr>
        <w:t xml:space="preserve">million over five years from </w:t>
      </w:r>
      <w:r>
        <w:rPr>
          <w:rFonts w:cs="Book Antiqua"/>
        </w:rPr>
        <w:t xml:space="preserve">2023–24 </w:t>
      </w:r>
      <w:r w:rsidRPr="001C06E6">
        <w:rPr>
          <w:rFonts w:cs="Book Antiqua"/>
        </w:rPr>
        <w:t>(and</w:t>
      </w:r>
      <w:r w:rsidR="009171BA">
        <w:rPr>
          <w:rFonts w:cs="Book Antiqua"/>
        </w:rPr>
        <w:t> </w:t>
      </w:r>
      <w:r w:rsidRPr="001C06E6">
        <w:rPr>
          <w:rFonts w:cs="Book Antiqua"/>
        </w:rPr>
        <w:t>an additional $0.3</w:t>
      </w:r>
      <w:r>
        <w:rPr>
          <w:rFonts w:cs="Book Antiqua"/>
        </w:rPr>
        <w:t> </w:t>
      </w:r>
      <w:r w:rsidRPr="001C06E6">
        <w:rPr>
          <w:rFonts w:cs="Book Antiqua"/>
        </w:rPr>
        <w:t xml:space="preserve">million from </w:t>
      </w:r>
      <w:r>
        <w:rPr>
          <w:rFonts w:cs="Book Antiqua"/>
        </w:rPr>
        <w:t>2028–29</w:t>
      </w:r>
      <w:r w:rsidRPr="001C06E6">
        <w:rPr>
          <w:rFonts w:cs="Book Antiqua"/>
        </w:rPr>
        <w:t xml:space="preserve"> to </w:t>
      </w:r>
      <w:r>
        <w:rPr>
          <w:rFonts w:cs="Book Antiqua"/>
        </w:rPr>
        <w:t>2029–30</w:t>
      </w:r>
      <w:r w:rsidRPr="001C06E6">
        <w:rPr>
          <w:rFonts w:cs="Book Antiqua"/>
        </w:rPr>
        <w:t>) to support Australia’s</w:t>
      </w:r>
      <w:r>
        <w:rPr>
          <w:rFonts w:cs="Book Antiqua"/>
        </w:rPr>
        <w:t xml:space="preserve"> </w:t>
      </w:r>
      <w:r w:rsidRPr="001C06E6">
        <w:rPr>
          <w:rFonts w:cs="Book Antiqua"/>
        </w:rPr>
        <w:t>continued engagement in international climate change and energy transition issues,</w:t>
      </w:r>
      <w:r>
        <w:rPr>
          <w:rFonts w:cs="Book Antiqua"/>
        </w:rPr>
        <w:t xml:space="preserve"> </w:t>
      </w:r>
      <w:r w:rsidRPr="001C06E6">
        <w:rPr>
          <w:rFonts w:cs="Book Antiqua"/>
        </w:rPr>
        <w:t>including through the International Energy Agency, G20 and United Nations</w:t>
      </w:r>
      <w:r>
        <w:rPr>
          <w:rFonts w:cs="Book Antiqua"/>
        </w:rPr>
        <w:t xml:space="preserve"> </w:t>
      </w:r>
      <w:r w:rsidRPr="001C06E6">
        <w:rPr>
          <w:rFonts w:cs="Book Antiqua"/>
        </w:rPr>
        <w:t>Framework Convention on Climate Change, to bolster trade opportunities and</w:t>
      </w:r>
      <w:r>
        <w:rPr>
          <w:rFonts w:cs="Book Antiqua"/>
        </w:rPr>
        <w:t xml:space="preserve"> </w:t>
      </w:r>
      <w:r w:rsidRPr="001C06E6">
        <w:rPr>
          <w:rFonts w:cs="Book Antiqua"/>
        </w:rPr>
        <w:t>enhance security relationships with key partners, and bid to co</w:t>
      </w:r>
      <w:r>
        <w:rPr>
          <w:rFonts w:cs="Book Antiqua"/>
        </w:rPr>
        <w:noBreakHyphen/>
      </w:r>
      <w:r w:rsidRPr="001C06E6">
        <w:rPr>
          <w:rFonts w:cs="Book Antiqua"/>
        </w:rPr>
        <w:t>host the 31st</w:t>
      </w:r>
      <w:r>
        <w:rPr>
          <w:rFonts w:cs="Book Antiqua"/>
        </w:rPr>
        <w:t xml:space="preserve"> </w:t>
      </w:r>
      <w:r w:rsidRPr="001C06E6">
        <w:rPr>
          <w:rFonts w:cs="Book Antiqua"/>
        </w:rPr>
        <w:t>Conference of the Parties (COP31) in partnership with the Pacific and undertake initial</w:t>
      </w:r>
      <w:r>
        <w:rPr>
          <w:rFonts w:cs="Book Antiqua"/>
        </w:rPr>
        <w:t xml:space="preserve"> </w:t>
      </w:r>
      <w:r w:rsidRPr="001C06E6">
        <w:rPr>
          <w:rFonts w:cs="Book Antiqua"/>
        </w:rPr>
        <w:t>planning in the event of a successful bid.</w:t>
      </w:r>
      <w:r>
        <w:rPr>
          <w:rFonts w:cs="Book Antiqua"/>
        </w:rPr>
        <w:t xml:space="preserve"> </w:t>
      </w:r>
    </w:p>
    <w:p w14:paraId="0776BAAC" w14:textId="77777777" w:rsidR="0012790E" w:rsidRDefault="0012790E" w:rsidP="54937204">
      <w:pPr>
        <w:pStyle w:val="Normal2"/>
        <w:rPr>
          <w:rFonts w:cs="Book Antiqua"/>
          <w:lang w:val="en-US"/>
        </w:rPr>
      </w:pPr>
      <w:r w:rsidRPr="54937204">
        <w:rPr>
          <w:rFonts w:cs="Book Antiqua"/>
          <w:lang w:val="en-US"/>
        </w:rPr>
        <w:t xml:space="preserve">This measure will be offset by redirecting funding from savings identified in the Strategic International Partnerships Investment Stream. </w:t>
      </w:r>
    </w:p>
    <w:p w14:paraId="70E41459" w14:textId="77777777" w:rsidR="0012790E" w:rsidRPr="001C06E6" w:rsidRDefault="0012790E">
      <w:pPr>
        <w:pStyle w:val="Normal2"/>
        <w:rPr>
          <w:rFonts w:cs="Book Antiqua"/>
          <w:iCs/>
        </w:rPr>
      </w:pPr>
      <w:r w:rsidRPr="001C06E6">
        <w:rPr>
          <w:rFonts w:cs="Book Antiqua"/>
        </w:rPr>
        <w:t xml:space="preserve">This measure builds on the </w:t>
      </w:r>
      <w:r>
        <w:rPr>
          <w:rFonts w:cs="Book Antiqua"/>
        </w:rPr>
        <w:t>2022–23</w:t>
      </w:r>
      <w:r w:rsidRPr="001C06E6">
        <w:rPr>
          <w:rFonts w:cs="Book Antiqua"/>
        </w:rPr>
        <w:t xml:space="preserve"> October Budget measure titled </w:t>
      </w:r>
      <w:r w:rsidRPr="001C06E6">
        <w:rPr>
          <w:rFonts w:cs="Book Antiqua"/>
          <w:i/>
          <w:iCs/>
        </w:rPr>
        <w:t>Australia’s</w:t>
      </w:r>
      <w:r>
        <w:rPr>
          <w:rFonts w:cs="Book Antiqua"/>
          <w:i/>
          <w:iCs/>
        </w:rPr>
        <w:t xml:space="preserve"> </w:t>
      </w:r>
      <w:r w:rsidRPr="001C06E6">
        <w:rPr>
          <w:rFonts w:cs="Book Antiqua"/>
          <w:i/>
          <w:iCs/>
        </w:rPr>
        <w:t>International Climate Step</w:t>
      </w:r>
      <w:r>
        <w:rPr>
          <w:rFonts w:cs="Book Antiqua"/>
          <w:i/>
          <w:iCs/>
        </w:rPr>
        <w:noBreakHyphen/>
      </w:r>
      <w:r w:rsidRPr="001C06E6">
        <w:rPr>
          <w:rFonts w:cs="Book Antiqua"/>
          <w:i/>
          <w:iCs/>
        </w:rPr>
        <w:t>Up.</w:t>
      </w:r>
      <w:r>
        <w:rPr>
          <w:rFonts w:cs="Book Antiqua"/>
          <w:i/>
          <w:iCs/>
        </w:rPr>
        <w:t xml:space="preserve"> </w:t>
      </w:r>
    </w:p>
    <w:p w14:paraId="78ED9F8D" w14:textId="77777777" w:rsidR="0012790E" w:rsidRPr="001C06E6" w:rsidRDefault="0012790E" w:rsidP="54937204">
      <w:pPr>
        <w:pStyle w:val="MeasureTitle"/>
        <w:rPr>
          <w:b w:val="0"/>
          <w:lang w:val="en-US"/>
        </w:rPr>
      </w:pPr>
      <w:r w:rsidRPr="54937204">
        <w:rPr>
          <w:lang w:val="en-US"/>
        </w:rPr>
        <w:t>Australian Antarctic Program – additional funding</w:t>
      </w:r>
    </w:p>
    <w:p w14:paraId="4F0EE2ED"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801CB0A" w14:textId="77777777">
        <w:tc>
          <w:tcPr>
            <w:tcW w:w="2497" w:type="dxa"/>
            <w:tcBorders>
              <w:top w:val="single" w:sz="4" w:space="0" w:color="293F5B"/>
              <w:bottom w:val="single" w:sz="4" w:space="0" w:color="293F5B"/>
            </w:tcBorders>
            <w:shd w:val="clear" w:color="auto" w:fill="auto"/>
          </w:tcPr>
          <w:p w14:paraId="09247DEF"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7FFF983"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213FF91"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24402383"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B9F1728"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14826B5" w14:textId="77777777" w:rsidR="0012790E" w:rsidRPr="001C06E6" w:rsidRDefault="0012790E">
            <w:pPr>
              <w:pStyle w:val="MeasureTableYearHeadings"/>
              <w:keepNext/>
            </w:pPr>
            <w:r w:rsidRPr="001C06E6">
              <w:t>2027</w:t>
            </w:r>
            <w:r>
              <w:noBreakHyphen/>
            </w:r>
            <w:r w:rsidRPr="001C06E6">
              <w:t>28</w:t>
            </w:r>
          </w:p>
        </w:tc>
      </w:tr>
      <w:tr w:rsidR="0012790E" w:rsidRPr="001C06E6" w14:paraId="1F7E8757" w14:textId="77777777">
        <w:tc>
          <w:tcPr>
            <w:tcW w:w="2497" w:type="dxa"/>
            <w:tcBorders>
              <w:top w:val="single" w:sz="4" w:space="0" w:color="293F5B"/>
              <w:bottom w:val="single" w:sz="4" w:space="0" w:color="293F5B"/>
            </w:tcBorders>
            <w:shd w:val="clear" w:color="auto" w:fill="auto"/>
          </w:tcPr>
          <w:p w14:paraId="37D71DF1"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52A4823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C234AE6"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40FD1CC4"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4945626B"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05DD8D33" w14:textId="77777777" w:rsidR="0012790E" w:rsidRPr="001C06E6" w:rsidRDefault="0012790E">
            <w:pPr>
              <w:pStyle w:val="MeasureTableDataRightAlignedwith2ptsspacing"/>
              <w:keepNext/>
            </w:pPr>
            <w:r w:rsidRPr="001C06E6">
              <w:t>0.1</w:t>
            </w:r>
          </w:p>
        </w:tc>
      </w:tr>
      <w:tr w:rsidR="0012790E" w:rsidRPr="001C06E6" w14:paraId="54AB3E68" w14:textId="77777777">
        <w:tc>
          <w:tcPr>
            <w:tcW w:w="2497" w:type="dxa"/>
            <w:tcBorders>
              <w:top w:val="single" w:sz="4" w:space="0" w:color="293F5B"/>
              <w:bottom w:val="single" w:sz="4" w:space="0" w:color="293F5B"/>
            </w:tcBorders>
            <w:shd w:val="clear" w:color="auto" w:fill="auto"/>
          </w:tcPr>
          <w:p w14:paraId="541AD5B8"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2485C7C4"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B4D6E77" w14:textId="77777777" w:rsidR="0012790E" w:rsidRPr="001C06E6" w:rsidRDefault="0012790E">
            <w:pPr>
              <w:pStyle w:val="MeasureTableDataRightAlignedwith2ptsspacing"/>
              <w:keepNext/>
            </w:pPr>
            <w:r>
              <w:t xml:space="preserve">17.8   </w:t>
            </w:r>
          </w:p>
        </w:tc>
        <w:tc>
          <w:tcPr>
            <w:tcW w:w="1045" w:type="dxa"/>
            <w:tcBorders>
              <w:top w:val="single" w:sz="4" w:space="0" w:color="293F5B"/>
              <w:bottom w:val="single" w:sz="4" w:space="0" w:color="293F5B"/>
            </w:tcBorders>
            <w:shd w:val="clear" w:color="auto" w:fill="auto"/>
          </w:tcPr>
          <w:p w14:paraId="249390EA" w14:textId="77777777" w:rsidR="0012790E" w:rsidRPr="001C06E6" w:rsidRDefault="0012790E">
            <w:pPr>
              <w:pStyle w:val="MeasureTableDataRightAlignedwith2ptsspacing"/>
              <w:keepNext/>
            </w:pPr>
            <w:r>
              <w:t xml:space="preserve">57.4   </w:t>
            </w:r>
          </w:p>
        </w:tc>
        <w:tc>
          <w:tcPr>
            <w:tcW w:w="1045" w:type="dxa"/>
            <w:tcBorders>
              <w:top w:val="single" w:sz="4" w:space="0" w:color="293F5B"/>
              <w:bottom w:val="single" w:sz="4" w:space="0" w:color="293F5B"/>
            </w:tcBorders>
            <w:shd w:val="clear" w:color="auto" w:fill="auto"/>
          </w:tcPr>
          <w:p w14:paraId="4C2B3800" w14:textId="77777777" w:rsidR="0012790E" w:rsidRPr="001C06E6" w:rsidRDefault="0012790E">
            <w:pPr>
              <w:pStyle w:val="MeasureTableDataRightAlignedwith2ptsspacing"/>
              <w:keepNext/>
            </w:pPr>
            <w:r>
              <w:t xml:space="preserve">70.1   </w:t>
            </w:r>
          </w:p>
        </w:tc>
        <w:tc>
          <w:tcPr>
            <w:tcW w:w="1045" w:type="dxa"/>
            <w:tcBorders>
              <w:top w:val="single" w:sz="4" w:space="0" w:color="293F5B"/>
              <w:bottom w:val="single" w:sz="4" w:space="0" w:color="293F5B"/>
            </w:tcBorders>
            <w:shd w:val="clear" w:color="auto" w:fill="auto"/>
          </w:tcPr>
          <w:p w14:paraId="31102D6B" w14:textId="77777777" w:rsidR="0012790E" w:rsidRPr="001C06E6" w:rsidRDefault="0012790E">
            <w:pPr>
              <w:pStyle w:val="MeasureTableDataRightAlignedwith2ptsspacing"/>
              <w:keepNext/>
            </w:pPr>
            <w:r>
              <w:t xml:space="preserve">61.1   </w:t>
            </w:r>
          </w:p>
        </w:tc>
      </w:tr>
      <w:tr w:rsidR="0012790E" w:rsidRPr="001C06E6" w14:paraId="20E6D868" w14:textId="77777777">
        <w:tc>
          <w:tcPr>
            <w:tcW w:w="2497" w:type="dxa"/>
            <w:tcBorders>
              <w:top w:val="single" w:sz="4" w:space="0" w:color="293F5B"/>
              <w:bottom w:val="single" w:sz="4" w:space="0" w:color="293F5B"/>
            </w:tcBorders>
            <w:shd w:val="clear" w:color="auto" w:fill="auto"/>
          </w:tcPr>
          <w:p w14:paraId="48860222"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80CB0D6"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79E8DD74" w14:textId="77777777" w:rsidR="0012790E" w:rsidRPr="001C06E6" w:rsidRDefault="0012790E">
            <w:pPr>
              <w:pStyle w:val="Totaldatarowrightaligned"/>
              <w:keepNext/>
            </w:pPr>
            <w:r w:rsidRPr="001C06E6">
              <w:t>17.9</w:t>
            </w:r>
          </w:p>
        </w:tc>
        <w:tc>
          <w:tcPr>
            <w:tcW w:w="1045" w:type="dxa"/>
            <w:tcBorders>
              <w:top w:val="single" w:sz="4" w:space="0" w:color="293F5B"/>
              <w:bottom w:val="single" w:sz="4" w:space="0" w:color="293F5B"/>
            </w:tcBorders>
            <w:shd w:val="clear" w:color="auto" w:fill="auto"/>
          </w:tcPr>
          <w:p w14:paraId="75849191" w14:textId="77777777" w:rsidR="0012790E" w:rsidRPr="001C06E6" w:rsidRDefault="0012790E">
            <w:pPr>
              <w:pStyle w:val="Totaldatarowrightaligned"/>
              <w:keepNext/>
            </w:pPr>
            <w:r w:rsidRPr="001C06E6">
              <w:t>57.5</w:t>
            </w:r>
          </w:p>
        </w:tc>
        <w:tc>
          <w:tcPr>
            <w:tcW w:w="1045" w:type="dxa"/>
            <w:tcBorders>
              <w:top w:val="single" w:sz="4" w:space="0" w:color="293F5B"/>
              <w:bottom w:val="single" w:sz="4" w:space="0" w:color="293F5B"/>
            </w:tcBorders>
            <w:shd w:val="clear" w:color="auto" w:fill="auto"/>
          </w:tcPr>
          <w:p w14:paraId="79D14D33" w14:textId="77777777" w:rsidR="0012790E" w:rsidRPr="001C06E6" w:rsidRDefault="0012790E">
            <w:pPr>
              <w:pStyle w:val="Totaldatarowrightaligned"/>
              <w:keepNext/>
            </w:pPr>
            <w:r w:rsidRPr="001C06E6">
              <w:t>70.2</w:t>
            </w:r>
          </w:p>
        </w:tc>
        <w:tc>
          <w:tcPr>
            <w:tcW w:w="1045" w:type="dxa"/>
            <w:tcBorders>
              <w:top w:val="single" w:sz="4" w:space="0" w:color="293F5B"/>
              <w:bottom w:val="single" w:sz="4" w:space="0" w:color="293F5B"/>
            </w:tcBorders>
            <w:shd w:val="clear" w:color="auto" w:fill="auto"/>
          </w:tcPr>
          <w:p w14:paraId="6D8BA286" w14:textId="77777777" w:rsidR="0012790E" w:rsidRPr="001C06E6" w:rsidRDefault="0012790E">
            <w:pPr>
              <w:pStyle w:val="Totaldatarowrightaligned"/>
              <w:keepNext/>
            </w:pPr>
            <w:r w:rsidRPr="001C06E6">
              <w:t>61.2</w:t>
            </w:r>
          </w:p>
        </w:tc>
      </w:tr>
    </w:tbl>
    <w:p w14:paraId="5308CCA5"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139FBEFE" w14:textId="77777777" w:rsidR="0012790E" w:rsidRDefault="0012790E" w:rsidP="54937204">
      <w:pPr>
        <w:pStyle w:val="Normal2"/>
        <w:rPr>
          <w:rFonts w:cs="Book Antiqua"/>
          <w:lang w:val="en-US"/>
        </w:rPr>
      </w:pPr>
      <w:r w:rsidRPr="00E00F9E">
        <w:rPr>
          <w:rFonts w:cs="Book Antiqua"/>
          <w:spacing w:val="-2"/>
          <w:lang w:val="en-US"/>
        </w:rPr>
        <w:t>The Government will provide $290.5 million over five years from 2023–24 (and an additional</w:t>
      </w:r>
      <w:r w:rsidRPr="54937204">
        <w:rPr>
          <w:rFonts w:cs="Book Antiqua"/>
          <w:lang w:val="en-US"/>
        </w:rPr>
        <w:t xml:space="preserve"> $207.8 million from 2028–29 to 2032–33) to continue delivery of the Australian Antarctic Program and expand Australia’s international scientific activities. Funding includes:</w:t>
      </w:r>
    </w:p>
    <w:p w14:paraId="726EE312" w14:textId="77777777" w:rsidR="0012790E" w:rsidRDefault="0012790E">
      <w:pPr>
        <w:pStyle w:val="Bullet"/>
      </w:pPr>
      <w:r w:rsidRPr="001C06E6">
        <w:t>$163.3</w:t>
      </w:r>
      <w:r>
        <w:t> </w:t>
      </w:r>
      <w:r w:rsidRPr="001C06E6">
        <w:t xml:space="preserve">million over four years from </w:t>
      </w:r>
      <w:r>
        <w:t>2024–25</w:t>
      </w:r>
      <w:r w:rsidRPr="001C06E6">
        <w:t xml:space="preserve"> (and an additional $207.8</w:t>
      </w:r>
      <w:r>
        <w:t> </w:t>
      </w:r>
      <w:r w:rsidRPr="001C06E6">
        <w:t xml:space="preserve">million from </w:t>
      </w:r>
      <w:r>
        <w:t>2028–29</w:t>
      </w:r>
      <w:r w:rsidRPr="001C06E6">
        <w:t xml:space="preserve"> to </w:t>
      </w:r>
      <w:r>
        <w:t>2032–33</w:t>
      </w:r>
      <w:r w:rsidRPr="001C06E6">
        <w:t>) to continue critical safety works and rebuild the Macquarie Island research station to enable delivery of year</w:t>
      </w:r>
      <w:r>
        <w:noBreakHyphen/>
      </w:r>
      <w:r w:rsidRPr="001C06E6">
        <w:t>round monitoring and scientific programs</w:t>
      </w:r>
      <w:r>
        <w:t xml:space="preserve"> </w:t>
      </w:r>
    </w:p>
    <w:p w14:paraId="230A30B6" w14:textId="77777777" w:rsidR="0012790E" w:rsidRDefault="0012790E">
      <w:pPr>
        <w:pStyle w:val="Bullet"/>
      </w:pPr>
      <w:r w:rsidRPr="001C06E6">
        <w:lastRenderedPageBreak/>
        <w:t>$109.6</w:t>
      </w:r>
      <w:r>
        <w:t> </w:t>
      </w:r>
      <w:r w:rsidRPr="001C06E6">
        <w:t xml:space="preserve">million over three years from </w:t>
      </w:r>
      <w:r>
        <w:t>2023–24</w:t>
      </w:r>
      <w:r w:rsidRPr="001C06E6">
        <w:t xml:space="preserve"> to support operations of the </w:t>
      </w:r>
      <w:r w:rsidRPr="001C06E6">
        <w:rPr>
          <w:i/>
          <w:iCs/>
        </w:rPr>
        <w:t>RSV</w:t>
      </w:r>
      <w:r>
        <w:rPr>
          <w:i/>
          <w:iCs/>
        </w:rPr>
        <w:t xml:space="preserve"> </w:t>
      </w:r>
      <w:r w:rsidRPr="001C06E6">
        <w:rPr>
          <w:i/>
          <w:iCs/>
        </w:rPr>
        <w:t>Nuyina</w:t>
      </w:r>
      <w:r w:rsidRPr="001C06E6">
        <w:t>, including management of short</w:t>
      </w:r>
      <w:r>
        <w:noBreakHyphen/>
      </w:r>
      <w:r w:rsidRPr="001C06E6">
        <w:t>term shipping risks</w:t>
      </w:r>
      <w:r>
        <w:t xml:space="preserve"> </w:t>
      </w:r>
    </w:p>
    <w:p w14:paraId="58FB83AB" w14:textId="77777777" w:rsidR="0012790E" w:rsidRDefault="0012790E">
      <w:pPr>
        <w:pStyle w:val="Bullet"/>
      </w:pPr>
      <w:r w:rsidRPr="001C06E6">
        <w:t>$17.6</w:t>
      </w:r>
      <w:r>
        <w:t> </w:t>
      </w:r>
      <w:r w:rsidRPr="001C06E6">
        <w:t xml:space="preserve">million over two years from </w:t>
      </w:r>
      <w:r>
        <w:t>2024–25</w:t>
      </w:r>
      <w:r w:rsidRPr="001C06E6">
        <w:t xml:space="preserve"> to increase </w:t>
      </w:r>
      <w:r w:rsidRPr="001C06E6">
        <w:rPr>
          <w:i/>
          <w:iCs/>
        </w:rPr>
        <w:t>RSV Nuyina</w:t>
      </w:r>
      <w:r w:rsidRPr="001C06E6">
        <w:t>’s operational days at sea to support additional delivery of marine science and environmental activities.</w:t>
      </w:r>
      <w:r>
        <w:t xml:space="preserve"> </w:t>
      </w:r>
    </w:p>
    <w:p w14:paraId="43F710E3"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a reprioritisation of the </w:t>
      </w:r>
      <w:r w:rsidRPr="54937204">
        <w:rPr>
          <w:rFonts w:cs="Book Antiqua"/>
          <w:i/>
          <w:iCs/>
          <w:lang w:val="en-US"/>
        </w:rPr>
        <w:t>Macquarie Island Research Station Modernisation Project</w:t>
      </w:r>
      <w:r w:rsidRPr="54937204">
        <w:rPr>
          <w:rFonts w:cs="Book Antiqua"/>
          <w:lang w:val="en-US"/>
        </w:rPr>
        <w:t xml:space="preserve">. </w:t>
      </w:r>
    </w:p>
    <w:p w14:paraId="784F9F2A" w14:textId="77777777" w:rsidR="0012790E" w:rsidRDefault="0012790E">
      <w:pPr>
        <w:pStyle w:val="Normal2"/>
        <w:rPr>
          <w:rFonts w:cs="Book Antiqua"/>
        </w:rPr>
      </w:pPr>
      <w:r w:rsidRPr="001C06E6">
        <w:rPr>
          <w:rFonts w:cs="Book Antiqua"/>
        </w:rPr>
        <w:t>The Government has already provided partial funding for this measure.</w:t>
      </w:r>
      <w:r>
        <w:rPr>
          <w:rFonts w:cs="Book Antiqua"/>
        </w:rPr>
        <w:t xml:space="preserve"> </w:t>
      </w:r>
    </w:p>
    <w:p w14:paraId="219A1222" w14:textId="7777777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 xml:space="preserve">MYEFO measure titled </w:t>
      </w:r>
      <w:r w:rsidRPr="001C06E6">
        <w:rPr>
          <w:rFonts w:cs="Book Antiqua"/>
          <w:i/>
          <w:iCs/>
        </w:rPr>
        <w:t>Australian Antarctic</w:t>
      </w:r>
      <w:r>
        <w:rPr>
          <w:rFonts w:cs="Book Antiqua"/>
          <w:i/>
          <w:iCs/>
        </w:rPr>
        <w:t xml:space="preserve"> </w:t>
      </w:r>
      <w:r w:rsidRPr="001C06E6">
        <w:rPr>
          <w:rFonts w:cs="Book Antiqua"/>
          <w:i/>
          <w:iCs/>
        </w:rPr>
        <w:t>Program – continuing delivery</w:t>
      </w:r>
      <w:r w:rsidRPr="001C06E6">
        <w:rPr>
          <w:rFonts w:cs="Book Antiqua"/>
        </w:rPr>
        <w:t>.</w:t>
      </w:r>
      <w:r>
        <w:rPr>
          <w:rFonts w:cs="Book Antiqua"/>
        </w:rPr>
        <w:t xml:space="preserve"> </w:t>
      </w:r>
    </w:p>
    <w:p w14:paraId="2EB67034" w14:textId="77777777" w:rsidR="0012790E" w:rsidRPr="001C06E6" w:rsidRDefault="0012790E">
      <w:pPr>
        <w:pStyle w:val="MeasureTitle"/>
        <w:rPr>
          <w:b w:val="0"/>
          <w:bCs/>
        </w:rPr>
      </w:pPr>
      <w:r w:rsidRPr="001C06E6">
        <w:rPr>
          <w:bCs/>
        </w:rPr>
        <w:t>Climate Change, Energy, the Environment and Water</w:t>
      </w:r>
      <w:r>
        <w:rPr>
          <w:bCs/>
        </w:rPr>
        <w:t xml:space="preserve"> – </w:t>
      </w:r>
      <w:r w:rsidRPr="001C06E6">
        <w:rPr>
          <w:bCs/>
        </w:rPr>
        <w:t>cost recovery</w:t>
      </w:r>
      <w:r>
        <w:rPr>
          <w:bCs/>
        </w:rPr>
        <w:t xml:space="preserve"> </w:t>
      </w:r>
      <w:r w:rsidRPr="001C06E6">
        <w:rPr>
          <w:bCs/>
        </w:rPr>
        <w:t>arrangements</w:t>
      </w:r>
    </w:p>
    <w:p w14:paraId="27FB4A2B"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9919797" w14:textId="77777777">
        <w:tc>
          <w:tcPr>
            <w:tcW w:w="2497" w:type="dxa"/>
            <w:tcBorders>
              <w:top w:val="single" w:sz="4" w:space="0" w:color="293F5B"/>
              <w:bottom w:val="single" w:sz="4" w:space="0" w:color="293F5B"/>
            </w:tcBorders>
            <w:shd w:val="clear" w:color="auto" w:fill="auto"/>
          </w:tcPr>
          <w:p w14:paraId="6E590DD6"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974D01D"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160CEAA"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9E51957"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509E052"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6EF68BC" w14:textId="77777777" w:rsidR="0012790E" w:rsidRPr="001C06E6" w:rsidRDefault="0012790E">
            <w:pPr>
              <w:pStyle w:val="MeasureTableYearHeadings"/>
              <w:keepNext/>
            </w:pPr>
            <w:r w:rsidRPr="001C06E6">
              <w:t>2027</w:t>
            </w:r>
            <w:r>
              <w:noBreakHyphen/>
            </w:r>
            <w:r w:rsidRPr="001C06E6">
              <w:t>28</w:t>
            </w:r>
          </w:p>
        </w:tc>
      </w:tr>
      <w:tr w:rsidR="0012790E" w:rsidRPr="001C06E6" w14:paraId="61874C66" w14:textId="77777777">
        <w:tc>
          <w:tcPr>
            <w:tcW w:w="2497" w:type="dxa"/>
            <w:tcBorders>
              <w:top w:val="single" w:sz="4" w:space="0" w:color="293F5B"/>
              <w:bottom w:val="single" w:sz="4" w:space="0" w:color="293F5B"/>
            </w:tcBorders>
            <w:shd w:val="clear" w:color="auto" w:fill="auto"/>
          </w:tcPr>
          <w:p w14:paraId="51714489"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015F1CF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8E686AC" w14:textId="77777777" w:rsidR="0012790E" w:rsidRPr="001C06E6" w:rsidRDefault="0012790E">
            <w:pPr>
              <w:pStyle w:val="MeasureTableDataRightAlignedwith2ptsspacing"/>
              <w:keepNext/>
            </w:pPr>
            <w:r>
              <w:t xml:space="preserve">8.2   </w:t>
            </w:r>
          </w:p>
        </w:tc>
        <w:tc>
          <w:tcPr>
            <w:tcW w:w="1045" w:type="dxa"/>
            <w:tcBorders>
              <w:top w:val="single" w:sz="4" w:space="0" w:color="293F5B"/>
              <w:bottom w:val="single" w:sz="4" w:space="0" w:color="293F5B"/>
            </w:tcBorders>
            <w:shd w:val="clear" w:color="auto" w:fill="auto"/>
          </w:tcPr>
          <w:p w14:paraId="7EC939A4"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8B546FC"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D70F582" w14:textId="77777777" w:rsidR="0012790E" w:rsidRPr="001C06E6" w:rsidRDefault="0012790E">
            <w:pPr>
              <w:pStyle w:val="MeasureTableDataRightAlignedwith2ptsspacing"/>
              <w:keepNext/>
            </w:pPr>
            <w:r>
              <w:t xml:space="preserve">-   </w:t>
            </w:r>
          </w:p>
        </w:tc>
      </w:tr>
      <w:tr w:rsidR="0012790E" w:rsidRPr="001C06E6" w14:paraId="0C3358B9" w14:textId="77777777">
        <w:tc>
          <w:tcPr>
            <w:tcW w:w="2497" w:type="dxa"/>
            <w:tcBorders>
              <w:top w:val="single" w:sz="4" w:space="0" w:color="293F5B"/>
            </w:tcBorders>
            <w:shd w:val="clear" w:color="auto" w:fill="auto"/>
          </w:tcPr>
          <w:p w14:paraId="1E8ACC88"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4DD55153" w14:textId="77777777" w:rsidR="0012790E" w:rsidRPr="001C06E6" w:rsidRDefault="0012790E">
            <w:pPr>
              <w:pStyle w:val="AgencyName"/>
              <w:keepNext/>
            </w:pPr>
          </w:p>
        </w:tc>
        <w:tc>
          <w:tcPr>
            <w:tcW w:w="1045" w:type="dxa"/>
            <w:tcBorders>
              <w:top w:val="single" w:sz="4" w:space="0" w:color="293F5B"/>
            </w:tcBorders>
            <w:shd w:val="clear" w:color="auto" w:fill="auto"/>
          </w:tcPr>
          <w:p w14:paraId="0B9DC7C7" w14:textId="77777777" w:rsidR="0012790E" w:rsidRPr="001C06E6" w:rsidRDefault="0012790E">
            <w:pPr>
              <w:pStyle w:val="AgencyName"/>
              <w:keepNext/>
            </w:pPr>
          </w:p>
        </w:tc>
        <w:tc>
          <w:tcPr>
            <w:tcW w:w="1045" w:type="dxa"/>
            <w:tcBorders>
              <w:top w:val="single" w:sz="4" w:space="0" w:color="293F5B"/>
            </w:tcBorders>
            <w:shd w:val="clear" w:color="auto" w:fill="auto"/>
          </w:tcPr>
          <w:p w14:paraId="3F05E2FA" w14:textId="77777777" w:rsidR="0012790E" w:rsidRPr="001C06E6" w:rsidRDefault="0012790E">
            <w:pPr>
              <w:pStyle w:val="AgencyName"/>
              <w:keepNext/>
            </w:pPr>
          </w:p>
        </w:tc>
        <w:tc>
          <w:tcPr>
            <w:tcW w:w="1045" w:type="dxa"/>
            <w:tcBorders>
              <w:top w:val="single" w:sz="4" w:space="0" w:color="293F5B"/>
            </w:tcBorders>
            <w:shd w:val="clear" w:color="auto" w:fill="auto"/>
          </w:tcPr>
          <w:p w14:paraId="5FE167CF" w14:textId="77777777" w:rsidR="0012790E" w:rsidRPr="001C06E6" w:rsidRDefault="0012790E">
            <w:pPr>
              <w:pStyle w:val="AgencyName"/>
              <w:keepNext/>
            </w:pPr>
          </w:p>
        </w:tc>
        <w:tc>
          <w:tcPr>
            <w:tcW w:w="1045" w:type="dxa"/>
            <w:tcBorders>
              <w:top w:val="single" w:sz="4" w:space="0" w:color="293F5B"/>
            </w:tcBorders>
            <w:shd w:val="clear" w:color="auto" w:fill="auto"/>
          </w:tcPr>
          <w:p w14:paraId="65586BFB" w14:textId="77777777" w:rsidR="0012790E" w:rsidRPr="001C06E6" w:rsidRDefault="0012790E">
            <w:pPr>
              <w:pStyle w:val="AgencyName"/>
              <w:keepNext/>
            </w:pPr>
          </w:p>
        </w:tc>
      </w:tr>
      <w:tr w:rsidR="0012790E" w:rsidRPr="001C06E6" w14:paraId="38E67582" w14:textId="77777777">
        <w:tc>
          <w:tcPr>
            <w:tcW w:w="2497" w:type="dxa"/>
            <w:tcBorders>
              <w:bottom w:val="single" w:sz="4" w:space="0" w:color="293F5B"/>
            </w:tcBorders>
            <w:shd w:val="clear" w:color="auto" w:fill="auto"/>
          </w:tcPr>
          <w:p w14:paraId="28DF7133" w14:textId="77777777" w:rsidR="0012790E" w:rsidRPr="001C06E6" w:rsidRDefault="0012790E">
            <w:pPr>
              <w:pStyle w:val="AgencyNamewith2ptsspacing"/>
              <w:keepNext/>
            </w:pPr>
            <w:r>
              <w:t xml:space="preserve">Department of Climate Change, Energy, the Environment and Water </w:t>
            </w:r>
          </w:p>
        </w:tc>
        <w:tc>
          <w:tcPr>
            <w:tcW w:w="1045" w:type="dxa"/>
            <w:tcBorders>
              <w:bottom w:val="single" w:sz="4" w:space="0" w:color="293F5B"/>
            </w:tcBorders>
            <w:shd w:val="clear" w:color="auto" w:fill="auto"/>
          </w:tcPr>
          <w:p w14:paraId="1F0669A7"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540FE104" w14:textId="77777777" w:rsidR="0012790E" w:rsidRPr="001C06E6" w:rsidRDefault="0012790E">
            <w:pPr>
              <w:pStyle w:val="Measuretabledatarightaligneditalics"/>
              <w:keepNext/>
            </w:pPr>
            <w:r>
              <w:t xml:space="preserve">-1.6   </w:t>
            </w:r>
          </w:p>
        </w:tc>
        <w:tc>
          <w:tcPr>
            <w:tcW w:w="1045" w:type="dxa"/>
            <w:tcBorders>
              <w:bottom w:val="single" w:sz="4" w:space="0" w:color="293F5B"/>
            </w:tcBorders>
            <w:shd w:val="clear" w:color="auto" w:fill="auto"/>
          </w:tcPr>
          <w:p w14:paraId="00383CE2" w14:textId="77777777" w:rsidR="0012790E" w:rsidRPr="001C06E6" w:rsidRDefault="0012790E">
            <w:pPr>
              <w:pStyle w:val="Measuretabledatarightaligneditalics"/>
              <w:keepNext/>
            </w:pPr>
            <w:r>
              <w:t xml:space="preserve">-1.8   </w:t>
            </w:r>
          </w:p>
        </w:tc>
        <w:tc>
          <w:tcPr>
            <w:tcW w:w="1045" w:type="dxa"/>
            <w:tcBorders>
              <w:bottom w:val="single" w:sz="4" w:space="0" w:color="293F5B"/>
            </w:tcBorders>
            <w:shd w:val="clear" w:color="auto" w:fill="auto"/>
          </w:tcPr>
          <w:p w14:paraId="08846932" w14:textId="77777777" w:rsidR="0012790E" w:rsidRPr="001C06E6" w:rsidRDefault="0012790E">
            <w:pPr>
              <w:pStyle w:val="Measuretabledatarightaligneditalics"/>
              <w:keepNext/>
            </w:pPr>
            <w:r>
              <w:t xml:space="preserve">-1.9   </w:t>
            </w:r>
          </w:p>
        </w:tc>
        <w:tc>
          <w:tcPr>
            <w:tcW w:w="1045" w:type="dxa"/>
            <w:tcBorders>
              <w:bottom w:val="single" w:sz="4" w:space="0" w:color="293F5B"/>
            </w:tcBorders>
            <w:shd w:val="clear" w:color="auto" w:fill="auto"/>
          </w:tcPr>
          <w:p w14:paraId="5AC45464" w14:textId="77777777" w:rsidR="0012790E" w:rsidRPr="001C06E6" w:rsidRDefault="0012790E">
            <w:pPr>
              <w:pStyle w:val="Measuretabledatarightaligneditalics"/>
              <w:keepNext/>
            </w:pPr>
            <w:r>
              <w:t xml:space="preserve">1.3   </w:t>
            </w:r>
          </w:p>
        </w:tc>
      </w:tr>
    </w:tbl>
    <w:p w14:paraId="7C36CA13" w14:textId="77777777" w:rsidR="0012790E" w:rsidRPr="001C06E6" w:rsidRDefault="0012790E">
      <w:pPr>
        <w:keepNext/>
        <w:widowControl w:val="0"/>
        <w:spacing w:line="184" w:lineRule="exact"/>
        <w:rPr>
          <w:i/>
          <w:iCs/>
          <w:color w:val="000000"/>
          <w:sz w:val="16"/>
          <w:szCs w:val="16"/>
          <w:lang w:val="en-AU"/>
        </w:rPr>
      </w:pPr>
    </w:p>
    <w:p w14:paraId="5CF3308A" w14:textId="77777777" w:rsidR="0012790E" w:rsidRDefault="0012790E">
      <w:pPr>
        <w:pStyle w:val="Normal2"/>
        <w:rPr>
          <w:rFonts w:cs="Book Antiqua"/>
        </w:rPr>
      </w:pPr>
      <w:r w:rsidRPr="001C06E6">
        <w:rPr>
          <w:rFonts w:cs="Book Antiqua"/>
        </w:rPr>
        <w:t>The Government will provide $8.2</w:t>
      </w:r>
      <w:r>
        <w:rPr>
          <w:rFonts w:cs="Book Antiqua"/>
        </w:rPr>
        <w:t> </w:t>
      </w:r>
      <w:r w:rsidRPr="001C06E6">
        <w:rPr>
          <w:rFonts w:cs="Book Antiqua"/>
        </w:rPr>
        <w:t xml:space="preserve">million in </w:t>
      </w:r>
      <w:r>
        <w:rPr>
          <w:rFonts w:cs="Book Antiqua"/>
        </w:rPr>
        <w:t>2024–25</w:t>
      </w:r>
      <w:r w:rsidRPr="001C06E6">
        <w:rPr>
          <w:rFonts w:cs="Book Antiqua"/>
        </w:rPr>
        <w:t xml:space="preserve"> and increase revenue by $10.2</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(and $2.6</w:t>
      </w:r>
      <w:r>
        <w:rPr>
          <w:rFonts w:cs="Book Antiqua"/>
        </w:rPr>
        <w:t> </w:t>
      </w:r>
      <w:r w:rsidRPr="001C06E6">
        <w:rPr>
          <w:rFonts w:cs="Book Antiqua"/>
        </w:rPr>
        <w:t>million per year ongoing revenue from</w:t>
      </w:r>
      <w:r>
        <w:rPr>
          <w:rFonts w:cs="Book Antiqua"/>
        </w:rPr>
        <w:t xml:space="preserve"> 2028–29</w:t>
      </w:r>
      <w:r w:rsidRPr="001C06E6">
        <w:rPr>
          <w:rFonts w:cs="Book Antiqua"/>
        </w:rPr>
        <w:t>), by updating and improving cost recovery arrangements. Funding includes:</w:t>
      </w:r>
    </w:p>
    <w:p w14:paraId="7899FEDD" w14:textId="77777777" w:rsidR="0012790E" w:rsidRDefault="0012790E">
      <w:pPr>
        <w:pStyle w:val="Bullet"/>
      </w:pPr>
      <w:r w:rsidRPr="001C06E6">
        <w:t>$7.9</w:t>
      </w:r>
      <w:r>
        <w:t> </w:t>
      </w:r>
      <w:r w:rsidRPr="001C06E6">
        <w:t xml:space="preserve">million in </w:t>
      </w:r>
      <w:r>
        <w:t>2024–25</w:t>
      </w:r>
      <w:r w:rsidRPr="001C06E6">
        <w:t xml:space="preserve"> to continue administering the Waste Exports Licencing scheme under the </w:t>
      </w:r>
      <w:r w:rsidRPr="001C06E6">
        <w:rPr>
          <w:i/>
          <w:iCs/>
        </w:rPr>
        <w:t>Recycling and Waste Reduction Act 2020</w:t>
      </w:r>
      <w:r w:rsidRPr="001C06E6">
        <w:t xml:space="preserve">. This funding will be offset by introducing partial cost recovery for the scheme from </w:t>
      </w:r>
      <w:r>
        <w:t xml:space="preserve">2024–25 </w:t>
      </w:r>
    </w:p>
    <w:p w14:paraId="46D3513B" w14:textId="77777777" w:rsidR="0012790E" w:rsidRDefault="0012790E">
      <w:pPr>
        <w:pStyle w:val="Bullet"/>
      </w:pPr>
      <w:r w:rsidRPr="001C06E6">
        <w:t>$0.2</w:t>
      </w:r>
      <w:r>
        <w:t> </w:t>
      </w:r>
      <w:r w:rsidRPr="001C06E6">
        <w:t xml:space="preserve">million in </w:t>
      </w:r>
      <w:r>
        <w:t>2024–25</w:t>
      </w:r>
      <w:r w:rsidRPr="001C06E6">
        <w:t xml:space="preserve"> to continue the Commonwealth’s contribution to the Water Efficiency Labelling and Standards scheme.</w:t>
      </w:r>
      <w:r>
        <w:t xml:space="preserve"> </w:t>
      </w:r>
    </w:p>
    <w:p w14:paraId="33E02278" w14:textId="77777777" w:rsidR="0012790E" w:rsidRDefault="0012790E" w:rsidP="54937204">
      <w:pPr>
        <w:pStyle w:val="Normal2"/>
        <w:rPr>
          <w:rFonts w:cs="Book Antiqua"/>
          <w:lang w:val="en-US"/>
        </w:rPr>
      </w:pPr>
      <w:r w:rsidRPr="54937204">
        <w:rPr>
          <w:rFonts w:cs="Book Antiqua"/>
          <w:lang w:val="en-US"/>
        </w:rPr>
        <w:t xml:space="preserve">The Government will not proceed with cost recovery for the Industrial Chemicals Environmental Management Standard under the </w:t>
      </w:r>
      <w:r w:rsidRPr="54937204">
        <w:rPr>
          <w:rFonts w:cs="Book Antiqua"/>
          <w:i/>
          <w:iCs/>
          <w:lang w:val="en-US"/>
        </w:rPr>
        <w:t>Industrial Chemicals Environmental Management (Register) Act 2021</w:t>
      </w:r>
      <w:r w:rsidRPr="54937204">
        <w:rPr>
          <w:rFonts w:cs="Book Antiqua"/>
          <w:lang w:val="en-US"/>
        </w:rPr>
        <w:t xml:space="preserve">. This will result in reduced revenue of $14.2 million over four years from 2024–25 and $1.3 million per year ongoing from 2028–29. </w:t>
      </w:r>
    </w:p>
    <w:p w14:paraId="38972DDC" w14:textId="3254D7B6"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 xml:space="preserve">Budget measure titled </w:t>
      </w:r>
      <w:r w:rsidRPr="001C06E6">
        <w:rPr>
          <w:rFonts w:cs="Book Antiqua"/>
          <w:i/>
          <w:iCs/>
        </w:rPr>
        <w:t>Waste Export Ban –</w:t>
      </w:r>
      <w:r>
        <w:rPr>
          <w:rFonts w:cs="Book Antiqua"/>
          <w:i/>
          <w:iCs/>
        </w:rPr>
        <w:t xml:space="preserve"> </w:t>
      </w:r>
      <w:r w:rsidRPr="001C06E6">
        <w:rPr>
          <w:rFonts w:cs="Book Antiqua"/>
          <w:i/>
          <w:iCs/>
        </w:rPr>
        <w:t>delayed cost</w:t>
      </w:r>
      <w:r w:rsidR="00E00F9E">
        <w:rPr>
          <w:rFonts w:cs="Book Antiqua"/>
          <w:i/>
          <w:iCs/>
        </w:rPr>
        <w:t> </w:t>
      </w:r>
      <w:r w:rsidRPr="001C06E6">
        <w:rPr>
          <w:rFonts w:cs="Book Antiqua"/>
          <w:i/>
          <w:iCs/>
        </w:rPr>
        <w:t>recovery</w:t>
      </w:r>
      <w:r w:rsidRPr="001C06E6">
        <w:rPr>
          <w:rFonts w:cs="Book Antiqua"/>
        </w:rPr>
        <w:t>.</w:t>
      </w:r>
      <w:r>
        <w:rPr>
          <w:rFonts w:cs="Book Antiqua"/>
        </w:rPr>
        <w:t xml:space="preserve"> </w:t>
      </w:r>
    </w:p>
    <w:p w14:paraId="1AC729B7" w14:textId="77777777" w:rsidR="0012790E" w:rsidRPr="001C06E6" w:rsidRDefault="0012790E">
      <w:pPr>
        <w:pStyle w:val="MeasureTitle"/>
        <w:rPr>
          <w:b w:val="0"/>
          <w:bCs/>
        </w:rPr>
      </w:pPr>
      <w:r w:rsidRPr="001C06E6">
        <w:rPr>
          <w:bCs/>
        </w:rPr>
        <w:lastRenderedPageBreak/>
        <w:t>Commonwealth Leadership for a Safe Circular Economy</w:t>
      </w:r>
      <w:r>
        <w:rPr>
          <w:bCs/>
        </w:rPr>
        <w:t xml:space="preserve"> – </w:t>
      </w:r>
      <w:r w:rsidRPr="001C06E6">
        <w:rPr>
          <w:bCs/>
        </w:rPr>
        <w:t>continuing delivery</w:t>
      </w:r>
    </w:p>
    <w:p w14:paraId="65980E52"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717A00A" w14:textId="77777777">
        <w:tc>
          <w:tcPr>
            <w:tcW w:w="2497" w:type="dxa"/>
            <w:tcBorders>
              <w:top w:val="single" w:sz="4" w:space="0" w:color="293F5B"/>
              <w:bottom w:val="single" w:sz="4" w:space="0" w:color="293F5B"/>
            </w:tcBorders>
            <w:shd w:val="clear" w:color="auto" w:fill="auto"/>
          </w:tcPr>
          <w:p w14:paraId="156A4C83"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A060692"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436E5B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91816D8"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C31231F"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41D677C" w14:textId="77777777" w:rsidR="0012790E" w:rsidRPr="001C06E6" w:rsidRDefault="0012790E">
            <w:pPr>
              <w:pStyle w:val="MeasureTableYearHeadings"/>
              <w:keepNext/>
            </w:pPr>
            <w:r w:rsidRPr="001C06E6">
              <w:t>2027</w:t>
            </w:r>
            <w:r>
              <w:noBreakHyphen/>
            </w:r>
            <w:r w:rsidRPr="001C06E6">
              <w:t>28</w:t>
            </w:r>
          </w:p>
        </w:tc>
      </w:tr>
      <w:tr w:rsidR="0012790E" w:rsidRPr="001C06E6" w14:paraId="7D292733" w14:textId="77777777">
        <w:tc>
          <w:tcPr>
            <w:tcW w:w="2497" w:type="dxa"/>
            <w:tcBorders>
              <w:top w:val="single" w:sz="4" w:space="0" w:color="293F5B"/>
              <w:bottom w:val="single" w:sz="4" w:space="0" w:color="293F5B"/>
            </w:tcBorders>
            <w:shd w:val="clear" w:color="auto" w:fill="auto"/>
          </w:tcPr>
          <w:p w14:paraId="60638EFA"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6670E3A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3DAB83E" w14:textId="77777777" w:rsidR="0012790E" w:rsidRPr="001C06E6" w:rsidRDefault="0012790E">
            <w:pPr>
              <w:pStyle w:val="MeasureTableDataRightAlignedwith2ptsspacing"/>
              <w:keepNext/>
            </w:pPr>
            <w:r>
              <w:t xml:space="preserve">23.0   </w:t>
            </w:r>
          </w:p>
        </w:tc>
        <w:tc>
          <w:tcPr>
            <w:tcW w:w="1045" w:type="dxa"/>
            <w:tcBorders>
              <w:top w:val="single" w:sz="4" w:space="0" w:color="293F5B"/>
              <w:bottom w:val="single" w:sz="4" w:space="0" w:color="293F5B"/>
            </w:tcBorders>
            <w:shd w:val="clear" w:color="auto" w:fill="auto"/>
          </w:tcPr>
          <w:p w14:paraId="48DAE0F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FF43CC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7CCF6EA" w14:textId="77777777" w:rsidR="0012790E" w:rsidRPr="001C06E6" w:rsidRDefault="0012790E">
            <w:pPr>
              <w:pStyle w:val="MeasureTableDataRightAlignedwith2ptsspacing"/>
              <w:keepNext/>
            </w:pPr>
            <w:r>
              <w:t xml:space="preserve">-   </w:t>
            </w:r>
          </w:p>
        </w:tc>
      </w:tr>
    </w:tbl>
    <w:p w14:paraId="2ED1D893" w14:textId="77777777" w:rsidR="0012790E" w:rsidRPr="001C06E6" w:rsidRDefault="0012790E">
      <w:pPr>
        <w:keepNext/>
        <w:widowControl w:val="0"/>
        <w:spacing w:line="184" w:lineRule="exact"/>
        <w:rPr>
          <w:color w:val="000000"/>
          <w:sz w:val="16"/>
          <w:szCs w:val="16"/>
          <w:lang w:val="en-AU"/>
        </w:rPr>
      </w:pPr>
    </w:p>
    <w:p w14:paraId="436E3B6C" w14:textId="77777777" w:rsidR="0012790E" w:rsidRDefault="0012790E" w:rsidP="54937204">
      <w:pPr>
        <w:pStyle w:val="Normal2"/>
        <w:rPr>
          <w:rFonts w:cs="Book Antiqua"/>
          <w:lang w:val="en-US"/>
        </w:rPr>
      </w:pPr>
      <w:r w:rsidRPr="54937204">
        <w:rPr>
          <w:rFonts w:cs="Book Antiqua"/>
          <w:lang w:val="en-US"/>
        </w:rPr>
        <w:t xml:space="preserve">The Government will provide $23.0 million in 2024–25 to continue delivery of the Government’s circular economy policy, program and legislative functions. </w:t>
      </w:r>
    </w:p>
    <w:p w14:paraId="76EA64AA" w14:textId="77777777" w:rsidR="0012790E" w:rsidRDefault="0012790E">
      <w:pPr>
        <w:pStyle w:val="Normal2"/>
        <w:rPr>
          <w:rFonts w:cs="Book Antiqua"/>
        </w:rPr>
      </w:pPr>
      <w:r w:rsidRPr="001C06E6">
        <w:rPr>
          <w:rFonts w:cs="Book Antiqua"/>
        </w:rPr>
        <w:t>The Government will consider further funding for circular economy following the</w:t>
      </w:r>
      <w:r>
        <w:rPr>
          <w:rFonts w:cs="Book Antiqua"/>
        </w:rPr>
        <w:t xml:space="preserve"> </w:t>
      </w:r>
      <w:r w:rsidRPr="001C06E6">
        <w:rPr>
          <w:rFonts w:cs="Book Antiqua"/>
        </w:rPr>
        <w:t>development of a new national circular economy framework.</w:t>
      </w:r>
      <w:r>
        <w:rPr>
          <w:rFonts w:cs="Book Antiqua"/>
        </w:rPr>
        <w:t xml:space="preserve"> </w:t>
      </w:r>
    </w:p>
    <w:p w14:paraId="1924C413" w14:textId="77777777" w:rsidR="0012790E" w:rsidRPr="001C06E6" w:rsidRDefault="0012790E">
      <w:pPr>
        <w:pStyle w:val="MeasureTitle"/>
        <w:rPr>
          <w:b w:val="0"/>
          <w:bCs/>
        </w:rPr>
      </w:pPr>
      <w:r w:rsidRPr="001C06E6">
        <w:rPr>
          <w:bCs/>
        </w:rPr>
        <w:t>Harnessing the Energy Transition to Benefit Consumers</w:t>
      </w:r>
    </w:p>
    <w:p w14:paraId="3282B930"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BA70BBE" w14:textId="77777777">
        <w:tc>
          <w:tcPr>
            <w:tcW w:w="2497" w:type="dxa"/>
            <w:tcBorders>
              <w:top w:val="single" w:sz="4" w:space="0" w:color="293F5B"/>
              <w:bottom w:val="single" w:sz="4" w:space="0" w:color="293F5B"/>
            </w:tcBorders>
            <w:shd w:val="clear" w:color="auto" w:fill="auto"/>
          </w:tcPr>
          <w:p w14:paraId="5C072753"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97C8088"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585BB207"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0C9A177"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24433C9"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D8392E3" w14:textId="77777777" w:rsidR="0012790E" w:rsidRPr="001C06E6" w:rsidRDefault="0012790E">
            <w:pPr>
              <w:pStyle w:val="MeasureTableYearHeadings"/>
              <w:keepNext/>
            </w:pPr>
            <w:r w:rsidRPr="001C06E6">
              <w:t>2027</w:t>
            </w:r>
            <w:r>
              <w:noBreakHyphen/>
            </w:r>
            <w:r w:rsidRPr="001C06E6">
              <w:t>28</w:t>
            </w:r>
          </w:p>
        </w:tc>
      </w:tr>
      <w:tr w:rsidR="0012790E" w:rsidRPr="001C06E6" w14:paraId="42323F97" w14:textId="77777777">
        <w:tc>
          <w:tcPr>
            <w:tcW w:w="2497" w:type="dxa"/>
            <w:tcBorders>
              <w:top w:val="single" w:sz="4" w:space="0" w:color="293F5B"/>
              <w:bottom w:val="single" w:sz="4" w:space="0" w:color="293F5B"/>
            </w:tcBorders>
            <w:shd w:val="clear" w:color="auto" w:fill="auto"/>
          </w:tcPr>
          <w:p w14:paraId="027A6CD7" w14:textId="77777777" w:rsidR="0012790E" w:rsidRPr="001C06E6" w:rsidRDefault="0012790E">
            <w:pPr>
              <w:pStyle w:val="MeasureTableHeadingleftalignedwith2ptsspacing"/>
              <w:keepNext/>
            </w:pPr>
            <w:r>
              <w:t xml:space="preserve">Australian Competition and Consumer Commission </w:t>
            </w:r>
          </w:p>
        </w:tc>
        <w:tc>
          <w:tcPr>
            <w:tcW w:w="1045" w:type="dxa"/>
            <w:tcBorders>
              <w:top w:val="single" w:sz="4" w:space="0" w:color="293F5B"/>
              <w:bottom w:val="single" w:sz="4" w:space="0" w:color="293F5B"/>
            </w:tcBorders>
            <w:shd w:val="clear" w:color="auto" w:fill="auto"/>
          </w:tcPr>
          <w:p w14:paraId="2DAE2E7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E39C4E9" w14:textId="77777777" w:rsidR="0012790E" w:rsidRPr="001C06E6" w:rsidRDefault="0012790E">
            <w:pPr>
              <w:pStyle w:val="MeasureTableDataRightAlignedwith2ptsspacing"/>
              <w:keepNext/>
            </w:pPr>
            <w:r>
              <w:t xml:space="preserve">9.0 </w:t>
            </w:r>
          </w:p>
        </w:tc>
        <w:tc>
          <w:tcPr>
            <w:tcW w:w="1045" w:type="dxa"/>
            <w:tcBorders>
              <w:top w:val="single" w:sz="4" w:space="0" w:color="293F5B"/>
              <w:bottom w:val="single" w:sz="4" w:space="0" w:color="293F5B"/>
            </w:tcBorders>
            <w:shd w:val="clear" w:color="auto" w:fill="auto"/>
          </w:tcPr>
          <w:p w14:paraId="5943C6CE" w14:textId="77777777" w:rsidR="0012790E" w:rsidRPr="001C06E6" w:rsidRDefault="0012790E">
            <w:pPr>
              <w:pStyle w:val="MeasureTableDataRightAlignedwith2ptsspacing"/>
              <w:keepNext/>
            </w:pPr>
            <w:r>
              <w:t xml:space="preserve">4.5 </w:t>
            </w:r>
          </w:p>
        </w:tc>
        <w:tc>
          <w:tcPr>
            <w:tcW w:w="1045" w:type="dxa"/>
            <w:tcBorders>
              <w:top w:val="single" w:sz="4" w:space="0" w:color="293F5B"/>
              <w:bottom w:val="single" w:sz="4" w:space="0" w:color="293F5B"/>
            </w:tcBorders>
            <w:shd w:val="clear" w:color="auto" w:fill="auto"/>
          </w:tcPr>
          <w:p w14:paraId="182EB477" w14:textId="77777777" w:rsidR="0012790E" w:rsidRPr="001C06E6" w:rsidRDefault="0012790E">
            <w:pPr>
              <w:pStyle w:val="MeasureTableDataRightAlignedwith2ptsspacing"/>
              <w:keepNext/>
            </w:pPr>
            <w:r>
              <w:t xml:space="preserve">2.8 </w:t>
            </w:r>
          </w:p>
        </w:tc>
        <w:tc>
          <w:tcPr>
            <w:tcW w:w="1045" w:type="dxa"/>
            <w:tcBorders>
              <w:top w:val="single" w:sz="4" w:space="0" w:color="293F5B"/>
              <w:bottom w:val="single" w:sz="4" w:space="0" w:color="293F5B"/>
            </w:tcBorders>
            <w:shd w:val="clear" w:color="auto" w:fill="auto"/>
          </w:tcPr>
          <w:p w14:paraId="52CDF4B9" w14:textId="77777777" w:rsidR="0012790E" w:rsidRPr="001C06E6" w:rsidRDefault="0012790E">
            <w:pPr>
              <w:pStyle w:val="MeasureTableDataRightAlignedwith2ptsspacing"/>
              <w:keepNext/>
            </w:pPr>
            <w:r>
              <w:t xml:space="preserve">2.9 </w:t>
            </w:r>
          </w:p>
        </w:tc>
      </w:tr>
      <w:tr w:rsidR="0012790E" w:rsidRPr="001C06E6" w14:paraId="260666A0" w14:textId="77777777">
        <w:tc>
          <w:tcPr>
            <w:tcW w:w="2497" w:type="dxa"/>
            <w:tcBorders>
              <w:top w:val="single" w:sz="4" w:space="0" w:color="293F5B"/>
              <w:bottom w:val="single" w:sz="4" w:space="0" w:color="293F5B"/>
            </w:tcBorders>
            <w:shd w:val="clear" w:color="auto" w:fill="auto"/>
          </w:tcPr>
          <w:p w14:paraId="1CBE4A4A"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4B34C8D5" w14:textId="77777777" w:rsidR="0012790E" w:rsidRPr="001C06E6" w:rsidRDefault="0012790E">
            <w:pPr>
              <w:pStyle w:val="MeasureTableDataRightAlignedwith2ptsspacing"/>
              <w:keepNext/>
            </w:pPr>
            <w:r>
              <w:t xml:space="preserve">-1.3   </w:t>
            </w:r>
          </w:p>
        </w:tc>
        <w:tc>
          <w:tcPr>
            <w:tcW w:w="1045" w:type="dxa"/>
            <w:tcBorders>
              <w:top w:val="single" w:sz="4" w:space="0" w:color="293F5B"/>
              <w:bottom w:val="single" w:sz="4" w:space="0" w:color="293F5B"/>
            </w:tcBorders>
            <w:shd w:val="clear" w:color="auto" w:fill="auto"/>
          </w:tcPr>
          <w:p w14:paraId="430965F3" w14:textId="77777777" w:rsidR="0012790E" w:rsidRPr="001C06E6" w:rsidRDefault="0012790E">
            <w:pPr>
              <w:pStyle w:val="MeasureTableDataRightAlignedwith2ptsspacing"/>
              <w:keepNext/>
            </w:pPr>
            <w:r>
              <w:t xml:space="preserve">13.2   </w:t>
            </w:r>
          </w:p>
        </w:tc>
        <w:tc>
          <w:tcPr>
            <w:tcW w:w="1045" w:type="dxa"/>
            <w:tcBorders>
              <w:top w:val="single" w:sz="4" w:space="0" w:color="293F5B"/>
              <w:bottom w:val="single" w:sz="4" w:space="0" w:color="293F5B"/>
            </w:tcBorders>
            <w:shd w:val="clear" w:color="auto" w:fill="auto"/>
          </w:tcPr>
          <w:p w14:paraId="5A98FB8F" w14:textId="77777777" w:rsidR="0012790E" w:rsidRPr="001C06E6" w:rsidRDefault="0012790E">
            <w:pPr>
              <w:pStyle w:val="MeasureTableDataRightAlignedwith2ptsspacing"/>
              <w:keepNext/>
            </w:pPr>
            <w:r>
              <w:t xml:space="preserve">12.0   </w:t>
            </w:r>
          </w:p>
        </w:tc>
        <w:tc>
          <w:tcPr>
            <w:tcW w:w="1045" w:type="dxa"/>
            <w:tcBorders>
              <w:top w:val="single" w:sz="4" w:space="0" w:color="293F5B"/>
              <w:bottom w:val="single" w:sz="4" w:space="0" w:color="293F5B"/>
            </w:tcBorders>
            <w:shd w:val="clear" w:color="auto" w:fill="auto"/>
          </w:tcPr>
          <w:p w14:paraId="39F78673"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7EDBA06" w14:textId="77777777" w:rsidR="0012790E" w:rsidRPr="001C06E6" w:rsidRDefault="0012790E">
            <w:pPr>
              <w:pStyle w:val="MeasureTableDataRightAlignedwith2ptsspacing"/>
              <w:keepNext/>
            </w:pPr>
            <w:r>
              <w:t xml:space="preserve">-   </w:t>
            </w:r>
          </w:p>
        </w:tc>
      </w:tr>
      <w:tr w:rsidR="0012790E" w:rsidRPr="001C06E6" w14:paraId="5D1B34AB" w14:textId="77777777">
        <w:tc>
          <w:tcPr>
            <w:tcW w:w="2497" w:type="dxa"/>
            <w:tcBorders>
              <w:top w:val="single" w:sz="4" w:space="0" w:color="293F5B"/>
              <w:bottom w:val="single" w:sz="4" w:space="0" w:color="293F5B"/>
            </w:tcBorders>
            <w:shd w:val="clear" w:color="auto" w:fill="auto"/>
          </w:tcPr>
          <w:p w14:paraId="5E9BD7EC"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1BB763BC" w14:textId="77777777" w:rsidR="0012790E" w:rsidRPr="001C06E6" w:rsidRDefault="0012790E">
            <w:pPr>
              <w:pStyle w:val="MeasureTableDataRightAlignedwith2ptsspacing"/>
              <w:keepNext/>
            </w:pPr>
            <w:r w:rsidRPr="001C06E6">
              <w:t>-10.0</w:t>
            </w:r>
          </w:p>
        </w:tc>
        <w:tc>
          <w:tcPr>
            <w:tcW w:w="1045" w:type="dxa"/>
            <w:tcBorders>
              <w:top w:val="single" w:sz="4" w:space="0" w:color="293F5B"/>
              <w:bottom w:val="single" w:sz="4" w:space="0" w:color="293F5B"/>
            </w:tcBorders>
            <w:shd w:val="clear" w:color="auto" w:fill="auto"/>
          </w:tcPr>
          <w:p w14:paraId="6579E57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064A24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FB16EE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4F88535" w14:textId="77777777" w:rsidR="0012790E" w:rsidRPr="001C06E6" w:rsidRDefault="0012790E">
            <w:pPr>
              <w:pStyle w:val="MeasureTableDataRightAlignedwith2ptsspacing"/>
              <w:keepNext/>
            </w:pPr>
            <w:r w:rsidRPr="001C06E6">
              <w:t>-</w:t>
            </w:r>
          </w:p>
        </w:tc>
      </w:tr>
      <w:tr w:rsidR="0012790E" w:rsidRPr="001C06E6" w14:paraId="718B4985" w14:textId="77777777">
        <w:tc>
          <w:tcPr>
            <w:tcW w:w="2497" w:type="dxa"/>
            <w:tcBorders>
              <w:top w:val="single" w:sz="4" w:space="0" w:color="293F5B"/>
              <w:bottom w:val="single" w:sz="4" w:space="0" w:color="293F5B"/>
            </w:tcBorders>
            <w:shd w:val="clear" w:color="auto" w:fill="auto"/>
          </w:tcPr>
          <w:p w14:paraId="77C06BF8"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2BFAFFDB" w14:textId="77777777" w:rsidR="0012790E" w:rsidRPr="001C06E6" w:rsidRDefault="0012790E">
            <w:pPr>
              <w:pStyle w:val="Totaldatarowrightaligned"/>
              <w:keepNext/>
            </w:pPr>
            <w:r w:rsidRPr="001C06E6">
              <w:t>-11.3</w:t>
            </w:r>
          </w:p>
        </w:tc>
        <w:tc>
          <w:tcPr>
            <w:tcW w:w="1045" w:type="dxa"/>
            <w:tcBorders>
              <w:top w:val="single" w:sz="4" w:space="0" w:color="293F5B"/>
              <w:bottom w:val="single" w:sz="4" w:space="0" w:color="293F5B"/>
            </w:tcBorders>
            <w:shd w:val="clear" w:color="auto" w:fill="auto"/>
          </w:tcPr>
          <w:p w14:paraId="57364AA6" w14:textId="77777777" w:rsidR="0012790E" w:rsidRPr="001C06E6" w:rsidRDefault="0012790E">
            <w:pPr>
              <w:pStyle w:val="Totaldatarowrightaligned"/>
              <w:keepNext/>
            </w:pPr>
            <w:r w:rsidRPr="001C06E6">
              <w:t>22.2</w:t>
            </w:r>
          </w:p>
        </w:tc>
        <w:tc>
          <w:tcPr>
            <w:tcW w:w="1045" w:type="dxa"/>
            <w:tcBorders>
              <w:top w:val="single" w:sz="4" w:space="0" w:color="293F5B"/>
              <w:bottom w:val="single" w:sz="4" w:space="0" w:color="293F5B"/>
            </w:tcBorders>
            <w:shd w:val="clear" w:color="auto" w:fill="auto"/>
          </w:tcPr>
          <w:p w14:paraId="58DAB731" w14:textId="77777777" w:rsidR="0012790E" w:rsidRPr="001C06E6" w:rsidRDefault="0012790E">
            <w:pPr>
              <w:pStyle w:val="Totaldatarowrightaligned"/>
              <w:keepNext/>
            </w:pPr>
            <w:r w:rsidRPr="001C06E6">
              <w:t>16.4</w:t>
            </w:r>
          </w:p>
        </w:tc>
        <w:tc>
          <w:tcPr>
            <w:tcW w:w="1045" w:type="dxa"/>
            <w:tcBorders>
              <w:top w:val="single" w:sz="4" w:space="0" w:color="293F5B"/>
              <w:bottom w:val="single" w:sz="4" w:space="0" w:color="293F5B"/>
            </w:tcBorders>
            <w:shd w:val="clear" w:color="auto" w:fill="auto"/>
          </w:tcPr>
          <w:p w14:paraId="59B2BA6D" w14:textId="77777777" w:rsidR="0012790E" w:rsidRPr="001C06E6" w:rsidRDefault="0012790E">
            <w:pPr>
              <w:pStyle w:val="Totaldatarowrightaligned"/>
              <w:keepNext/>
            </w:pPr>
            <w:r w:rsidRPr="001C06E6">
              <w:t>2.8</w:t>
            </w:r>
          </w:p>
        </w:tc>
        <w:tc>
          <w:tcPr>
            <w:tcW w:w="1045" w:type="dxa"/>
            <w:tcBorders>
              <w:top w:val="single" w:sz="4" w:space="0" w:color="293F5B"/>
              <w:bottom w:val="single" w:sz="4" w:space="0" w:color="293F5B"/>
            </w:tcBorders>
            <w:shd w:val="clear" w:color="auto" w:fill="auto"/>
          </w:tcPr>
          <w:p w14:paraId="38A6C974" w14:textId="77777777" w:rsidR="0012790E" w:rsidRPr="001C06E6" w:rsidRDefault="0012790E">
            <w:pPr>
              <w:pStyle w:val="Totaldatarowrightaligned"/>
              <w:keepNext/>
            </w:pPr>
            <w:r w:rsidRPr="001C06E6">
              <w:t>2.9</w:t>
            </w:r>
          </w:p>
        </w:tc>
      </w:tr>
    </w:tbl>
    <w:p w14:paraId="0790601E"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48C4087C" w14:textId="3B82A3C6" w:rsidR="0012790E" w:rsidRDefault="0012790E" w:rsidP="54937204">
      <w:pPr>
        <w:pStyle w:val="Normal2"/>
        <w:rPr>
          <w:rFonts w:cs="Book Antiqua"/>
          <w:lang w:val="en-US"/>
        </w:rPr>
      </w:pPr>
      <w:r w:rsidRPr="54937204">
        <w:rPr>
          <w:rFonts w:cs="Book Antiqua"/>
          <w:lang w:val="en-US"/>
        </w:rPr>
        <w:t>The Government will provide $47.7 million over four years from 2024–25 (and $0.7 per year ongoing) to maximise consumer and community benefits of the energy transition. Funding</w:t>
      </w:r>
      <w:r w:rsidR="00E00F9E">
        <w:rPr>
          <w:rFonts w:cs="Book Antiqua"/>
          <w:lang w:val="en-US"/>
        </w:rPr>
        <w:t> </w:t>
      </w:r>
      <w:r w:rsidRPr="54937204">
        <w:rPr>
          <w:rFonts w:cs="Book Antiqua"/>
          <w:lang w:val="en-US"/>
        </w:rPr>
        <w:t>includes:</w:t>
      </w:r>
    </w:p>
    <w:p w14:paraId="23864F9F" w14:textId="77777777" w:rsidR="0012790E" w:rsidRDefault="0012790E">
      <w:pPr>
        <w:pStyle w:val="Bullet"/>
      </w:pPr>
      <w:r w:rsidRPr="001C06E6">
        <w:t>$27.7</w:t>
      </w:r>
      <w:r>
        <w:t> </w:t>
      </w:r>
      <w:r w:rsidRPr="001C06E6">
        <w:t xml:space="preserve">million over four years from </w:t>
      </w:r>
      <w:r>
        <w:t>2024–25</w:t>
      </w:r>
      <w:r w:rsidRPr="001C06E6">
        <w:t xml:space="preserve"> (and $0.7</w:t>
      </w:r>
      <w:r>
        <w:t> </w:t>
      </w:r>
      <w:r w:rsidRPr="001C06E6">
        <w:t>million per year ongoing) to implement priority consumer energy resources reforms that help consumers save on bills by boosting the supply of renewable electricity to the grid from rooftop solar, home batteries and other consumer energy resources</w:t>
      </w:r>
      <w:r>
        <w:t xml:space="preserve"> </w:t>
      </w:r>
    </w:p>
    <w:p w14:paraId="72A940AE" w14:textId="77777777" w:rsidR="0012790E" w:rsidRDefault="0012790E">
      <w:pPr>
        <w:pStyle w:val="Bullet"/>
      </w:pPr>
      <w:r w:rsidRPr="001C06E6">
        <w:t>$16.6</w:t>
      </w:r>
      <w:r>
        <w:t> </w:t>
      </w:r>
      <w:r w:rsidRPr="001C06E6">
        <w:t xml:space="preserve">million over four years from </w:t>
      </w:r>
      <w:r>
        <w:t>2024–25</w:t>
      </w:r>
      <w:r w:rsidRPr="001C06E6">
        <w:t xml:space="preserve"> (including $1.7</w:t>
      </w:r>
      <w:r>
        <w:t> </w:t>
      </w:r>
      <w:r w:rsidRPr="001C06E6">
        <w:t xml:space="preserve">million in capital funding in </w:t>
      </w:r>
      <w:r>
        <w:t>2024–25</w:t>
      </w:r>
      <w:r w:rsidRPr="001C06E6">
        <w:t>) for the Australian Energy Regulator to help households get onto a better plan by sustaining regulatory activities, upgrading data and digital systems to reduce regulatory burden and cost, and delivering better outcomes for consumers through the Energy Made Easy website</w:t>
      </w:r>
      <w:r>
        <w:t xml:space="preserve"> </w:t>
      </w:r>
    </w:p>
    <w:p w14:paraId="62233CB5" w14:textId="193FA818" w:rsidR="0012790E" w:rsidRDefault="0012790E">
      <w:pPr>
        <w:pStyle w:val="Bullet"/>
      </w:pPr>
      <w:r w:rsidRPr="001C06E6">
        <w:t>$1.8</w:t>
      </w:r>
      <w:r>
        <w:t> </w:t>
      </w:r>
      <w:r w:rsidRPr="001C06E6">
        <w:t xml:space="preserve">million over four years from </w:t>
      </w:r>
      <w:r>
        <w:t>2024–25</w:t>
      </w:r>
      <w:r w:rsidRPr="001C06E6">
        <w:t xml:space="preserve"> to implement a range of consumer</w:t>
      </w:r>
      <w:r>
        <w:noBreakHyphen/>
      </w:r>
      <w:r w:rsidRPr="001C06E6">
        <w:t>focused energy retail reform measures to support consumers switching to a better deal with just ‘one click’, prevent contracts automatically rolling over to higher</w:t>
      </w:r>
      <w:r>
        <w:noBreakHyphen/>
      </w:r>
      <w:r w:rsidRPr="001C06E6">
        <w:t>cost deals, ensure people receive the concessions and rebates they are entitled to and reduce excess fees and charges</w:t>
      </w:r>
      <w:r>
        <w:t xml:space="preserve"> </w:t>
      </w:r>
    </w:p>
    <w:p w14:paraId="7CDCE25D" w14:textId="77777777" w:rsidR="0012790E" w:rsidRDefault="0012790E">
      <w:pPr>
        <w:pStyle w:val="Bullet"/>
      </w:pPr>
      <w:r w:rsidRPr="001C06E6">
        <w:lastRenderedPageBreak/>
        <w:t>$1.6</w:t>
      </w:r>
      <w:r>
        <w:t> </w:t>
      </w:r>
      <w:r w:rsidRPr="001C06E6">
        <w:t xml:space="preserve">million over two years from </w:t>
      </w:r>
      <w:r>
        <w:t>2024–25</w:t>
      </w:r>
      <w:r w:rsidRPr="001C06E6">
        <w:t xml:space="preserve"> to undertake a statutory review of the </w:t>
      </w:r>
      <w:r w:rsidRPr="001C06E6">
        <w:rPr>
          <w:i/>
          <w:iCs/>
        </w:rPr>
        <w:t>Prohibited Energy Market Misconduct Act 2019</w:t>
      </w:r>
      <w:r w:rsidRPr="001C06E6">
        <w:t xml:space="preserve"> provisions in electricity retail, contract and wholesale markets.</w:t>
      </w:r>
      <w:r>
        <w:t xml:space="preserve"> </w:t>
      </w:r>
    </w:p>
    <w:p w14:paraId="40E4F83B"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by reprioritising funding within the Department of Climate Change, Energy, the Environment and Water. </w:t>
      </w:r>
    </w:p>
    <w:p w14:paraId="2B13BF62" w14:textId="77777777" w:rsidR="0012790E" w:rsidRPr="001C06E6" w:rsidRDefault="0012790E">
      <w:pPr>
        <w:pStyle w:val="MeasureTitle"/>
        <w:rPr>
          <w:b w:val="0"/>
          <w:bCs/>
        </w:rPr>
      </w:pPr>
      <w:r w:rsidRPr="001C06E6">
        <w:rPr>
          <w:bCs/>
        </w:rPr>
        <w:t>Improving the Australian Carbon Credit Unit Scheme</w:t>
      </w:r>
    </w:p>
    <w:p w14:paraId="2FA1E52D"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ABEEC23" w14:textId="77777777">
        <w:tc>
          <w:tcPr>
            <w:tcW w:w="2497" w:type="dxa"/>
            <w:tcBorders>
              <w:top w:val="single" w:sz="4" w:space="0" w:color="293F5B"/>
              <w:bottom w:val="single" w:sz="4" w:space="0" w:color="293F5B"/>
            </w:tcBorders>
            <w:shd w:val="clear" w:color="auto" w:fill="auto"/>
          </w:tcPr>
          <w:p w14:paraId="70E1A944"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C277F34"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247BE24"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556332A"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56F57BB1"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297204D" w14:textId="77777777" w:rsidR="0012790E" w:rsidRPr="001C06E6" w:rsidRDefault="0012790E">
            <w:pPr>
              <w:pStyle w:val="MeasureTableYearHeadings"/>
              <w:keepNext/>
            </w:pPr>
            <w:r w:rsidRPr="001C06E6">
              <w:t>2027</w:t>
            </w:r>
            <w:r>
              <w:noBreakHyphen/>
            </w:r>
            <w:r w:rsidRPr="001C06E6">
              <w:t>28</w:t>
            </w:r>
          </w:p>
        </w:tc>
      </w:tr>
      <w:tr w:rsidR="0012790E" w:rsidRPr="001C06E6" w14:paraId="0E6F39D9" w14:textId="77777777">
        <w:tc>
          <w:tcPr>
            <w:tcW w:w="2497" w:type="dxa"/>
            <w:tcBorders>
              <w:top w:val="single" w:sz="4" w:space="0" w:color="293F5B"/>
              <w:bottom w:val="single" w:sz="4" w:space="0" w:color="293F5B"/>
            </w:tcBorders>
            <w:shd w:val="clear" w:color="auto" w:fill="auto"/>
          </w:tcPr>
          <w:p w14:paraId="2975BD1A"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24E465B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91FCE96" w14:textId="77777777" w:rsidR="0012790E" w:rsidRPr="001C06E6" w:rsidRDefault="0012790E">
            <w:pPr>
              <w:pStyle w:val="MeasureTableDataRightAlignedwith2ptsspacing"/>
              <w:keepNext/>
            </w:pPr>
            <w:r>
              <w:t xml:space="preserve">6.9   </w:t>
            </w:r>
          </w:p>
        </w:tc>
        <w:tc>
          <w:tcPr>
            <w:tcW w:w="1045" w:type="dxa"/>
            <w:tcBorders>
              <w:top w:val="single" w:sz="4" w:space="0" w:color="293F5B"/>
              <w:bottom w:val="single" w:sz="4" w:space="0" w:color="293F5B"/>
            </w:tcBorders>
            <w:shd w:val="clear" w:color="auto" w:fill="auto"/>
          </w:tcPr>
          <w:p w14:paraId="044542E9" w14:textId="77777777" w:rsidR="0012790E" w:rsidRPr="001C06E6" w:rsidRDefault="0012790E">
            <w:pPr>
              <w:pStyle w:val="MeasureTableDataRightAlignedwith2ptsspacing"/>
              <w:keepNext/>
            </w:pPr>
            <w:r>
              <w:t xml:space="preserve">8.1   </w:t>
            </w:r>
          </w:p>
        </w:tc>
        <w:tc>
          <w:tcPr>
            <w:tcW w:w="1045" w:type="dxa"/>
            <w:tcBorders>
              <w:top w:val="single" w:sz="4" w:space="0" w:color="293F5B"/>
              <w:bottom w:val="single" w:sz="4" w:space="0" w:color="293F5B"/>
            </w:tcBorders>
            <w:shd w:val="clear" w:color="auto" w:fill="auto"/>
          </w:tcPr>
          <w:p w14:paraId="7024A621" w14:textId="77777777" w:rsidR="0012790E" w:rsidRPr="001C06E6" w:rsidRDefault="0012790E">
            <w:pPr>
              <w:pStyle w:val="MeasureTableDataRightAlignedwith2ptsspacing"/>
              <w:keepNext/>
            </w:pPr>
            <w:r>
              <w:t xml:space="preserve">8.1   </w:t>
            </w:r>
          </w:p>
        </w:tc>
        <w:tc>
          <w:tcPr>
            <w:tcW w:w="1045" w:type="dxa"/>
            <w:tcBorders>
              <w:top w:val="single" w:sz="4" w:space="0" w:color="293F5B"/>
              <w:bottom w:val="single" w:sz="4" w:space="0" w:color="293F5B"/>
            </w:tcBorders>
            <w:shd w:val="clear" w:color="auto" w:fill="auto"/>
          </w:tcPr>
          <w:p w14:paraId="490636C0" w14:textId="77777777" w:rsidR="0012790E" w:rsidRPr="001C06E6" w:rsidRDefault="0012790E">
            <w:pPr>
              <w:pStyle w:val="MeasureTableDataRightAlignedwith2ptsspacing"/>
              <w:keepNext/>
            </w:pPr>
            <w:r>
              <w:t xml:space="preserve">7.3   </w:t>
            </w:r>
          </w:p>
        </w:tc>
      </w:tr>
      <w:tr w:rsidR="0012790E" w:rsidRPr="001C06E6" w14:paraId="2E820DB7" w14:textId="77777777">
        <w:tc>
          <w:tcPr>
            <w:tcW w:w="2497" w:type="dxa"/>
            <w:tcBorders>
              <w:top w:val="single" w:sz="4" w:space="0" w:color="293F5B"/>
              <w:bottom w:val="single" w:sz="4" w:space="0" w:color="293F5B"/>
            </w:tcBorders>
            <w:shd w:val="clear" w:color="auto" w:fill="auto"/>
          </w:tcPr>
          <w:p w14:paraId="5C0AE1FE" w14:textId="77777777" w:rsidR="0012790E" w:rsidRPr="001C06E6" w:rsidRDefault="0012790E">
            <w:pPr>
              <w:pStyle w:val="MeasureTableHeadingleftalignedwith2ptsspacing"/>
              <w:keepNext/>
            </w:pPr>
            <w:r w:rsidRPr="001C06E6">
              <w:t>Clean Energy Regulator</w:t>
            </w:r>
          </w:p>
        </w:tc>
        <w:tc>
          <w:tcPr>
            <w:tcW w:w="1045" w:type="dxa"/>
            <w:tcBorders>
              <w:top w:val="single" w:sz="4" w:space="0" w:color="293F5B"/>
              <w:bottom w:val="single" w:sz="4" w:space="0" w:color="293F5B"/>
            </w:tcBorders>
            <w:shd w:val="clear" w:color="auto" w:fill="auto"/>
          </w:tcPr>
          <w:p w14:paraId="288CB4E7" w14:textId="77777777" w:rsidR="0012790E" w:rsidRPr="001C06E6" w:rsidRDefault="0012790E">
            <w:pPr>
              <w:pStyle w:val="MeasureTableDataRightAlignedwith2ptsspacing"/>
              <w:keepNext/>
            </w:pPr>
            <w:r w:rsidRPr="001C06E6">
              <w:t>-8.5</w:t>
            </w:r>
          </w:p>
        </w:tc>
        <w:tc>
          <w:tcPr>
            <w:tcW w:w="1045" w:type="dxa"/>
            <w:tcBorders>
              <w:top w:val="single" w:sz="4" w:space="0" w:color="293F5B"/>
              <w:bottom w:val="single" w:sz="4" w:space="0" w:color="293F5B"/>
            </w:tcBorders>
            <w:shd w:val="clear" w:color="auto" w:fill="auto"/>
          </w:tcPr>
          <w:p w14:paraId="3904BD69" w14:textId="77777777" w:rsidR="0012790E" w:rsidRPr="001C06E6" w:rsidRDefault="0012790E">
            <w:pPr>
              <w:pStyle w:val="MeasureTableDataRightAlignedwith2ptsspacing"/>
              <w:keepNext/>
            </w:pPr>
            <w:r w:rsidRPr="001C06E6">
              <w:t>-8.1</w:t>
            </w:r>
          </w:p>
        </w:tc>
        <w:tc>
          <w:tcPr>
            <w:tcW w:w="1045" w:type="dxa"/>
            <w:tcBorders>
              <w:top w:val="single" w:sz="4" w:space="0" w:color="293F5B"/>
              <w:bottom w:val="single" w:sz="4" w:space="0" w:color="293F5B"/>
            </w:tcBorders>
            <w:shd w:val="clear" w:color="auto" w:fill="auto"/>
          </w:tcPr>
          <w:p w14:paraId="05E34787" w14:textId="77777777" w:rsidR="0012790E" w:rsidRPr="001C06E6" w:rsidRDefault="0012790E">
            <w:pPr>
              <w:pStyle w:val="MeasureTableDataRightAlignedwith2ptsspacing"/>
              <w:keepNext/>
            </w:pPr>
            <w:r w:rsidRPr="001C06E6">
              <w:t>-8.1</w:t>
            </w:r>
          </w:p>
        </w:tc>
        <w:tc>
          <w:tcPr>
            <w:tcW w:w="1045" w:type="dxa"/>
            <w:tcBorders>
              <w:top w:val="single" w:sz="4" w:space="0" w:color="293F5B"/>
              <w:bottom w:val="single" w:sz="4" w:space="0" w:color="293F5B"/>
            </w:tcBorders>
            <w:shd w:val="clear" w:color="auto" w:fill="auto"/>
          </w:tcPr>
          <w:p w14:paraId="7B3BCC79" w14:textId="77777777" w:rsidR="0012790E" w:rsidRPr="001C06E6" w:rsidRDefault="0012790E">
            <w:pPr>
              <w:pStyle w:val="MeasureTableDataRightAlignedwith2ptsspacing"/>
              <w:keepNext/>
            </w:pPr>
            <w:r w:rsidRPr="001C06E6">
              <w:t>-8.1</w:t>
            </w:r>
          </w:p>
        </w:tc>
        <w:tc>
          <w:tcPr>
            <w:tcW w:w="1045" w:type="dxa"/>
            <w:tcBorders>
              <w:top w:val="single" w:sz="4" w:space="0" w:color="293F5B"/>
              <w:bottom w:val="single" w:sz="4" w:space="0" w:color="293F5B"/>
            </w:tcBorders>
            <w:shd w:val="clear" w:color="auto" w:fill="auto"/>
          </w:tcPr>
          <w:p w14:paraId="40203445" w14:textId="77777777" w:rsidR="0012790E" w:rsidRPr="001C06E6" w:rsidRDefault="0012790E">
            <w:pPr>
              <w:pStyle w:val="MeasureTableDataRightAlignedwith2ptsspacing"/>
              <w:keepNext/>
            </w:pPr>
            <w:r w:rsidRPr="001C06E6">
              <w:t>-7.3</w:t>
            </w:r>
          </w:p>
        </w:tc>
      </w:tr>
      <w:tr w:rsidR="0012790E" w:rsidRPr="001C06E6" w14:paraId="452EA3D2" w14:textId="77777777">
        <w:tc>
          <w:tcPr>
            <w:tcW w:w="2497" w:type="dxa"/>
            <w:tcBorders>
              <w:top w:val="single" w:sz="4" w:space="0" w:color="293F5B"/>
              <w:bottom w:val="single" w:sz="4" w:space="0" w:color="293F5B"/>
            </w:tcBorders>
            <w:shd w:val="clear" w:color="auto" w:fill="auto"/>
          </w:tcPr>
          <w:p w14:paraId="4E54E65E"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2A168987" w14:textId="77777777" w:rsidR="0012790E" w:rsidRPr="001C06E6" w:rsidRDefault="0012790E">
            <w:pPr>
              <w:pStyle w:val="Totaldatarowrightaligned"/>
              <w:keepNext/>
            </w:pPr>
            <w:r w:rsidRPr="001C06E6">
              <w:t>-8.5</w:t>
            </w:r>
          </w:p>
        </w:tc>
        <w:tc>
          <w:tcPr>
            <w:tcW w:w="1045" w:type="dxa"/>
            <w:tcBorders>
              <w:top w:val="single" w:sz="4" w:space="0" w:color="293F5B"/>
              <w:bottom w:val="single" w:sz="4" w:space="0" w:color="293F5B"/>
            </w:tcBorders>
            <w:shd w:val="clear" w:color="auto" w:fill="auto"/>
          </w:tcPr>
          <w:p w14:paraId="3DA6D0AB" w14:textId="77777777" w:rsidR="0012790E" w:rsidRPr="001C06E6" w:rsidRDefault="0012790E">
            <w:pPr>
              <w:pStyle w:val="Totaldatarowrightaligned"/>
              <w:keepNext/>
            </w:pPr>
            <w:r w:rsidRPr="001C06E6">
              <w:t>-1.2</w:t>
            </w:r>
          </w:p>
        </w:tc>
        <w:tc>
          <w:tcPr>
            <w:tcW w:w="1045" w:type="dxa"/>
            <w:tcBorders>
              <w:top w:val="single" w:sz="4" w:space="0" w:color="293F5B"/>
              <w:bottom w:val="single" w:sz="4" w:space="0" w:color="293F5B"/>
            </w:tcBorders>
            <w:shd w:val="clear" w:color="auto" w:fill="auto"/>
          </w:tcPr>
          <w:p w14:paraId="439FF4AE"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6A7A98C4"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7C438412" w14:textId="77777777" w:rsidR="0012790E" w:rsidRPr="001C06E6" w:rsidRDefault="0012790E">
            <w:pPr>
              <w:pStyle w:val="Totaldatarowrightaligned"/>
              <w:keepNext/>
            </w:pPr>
            <w:r w:rsidRPr="001C06E6">
              <w:t>-</w:t>
            </w:r>
          </w:p>
        </w:tc>
      </w:tr>
      <w:tr w:rsidR="0012790E" w:rsidRPr="001C06E6" w14:paraId="49D524FE" w14:textId="77777777">
        <w:tc>
          <w:tcPr>
            <w:tcW w:w="2497" w:type="dxa"/>
            <w:tcBorders>
              <w:top w:val="single" w:sz="4" w:space="0" w:color="293F5B"/>
            </w:tcBorders>
            <w:shd w:val="clear" w:color="auto" w:fill="auto"/>
          </w:tcPr>
          <w:p w14:paraId="294F7DBE"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69979C51" w14:textId="77777777" w:rsidR="0012790E" w:rsidRPr="001C06E6" w:rsidRDefault="0012790E">
            <w:pPr>
              <w:pStyle w:val="AgencyName"/>
              <w:keepNext/>
            </w:pPr>
          </w:p>
        </w:tc>
        <w:tc>
          <w:tcPr>
            <w:tcW w:w="1045" w:type="dxa"/>
            <w:tcBorders>
              <w:top w:val="single" w:sz="4" w:space="0" w:color="293F5B"/>
            </w:tcBorders>
            <w:shd w:val="clear" w:color="auto" w:fill="auto"/>
          </w:tcPr>
          <w:p w14:paraId="7854B566" w14:textId="77777777" w:rsidR="0012790E" w:rsidRPr="001C06E6" w:rsidRDefault="0012790E">
            <w:pPr>
              <w:pStyle w:val="AgencyName"/>
              <w:keepNext/>
            </w:pPr>
          </w:p>
        </w:tc>
        <w:tc>
          <w:tcPr>
            <w:tcW w:w="1045" w:type="dxa"/>
            <w:tcBorders>
              <w:top w:val="single" w:sz="4" w:space="0" w:color="293F5B"/>
            </w:tcBorders>
            <w:shd w:val="clear" w:color="auto" w:fill="auto"/>
          </w:tcPr>
          <w:p w14:paraId="64C0126C" w14:textId="77777777" w:rsidR="0012790E" w:rsidRPr="001C06E6" w:rsidRDefault="0012790E">
            <w:pPr>
              <w:pStyle w:val="AgencyName"/>
              <w:keepNext/>
            </w:pPr>
          </w:p>
        </w:tc>
        <w:tc>
          <w:tcPr>
            <w:tcW w:w="1045" w:type="dxa"/>
            <w:tcBorders>
              <w:top w:val="single" w:sz="4" w:space="0" w:color="293F5B"/>
            </w:tcBorders>
            <w:shd w:val="clear" w:color="auto" w:fill="auto"/>
          </w:tcPr>
          <w:p w14:paraId="378FA98D" w14:textId="77777777" w:rsidR="0012790E" w:rsidRPr="001C06E6" w:rsidRDefault="0012790E">
            <w:pPr>
              <w:pStyle w:val="AgencyName"/>
              <w:keepNext/>
            </w:pPr>
          </w:p>
        </w:tc>
        <w:tc>
          <w:tcPr>
            <w:tcW w:w="1045" w:type="dxa"/>
            <w:tcBorders>
              <w:top w:val="single" w:sz="4" w:space="0" w:color="293F5B"/>
            </w:tcBorders>
            <w:shd w:val="clear" w:color="auto" w:fill="auto"/>
          </w:tcPr>
          <w:p w14:paraId="1D686AC7" w14:textId="77777777" w:rsidR="0012790E" w:rsidRPr="001C06E6" w:rsidRDefault="0012790E">
            <w:pPr>
              <w:pStyle w:val="AgencyName"/>
              <w:keepNext/>
            </w:pPr>
          </w:p>
        </w:tc>
      </w:tr>
      <w:tr w:rsidR="0012790E" w:rsidRPr="001C06E6" w14:paraId="6F310B93" w14:textId="77777777">
        <w:tc>
          <w:tcPr>
            <w:tcW w:w="2497" w:type="dxa"/>
            <w:tcBorders>
              <w:bottom w:val="single" w:sz="4" w:space="0" w:color="293F5B"/>
            </w:tcBorders>
            <w:shd w:val="clear" w:color="auto" w:fill="auto"/>
          </w:tcPr>
          <w:p w14:paraId="10F8EFCE" w14:textId="77777777" w:rsidR="0012790E" w:rsidRPr="001C06E6" w:rsidRDefault="0012790E">
            <w:pPr>
              <w:pStyle w:val="AgencyNamewith2ptsspacing"/>
              <w:keepNext/>
            </w:pPr>
            <w:r w:rsidRPr="001C06E6">
              <w:t>Clean Energy Regulator</w:t>
            </w:r>
          </w:p>
        </w:tc>
        <w:tc>
          <w:tcPr>
            <w:tcW w:w="1045" w:type="dxa"/>
            <w:tcBorders>
              <w:bottom w:val="single" w:sz="4" w:space="0" w:color="293F5B"/>
            </w:tcBorders>
            <w:shd w:val="clear" w:color="auto" w:fill="auto"/>
          </w:tcPr>
          <w:p w14:paraId="391468E9" w14:textId="77777777" w:rsidR="0012790E" w:rsidRPr="001C06E6" w:rsidRDefault="0012790E">
            <w:pPr>
              <w:pStyle w:val="Measuretabledatarightaligneditalics"/>
              <w:keepNext/>
            </w:pPr>
            <w:r w:rsidRPr="001C06E6">
              <w:t>-8.5</w:t>
            </w:r>
          </w:p>
        </w:tc>
        <w:tc>
          <w:tcPr>
            <w:tcW w:w="1045" w:type="dxa"/>
            <w:tcBorders>
              <w:bottom w:val="single" w:sz="4" w:space="0" w:color="293F5B"/>
            </w:tcBorders>
            <w:shd w:val="clear" w:color="auto" w:fill="auto"/>
          </w:tcPr>
          <w:p w14:paraId="5F097986" w14:textId="77777777" w:rsidR="0012790E" w:rsidRPr="001C06E6" w:rsidRDefault="0012790E">
            <w:pPr>
              <w:pStyle w:val="Measuretabledatarightaligneditalics"/>
              <w:keepNext/>
            </w:pPr>
            <w:r w:rsidRPr="001C06E6">
              <w:t>-1.2</w:t>
            </w:r>
          </w:p>
        </w:tc>
        <w:tc>
          <w:tcPr>
            <w:tcW w:w="1045" w:type="dxa"/>
            <w:tcBorders>
              <w:bottom w:val="single" w:sz="4" w:space="0" w:color="293F5B"/>
            </w:tcBorders>
            <w:shd w:val="clear" w:color="auto" w:fill="auto"/>
          </w:tcPr>
          <w:p w14:paraId="09880371"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41F8BFE5"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7EE696B8" w14:textId="77777777" w:rsidR="0012790E" w:rsidRPr="001C06E6" w:rsidRDefault="0012790E">
            <w:pPr>
              <w:pStyle w:val="Measuretabledatarightaligneditalics"/>
              <w:keepNext/>
            </w:pPr>
            <w:r w:rsidRPr="001C06E6">
              <w:t>-</w:t>
            </w:r>
          </w:p>
        </w:tc>
      </w:tr>
    </w:tbl>
    <w:p w14:paraId="4795F49F" w14:textId="77777777" w:rsidR="0012790E" w:rsidRPr="001C06E6" w:rsidRDefault="0012790E">
      <w:pPr>
        <w:keepNext/>
        <w:widowControl w:val="0"/>
        <w:tabs>
          <w:tab w:val="right" w:pos="3536"/>
          <w:tab w:val="right" w:pos="4579"/>
          <w:tab w:val="right" w:pos="5622"/>
          <w:tab w:val="right" w:pos="6664"/>
          <w:tab w:val="right" w:pos="7707"/>
        </w:tabs>
        <w:spacing w:line="240" w:lineRule="exact"/>
        <w:rPr>
          <w:i/>
          <w:iCs/>
          <w:color w:val="000000"/>
          <w:sz w:val="16"/>
          <w:szCs w:val="16"/>
          <w:lang w:val="en-AU"/>
        </w:rPr>
      </w:pPr>
    </w:p>
    <w:p w14:paraId="5ED65918" w14:textId="77777777" w:rsidR="0012790E" w:rsidRDefault="0012790E" w:rsidP="54937204">
      <w:pPr>
        <w:pStyle w:val="Normal2"/>
        <w:rPr>
          <w:rFonts w:cs="Book Antiqua"/>
          <w:lang w:val="en-US"/>
        </w:rPr>
      </w:pPr>
      <w:r w:rsidRPr="54937204">
        <w:rPr>
          <w:rFonts w:cs="Book Antiqua"/>
          <w:lang w:val="en-US"/>
        </w:rPr>
        <w:t xml:space="preserve">The Government will provide an additional $48.0 million over four years from 2024–25 to implement further reforms to the Australian Carbon Credit Unit scheme as part of the Government’s response to the Independent Review of Australian Carbon Credit Units. </w:t>
      </w:r>
    </w:p>
    <w:p w14:paraId="6024C5AF" w14:textId="77777777" w:rsidR="0012790E" w:rsidRDefault="0012790E" w:rsidP="54937204">
      <w:pPr>
        <w:pStyle w:val="Normal2"/>
        <w:rPr>
          <w:rFonts w:cs="Book Antiqua"/>
          <w:lang w:val="en-US"/>
        </w:rPr>
      </w:pPr>
      <w:r w:rsidRPr="54937204">
        <w:rPr>
          <w:rFonts w:cs="Book Antiqua"/>
          <w:lang w:val="en-US"/>
        </w:rPr>
        <w:t xml:space="preserve">These reforms will establish the Carbon Abatement Integrity Committee to oversee the new proponent led method development process and strengthen integrity, provide enhanced transparency measures, and support First Nations participation including in supporting consent processes for projects on Native Title land. </w:t>
      </w:r>
    </w:p>
    <w:p w14:paraId="7DC0ADDA" w14:textId="08165A2F" w:rsidR="0012790E" w:rsidRDefault="0012790E">
      <w:pPr>
        <w:pStyle w:val="Normal2"/>
        <w:rPr>
          <w:rFonts w:cs="Book Antiqua"/>
        </w:rPr>
      </w:pPr>
      <w:r w:rsidRPr="001C06E6">
        <w:rPr>
          <w:rFonts w:cs="Book Antiqua"/>
        </w:rPr>
        <w:t>The Government will also forgo $9.7</w:t>
      </w:r>
      <w:r>
        <w:rPr>
          <w:rFonts w:cs="Book Antiqua"/>
        </w:rPr>
        <w:t> </w:t>
      </w:r>
      <w:r w:rsidRPr="001C06E6">
        <w:rPr>
          <w:rFonts w:cs="Book Antiqua"/>
        </w:rPr>
        <w:t xml:space="preserve">million over two years from </w:t>
      </w:r>
      <w:r>
        <w:rPr>
          <w:rFonts w:cs="Book Antiqua"/>
        </w:rPr>
        <w:t>2023–24</w:t>
      </w:r>
      <w:r w:rsidRPr="001C06E6">
        <w:rPr>
          <w:rFonts w:cs="Book Antiqua"/>
        </w:rPr>
        <w:t xml:space="preserve"> in receipts to</w:t>
      </w:r>
      <w:r>
        <w:rPr>
          <w:rFonts w:cs="Book Antiqua"/>
        </w:rPr>
        <w:t xml:space="preserve"> </w:t>
      </w:r>
      <w:r w:rsidRPr="001C06E6">
        <w:rPr>
          <w:rFonts w:cs="Book Antiqua"/>
        </w:rPr>
        <w:t>trial</w:t>
      </w:r>
      <w:r w:rsidR="00E00F9E">
        <w:rPr>
          <w:rFonts w:cs="Book Antiqua"/>
        </w:rPr>
        <w:t> </w:t>
      </w:r>
      <w:r w:rsidRPr="001C06E6">
        <w:rPr>
          <w:rFonts w:cs="Book Antiqua"/>
        </w:rPr>
        <w:t>on a pilot basis a partial delivery requirement as part of the fourth exit window for</w:t>
      </w:r>
      <w:r>
        <w:rPr>
          <w:rFonts w:cs="Book Antiqua"/>
        </w:rPr>
        <w:t xml:space="preserve"> </w:t>
      </w:r>
      <w:r w:rsidRPr="001C06E6">
        <w:rPr>
          <w:rFonts w:cs="Book Antiqua"/>
        </w:rPr>
        <w:t>fixed delivery Carbon Abatement Contract exit arrangements to increase the supply of</w:t>
      </w:r>
      <w:r>
        <w:rPr>
          <w:rFonts w:cs="Book Antiqua"/>
        </w:rPr>
        <w:t xml:space="preserve"> </w:t>
      </w:r>
      <w:r w:rsidRPr="001C06E6">
        <w:rPr>
          <w:rFonts w:cs="Book Antiqua"/>
        </w:rPr>
        <w:t>Australian Carbon Credit Units to the Safeguard Mechanism Cost Containment</w:t>
      </w:r>
      <w:r>
        <w:rPr>
          <w:rFonts w:cs="Book Antiqua"/>
        </w:rPr>
        <w:t xml:space="preserve"> </w:t>
      </w:r>
      <w:r w:rsidRPr="001C06E6">
        <w:rPr>
          <w:rFonts w:cs="Book Antiqua"/>
        </w:rPr>
        <w:t>Measure. The trial will inform an enduring exit arrangement for fixed delivery Carbon</w:t>
      </w:r>
      <w:r>
        <w:rPr>
          <w:rFonts w:cs="Book Antiqua"/>
        </w:rPr>
        <w:t xml:space="preserve"> </w:t>
      </w:r>
      <w:r w:rsidRPr="001C06E6">
        <w:rPr>
          <w:rFonts w:cs="Book Antiqua"/>
        </w:rPr>
        <w:t>Abatement</w:t>
      </w:r>
      <w:r w:rsidR="00E00F9E">
        <w:rPr>
          <w:rFonts w:cs="Book Antiqua"/>
        </w:rPr>
        <w:t> </w:t>
      </w:r>
      <w:r w:rsidRPr="001C06E6">
        <w:rPr>
          <w:rFonts w:cs="Book Antiqua"/>
        </w:rPr>
        <w:t>Contracts.</w:t>
      </w:r>
      <w:r>
        <w:rPr>
          <w:rFonts w:cs="Book Antiqua"/>
        </w:rPr>
        <w:t xml:space="preserve"> </w:t>
      </w:r>
    </w:p>
    <w:p w14:paraId="63DA77E2" w14:textId="77777777" w:rsidR="0012790E" w:rsidRDefault="0012790E" w:rsidP="54937204">
      <w:pPr>
        <w:pStyle w:val="Normal2"/>
        <w:rPr>
          <w:rFonts w:cs="Book Antiqua"/>
          <w:lang w:val="en-US"/>
        </w:rPr>
      </w:pPr>
      <w:r w:rsidRPr="54937204">
        <w:rPr>
          <w:rFonts w:cs="Book Antiqua"/>
          <w:lang w:val="en-US"/>
        </w:rPr>
        <w:t xml:space="preserve">The cost of this measure will be met from a reprioritisation of funding from the </w:t>
      </w:r>
      <w:r w:rsidRPr="54937204">
        <w:rPr>
          <w:rFonts w:cs="Book Antiqua"/>
          <w:i/>
          <w:iCs/>
          <w:lang w:val="en-US"/>
        </w:rPr>
        <w:t>Powering the Regions Fund</w:t>
      </w:r>
      <w:r w:rsidRPr="54937204">
        <w:rPr>
          <w:rFonts w:cs="Book Antiqua"/>
          <w:lang w:val="en-US"/>
        </w:rPr>
        <w:t xml:space="preserve">. </w:t>
      </w:r>
    </w:p>
    <w:p w14:paraId="4F360453" w14:textId="77777777" w:rsidR="0012790E" w:rsidRDefault="0012790E" w:rsidP="54937204">
      <w:pPr>
        <w:pStyle w:val="Normal2"/>
        <w:rPr>
          <w:rFonts w:cs="Book Antiqua"/>
          <w:lang w:val="en-US"/>
        </w:rPr>
      </w:pPr>
      <w:r w:rsidRPr="54937204">
        <w:rPr>
          <w:rFonts w:cs="Book Antiqua"/>
          <w:lang w:val="en-US"/>
        </w:rPr>
        <w:t>This measure builds on the 2023–24 Budget measure titled</w:t>
      </w:r>
      <w:r w:rsidRPr="54937204">
        <w:rPr>
          <w:rFonts w:cs="Book Antiqua"/>
          <w:i/>
          <w:iCs/>
          <w:lang w:val="en-US"/>
        </w:rPr>
        <w:t xml:space="preserve"> Independent Review of Australian Carbon Credit Units – initial response</w:t>
      </w:r>
      <w:r w:rsidRPr="54937204">
        <w:rPr>
          <w:rFonts w:cs="Book Antiqua"/>
          <w:lang w:val="en-US"/>
        </w:rPr>
        <w:t xml:space="preserve">. </w:t>
      </w:r>
    </w:p>
    <w:p w14:paraId="6650BB38" w14:textId="77777777" w:rsidR="0012790E" w:rsidRPr="001C06E6" w:rsidRDefault="0012790E" w:rsidP="54937204">
      <w:pPr>
        <w:pStyle w:val="MeasureTitle"/>
        <w:rPr>
          <w:b w:val="0"/>
          <w:lang w:val="en-US"/>
        </w:rPr>
      </w:pPr>
      <w:r w:rsidRPr="54937204">
        <w:rPr>
          <w:lang w:val="en-US"/>
        </w:rPr>
        <w:lastRenderedPageBreak/>
        <w:t>Inspector</w:t>
      </w:r>
      <w:r>
        <w:rPr>
          <w:bCs/>
        </w:rPr>
        <w:noBreakHyphen/>
      </w:r>
      <w:r w:rsidRPr="54937204">
        <w:rPr>
          <w:lang w:val="en-US"/>
        </w:rPr>
        <w:t>General of Water Compliance Legislative Functions</w:t>
      </w:r>
    </w:p>
    <w:p w14:paraId="422B2FBB"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799FB0E" w14:textId="77777777">
        <w:tc>
          <w:tcPr>
            <w:tcW w:w="2497" w:type="dxa"/>
            <w:tcBorders>
              <w:top w:val="single" w:sz="4" w:space="0" w:color="293F5B"/>
              <w:bottom w:val="single" w:sz="4" w:space="0" w:color="293F5B"/>
            </w:tcBorders>
            <w:shd w:val="clear" w:color="auto" w:fill="auto"/>
          </w:tcPr>
          <w:p w14:paraId="0DD2F15A"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081CA0E"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E317C6A"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B7EB5C5"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70FF014"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979FADE" w14:textId="77777777" w:rsidR="0012790E" w:rsidRPr="001C06E6" w:rsidRDefault="0012790E">
            <w:pPr>
              <w:pStyle w:val="MeasureTableYearHeadings"/>
              <w:keepNext/>
            </w:pPr>
            <w:r w:rsidRPr="001C06E6">
              <w:t>2027</w:t>
            </w:r>
            <w:r>
              <w:noBreakHyphen/>
            </w:r>
            <w:r w:rsidRPr="001C06E6">
              <w:t>28</w:t>
            </w:r>
          </w:p>
        </w:tc>
      </w:tr>
      <w:tr w:rsidR="0012790E" w:rsidRPr="001C06E6" w14:paraId="05E9B8F9" w14:textId="77777777">
        <w:tc>
          <w:tcPr>
            <w:tcW w:w="2497" w:type="dxa"/>
            <w:tcBorders>
              <w:top w:val="single" w:sz="4" w:space="0" w:color="293F5B"/>
              <w:bottom w:val="single" w:sz="4" w:space="0" w:color="293F5B"/>
            </w:tcBorders>
            <w:shd w:val="clear" w:color="auto" w:fill="auto"/>
          </w:tcPr>
          <w:p w14:paraId="29410AD9"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3F49FA9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41FC2A2" w14:textId="77777777" w:rsidR="0012790E" w:rsidRPr="001C06E6" w:rsidRDefault="0012790E">
            <w:pPr>
              <w:pStyle w:val="MeasureTableDataRightAlignedwith2ptsspacing"/>
              <w:keepNext/>
            </w:pPr>
            <w:r>
              <w:t xml:space="preserve">7.3   </w:t>
            </w:r>
          </w:p>
        </w:tc>
        <w:tc>
          <w:tcPr>
            <w:tcW w:w="1045" w:type="dxa"/>
            <w:tcBorders>
              <w:top w:val="single" w:sz="4" w:space="0" w:color="293F5B"/>
              <w:bottom w:val="single" w:sz="4" w:space="0" w:color="293F5B"/>
            </w:tcBorders>
            <w:shd w:val="clear" w:color="auto" w:fill="auto"/>
          </w:tcPr>
          <w:p w14:paraId="217A8EC7" w14:textId="77777777" w:rsidR="0012790E" w:rsidRPr="001C06E6" w:rsidRDefault="0012790E">
            <w:pPr>
              <w:pStyle w:val="MeasureTableDataRightAlignedwith2ptsspacing"/>
              <w:keepNext/>
            </w:pPr>
            <w:r>
              <w:t xml:space="preserve">6.7   </w:t>
            </w:r>
          </w:p>
        </w:tc>
        <w:tc>
          <w:tcPr>
            <w:tcW w:w="1045" w:type="dxa"/>
            <w:tcBorders>
              <w:top w:val="single" w:sz="4" w:space="0" w:color="293F5B"/>
              <w:bottom w:val="single" w:sz="4" w:space="0" w:color="293F5B"/>
            </w:tcBorders>
            <w:shd w:val="clear" w:color="auto" w:fill="auto"/>
          </w:tcPr>
          <w:p w14:paraId="75C43E88" w14:textId="77777777" w:rsidR="0012790E" w:rsidRPr="001C06E6" w:rsidRDefault="0012790E">
            <w:pPr>
              <w:pStyle w:val="MeasureTableDataRightAlignedwith2ptsspacing"/>
              <w:keepNext/>
            </w:pPr>
            <w:r>
              <w:t xml:space="preserve">7.2   </w:t>
            </w:r>
          </w:p>
        </w:tc>
        <w:tc>
          <w:tcPr>
            <w:tcW w:w="1045" w:type="dxa"/>
            <w:tcBorders>
              <w:top w:val="single" w:sz="4" w:space="0" w:color="293F5B"/>
              <w:bottom w:val="single" w:sz="4" w:space="0" w:color="293F5B"/>
            </w:tcBorders>
            <w:shd w:val="clear" w:color="auto" w:fill="auto"/>
          </w:tcPr>
          <w:p w14:paraId="049FEA3C" w14:textId="77777777" w:rsidR="0012790E" w:rsidRPr="001C06E6" w:rsidRDefault="0012790E">
            <w:pPr>
              <w:pStyle w:val="MeasureTableDataRightAlignedwith2ptsspacing"/>
              <w:keepNext/>
            </w:pPr>
            <w:r>
              <w:t xml:space="preserve">7.4   </w:t>
            </w:r>
          </w:p>
        </w:tc>
      </w:tr>
    </w:tbl>
    <w:p w14:paraId="7269CC45" w14:textId="77777777" w:rsidR="0012790E" w:rsidRPr="001C06E6" w:rsidRDefault="0012790E">
      <w:pPr>
        <w:keepNext/>
        <w:widowControl w:val="0"/>
        <w:spacing w:line="184" w:lineRule="exact"/>
        <w:rPr>
          <w:color w:val="000000"/>
          <w:sz w:val="16"/>
          <w:szCs w:val="16"/>
          <w:lang w:val="en-AU"/>
        </w:rPr>
      </w:pPr>
    </w:p>
    <w:p w14:paraId="5FCE6C86" w14:textId="77777777" w:rsidR="0012790E" w:rsidRDefault="0012790E" w:rsidP="54937204">
      <w:pPr>
        <w:pStyle w:val="Normal2"/>
        <w:rPr>
          <w:rFonts w:cs="Book Antiqua"/>
          <w:lang w:val="en-US"/>
        </w:rPr>
      </w:pPr>
      <w:r w:rsidRPr="54937204">
        <w:rPr>
          <w:rFonts w:cs="Book Antiqua"/>
          <w:lang w:val="en-US"/>
        </w:rPr>
        <w:t>The Government will provide $28.6 million over four years from 2024–25 to the Inspector</w:t>
      </w:r>
      <w:r>
        <w:rPr>
          <w:rFonts w:cs="Book Antiqua"/>
        </w:rPr>
        <w:noBreakHyphen/>
      </w:r>
      <w:r w:rsidRPr="54937204">
        <w:rPr>
          <w:rFonts w:cs="Book Antiqua"/>
          <w:lang w:val="en-US"/>
        </w:rPr>
        <w:t xml:space="preserve">General of Water Compliance to undertake inquiry, oversight and public engagement functions under the </w:t>
      </w:r>
      <w:r w:rsidRPr="54937204">
        <w:rPr>
          <w:rFonts w:cs="Book Antiqua"/>
          <w:i/>
          <w:iCs/>
          <w:lang w:val="en-US"/>
        </w:rPr>
        <w:t>Water Act 2007</w:t>
      </w:r>
      <w:r w:rsidRPr="54937204">
        <w:rPr>
          <w:rFonts w:cs="Book Antiqua"/>
          <w:lang w:val="en-US"/>
        </w:rPr>
        <w:t xml:space="preserve"> and to maintain its independence.   </w:t>
      </w:r>
    </w:p>
    <w:p w14:paraId="0D263B75" w14:textId="77777777" w:rsidR="0012790E" w:rsidRDefault="0012790E" w:rsidP="54937204">
      <w:pPr>
        <w:pStyle w:val="Normal2"/>
        <w:rPr>
          <w:rFonts w:cs="Book Antiqua"/>
          <w:lang w:val="en-US"/>
        </w:rPr>
      </w:pPr>
      <w:r w:rsidRPr="54937204">
        <w:rPr>
          <w:rFonts w:cs="Book Antiqua"/>
          <w:lang w:val="en-US"/>
        </w:rPr>
        <w:t xml:space="preserve">Funding for this measure has already been provided for by the Government. </w:t>
      </w:r>
    </w:p>
    <w:p w14:paraId="0EC3A4C4" w14:textId="77777777" w:rsidR="0012790E" w:rsidRPr="001C06E6" w:rsidRDefault="0012790E">
      <w:pPr>
        <w:pStyle w:val="MeasureTitle"/>
        <w:rPr>
          <w:b w:val="0"/>
          <w:bCs/>
        </w:rPr>
      </w:pPr>
      <w:r w:rsidRPr="001C06E6">
        <w:rPr>
          <w:bCs/>
        </w:rPr>
        <w:t>Jabiru Remediation – continuing delivery</w:t>
      </w:r>
    </w:p>
    <w:p w14:paraId="02949B98"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263D958" w14:textId="77777777">
        <w:tc>
          <w:tcPr>
            <w:tcW w:w="2497" w:type="dxa"/>
            <w:tcBorders>
              <w:top w:val="single" w:sz="4" w:space="0" w:color="293F5B"/>
              <w:bottom w:val="single" w:sz="4" w:space="0" w:color="293F5B"/>
            </w:tcBorders>
            <w:shd w:val="clear" w:color="auto" w:fill="auto"/>
          </w:tcPr>
          <w:p w14:paraId="1A21C607"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CB6A9AD"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269825FE"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5F65A70"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6F85A5F"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0AFC6A1" w14:textId="77777777" w:rsidR="0012790E" w:rsidRPr="001C06E6" w:rsidRDefault="0012790E">
            <w:pPr>
              <w:pStyle w:val="MeasureTableYearHeadings"/>
              <w:keepNext/>
            </w:pPr>
            <w:r w:rsidRPr="001C06E6">
              <w:t>2027</w:t>
            </w:r>
            <w:r>
              <w:noBreakHyphen/>
            </w:r>
            <w:r w:rsidRPr="001C06E6">
              <w:t>28</w:t>
            </w:r>
          </w:p>
        </w:tc>
      </w:tr>
      <w:tr w:rsidR="0012790E" w:rsidRPr="001C06E6" w14:paraId="4A950FAD" w14:textId="77777777">
        <w:tc>
          <w:tcPr>
            <w:tcW w:w="2497" w:type="dxa"/>
            <w:tcBorders>
              <w:top w:val="single" w:sz="4" w:space="0" w:color="293F5B"/>
              <w:bottom w:val="single" w:sz="4" w:space="0" w:color="293F5B"/>
            </w:tcBorders>
            <w:shd w:val="clear" w:color="auto" w:fill="auto"/>
          </w:tcPr>
          <w:p w14:paraId="3B95CA0E"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7C7540B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93FBCB0" w14:textId="77777777" w:rsidR="0012790E" w:rsidRPr="001C06E6" w:rsidRDefault="0012790E">
            <w:pPr>
              <w:pStyle w:val="MeasureTableDataRightAlignedwith2ptsspacing"/>
              <w:keepNext/>
            </w:pPr>
            <w:r>
              <w:t xml:space="preserve">5.8   </w:t>
            </w:r>
          </w:p>
        </w:tc>
        <w:tc>
          <w:tcPr>
            <w:tcW w:w="1045" w:type="dxa"/>
            <w:tcBorders>
              <w:top w:val="single" w:sz="4" w:space="0" w:color="293F5B"/>
              <w:bottom w:val="single" w:sz="4" w:space="0" w:color="293F5B"/>
            </w:tcBorders>
            <w:shd w:val="clear" w:color="auto" w:fill="auto"/>
          </w:tcPr>
          <w:p w14:paraId="5D36857A" w14:textId="77777777" w:rsidR="0012790E" w:rsidRPr="001C06E6" w:rsidRDefault="0012790E">
            <w:pPr>
              <w:pStyle w:val="MeasureTableDataRightAlignedwith2ptsspacing"/>
              <w:keepNext/>
            </w:pPr>
            <w:r>
              <w:t xml:space="preserve">4.1   </w:t>
            </w:r>
          </w:p>
        </w:tc>
        <w:tc>
          <w:tcPr>
            <w:tcW w:w="1045" w:type="dxa"/>
            <w:tcBorders>
              <w:top w:val="single" w:sz="4" w:space="0" w:color="293F5B"/>
              <w:bottom w:val="single" w:sz="4" w:space="0" w:color="293F5B"/>
            </w:tcBorders>
            <w:shd w:val="clear" w:color="auto" w:fill="auto"/>
          </w:tcPr>
          <w:p w14:paraId="0FAB757C" w14:textId="77777777" w:rsidR="0012790E" w:rsidRPr="001C06E6" w:rsidRDefault="0012790E">
            <w:pPr>
              <w:pStyle w:val="MeasureTableDataRightAlignedwith2ptsspacing"/>
              <w:keepNext/>
            </w:pPr>
            <w:r>
              <w:t xml:space="preserve">0.8   </w:t>
            </w:r>
          </w:p>
        </w:tc>
        <w:tc>
          <w:tcPr>
            <w:tcW w:w="1045" w:type="dxa"/>
            <w:tcBorders>
              <w:top w:val="single" w:sz="4" w:space="0" w:color="293F5B"/>
              <w:bottom w:val="single" w:sz="4" w:space="0" w:color="293F5B"/>
            </w:tcBorders>
            <w:shd w:val="clear" w:color="auto" w:fill="auto"/>
          </w:tcPr>
          <w:p w14:paraId="3FC6D98F" w14:textId="77777777" w:rsidR="0012790E" w:rsidRPr="001C06E6" w:rsidRDefault="0012790E">
            <w:pPr>
              <w:pStyle w:val="MeasureTableDataRightAlignedwith2ptsspacing"/>
              <w:keepNext/>
            </w:pPr>
            <w:r>
              <w:t xml:space="preserve">0.2   </w:t>
            </w:r>
          </w:p>
        </w:tc>
      </w:tr>
      <w:tr w:rsidR="0012790E" w:rsidRPr="001C06E6" w14:paraId="6B56AA6E" w14:textId="77777777">
        <w:tc>
          <w:tcPr>
            <w:tcW w:w="2497" w:type="dxa"/>
            <w:tcBorders>
              <w:top w:val="single" w:sz="4" w:space="0" w:color="293F5B"/>
              <w:bottom w:val="single" w:sz="4" w:space="0" w:color="293F5B"/>
            </w:tcBorders>
            <w:shd w:val="clear" w:color="auto" w:fill="auto"/>
          </w:tcPr>
          <w:p w14:paraId="538739B0" w14:textId="77777777" w:rsidR="0012790E" w:rsidRPr="001C06E6" w:rsidRDefault="0012790E">
            <w:pPr>
              <w:pStyle w:val="MeasureTableHeadingleftalignedwith2ptsspacing"/>
              <w:keepNext/>
            </w:pPr>
            <w:r w:rsidRPr="001C06E6">
              <w:t>Director of National Parks</w:t>
            </w:r>
          </w:p>
        </w:tc>
        <w:tc>
          <w:tcPr>
            <w:tcW w:w="1045" w:type="dxa"/>
            <w:tcBorders>
              <w:top w:val="single" w:sz="4" w:space="0" w:color="293F5B"/>
              <w:bottom w:val="single" w:sz="4" w:space="0" w:color="293F5B"/>
            </w:tcBorders>
            <w:shd w:val="clear" w:color="auto" w:fill="auto"/>
          </w:tcPr>
          <w:p w14:paraId="05BCE69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AE7C810"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68F2DC09"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47F03763"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65899CF1" w14:textId="77777777" w:rsidR="0012790E" w:rsidRPr="001C06E6" w:rsidRDefault="0012790E">
            <w:pPr>
              <w:pStyle w:val="MeasureTableDataRightAlignedwith2ptsspacing"/>
              <w:keepNext/>
            </w:pPr>
            <w:r w:rsidRPr="001C06E6">
              <w:t>0.1</w:t>
            </w:r>
          </w:p>
        </w:tc>
      </w:tr>
      <w:tr w:rsidR="0012790E" w:rsidRPr="001C06E6" w14:paraId="342616F4" w14:textId="77777777">
        <w:tc>
          <w:tcPr>
            <w:tcW w:w="2497" w:type="dxa"/>
            <w:tcBorders>
              <w:top w:val="single" w:sz="4" w:space="0" w:color="293F5B"/>
              <w:bottom w:val="single" w:sz="4" w:space="0" w:color="293F5B"/>
            </w:tcBorders>
            <w:shd w:val="clear" w:color="auto" w:fill="auto"/>
          </w:tcPr>
          <w:p w14:paraId="76D538D7"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6CF28C1C"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2FF5FFB1" w14:textId="77777777" w:rsidR="0012790E" w:rsidRPr="001C06E6" w:rsidRDefault="0012790E">
            <w:pPr>
              <w:pStyle w:val="Totaldatarowrightaligned"/>
              <w:keepNext/>
            </w:pPr>
            <w:r w:rsidRPr="001C06E6">
              <w:t>5.9</w:t>
            </w:r>
          </w:p>
        </w:tc>
        <w:tc>
          <w:tcPr>
            <w:tcW w:w="1045" w:type="dxa"/>
            <w:tcBorders>
              <w:top w:val="single" w:sz="4" w:space="0" w:color="293F5B"/>
              <w:bottom w:val="single" w:sz="4" w:space="0" w:color="293F5B"/>
            </w:tcBorders>
            <w:shd w:val="clear" w:color="auto" w:fill="auto"/>
          </w:tcPr>
          <w:p w14:paraId="0B5EE3F9" w14:textId="77777777" w:rsidR="0012790E" w:rsidRPr="001C06E6" w:rsidRDefault="0012790E">
            <w:pPr>
              <w:pStyle w:val="Totaldatarowrightaligned"/>
              <w:keepNext/>
            </w:pPr>
            <w:r w:rsidRPr="001C06E6">
              <w:t>4.2</w:t>
            </w:r>
          </w:p>
        </w:tc>
        <w:tc>
          <w:tcPr>
            <w:tcW w:w="1045" w:type="dxa"/>
            <w:tcBorders>
              <w:top w:val="single" w:sz="4" w:space="0" w:color="293F5B"/>
              <w:bottom w:val="single" w:sz="4" w:space="0" w:color="293F5B"/>
            </w:tcBorders>
            <w:shd w:val="clear" w:color="auto" w:fill="auto"/>
          </w:tcPr>
          <w:p w14:paraId="525C838C" w14:textId="77777777" w:rsidR="0012790E" w:rsidRPr="001C06E6" w:rsidRDefault="0012790E">
            <w:pPr>
              <w:pStyle w:val="Totaldatarowrightaligned"/>
              <w:keepNext/>
            </w:pPr>
            <w:r w:rsidRPr="001C06E6">
              <w:t>0.9</w:t>
            </w:r>
          </w:p>
        </w:tc>
        <w:tc>
          <w:tcPr>
            <w:tcW w:w="1045" w:type="dxa"/>
            <w:tcBorders>
              <w:top w:val="single" w:sz="4" w:space="0" w:color="293F5B"/>
              <w:bottom w:val="single" w:sz="4" w:space="0" w:color="293F5B"/>
            </w:tcBorders>
            <w:shd w:val="clear" w:color="auto" w:fill="auto"/>
          </w:tcPr>
          <w:p w14:paraId="422F85A0" w14:textId="77777777" w:rsidR="0012790E" w:rsidRPr="001C06E6" w:rsidRDefault="0012790E">
            <w:pPr>
              <w:pStyle w:val="Totaldatarowrightaligned"/>
              <w:keepNext/>
            </w:pPr>
            <w:r w:rsidRPr="001C06E6">
              <w:t>0.3</w:t>
            </w:r>
          </w:p>
        </w:tc>
      </w:tr>
    </w:tbl>
    <w:p w14:paraId="344B6196"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4AEB9441" w14:textId="77777777" w:rsidR="0012790E" w:rsidRDefault="0012790E" w:rsidP="54937204">
      <w:pPr>
        <w:pStyle w:val="Normal2"/>
        <w:rPr>
          <w:rFonts w:cs="Book Antiqua"/>
          <w:lang w:val="en-US"/>
        </w:rPr>
      </w:pPr>
      <w:r w:rsidRPr="54937204">
        <w:rPr>
          <w:rFonts w:cs="Book Antiqua"/>
          <w:lang w:val="en-US"/>
        </w:rPr>
        <w:t xml:space="preserve">The Government will provide $11.4 million over four years from 2024–25 to continue delivery of priority remediation projects in the Jabiru township located within the Kakadu National Park. Funding will support upgrades of roads and pavements, remediation of Koongarra, remediation of houses and development of contamination management plans. </w:t>
      </w:r>
    </w:p>
    <w:p w14:paraId="4AA35682" w14:textId="77777777" w:rsidR="0012790E" w:rsidRPr="001C06E6" w:rsidRDefault="0012790E" w:rsidP="54937204">
      <w:pPr>
        <w:pStyle w:val="MeasureTitle"/>
        <w:rPr>
          <w:b w:val="0"/>
          <w:lang w:val="en-US"/>
        </w:rPr>
      </w:pPr>
      <w:r w:rsidRPr="54937204">
        <w:rPr>
          <w:lang w:val="en-US"/>
        </w:rPr>
        <w:t>Murray</w:t>
      </w:r>
      <w:r>
        <w:rPr>
          <w:bCs/>
        </w:rPr>
        <w:noBreakHyphen/>
      </w:r>
      <w:r w:rsidRPr="54937204">
        <w:rPr>
          <w:lang w:val="en-US"/>
        </w:rPr>
        <w:t>Darling Basin Plan – continuing delivery</w:t>
      </w:r>
    </w:p>
    <w:p w14:paraId="773A8B58"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BB82CB5" w14:textId="77777777">
        <w:tc>
          <w:tcPr>
            <w:tcW w:w="2497" w:type="dxa"/>
            <w:tcBorders>
              <w:top w:val="single" w:sz="4" w:space="0" w:color="293F5B"/>
              <w:bottom w:val="single" w:sz="4" w:space="0" w:color="293F5B"/>
            </w:tcBorders>
            <w:shd w:val="clear" w:color="auto" w:fill="auto"/>
          </w:tcPr>
          <w:p w14:paraId="1C00B22C"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1BFF78E"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C88FDEC"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4E81F976"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B4BFC94"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D25BC5D" w14:textId="77777777" w:rsidR="0012790E" w:rsidRPr="001C06E6" w:rsidRDefault="0012790E">
            <w:pPr>
              <w:pStyle w:val="MeasureTableYearHeadings"/>
              <w:keepNext/>
            </w:pPr>
            <w:r w:rsidRPr="001C06E6">
              <w:t>2027</w:t>
            </w:r>
            <w:r>
              <w:noBreakHyphen/>
            </w:r>
            <w:r w:rsidRPr="001C06E6">
              <w:t>28</w:t>
            </w:r>
          </w:p>
        </w:tc>
      </w:tr>
      <w:tr w:rsidR="0012790E" w:rsidRPr="001C06E6" w14:paraId="5D925FD8" w14:textId="77777777">
        <w:tc>
          <w:tcPr>
            <w:tcW w:w="2497" w:type="dxa"/>
            <w:tcBorders>
              <w:top w:val="single" w:sz="4" w:space="0" w:color="293F5B"/>
              <w:bottom w:val="single" w:sz="4" w:space="0" w:color="293F5B"/>
            </w:tcBorders>
            <w:shd w:val="clear" w:color="auto" w:fill="auto"/>
          </w:tcPr>
          <w:p w14:paraId="3397C4F7"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606C0DD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C5B262E"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3FD473F9"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5471F950"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33765472" w14:textId="77777777" w:rsidR="0012790E" w:rsidRPr="001C06E6" w:rsidRDefault="0012790E">
            <w:pPr>
              <w:pStyle w:val="MeasureTableDataRightAlignedwith2ptsspacing"/>
              <w:keepNext/>
            </w:pPr>
            <w:r w:rsidRPr="001C06E6">
              <w:t>nfp</w:t>
            </w:r>
          </w:p>
        </w:tc>
      </w:tr>
      <w:tr w:rsidR="0012790E" w:rsidRPr="001C06E6" w14:paraId="5128BDA7" w14:textId="77777777">
        <w:tc>
          <w:tcPr>
            <w:tcW w:w="2497" w:type="dxa"/>
            <w:tcBorders>
              <w:top w:val="single" w:sz="4" w:space="0" w:color="293F5B"/>
              <w:bottom w:val="single" w:sz="4" w:space="0" w:color="293F5B"/>
            </w:tcBorders>
            <w:shd w:val="clear" w:color="auto" w:fill="auto"/>
          </w:tcPr>
          <w:p w14:paraId="5373D7C8"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1E29E63B"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48721F5A"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5D29A931"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224CB36A"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738BB196" w14:textId="77777777" w:rsidR="0012790E" w:rsidRPr="001C06E6" w:rsidRDefault="0012790E">
            <w:pPr>
              <w:pStyle w:val="MeasureTableDataRightAlignedwith2ptsspacing"/>
              <w:keepNext/>
            </w:pPr>
            <w:r>
              <w:t xml:space="preserve">nfp   </w:t>
            </w:r>
          </w:p>
        </w:tc>
      </w:tr>
      <w:tr w:rsidR="0012790E" w:rsidRPr="001C06E6" w14:paraId="00558D41" w14:textId="77777777">
        <w:tc>
          <w:tcPr>
            <w:tcW w:w="2497" w:type="dxa"/>
            <w:tcBorders>
              <w:top w:val="single" w:sz="4" w:space="0" w:color="293F5B"/>
              <w:bottom w:val="single" w:sz="4" w:space="0" w:color="293F5B"/>
            </w:tcBorders>
            <w:shd w:val="clear" w:color="auto" w:fill="auto"/>
          </w:tcPr>
          <w:p w14:paraId="23009ABE"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693D3427"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6C06A0CB"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55389C6"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00D95EDB"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2E189695" w14:textId="77777777" w:rsidR="0012790E" w:rsidRPr="001C06E6" w:rsidRDefault="0012790E">
            <w:pPr>
              <w:pStyle w:val="Totaldatarowrightaligned"/>
              <w:keepNext/>
            </w:pPr>
            <w:r w:rsidRPr="001C06E6">
              <w:t>-</w:t>
            </w:r>
          </w:p>
        </w:tc>
      </w:tr>
    </w:tbl>
    <w:p w14:paraId="6D189B4A"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640A4F92" w14:textId="77777777" w:rsidR="0012790E" w:rsidRDefault="0012790E" w:rsidP="54937204">
      <w:pPr>
        <w:pStyle w:val="Normal2"/>
        <w:rPr>
          <w:rFonts w:cs="Book Antiqua"/>
          <w:lang w:val="en-US"/>
        </w:rPr>
      </w:pPr>
      <w:r w:rsidRPr="54937204">
        <w:rPr>
          <w:rFonts w:cs="Book Antiqua"/>
          <w:lang w:val="en-US"/>
        </w:rPr>
        <w:t>The Government will provide funding over five years from 2023–24 to continue implementation of the Murray</w:t>
      </w:r>
      <w:r>
        <w:rPr>
          <w:rFonts w:cs="Book Antiqua"/>
        </w:rPr>
        <w:noBreakHyphen/>
      </w:r>
      <w:r w:rsidRPr="54937204">
        <w:rPr>
          <w:rFonts w:cs="Book Antiqua"/>
          <w:lang w:val="en-US"/>
        </w:rPr>
        <w:t>Darling Basin Plan (Basin Plan). Funding includes:</w:t>
      </w:r>
    </w:p>
    <w:p w14:paraId="7A9B7106" w14:textId="77777777" w:rsidR="0012790E" w:rsidRDefault="0012790E">
      <w:pPr>
        <w:pStyle w:val="Bullet"/>
      </w:pPr>
      <w:r w:rsidRPr="001C06E6">
        <w:t>$27.0</w:t>
      </w:r>
      <w:r>
        <w:t> </w:t>
      </w:r>
      <w:r w:rsidRPr="001C06E6">
        <w:t xml:space="preserve">million in </w:t>
      </w:r>
      <w:r>
        <w:t>2024–25</w:t>
      </w:r>
      <w:r w:rsidRPr="001C06E6">
        <w:t xml:space="preserve"> to expand the existing </w:t>
      </w:r>
      <w:r w:rsidRPr="001C06E6">
        <w:rPr>
          <w:i/>
          <w:iCs/>
        </w:rPr>
        <w:t>Resilient Rivers Water Infrastructure Program</w:t>
      </w:r>
      <w:r w:rsidRPr="001C06E6">
        <w:t xml:space="preserve"> to enable the Commonwealth to work with private proponents on water recovery activities</w:t>
      </w:r>
      <w:r>
        <w:t xml:space="preserve"> </w:t>
      </w:r>
    </w:p>
    <w:p w14:paraId="384BDCFB" w14:textId="77777777" w:rsidR="0012790E" w:rsidRDefault="0012790E">
      <w:pPr>
        <w:pStyle w:val="Bullet"/>
      </w:pPr>
      <w:r w:rsidRPr="001C06E6">
        <w:lastRenderedPageBreak/>
        <w:t>$17.0</w:t>
      </w:r>
      <w:r>
        <w:t> </w:t>
      </w:r>
      <w:r w:rsidRPr="001C06E6">
        <w:t xml:space="preserve">million over three years from </w:t>
      </w:r>
      <w:r>
        <w:t>2023–24</w:t>
      </w:r>
      <w:r w:rsidRPr="001C06E6">
        <w:t xml:space="preserve"> to enhance shorebird and wetland habitat in the Coorong region</w:t>
      </w:r>
      <w:r>
        <w:t xml:space="preserve"> </w:t>
      </w:r>
    </w:p>
    <w:p w14:paraId="51694EF1" w14:textId="77777777" w:rsidR="0012790E" w:rsidRDefault="0012790E">
      <w:pPr>
        <w:pStyle w:val="Bullet"/>
      </w:pPr>
      <w:r w:rsidRPr="001C06E6">
        <w:t>$4.0</w:t>
      </w:r>
      <w:r>
        <w:t> </w:t>
      </w:r>
      <w:r w:rsidRPr="001C06E6">
        <w:t xml:space="preserve">million in </w:t>
      </w:r>
      <w:r>
        <w:t>2024–25</w:t>
      </w:r>
      <w:r w:rsidRPr="001C06E6">
        <w:t xml:space="preserve"> for the hydrological modelling platform underpinning implementation of the Basin Plan and a business case for further development</w:t>
      </w:r>
      <w:r>
        <w:t xml:space="preserve"> </w:t>
      </w:r>
    </w:p>
    <w:p w14:paraId="50065183" w14:textId="1716E358" w:rsidR="0012790E" w:rsidRDefault="0012790E">
      <w:pPr>
        <w:pStyle w:val="Bullet"/>
      </w:pPr>
      <w:r w:rsidRPr="001C06E6">
        <w:t>an additional $0.6</w:t>
      </w:r>
      <w:r>
        <w:t> </w:t>
      </w:r>
      <w:r w:rsidRPr="001C06E6">
        <w:t xml:space="preserve">million in </w:t>
      </w:r>
      <w:r>
        <w:t>2024–25</w:t>
      </w:r>
      <w:r w:rsidRPr="001C06E6">
        <w:t xml:space="preserve"> to deliver the Murray Reconnected Floodplains</w:t>
      </w:r>
      <w:r w:rsidR="00E00F9E">
        <w:t> </w:t>
      </w:r>
      <w:r w:rsidRPr="001C06E6">
        <w:t>project</w:t>
      </w:r>
      <w:r>
        <w:t xml:space="preserve"> </w:t>
      </w:r>
    </w:p>
    <w:p w14:paraId="1D71DFE4" w14:textId="77777777" w:rsidR="0012790E" w:rsidRDefault="0012790E">
      <w:pPr>
        <w:pStyle w:val="Bullet"/>
      </w:pPr>
      <w:r w:rsidRPr="001C06E6">
        <w:t>funding for additional voluntary water purchases to contribute towards environmental outcomes under the Basin Plan</w:t>
      </w:r>
      <w:r>
        <w:t xml:space="preserve"> </w:t>
      </w:r>
    </w:p>
    <w:p w14:paraId="34A6E460" w14:textId="77777777" w:rsidR="0012790E" w:rsidRDefault="0012790E">
      <w:pPr>
        <w:pStyle w:val="Bullet"/>
      </w:pPr>
      <w:r w:rsidRPr="001C06E6">
        <w:t>funding for Basin states to minimise the socio</w:t>
      </w:r>
      <w:r>
        <w:noBreakHyphen/>
      </w:r>
      <w:r w:rsidRPr="001C06E6">
        <w:t>economic impacts of water</w:t>
      </w:r>
      <w:r>
        <w:t xml:space="preserve"> </w:t>
      </w:r>
      <w:r w:rsidRPr="001C06E6">
        <w:t>purchases and continue implementing the Basin Plan reform activities.</w:t>
      </w:r>
      <w:r>
        <w:t xml:space="preserve"> </w:t>
      </w:r>
    </w:p>
    <w:p w14:paraId="019419B6" w14:textId="77777777" w:rsidR="0012790E" w:rsidRDefault="0012790E" w:rsidP="54937204">
      <w:pPr>
        <w:pStyle w:val="Normal2"/>
        <w:rPr>
          <w:rFonts w:cs="Book Antiqua"/>
          <w:lang w:val="en-US"/>
        </w:rPr>
      </w:pPr>
      <w:r w:rsidRPr="54937204">
        <w:rPr>
          <w:rFonts w:cs="Book Antiqua"/>
          <w:lang w:val="en-US"/>
        </w:rPr>
        <w:t xml:space="preserve">The Government has already provided partial funding for this measure and the remainder of the cost will be met from funding within the </w:t>
      </w:r>
      <w:r w:rsidRPr="54937204">
        <w:rPr>
          <w:rFonts w:cs="Book Antiqua"/>
          <w:i/>
          <w:iCs/>
          <w:lang w:val="en-US"/>
        </w:rPr>
        <w:t>Water for the Environment Special Account</w:t>
      </w:r>
      <w:r w:rsidRPr="54937204">
        <w:rPr>
          <w:rFonts w:cs="Book Antiqua"/>
          <w:lang w:val="en-US"/>
        </w:rPr>
        <w:t xml:space="preserve"> and </w:t>
      </w:r>
      <w:r w:rsidRPr="54937204">
        <w:rPr>
          <w:rFonts w:cs="Book Antiqua"/>
          <w:i/>
          <w:iCs/>
          <w:lang w:val="en-US"/>
        </w:rPr>
        <w:t>Sustainable Rural Water Use and Infrastructure Program</w:t>
      </w:r>
      <w:r w:rsidRPr="54937204">
        <w:rPr>
          <w:rFonts w:cs="Book Antiqua"/>
          <w:lang w:val="en-US"/>
        </w:rPr>
        <w:t xml:space="preserve">. </w:t>
      </w:r>
    </w:p>
    <w:p w14:paraId="29AAFEA3" w14:textId="77777777" w:rsidR="0012790E" w:rsidRDefault="0012790E" w:rsidP="54937204">
      <w:pPr>
        <w:pStyle w:val="Normal2"/>
        <w:rPr>
          <w:rFonts w:cs="Book Antiqua"/>
          <w:lang w:val="en-US"/>
        </w:rPr>
      </w:pPr>
      <w:r w:rsidRPr="54937204">
        <w:rPr>
          <w:rFonts w:cs="Book Antiqua"/>
          <w:lang w:val="en-US"/>
        </w:rPr>
        <w:t xml:space="preserve">Elements of this measure are not for publication (nfp) due to commercial sensitivities and ongoing state and territory negotiations. </w:t>
      </w:r>
    </w:p>
    <w:p w14:paraId="1FF76A71" w14:textId="77777777" w:rsidR="0012790E" w:rsidRDefault="0012790E" w:rsidP="54937204">
      <w:pPr>
        <w:pStyle w:val="Normal2"/>
        <w:rPr>
          <w:rFonts w:cs="Book Antiqua"/>
          <w:lang w:val="en-US"/>
        </w:rPr>
      </w:pPr>
      <w:r w:rsidRPr="54937204">
        <w:rPr>
          <w:rFonts w:cs="Book Antiqua"/>
          <w:lang w:val="en-US"/>
        </w:rPr>
        <w:t xml:space="preserve">This measure builds on the 2023–24 MYEFO measure titled </w:t>
      </w:r>
      <w:r w:rsidRPr="54937204">
        <w:rPr>
          <w:rFonts w:cs="Book Antiqua"/>
          <w:i/>
          <w:iCs/>
          <w:lang w:val="en-US"/>
        </w:rPr>
        <w:t>Murray</w:t>
      </w:r>
      <w:r>
        <w:rPr>
          <w:rFonts w:cs="Book Antiqua"/>
          <w:i/>
          <w:iCs/>
        </w:rPr>
        <w:noBreakHyphen/>
      </w:r>
      <w:r w:rsidRPr="54937204">
        <w:rPr>
          <w:rFonts w:cs="Book Antiqua"/>
          <w:i/>
          <w:iCs/>
          <w:lang w:val="en-US"/>
        </w:rPr>
        <w:t>Darling Basin Plan – delivering commitments</w:t>
      </w:r>
      <w:r w:rsidRPr="54937204">
        <w:rPr>
          <w:rFonts w:cs="Book Antiqua"/>
          <w:lang w:val="en-US"/>
        </w:rPr>
        <w:t xml:space="preserve">. </w:t>
      </w:r>
    </w:p>
    <w:p w14:paraId="71BB2B01" w14:textId="77777777" w:rsidR="0012790E" w:rsidRPr="001C06E6" w:rsidRDefault="0012790E">
      <w:pPr>
        <w:pStyle w:val="MeasureTitle"/>
        <w:rPr>
          <w:b w:val="0"/>
          <w:bCs/>
        </w:rPr>
      </w:pPr>
      <w:r w:rsidRPr="001C06E6">
        <w:rPr>
          <w:bCs/>
        </w:rPr>
        <w:t>National Water Grid Fund</w:t>
      </w:r>
      <w:r>
        <w:rPr>
          <w:bCs/>
        </w:rPr>
        <w:t xml:space="preserve"> – </w:t>
      </w:r>
      <w:r w:rsidRPr="001C06E6">
        <w:rPr>
          <w:bCs/>
        </w:rPr>
        <w:t>responsible investment in water infrastructure for</w:t>
      </w:r>
      <w:r>
        <w:rPr>
          <w:bCs/>
        </w:rPr>
        <w:t xml:space="preserve"> </w:t>
      </w:r>
      <w:r w:rsidRPr="001C06E6">
        <w:rPr>
          <w:bCs/>
        </w:rPr>
        <w:t>the regions</w:t>
      </w:r>
    </w:p>
    <w:p w14:paraId="346DC587"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B834AF1" w14:textId="77777777">
        <w:tc>
          <w:tcPr>
            <w:tcW w:w="2497" w:type="dxa"/>
            <w:tcBorders>
              <w:top w:val="single" w:sz="4" w:space="0" w:color="293F5B"/>
              <w:bottom w:val="single" w:sz="4" w:space="0" w:color="293F5B"/>
            </w:tcBorders>
            <w:shd w:val="clear" w:color="auto" w:fill="auto"/>
          </w:tcPr>
          <w:p w14:paraId="723FAD86"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FF0D396"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24F1D62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CB1FDB2"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35E79D9"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A7527C3" w14:textId="77777777" w:rsidR="0012790E" w:rsidRPr="001C06E6" w:rsidRDefault="0012790E">
            <w:pPr>
              <w:pStyle w:val="MeasureTableYearHeadings"/>
              <w:keepNext/>
            </w:pPr>
            <w:r w:rsidRPr="001C06E6">
              <w:t>2027</w:t>
            </w:r>
            <w:r>
              <w:noBreakHyphen/>
            </w:r>
            <w:r w:rsidRPr="001C06E6">
              <w:t>28</w:t>
            </w:r>
          </w:p>
        </w:tc>
      </w:tr>
      <w:tr w:rsidR="0012790E" w:rsidRPr="001C06E6" w14:paraId="76937E11" w14:textId="77777777">
        <w:tc>
          <w:tcPr>
            <w:tcW w:w="2497" w:type="dxa"/>
            <w:tcBorders>
              <w:top w:val="single" w:sz="4" w:space="0" w:color="293F5B"/>
              <w:bottom w:val="single" w:sz="4" w:space="0" w:color="293F5B"/>
            </w:tcBorders>
            <w:shd w:val="clear" w:color="auto" w:fill="auto"/>
          </w:tcPr>
          <w:p w14:paraId="56DED6FE"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3DEAA724" w14:textId="77777777" w:rsidR="0012790E" w:rsidRPr="001C06E6" w:rsidRDefault="0012790E">
            <w:pPr>
              <w:pStyle w:val="MeasureTableDataRightAlignedwith2ptsspacing"/>
              <w:keepNext/>
            </w:pPr>
            <w:r w:rsidRPr="001C06E6">
              <w:t>-42.5</w:t>
            </w:r>
          </w:p>
        </w:tc>
        <w:tc>
          <w:tcPr>
            <w:tcW w:w="1045" w:type="dxa"/>
            <w:tcBorders>
              <w:top w:val="single" w:sz="4" w:space="0" w:color="293F5B"/>
              <w:bottom w:val="single" w:sz="4" w:space="0" w:color="293F5B"/>
            </w:tcBorders>
            <w:shd w:val="clear" w:color="auto" w:fill="auto"/>
          </w:tcPr>
          <w:p w14:paraId="6E1AD3E3" w14:textId="77777777" w:rsidR="0012790E" w:rsidRPr="001C06E6" w:rsidRDefault="0012790E">
            <w:pPr>
              <w:pStyle w:val="MeasureTableDataRightAlignedwith2ptsspacing"/>
              <w:keepNext/>
            </w:pPr>
            <w:r w:rsidRPr="001C06E6">
              <w:t>62.1</w:t>
            </w:r>
          </w:p>
        </w:tc>
        <w:tc>
          <w:tcPr>
            <w:tcW w:w="1045" w:type="dxa"/>
            <w:tcBorders>
              <w:top w:val="single" w:sz="4" w:space="0" w:color="293F5B"/>
              <w:bottom w:val="single" w:sz="4" w:space="0" w:color="293F5B"/>
            </w:tcBorders>
            <w:shd w:val="clear" w:color="auto" w:fill="auto"/>
          </w:tcPr>
          <w:p w14:paraId="163F9411" w14:textId="77777777" w:rsidR="0012790E" w:rsidRPr="001C06E6" w:rsidRDefault="0012790E">
            <w:pPr>
              <w:pStyle w:val="MeasureTableDataRightAlignedwith2ptsspacing"/>
              <w:keepNext/>
            </w:pPr>
            <w:r w:rsidRPr="001C06E6">
              <w:t>-112.1</w:t>
            </w:r>
          </w:p>
        </w:tc>
        <w:tc>
          <w:tcPr>
            <w:tcW w:w="1045" w:type="dxa"/>
            <w:tcBorders>
              <w:top w:val="single" w:sz="4" w:space="0" w:color="293F5B"/>
              <w:bottom w:val="single" w:sz="4" w:space="0" w:color="293F5B"/>
            </w:tcBorders>
            <w:shd w:val="clear" w:color="auto" w:fill="auto"/>
          </w:tcPr>
          <w:p w14:paraId="20201988" w14:textId="77777777" w:rsidR="0012790E" w:rsidRPr="001C06E6" w:rsidRDefault="0012790E">
            <w:pPr>
              <w:pStyle w:val="MeasureTableDataRightAlignedwith2ptsspacing"/>
              <w:keepNext/>
            </w:pPr>
            <w:r w:rsidRPr="001C06E6">
              <w:t>-159.2</w:t>
            </w:r>
          </w:p>
        </w:tc>
        <w:tc>
          <w:tcPr>
            <w:tcW w:w="1045" w:type="dxa"/>
            <w:tcBorders>
              <w:top w:val="single" w:sz="4" w:space="0" w:color="293F5B"/>
              <w:bottom w:val="single" w:sz="4" w:space="0" w:color="293F5B"/>
            </w:tcBorders>
            <w:shd w:val="clear" w:color="auto" w:fill="auto"/>
          </w:tcPr>
          <w:p w14:paraId="0A804995" w14:textId="77777777" w:rsidR="0012790E" w:rsidRPr="001C06E6" w:rsidRDefault="0012790E">
            <w:pPr>
              <w:pStyle w:val="MeasureTableDataRightAlignedwith2ptsspacing"/>
              <w:keepNext/>
            </w:pPr>
            <w:r w:rsidRPr="001C06E6">
              <w:t>-248.3</w:t>
            </w:r>
          </w:p>
        </w:tc>
      </w:tr>
    </w:tbl>
    <w:p w14:paraId="13584113"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3BC522C9" w14:textId="77777777" w:rsidR="0012790E" w:rsidRDefault="0012790E">
      <w:pPr>
        <w:pStyle w:val="Normal2"/>
        <w:rPr>
          <w:rFonts w:cs="Book Antiqua"/>
        </w:rPr>
      </w:pPr>
      <w:r w:rsidRPr="001C06E6">
        <w:rPr>
          <w:rFonts w:cs="Book Antiqua"/>
        </w:rPr>
        <w:t>The Government will provide $174.6</w:t>
      </w:r>
      <w:r>
        <w:rPr>
          <w:rFonts w:cs="Book Antiqua"/>
        </w:rPr>
        <w:t> </w:t>
      </w:r>
      <w:r w:rsidRPr="001C06E6">
        <w:rPr>
          <w:rFonts w:cs="Book Antiqua"/>
        </w:rPr>
        <w:t xml:space="preserve">million over six years from </w:t>
      </w:r>
      <w:r>
        <w:rPr>
          <w:rFonts w:cs="Book Antiqua"/>
        </w:rPr>
        <w:t>2024–25</w:t>
      </w:r>
      <w:r w:rsidRPr="001C06E6">
        <w:rPr>
          <w:rFonts w:cs="Book Antiqua"/>
        </w:rPr>
        <w:t xml:space="preserve"> to deliver</w:t>
      </w:r>
      <w:r>
        <w:rPr>
          <w:rFonts w:cs="Book Antiqua"/>
        </w:rPr>
        <w:t xml:space="preserve"> </w:t>
      </w:r>
      <w:r w:rsidRPr="001C06E6">
        <w:rPr>
          <w:rFonts w:cs="Book Antiqua"/>
        </w:rPr>
        <w:t>new water infrastructure projects, including:</w:t>
      </w:r>
    </w:p>
    <w:p w14:paraId="14D44B4B" w14:textId="77777777" w:rsidR="0012790E" w:rsidRDefault="0012790E">
      <w:pPr>
        <w:pStyle w:val="Bullet"/>
      </w:pPr>
      <w:r w:rsidRPr="001C06E6">
        <w:t>$119.6</w:t>
      </w:r>
      <w:r>
        <w:t> </w:t>
      </w:r>
      <w:r w:rsidRPr="001C06E6">
        <w:t xml:space="preserve">million over six years from </w:t>
      </w:r>
      <w:r>
        <w:t>2024–25</w:t>
      </w:r>
      <w:r w:rsidRPr="001C06E6">
        <w:t xml:space="preserve"> for five construction projects</w:t>
      </w:r>
      <w:r>
        <w:t xml:space="preserve"> </w:t>
      </w:r>
    </w:p>
    <w:p w14:paraId="2F5940A8" w14:textId="77777777" w:rsidR="0012790E" w:rsidRDefault="0012790E">
      <w:pPr>
        <w:pStyle w:val="Bullet"/>
      </w:pPr>
      <w:r w:rsidRPr="001C06E6">
        <w:t>$26.1</w:t>
      </w:r>
      <w:r>
        <w:t> </w:t>
      </w:r>
      <w:r w:rsidRPr="001C06E6">
        <w:t xml:space="preserve">million over three years from </w:t>
      </w:r>
      <w:r>
        <w:t>2024–25</w:t>
      </w:r>
      <w:r w:rsidRPr="001C06E6">
        <w:t xml:space="preserve"> for 11 First Nations water infrastructure projects, including ten construction projects and one business case</w:t>
      </w:r>
      <w:r>
        <w:t xml:space="preserve"> </w:t>
      </w:r>
    </w:p>
    <w:p w14:paraId="0E1240A8" w14:textId="77777777" w:rsidR="0012790E" w:rsidRDefault="0012790E">
      <w:pPr>
        <w:pStyle w:val="Bullet"/>
      </w:pPr>
      <w:r w:rsidRPr="001C06E6">
        <w:t>$18.1</w:t>
      </w:r>
      <w:r>
        <w:t> </w:t>
      </w:r>
      <w:r w:rsidRPr="001C06E6">
        <w:t xml:space="preserve">million over four years from </w:t>
      </w:r>
      <w:r>
        <w:t>2024–25</w:t>
      </w:r>
      <w:r w:rsidRPr="001C06E6">
        <w:t xml:space="preserve"> for nine business cases relating to potential new projects</w:t>
      </w:r>
      <w:r>
        <w:t xml:space="preserve"> </w:t>
      </w:r>
    </w:p>
    <w:p w14:paraId="6D47156A" w14:textId="77777777" w:rsidR="0012790E" w:rsidRDefault="0012790E">
      <w:pPr>
        <w:pStyle w:val="Bullet"/>
      </w:pPr>
      <w:r w:rsidRPr="001C06E6">
        <w:t>$10.7</w:t>
      </w:r>
      <w:r>
        <w:t> </w:t>
      </w:r>
      <w:r w:rsidRPr="001C06E6">
        <w:t xml:space="preserve">million over three years from </w:t>
      </w:r>
      <w:r>
        <w:t>2024–25</w:t>
      </w:r>
      <w:r w:rsidRPr="001C06E6">
        <w:t xml:space="preserve"> for 12 science projects.</w:t>
      </w:r>
      <w:r>
        <w:t xml:space="preserve"> </w:t>
      </w:r>
    </w:p>
    <w:p w14:paraId="5B0D800A" w14:textId="77777777" w:rsidR="0012790E" w:rsidRDefault="0012790E">
      <w:pPr>
        <w:pStyle w:val="Normal2"/>
        <w:rPr>
          <w:rFonts w:cs="Book Antiqua"/>
        </w:rPr>
      </w:pPr>
      <w:r w:rsidRPr="001C06E6">
        <w:rPr>
          <w:rFonts w:cs="Book Antiqua"/>
        </w:rPr>
        <w:lastRenderedPageBreak/>
        <w:t>$592.3</w:t>
      </w:r>
      <w:r>
        <w:rPr>
          <w:rFonts w:cs="Book Antiqua"/>
        </w:rPr>
        <w:t> </w:t>
      </w:r>
      <w:r w:rsidRPr="001C06E6">
        <w:rPr>
          <w:rFonts w:cs="Book Antiqua"/>
        </w:rPr>
        <w:t xml:space="preserve">million over five years from </w:t>
      </w:r>
      <w:r>
        <w:rPr>
          <w:rFonts w:cs="Book Antiqua"/>
        </w:rPr>
        <w:t>2023–24</w:t>
      </w:r>
      <w:r w:rsidRPr="001C06E6">
        <w:rPr>
          <w:rFonts w:cs="Book Antiqua"/>
        </w:rPr>
        <w:t xml:space="preserve"> for the </w:t>
      </w:r>
      <w:r w:rsidRPr="001C06E6">
        <w:rPr>
          <w:rFonts w:cs="Book Antiqua"/>
          <w:i/>
          <w:iCs/>
        </w:rPr>
        <w:t>Paradise Dam Improvement</w:t>
      </w:r>
      <w:r>
        <w:rPr>
          <w:rFonts w:cs="Book Antiqua"/>
        </w:rPr>
        <w:t xml:space="preserve"> </w:t>
      </w:r>
      <w:r w:rsidRPr="001C06E6">
        <w:rPr>
          <w:rFonts w:cs="Book Antiqua"/>
        </w:rPr>
        <w:t xml:space="preserve">project, the </w:t>
      </w:r>
      <w:r w:rsidRPr="001C06E6">
        <w:rPr>
          <w:rFonts w:cs="Book Antiqua"/>
          <w:i/>
          <w:iCs/>
        </w:rPr>
        <w:t>Big Rocks Weir</w:t>
      </w:r>
      <w:r w:rsidRPr="001C06E6">
        <w:rPr>
          <w:rFonts w:cs="Book Antiqua"/>
        </w:rPr>
        <w:t xml:space="preserve"> project and the </w:t>
      </w:r>
      <w:r w:rsidRPr="001C06E6">
        <w:rPr>
          <w:rFonts w:cs="Book Antiqua"/>
          <w:i/>
          <w:iCs/>
        </w:rPr>
        <w:t>Hughenden Irrigation Scheme</w:t>
      </w:r>
      <w:r w:rsidRPr="001C06E6">
        <w:rPr>
          <w:rFonts w:cs="Book Antiqua"/>
        </w:rPr>
        <w:t xml:space="preserve"> has been</w:t>
      </w:r>
      <w:r>
        <w:rPr>
          <w:rFonts w:cs="Book Antiqua"/>
        </w:rPr>
        <w:t xml:space="preserve"> </w:t>
      </w:r>
      <w:r w:rsidRPr="001C06E6">
        <w:rPr>
          <w:rFonts w:cs="Book Antiqua"/>
        </w:rPr>
        <w:t>deferred, with an investment decision to be made upon completion of the business</w:t>
      </w:r>
      <w:r>
        <w:rPr>
          <w:rFonts w:cs="Book Antiqua"/>
        </w:rPr>
        <w:t xml:space="preserve"> </w:t>
      </w:r>
      <w:r w:rsidRPr="001C06E6">
        <w:rPr>
          <w:rFonts w:cs="Book Antiqua"/>
        </w:rPr>
        <w:t>cases and planning works.</w:t>
      </w:r>
      <w:r>
        <w:rPr>
          <w:rFonts w:cs="Book Antiqua"/>
        </w:rPr>
        <w:t xml:space="preserve"> </w:t>
      </w:r>
    </w:p>
    <w:p w14:paraId="2FF5D547" w14:textId="77777777" w:rsidR="0012790E" w:rsidRDefault="0012790E">
      <w:pPr>
        <w:pStyle w:val="Normal2"/>
        <w:rPr>
          <w:rFonts w:cs="Book Antiqua"/>
        </w:rPr>
      </w:pPr>
      <w:r w:rsidRPr="001C06E6">
        <w:rPr>
          <w:rFonts w:cs="Book Antiqua"/>
        </w:rPr>
        <w:t>The Government will also achieve savings of $200.0</w:t>
      </w:r>
      <w:r>
        <w:rPr>
          <w:rFonts w:cs="Book Antiqua"/>
        </w:rPr>
        <w:t> </w:t>
      </w:r>
      <w:r w:rsidRPr="001C06E6">
        <w:rPr>
          <w:rFonts w:cs="Book Antiqua"/>
        </w:rPr>
        <w:t>million over four years from</w:t>
      </w:r>
      <w:r>
        <w:rPr>
          <w:rFonts w:cs="Book Antiqua"/>
        </w:rPr>
        <w:t xml:space="preserve"> 2024–25</w:t>
      </w:r>
      <w:r w:rsidRPr="001C06E6">
        <w:rPr>
          <w:rFonts w:cs="Book Antiqua"/>
        </w:rPr>
        <w:t xml:space="preserve"> by redirecting uncommitted funding to support other Government priorities.</w:t>
      </w:r>
      <w:r>
        <w:rPr>
          <w:rFonts w:cs="Book Antiqua"/>
        </w:rPr>
        <w:t xml:space="preserve"> </w:t>
      </w:r>
    </w:p>
    <w:p w14:paraId="0503CFE0" w14:textId="77777777" w:rsidR="0012790E" w:rsidRDefault="0012790E" w:rsidP="54937204">
      <w:pPr>
        <w:pStyle w:val="Normal2"/>
        <w:rPr>
          <w:rFonts w:cs="Book Antiqua"/>
          <w:lang w:val="en-US"/>
        </w:rPr>
      </w:pPr>
      <w:r w:rsidRPr="54937204">
        <w:rPr>
          <w:rFonts w:cs="Book Antiqua"/>
          <w:lang w:val="en-US"/>
        </w:rPr>
        <w:t xml:space="preserve">The cost of new water infrastructure projects in this measure will be met by reallocating existing funding within the National Water Grid Fund and the $150.0 million allocated to improve water security for remote First Nations communities under the 2023–24 Budget measure titled </w:t>
      </w:r>
      <w:r w:rsidRPr="54937204">
        <w:rPr>
          <w:rFonts w:cs="Book Antiqua"/>
          <w:i/>
          <w:iCs/>
          <w:lang w:val="en-US"/>
        </w:rPr>
        <w:t xml:space="preserve">Closing the Gap </w:t>
      </w:r>
      <w:r w:rsidRPr="54937204">
        <w:rPr>
          <w:rFonts w:cs="Book Antiqua"/>
          <w:lang w:val="en-US"/>
        </w:rPr>
        <w:t xml:space="preserve">– </w:t>
      </w:r>
      <w:r w:rsidRPr="54937204">
        <w:rPr>
          <w:rFonts w:cs="Book Antiqua"/>
          <w:i/>
          <w:iCs/>
          <w:lang w:val="en-US"/>
        </w:rPr>
        <w:t>further investment</w:t>
      </w:r>
      <w:r w:rsidRPr="54937204">
        <w:rPr>
          <w:rFonts w:cs="Book Antiqua"/>
          <w:lang w:val="en-US"/>
        </w:rPr>
        <w:t xml:space="preserve">. </w:t>
      </w:r>
    </w:p>
    <w:p w14:paraId="7E4A77FF" w14:textId="77777777" w:rsidR="0012790E" w:rsidRDefault="0012790E">
      <w:pPr>
        <w:pStyle w:val="Normal2"/>
        <w:rPr>
          <w:rFonts w:cs="Book Antiqua"/>
        </w:rPr>
      </w:pPr>
      <w:r w:rsidRPr="001C06E6">
        <w:rPr>
          <w:rFonts w:cs="Book Antiqua"/>
        </w:rPr>
        <w:t>The Treasury manages the Commonwealth payments to the states and territories.</w:t>
      </w:r>
      <w:r>
        <w:rPr>
          <w:rFonts w:cs="Book Antiqua"/>
        </w:rPr>
        <w:t xml:space="preserve"> </w:t>
      </w:r>
    </w:p>
    <w:p w14:paraId="09EA779D" w14:textId="77777777" w:rsidR="0012790E" w:rsidRPr="001C06E6" w:rsidRDefault="0012790E">
      <w:pPr>
        <w:pStyle w:val="Normal2"/>
        <w:rPr>
          <w:rFonts w:cs="Book Antiqua"/>
          <w:iCs/>
        </w:rPr>
      </w:pPr>
      <w:r w:rsidRPr="001C06E6">
        <w:rPr>
          <w:rFonts w:cs="Book Antiqua"/>
        </w:rPr>
        <w:t xml:space="preserve">This measure builds on the </w:t>
      </w:r>
      <w:r>
        <w:rPr>
          <w:rFonts w:cs="Book Antiqua"/>
        </w:rPr>
        <w:t>2023–24 </w:t>
      </w:r>
      <w:r w:rsidRPr="001C06E6">
        <w:rPr>
          <w:rFonts w:cs="Book Antiqua"/>
        </w:rPr>
        <w:t xml:space="preserve">MYEFO measure titled </w:t>
      </w:r>
      <w:r w:rsidRPr="001C06E6">
        <w:rPr>
          <w:rFonts w:cs="Book Antiqua"/>
          <w:i/>
          <w:iCs/>
        </w:rPr>
        <w:t>National Water Grid Fund</w:t>
      </w:r>
      <w:r>
        <w:rPr>
          <w:rFonts w:cs="Book Antiqua"/>
          <w:i/>
          <w:iCs/>
        </w:rPr>
        <w:t xml:space="preserve"> </w:t>
      </w:r>
      <w:r w:rsidRPr="001C06E6">
        <w:rPr>
          <w:rFonts w:cs="Book Antiqua"/>
        </w:rPr>
        <w:t xml:space="preserve">– </w:t>
      </w:r>
      <w:r w:rsidRPr="001C06E6">
        <w:rPr>
          <w:rFonts w:cs="Book Antiqua"/>
          <w:i/>
          <w:iCs/>
        </w:rPr>
        <w:t>delivering commitments.</w:t>
      </w:r>
      <w:r>
        <w:rPr>
          <w:rFonts w:cs="Book Antiqua"/>
          <w:i/>
          <w:iCs/>
        </w:rPr>
        <w:t xml:space="preserve"> </w:t>
      </w:r>
    </w:p>
    <w:p w14:paraId="02FB6CD3" w14:textId="77777777" w:rsidR="0012790E" w:rsidRPr="001C06E6" w:rsidRDefault="0012790E" w:rsidP="54937204">
      <w:pPr>
        <w:pStyle w:val="MeasureTitle"/>
        <w:rPr>
          <w:b w:val="0"/>
          <w:lang w:val="en-US"/>
        </w:rPr>
      </w:pPr>
      <w:r w:rsidRPr="54937204">
        <w:rPr>
          <w:lang w:val="en-US"/>
        </w:rPr>
        <w:t>Nature Positive Plan – additional funding</w:t>
      </w:r>
    </w:p>
    <w:p w14:paraId="028A8344"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108B88E" w14:textId="77777777">
        <w:tc>
          <w:tcPr>
            <w:tcW w:w="2497" w:type="dxa"/>
            <w:tcBorders>
              <w:top w:val="single" w:sz="4" w:space="0" w:color="293F5B"/>
              <w:bottom w:val="single" w:sz="4" w:space="0" w:color="293F5B"/>
            </w:tcBorders>
            <w:shd w:val="clear" w:color="auto" w:fill="auto"/>
          </w:tcPr>
          <w:p w14:paraId="16DA8C6B"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9499EA3"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857A726"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5B465EC"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4B6F82A"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A5B062C" w14:textId="77777777" w:rsidR="0012790E" w:rsidRPr="001C06E6" w:rsidRDefault="0012790E">
            <w:pPr>
              <w:pStyle w:val="MeasureTableYearHeadings"/>
              <w:keepNext/>
            </w:pPr>
            <w:r w:rsidRPr="001C06E6">
              <w:t>2027</w:t>
            </w:r>
            <w:r>
              <w:noBreakHyphen/>
            </w:r>
            <w:r w:rsidRPr="001C06E6">
              <w:t>28</w:t>
            </w:r>
          </w:p>
        </w:tc>
      </w:tr>
      <w:tr w:rsidR="0012790E" w:rsidRPr="001C06E6" w14:paraId="5AC10F7E" w14:textId="77777777">
        <w:tc>
          <w:tcPr>
            <w:tcW w:w="2497" w:type="dxa"/>
            <w:tcBorders>
              <w:top w:val="single" w:sz="4" w:space="0" w:color="293F5B"/>
              <w:bottom w:val="single" w:sz="4" w:space="0" w:color="293F5B"/>
            </w:tcBorders>
            <w:shd w:val="clear" w:color="auto" w:fill="auto"/>
          </w:tcPr>
          <w:p w14:paraId="169CC8B9" w14:textId="77777777" w:rsidR="0012790E" w:rsidRPr="001C06E6" w:rsidRDefault="0012790E">
            <w:pPr>
              <w:pStyle w:val="MeasureTableHeadingleftalignedwith2ptsspacing"/>
              <w:keepNext/>
            </w:pPr>
            <w:r w:rsidRPr="001C06E6">
              <w:t>Clean Energy Regulator</w:t>
            </w:r>
          </w:p>
        </w:tc>
        <w:tc>
          <w:tcPr>
            <w:tcW w:w="1045" w:type="dxa"/>
            <w:tcBorders>
              <w:top w:val="single" w:sz="4" w:space="0" w:color="293F5B"/>
              <w:bottom w:val="single" w:sz="4" w:space="0" w:color="293F5B"/>
            </w:tcBorders>
            <w:shd w:val="clear" w:color="auto" w:fill="auto"/>
          </w:tcPr>
          <w:p w14:paraId="17CD305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5C3FF87" w14:textId="77777777" w:rsidR="0012790E" w:rsidRPr="001C06E6" w:rsidRDefault="0012790E">
            <w:pPr>
              <w:pStyle w:val="MeasureTableDataRightAlignedwith2ptsspacing"/>
              <w:keepNext/>
            </w:pPr>
            <w:r w:rsidRPr="001C06E6">
              <w:t>6.5</w:t>
            </w:r>
          </w:p>
        </w:tc>
        <w:tc>
          <w:tcPr>
            <w:tcW w:w="1045" w:type="dxa"/>
            <w:tcBorders>
              <w:top w:val="single" w:sz="4" w:space="0" w:color="293F5B"/>
              <w:bottom w:val="single" w:sz="4" w:space="0" w:color="293F5B"/>
            </w:tcBorders>
            <w:shd w:val="clear" w:color="auto" w:fill="auto"/>
          </w:tcPr>
          <w:p w14:paraId="3B2E9EEE" w14:textId="77777777" w:rsidR="0012790E" w:rsidRPr="001C06E6" w:rsidRDefault="0012790E">
            <w:pPr>
              <w:pStyle w:val="MeasureTableDataRightAlignedwith2ptsspacing"/>
              <w:keepNext/>
            </w:pPr>
            <w:r w:rsidRPr="001C06E6">
              <w:t>7.5</w:t>
            </w:r>
          </w:p>
        </w:tc>
        <w:tc>
          <w:tcPr>
            <w:tcW w:w="1045" w:type="dxa"/>
            <w:tcBorders>
              <w:top w:val="single" w:sz="4" w:space="0" w:color="293F5B"/>
              <w:bottom w:val="single" w:sz="4" w:space="0" w:color="293F5B"/>
            </w:tcBorders>
            <w:shd w:val="clear" w:color="auto" w:fill="auto"/>
          </w:tcPr>
          <w:p w14:paraId="0693F5D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54B09BA" w14:textId="77777777" w:rsidR="0012790E" w:rsidRPr="001C06E6" w:rsidRDefault="0012790E">
            <w:pPr>
              <w:pStyle w:val="MeasureTableDataRightAlignedwith2ptsspacing"/>
              <w:keepNext/>
            </w:pPr>
            <w:r w:rsidRPr="001C06E6">
              <w:t>-</w:t>
            </w:r>
          </w:p>
        </w:tc>
      </w:tr>
      <w:tr w:rsidR="0012790E" w:rsidRPr="001C06E6" w14:paraId="34D235A4" w14:textId="77777777">
        <w:tc>
          <w:tcPr>
            <w:tcW w:w="2497" w:type="dxa"/>
            <w:tcBorders>
              <w:top w:val="single" w:sz="4" w:space="0" w:color="293F5B"/>
              <w:bottom w:val="single" w:sz="4" w:space="0" w:color="293F5B"/>
            </w:tcBorders>
            <w:shd w:val="clear" w:color="auto" w:fill="auto"/>
          </w:tcPr>
          <w:p w14:paraId="3B7C3668"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27400142" w14:textId="77777777" w:rsidR="0012790E" w:rsidRPr="001C06E6" w:rsidRDefault="0012790E">
            <w:pPr>
              <w:pStyle w:val="MeasureTableDataRightAlignedwith2ptsspacing"/>
              <w:keepNext/>
            </w:pPr>
            <w:r>
              <w:t xml:space="preserve">-3.7   </w:t>
            </w:r>
          </w:p>
        </w:tc>
        <w:tc>
          <w:tcPr>
            <w:tcW w:w="1045" w:type="dxa"/>
            <w:tcBorders>
              <w:top w:val="single" w:sz="4" w:space="0" w:color="293F5B"/>
              <w:bottom w:val="single" w:sz="4" w:space="0" w:color="293F5B"/>
            </w:tcBorders>
            <w:shd w:val="clear" w:color="auto" w:fill="auto"/>
          </w:tcPr>
          <w:p w14:paraId="5D7D13C5" w14:textId="77777777" w:rsidR="0012790E" w:rsidRPr="001C06E6" w:rsidRDefault="0012790E">
            <w:pPr>
              <w:pStyle w:val="MeasureTableDataRightAlignedwith2ptsspacing"/>
              <w:keepNext/>
            </w:pPr>
            <w:r>
              <w:t xml:space="preserve">13.3   </w:t>
            </w:r>
          </w:p>
        </w:tc>
        <w:tc>
          <w:tcPr>
            <w:tcW w:w="1045" w:type="dxa"/>
            <w:tcBorders>
              <w:top w:val="single" w:sz="4" w:space="0" w:color="293F5B"/>
              <w:bottom w:val="single" w:sz="4" w:space="0" w:color="293F5B"/>
            </w:tcBorders>
            <w:shd w:val="clear" w:color="auto" w:fill="auto"/>
          </w:tcPr>
          <w:p w14:paraId="226C61C2" w14:textId="77777777" w:rsidR="0012790E" w:rsidRPr="001C06E6" w:rsidRDefault="0012790E">
            <w:pPr>
              <w:pStyle w:val="MeasureTableDataRightAlignedwith2ptsspacing"/>
              <w:keepNext/>
            </w:pPr>
            <w:r>
              <w:t xml:space="preserve">11.8   </w:t>
            </w:r>
          </w:p>
        </w:tc>
        <w:tc>
          <w:tcPr>
            <w:tcW w:w="1045" w:type="dxa"/>
            <w:tcBorders>
              <w:top w:val="single" w:sz="4" w:space="0" w:color="293F5B"/>
              <w:bottom w:val="single" w:sz="4" w:space="0" w:color="293F5B"/>
            </w:tcBorders>
            <w:shd w:val="clear" w:color="auto" w:fill="auto"/>
          </w:tcPr>
          <w:p w14:paraId="32EF064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6CF96A0" w14:textId="77777777" w:rsidR="0012790E" w:rsidRPr="001C06E6" w:rsidRDefault="0012790E">
            <w:pPr>
              <w:pStyle w:val="MeasureTableDataRightAlignedwith2ptsspacing"/>
              <w:keepNext/>
            </w:pPr>
            <w:r>
              <w:t xml:space="preserve">-   </w:t>
            </w:r>
          </w:p>
        </w:tc>
      </w:tr>
      <w:tr w:rsidR="0012790E" w:rsidRPr="001C06E6" w14:paraId="2F0755C2" w14:textId="77777777">
        <w:tc>
          <w:tcPr>
            <w:tcW w:w="2497" w:type="dxa"/>
            <w:tcBorders>
              <w:top w:val="single" w:sz="4" w:space="0" w:color="293F5B"/>
              <w:bottom w:val="single" w:sz="4" w:space="0" w:color="293F5B"/>
            </w:tcBorders>
            <w:shd w:val="clear" w:color="auto" w:fill="auto"/>
          </w:tcPr>
          <w:p w14:paraId="7F60B349"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3BCAE823" w14:textId="77777777" w:rsidR="0012790E" w:rsidRPr="001C06E6" w:rsidRDefault="0012790E">
            <w:pPr>
              <w:pStyle w:val="Totaldatarowrightaligned"/>
              <w:keepNext/>
            </w:pPr>
            <w:r w:rsidRPr="001C06E6">
              <w:t>-3.7</w:t>
            </w:r>
          </w:p>
        </w:tc>
        <w:tc>
          <w:tcPr>
            <w:tcW w:w="1045" w:type="dxa"/>
            <w:tcBorders>
              <w:top w:val="single" w:sz="4" w:space="0" w:color="293F5B"/>
              <w:bottom w:val="single" w:sz="4" w:space="0" w:color="293F5B"/>
            </w:tcBorders>
            <w:shd w:val="clear" w:color="auto" w:fill="auto"/>
          </w:tcPr>
          <w:p w14:paraId="723860DA" w14:textId="77777777" w:rsidR="0012790E" w:rsidRPr="001C06E6" w:rsidRDefault="0012790E">
            <w:pPr>
              <w:pStyle w:val="Totaldatarowrightaligned"/>
              <w:keepNext/>
            </w:pPr>
            <w:r w:rsidRPr="001C06E6">
              <w:t>19.8</w:t>
            </w:r>
          </w:p>
        </w:tc>
        <w:tc>
          <w:tcPr>
            <w:tcW w:w="1045" w:type="dxa"/>
            <w:tcBorders>
              <w:top w:val="single" w:sz="4" w:space="0" w:color="293F5B"/>
              <w:bottom w:val="single" w:sz="4" w:space="0" w:color="293F5B"/>
            </w:tcBorders>
            <w:shd w:val="clear" w:color="auto" w:fill="auto"/>
          </w:tcPr>
          <w:p w14:paraId="77E878BD" w14:textId="77777777" w:rsidR="0012790E" w:rsidRPr="001C06E6" w:rsidRDefault="0012790E">
            <w:pPr>
              <w:pStyle w:val="Totaldatarowrightaligned"/>
              <w:keepNext/>
            </w:pPr>
            <w:r w:rsidRPr="001C06E6">
              <w:t>19.3</w:t>
            </w:r>
          </w:p>
        </w:tc>
        <w:tc>
          <w:tcPr>
            <w:tcW w:w="1045" w:type="dxa"/>
            <w:tcBorders>
              <w:top w:val="single" w:sz="4" w:space="0" w:color="293F5B"/>
              <w:bottom w:val="single" w:sz="4" w:space="0" w:color="293F5B"/>
            </w:tcBorders>
            <w:shd w:val="clear" w:color="auto" w:fill="auto"/>
          </w:tcPr>
          <w:p w14:paraId="2C6CDA14"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66F70F00" w14:textId="77777777" w:rsidR="0012790E" w:rsidRPr="001C06E6" w:rsidRDefault="0012790E">
            <w:pPr>
              <w:pStyle w:val="Totaldatarowrightaligned"/>
              <w:keepNext/>
            </w:pPr>
            <w:r w:rsidRPr="001C06E6">
              <w:t>-</w:t>
            </w:r>
          </w:p>
        </w:tc>
      </w:tr>
    </w:tbl>
    <w:p w14:paraId="4771B663"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706ED5AB" w14:textId="77777777" w:rsidR="0012790E" w:rsidRDefault="0012790E">
      <w:pPr>
        <w:pStyle w:val="Normal2"/>
        <w:rPr>
          <w:rFonts w:cs="Book Antiqua"/>
        </w:rPr>
      </w:pPr>
      <w:r w:rsidRPr="001C06E6">
        <w:rPr>
          <w:rFonts w:cs="Book Antiqua"/>
        </w:rPr>
        <w:t>The Government will provide a further $40.9</w:t>
      </w:r>
      <w:r>
        <w:rPr>
          <w:rFonts w:cs="Book Antiqua"/>
        </w:rPr>
        <w:t> </w:t>
      </w:r>
      <w:r w:rsidRPr="001C06E6">
        <w:rPr>
          <w:rFonts w:cs="Book Antiqua"/>
        </w:rPr>
        <w:t xml:space="preserve">million over two years from </w:t>
      </w:r>
      <w:r>
        <w:rPr>
          <w:rFonts w:cs="Book Antiqua"/>
        </w:rPr>
        <w:t>2024–25</w:t>
      </w:r>
      <w:r w:rsidRPr="001C06E6">
        <w:rPr>
          <w:rFonts w:cs="Book Antiqua"/>
        </w:rPr>
        <w:t xml:space="preserve"> to</w:t>
      </w:r>
      <w:r>
        <w:rPr>
          <w:rFonts w:cs="Book Antiqua"/>
        </w:rPr>
        <w:t xml:space="preserve"> </w:t>
      </w:r>
      <w:r w:rsidRPr="001C06E6">
        <w:rPr>
          <w:rFonts w:cs="Book Antiqua"/>
        </w:rPr>
        <w:t>continue implementing the</w:t>
      </w:r>
      <w:r w:rsidRPr="001C06E6">
        <w:rPr>
          <w:rFonts w:cs="Book Antiqua"/>
          <w:i/>
          <w:iCs/>
        </w:rPr>
        <w:t xml:space="preserve"> Nature Positive Plan: better for the environment, better for</w:t>
      </w:r>
      <w:r>
        <w:rPr>
          <w:rFonts w:cs="Book Antiqua"/>
          <w:i/>
          <w:iCs/>
        </w:rPr>
        <w:t xml:space="preserve"> </w:t>
      </w:r>
      <w:r w:rsidRPr="001C06E6">
        <w:rPr>
          <w:rFonts w:cs="Book Antiqua"/>
          <w:i/>
          <w:iCs/>
        </w:rPr>
        <w:t>business</w:t>
      </w:r>
      <w:r w:rsidRPr="001C06E6">
        <w:rPr>
          <w:rFonts w:cs="Book Antiqua"/>
        </w:rPr>
        <w:t xml:space="preserve"> (Nature Positive Plan). Building on the investment made in the </w:t>
      </w:r>
      <w:r>
        <w:rPr>
          <w:rFonts w:cs="Book Antiqua"/>
        </w:rPr>
        <w:t>2023–24 </w:t>
      </w:r>
      <w:r w:rsidRPr="001C06E6">
        <w:rPr>
          <w:rFonts w:cs="Book Antiqua"/>
        </w:rPr>
        <w:t xml:space="preserve">Budget measure titled </w:t>
      </w:r>
      <w:r w:rsidRPr="001C06E6">
        <w:rPr>
          <w:rFonts w:cs="Book Antiqua"/>
          <w:i/>
          <w:iCs/>
        </w:rPr>
        <w:t>Nature Positive Plan – better for the environment, better for</w:t>
      </w:r>
      <w:r>
        <w:rPr>
          <w:rFonts w:cs="Book Antiqua"/>
          <w:i/>
          <w:iCs/>
        </w:rPr>
        <w:t xml:space="preserve"> </w:t>
      </w:r>
      <w:r w:rsidRPr="001C06E6">
        <w:rPr>
          <w:rFonts w:cs="Book Antiqua"/>
          <w:i/>
          <w:iCs/>
        </w:rPr>
        <w:t>business,</w:t>
      </w:r>
      <w:r w:rsidRPr="001C06E6">
        <w:rPr>
          <w:rFonts w:cs="Book Antiqua"/>
        </w:rPr>
        <w:t xml:space="preserve"> which provided $121.0</w:t>
      </w:r>
      <w:r>
        <w:rPr>
          <w:rFonts w:cs="Book Antiqua"/>
        </w:rPr>
        <w:t> </w:t>
      </w:r>
      <w:r w:rsidRPr="001C06E6">
        <w:rPr>
          <w:rFonts w:cs="Book Antiqua"/>
        </w:rPr>
        <w:t xml:space="preserve">million over four years from </w:t>
      </w:r>
      <w:r>
        <w:rPr>
          <w:rFonts w:cs="Book Antiqua"/>
        </w:rPr>
        <w:t>2023–24</w:t>
      </w:r>
      <w:r w:rsidRPr="001C06E6">
        <w:rPr>
          <w:rFonts w:cs="Book Antiqua"/>
        </w:rPr>
        <w:t xml:space="preserve"> to establish</w:t>
      </w:r>
      <w:r>
        <w:rPr>
          <w:rFonts w:cs="Book Antiqua"/>
        </w:rPr>
        <w:t xml:space="preserve"> </w:t>
      </w:r>
      <w:r w:rsidRPr="001C06E6">
        <w:rPr>
          <w:rFonts w:cs="Book Antiqua"/>
        </w:rPr>
        <w:t>Environment Protection Australia and $51.5</w:t>
      </w:r>
      <w:r>
        <w:rPr>
          <w:rFonts w:cs="Book Antiqua"/>
        </w:rPr>
        <w:t> </w:t>
      </w:r>
      <w:r w:rsidRPr="001C06E6">
        <w:rPr>
          <w:rFonts w:cs="Book Antiqua"/>
        </w:rPr>
        <w:t xml:space="preserve">million over four years from </w:t>
      </w:r>
      <w:r>
        <w:rPr>
          <w:rFonts w:cs="Book Antiqua"/>
        </w:rPr>
        <w:t>2023–24</w:t>
      </w:r>
      <w:r w:rsidRPr="001C06E6">
        <w:rPr>
          <w:rFonts w:cs="Book Antiqua"/>
        </w:rPr>
        <w:t xml:space="preserve"> ($4.5</w:t>
      </w:r>
      <w:r>
        <w:rPr>
          <w:rFonts w:cs="Book Antiqua"/>
        </w:rPr>
        <w:t> </w:t>
      </w:r>
      <w:r w:rsidRPr="001C06E6">
        <w:rPr>
          <w:rFonts w:cs="Book Antiqua"/>
        </w:rPr>
        <w:t>million per year ongoing) to set up Environment Information Australia, the additional</w:t>
      </w:r>
      <w:r>
        <w:rPr>
          <w:rFonts w:cs="Book Antiqua"/>
        </w:rPr>
        <w:t xml:space="preserve"> </w:t>
      </w:r>
      <w:r w:rsidRPr="001C06E6">
        <w:rPr>
          <w:rFonts w:cs="Book Antiqua"/>
        </w:rPr>
        <w:t>funding in this measure includes:</w:t>
      </w:r>
    </w:p>
    <w:p w14:paraId="6707FBED" w14:textId="77777777" w:rsidR="0012790E" w:rsidRDefault="0012790E">
      <w:pPr>
        <w:pStyle w:val="Bullet"/>
      </w:pPr>
      <w:r w:rsidRPr="001C06E6">
        <w:t>$17.6</w:t>
      </w:r>
      <w:r>
        <w:t> </w:t>
      </w:r>
      <w:r w:rsidRPr="001C06E6">
        <w:t xml:space="preserve">million over two years from </w:t>
      </w:r>
      <w:r>
        <w:t>2024–25</w:t>
      </w:r>
      <w:r w:rsidRPr="001C06E6">
        <w:t xml:space="preserve"> for the Department of Climate Change, Energy, the Environment and Water to establish and commence operation of the Nature Repair Market</w:t>
      </w:r>
      <w:r>
        <w:t xml:space="preserve"> </w:t>
      </w:r>
    </w:p>
    <w:p w14:paraId="3858A836" w14:textId="77777777" w:rsidR="0012790E" w:rsidRDefault="0012790E">
      <w:pPr>
        <w:pStyle w:val="Bullet"/>
      </w:pPr>
      <w:r w:rsidRPr="001C06E6">
        <w:t>$14.0</w:t>
      </w:r>
      <w:r>
        <w:t> </w:t>
      </w:r>
      <w:r w:rsidRPr="001C06E6">
        <w:t xml:space="preserve">million over two years from </w:t>
      </w:r>
      <w:r>
        <w:t>2024–25</w:t>
      </w:r>
      <w:r w:rsidRPr="001C06E6">
        <w:t xml:space="preserve"> for the Clean Energy Regulator to administer the Nature Repair Market once open for participation</w:t>
      </w:r>
      <w:r>
        <w:t xml:space="preserve"> </w:t>
      </w:r>
    </w:p>
    <w:p w14:paraId="3C39F5C9" w14:textId="77777777" w:rsidR="0012790E" w:rsidRDefault="0012790E">
      <w:pPr>
        <w:pStyle w:val="Bullet"/>
      </w:pPr>
      <w:r w:rsidRPr="001C06E6">
        <w:t>$5.3</w:t>
      </w:r>
      <w:r>
        <w:t> </w:t>
      </w:r>
      <w:r w:rsidRPr="001C06E6">
        <w:t xml:space="preserve">million in </w:t>
      </w:r>
      <w:r>
        <w:t>2024–25</w:t>
      </w:r>
      <w:r w:rsidRPr="001C06E6">
        <w:t xml:space="preserve"> additional funding to progress legislative reforms</w:t>
      </w:r>
      <w:r>
        <w:t xml:space="preserve"> </w:t>
      </w:r>
    </w:p>
    <w:p w14:paraId="1696F584" w14:textId="77777777" w:rsidR="0012790E" w:rsidRDefault="0012790E">
      <w:pPr>
        <w:pStyle w:val="Bullet"/>
      </w:pPr>
      <w:r w:rsidRPr="001C06E6">
        <w:t>$4.1</w:t>
      </w:r>
      <w:r>
        <w:t> </w:t>
      </w:r>
      <w:r w:rsidRPr="001C06E6">
        <w:t xml:space="preserve">million over two years from </w:t>
      </w:r>
      <w:r>
        <w:t>2024–25</w:t>
      </w:r>
      <w:r w:rsidRPr="001C06E6">
        <w:t xml:space="preserve"> to drive voluntary uptake of the Nature Repair Market and nature related</w:t>
      </w:r>
      <w:r>
        <w:noBreakHyphen/>
      </w:r>
      <w:r w:rsidRPr="001C06E6">
        <w:t>reporting by businesses.</w:t>
      </w:r>
      <w:r>
        <w:t xml:space="preserve"> </w:t>
      </w:r>
    </w:p>
    <w:p w14:paraId="38558618" w14:textId="77777777" w:rsidR="0012790E" w:rsidRPr="001C06E6" w:rsidRDefault="0012790E" w:rsidP="54937204">
      <w:pPr>
        <w:pStyle w:val="Normal2"/>
        <w:rPr>
          <w:rFonts w:cs="Book Antiqua"/>
          <w:lang w:val="en-US"/>
        </w:rPr>
      </w:pPr>
      <w:r w:rsidRPr="54937204">
        <w:rPr>
          <w:rFonts w:cs="Book Antiqua"/>
          <w:lang w:val="en-US"/>
        </w:rPr>
        <w:lastRenderedPageBreak/>
        <w:t xml:space="preserve">The cost of this measure will be partially met from a reprioritisation of funding from the 2019–20 Budget measure titled </w:t>
      </w:r>
      <w:r w:rsidRPr="54937204">
        <w:rPr>
          <w:rFonts w:cs="Book Antiqua"/>
          <w:i/>
          <w:iCs/>
          <w:lang w:val="en-US"/>
        </w:rPr>
        <w:t>Agriculture Stewardship Package</w:t>
      </w:r>
      <w:r w:rsidRPr="54937204">
        <w:rPr>
          <w:rFonts w:cs="Book Antiqua"/>
          <w:lang w:val="en-US"/>
        </w:rPr>
        <w:t xml:space="preserve"> and 2021–22 Budget measure titled </w:t>
      </w:r>
      <w:r w:rsidRPr="54937204">
        <w:rPr>
          <w:rFonts w:cs="Book Antiqua"/>
          <w:i/>
          <w:iCs/>
          <w:lang w:val="en-US"/>
        </w:rPr>
        <w:t xml:space="preserve">Agriculture 2030. </w:t>
      </w:r>
    </w:p>
    <w:p w14:paraId="440628F3" w14:textId="4E88B1DC" w:rsidR="0012790E" w:rsidRDefault="0012790E" w:rsidP="54937204">
      <w:pPr>
        <w:pStyle w:val="Normal2"/>
        <w:rPr>
          <w:rFonts w:cs="Book Antiqua"/>
          <w:lang w:val="en-US"/>
        </w:rPr>
      </w:pPr>
      <w:r w:rsidRPr="54937204">
        <w:rPr>
          <w:rFonts w:cs="Book Antiqua"/>
          <w:lang w:val="en-US"/>
        </w:rPr>
        <w:t>The Government will consider further funding for the Nature Repair Market when further</w:t>
      </w:r>
      <w:r w:rsidR="00E00F9E">
        <w:rPr>
          <w:rFonts w:cs="Book Antiqua"/>
          <w:lang w:val="en-US"/>
        </w:rPr>
        <w:t> </w:t>
      </w:r>
      <w:r w:rsidRPr="54937204">
        <w:rPr>
          <w:rFonts w:cs="Book Antiqua"/>
          <w:lang w:val="en-US"/>
        </w:rPr>
        <w:t>information is available on the scale, complexity and demand for the Nature Repair</w:t>
      </w:r>
      <w:r w:rsidR="00E00F9E">
        <w:rPr>
          <w:rFonts w:cs="Book Antiqua"/>
          <w:lang w:val="en-US"/>
        </w:rPr>
        <w:t> </w:t>
      </w:r>
      <w:r w:rsidRPr="54937204">
        <w:rPr>
          <w:rFonts w:cs="Book Antiqua"/>
          <w:lang w:val="en-US"/>
        </w:rPr>
        <w:t xml:space="preserve">Market. </w:t>
      </w:r>
    </w:p>
    <w:p w14:paraId="3B5DD123" w14:textId="77777777" w:rsidR="0012790E" w:rsidRPr="001C06E6" w:rsidRDefault="0012790E" w:rsidP="54937204">
      <w:pPr>
        <w:pStyle w:val="MeasureTitle"/>
        <w:rPr>
          <w:b w:val="0"/>
          <w:lang w:val="en-US"/>
        </w:rPr>
      </w:pPr>
      <w:r w:rsidRPr="54937204">
        <w:rPr>
          <w:lang w:val="en-US"/>
        </w:rPr>
        <w:t>Reducing the Impact of Litter and Supporting On</w:t>
      </w:r>
      <w:r>
        <w:rPr>
          <w:bCs/>
        </w:rPr>
        <w:noBreakHyphen/>
      </w:r>
      <w:r w:rsidRPr="54937204">
        <w:rPr>
          <w:lang w:val="en-US"/>
        </w:rPr>
        <w:t>ground Biodiversity Actions</w:t>
      </w:r>
    </w:p>
    <w:p w14:paraId="192D03E8"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442D59E6" w14:textId="77777777">
        <w:tc>
          <w:tcPr>
            <w:tcW w:w="2497" w:type="dxa"/>
            <w:tcBorders>
              <w:top w:val="single" w:sz="4" w:space="0" w:color="293F5B"/>
              <w:bottom w:val="single" w:sz="4" w:space="0" w:color="293F5B"/>
            </w:tcBorders>
            <w:shd w:val="clear" w:color="auto" w:fill="auto"/>
          </w:tcPr>
          <w:p w14:paraId="6EFBAD1A"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82CA5C5"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3E062FC"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2425762"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61F0B90"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00B7FAA" w14:textId="77777777" w:rsidR="0012790E" w:rsidRPr="001C06E6" w:rsidRDefault="0012790E">
            <w:pPr>
              <w:pStyle w:val="MeasureTableYearHeadings"/>
              <w:keepNext/>
            </w:pPr>
            <w:r w:rsidRPr="001C06E6">
              <w:t>2027</w:t>
            </w:r>
            <w:r>
              <w:noBreakHyphen/>
            </w:r>
            <w:r w:rsidRPr="001C06E6">
              <w:t>28</w:t>
            </w:r>
          </w:p>
        </w:tc>
      </w:tr>
      <w:tr w:rsidR="0012790E" w:rsidRPr="001C06E6" w14:paraId="7D9CB99C" w14:textId="77777777">
        <w:tc>
          <w:tcPr>
            <w:tcW w:w="2497" w:type="dxa"/>
            <w:tcBorders>
              <w:top w:val="single" w:sz="4" w:space="0" w:color="293F5B"/>
              <w:bottom w:val="single" w:sz="4" w:space="0" w:color="293F5B"/>
            </w:tcBorders>
            <w:shd w:val="clear" w:color="auto" w:fill="auto"/>
          </w:tcPr>
          <w:p w14:paraId="1ADEAECA"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6BE433E0" w14:textId="77777777" w:rsidR="0012790E" w:rsidRPr="001C06E6" w:rsidRDefault="0012790E">
            <w:pPr>
              <w:pStyle w:val="MeasureTableDataRightAlignedwith2ptsspacing"/>
              <w:keepNext/>
            </w:pPr>
            <w:r>
              <w:t xml:space="preserve">-0.6   </w:t>
            </w:r>
          </w:p>
        </w:tc>
        <w:tc>
          <w:tcPr>
            <w:tcW w:w="1045" w:type="dxa"/>
            <w:tcBorders>
              <w:top w:val="single" w:sz="4" w:space="0" w:color="293F5B"/>
              <w:bottom w:val="single" w:sz="4" w:space="0" w:color="293F5B"/>
            </w:tcBorders>
            <w:shd w:val="clear" w:color="auto" w:fill="auto"/>
          </w:tcPr>
          <w:p w14:paraId="2CA716EE" w14:textId="77777777" w:rsidR="0012790E" w:rsidRPr="001C06E6" w:rsidRDefault="0012790E">
            <w:pPr>
              <w:pStyle w:val="MeasureTableDataRightAlignedwith2ptsspacing"/>
              <w:keepNext/>
            </w:pPr>
            <w:r>
              <w:t xml:space="preserve">0.2   </w:t>
            </w:r>
          </w:p>
        </w:tc>
        <w:tc>
          <w:tcPr>
            <w:tcW w:w="1045" w:type="dxa"/>
            <w:tcBorders>
              <w:top w:val="single" w:sz="4" w:space="0" w:color="293F5B"/>
              <w:bottom w:val="single" w:sz="4" w:space="0" w:color="293F5B"/>
            </w:tcBorders>
            <w:shd w:val="clear" w:color="auto" w:fill="auto"/>
          </w:tcPr>
          <w:p w14:paraId="21277A5C" w14:textId="77777777" w:rsidR="0012790E" w:rsidRPr="001C06E6" w:rsidRDefault="0012790E">
            <w:pPr>
              <w:pStyle w:val="MeasureTableDataRightAlignedwith2ptsspacing"/>
              <w:keepNext/>
            </w:pPr>
            <w:r>
              <w:t xml:space="preserve">0.1   </w:t>
            </w:r>
          </w:p>
        </w:tc>
        <w:tc>
          <w:tcPr>
            <w:tcW w:w="1045" w:type="dxa"/>
            <w:tcBorders>
              <w:top w:val="single" w:sz="4" w:space="0" w:color="293F5B"/>
              <w:bottom w:val="single" w:sz="4" w:space="0" w:color="293F5B"/>
            </w:tcBorders>
            <w:shd w:val="clear" w:color="auto" w:fill="auto"/>
          </w:tcPr>
          <w:p w14:paraId="028DE35B" w14:textId="77777777" w:rsidR="0012790E" w:rsidRPr="001C06E6" w:rsidRDefault="0012790E">
            <w:pPr>
              <w:pStyle w:val="MeasureTableDataRightAlignedwith2ptsspacing"/>
              <w:keepNext/>
            </w:pPr>
            <w:r>
              <w:t xml:space="preserve">0.1   </w:t>
            </w:r>
          </w:p>
        </w:tc>
        <w:tc>
          <w:tcPr>
            <w:tcW w:w="1045" w:type="dxa"/>
            <w:tcBorders>
              <w:top w:val="single" w:sz="4" w:space="0" w:color="293F5B"/>
              <w:bottom w:val="single" w:sz="4" w:space="0" w:color="293F5B"/>
            </w:tcBorders>
            <w:shd w:val="clear" w:color="auto" w:fill="auto"/>
          </w:tcPr>
          <w:p w14:paraId="1857DBEC" w14:textId="77777777" w:rsidR="0012790E" w:rsidRPr="001C06E6" w:rsidRDefault="0012790E">
            <w:pPr>
              <w:pStyle w:val="MeasureTableDataRightAlignedwith2ptsspacing"/>
              <w:keepNext/>
            </w:pPr>
            <w:r>
              <w:t xml:space="preserve">0.1   </w:t>
            </w:r>
          </w:p>
        </w:tc>
      </w:tr>
    </w:tbl>
    <w:p w14:paraId="00899474" w14:textId="77777777" w:rsidR="0012790E" w:rsidRPr="001C06E6" w:rsidRDefault="0012790E">
      <w:pPr>
        <w:keepNext/>
        <w:widowControl w:val="0"/>
        <w:spacing w:line="184" w:lineRule="exact"/>
        <w:rPr>
          <w:color w:val="000000"/>
          <w:sz w:val="16"/>
          <w:szCs w:val="16"/>
          <w:lang w:val="en-AU"/>
        </w:rPr>
      </w:pPr>
    </w:p>
    <w:p w14:paraId="3910E681" w14:textId="77777777" w:rsidR="0012790E" w:rsidRDefault="0012790E">
      <w:pPr>
        <w:pStyle w:val="Normal2"/>
        <w:rPr>
          <w:rFonts w:cs="Book Antiqua"/>
        </w:rPr>
      </w:pPr>
      <w:r w:rsidRPr="001C06E6">
        <w:rPr>
          <w:rFonts w:cs="Book Antiqua"/>
        </w:rPr>
        <w:t>The Government will provide $1.9</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to improve</w:t>
      </w:r>
      <w:r>
        <w:rPr>
          <w:rFonts w:cs="Book Antiqua"/>
        </w:rPr>
        <w:t xml:space="preserve"> </w:t>
      </w:r>
      <w:r w:rsidRPr="001C06E6">
        <w:rPr>
          <w:rFonts w:cs="Book Antiqua"/>
        </w:rPr>
        <w:t>environmental and biodiversity outcomes. Funding includes:</w:t>
      </w:r>
    </w:p>
    <w:p w14:paraId="5867BDD4" w14:textId="77777777" w:rsidR="0012790E" w:rsidRDefault="0012790E">
      <w:pPr>
        <w:pStyle w:val="Bullet"/>
      </w:pPr>
      <w:r w:rsidRPr="001C06E6">
        <w:t>$1.3</w:t>
      </w:r>
      <w:r>
        <w:t> </w:t>
      </w:r>
      <w:r w:rsidRPr="001C06E6">
        <w:t xml:space="preserve">million over four years from </w:t>
      </w:r>
      <w:r>
        <w:t>2024–25</w:t>
      </w:r>
      <w:r w:rsidRPr="001C06E6">
        <w:t xml:space="preserve"> to Clean Up Australia and Keep</w:t>
      </w:r>
      <w:r>
        <w:t xml:space="preserve"> </w:t>
      </w:r>
      <w:r w:rsidRPr="001C06E6">
        <w:t>Australia Beautiful to deliver conservation, and litter prevention and reduction activities to protect Australia’s natural environment, ecosystems and biodiversity</w:t>
      </w:r>
      <w:r>
        <w:t xml:space="preserve"> </w:t>
      </w:r>
    </w:p>
    <w:p w14:paraId="1EEA4097" w14:textId="051021D5" w:rsidR="0012790E" w:rsidRDefault="0012790E">
      <w:pPr>
        <w:pStyle w:val="Bullet"/>
      </w:pPr>
      <w:r w:rsidRPr="001C06E6">
        <w:t>$0.6</w:t>
      </w:r>
      <w:r>
        <w:t> </w:t>
      </w:r>
      <w:r w:rsidRPr="001C06E6">
        <w:t xml:space="preserve">million over four years from </w:t>
      </w:r>
      <w:r>
        <w:t>2024–25</w:t>
      </w:r>
      <w:r w:rsidRPr="001C06E6">
        <w:t xml:space="preserve"> to support actions that address threats and</w:t>
      </w:r>
      <w:r w:rsidR="00E00F9E">
        <w:t> </w:t>
      </w:r>
      <w:r w:rsidRPr="001C06E6">
        <w:t>pressures on biodiversity in the Alinytjara Wilu</w:t>
      </w:r>
      <w:r w:rsidRPr="001C06E6">
        <w:rPr>
          <w:rFonts w:ascii="Cambria" w:hAnsi="Cambria" w:cs="Cambria"/>
        </w:rPr>
        <w:t>ṟ</w:t>
      </w:r>
      <w:r w:rsidRPr="001C06E6">
        <w:t>ara natural resource management</w:t>
      </w:r>
      <w:r w:rsidR="00E00F9E">
        <w:t> </w:t>
      </w:r>
      <w:r w:rsidRPr="001C06E6">
        <w:t>region.</w:t>
      </w:r>
      <w:r>
        <w:t xml:space="preserve"> </w:t>
      </w:r>
    </w:p>
    <w:p w14:paraId="1BBC9AC7" w14:textId="77777777" w:rsidR="0012790E" w:rsidRDefault="0012790E" w:rsidP="54937204">
      <w:pPr>
        <w:pStyle w:val="Normal2"/>
        <w:rPr>
          <w:rFonts w:cs="Book Antiqua"/>
          <w:lang w:val="en-US"/>
        </w:rPr>
      </w:pPr>
      <w:r w:rsidRPr="54937204">
        <w:rPr>
          <w:rFonts w:cs="Book Antiqua"/>
          <w:lang w:val="en-US"/>
        </w:rPr>
        <w:t>The cost of this measure will be met from a partial reversal of the 2022–23 October Budget measure titled</w:t>
      </w:r>
      <w:r w:rsidRPr="54937204">
        <w:rPr>
          <w:rFonts w:cs="Book Antiqua"/>
          <w:i/>
          <w:iCs/>
          <w:lang w:val="en-US"/>
        </w:rPr>
        <w:t xml:space="preserve"> Restoring Funding to the Environmental Defenders Office and Environmental Justice Australia</w:t>
      </w:r>
      <w:r w:rsidRPr="54937204">
        <w:rPr>
          <w:rFonts w:cs="Book Antiqua"/>
          <w:lang w:val="en-US"/>
        </w:rPr>
        <w:t xml:space="preserve">. The Government will save an additional $0.3 million per year ongoing from 2028–29 from this partial reversal. </w:t>
      </w:r>
    </w:p>
    <w:p w14:paraId="2D8A876E" w14:textId="77777777" w:rsidR="0012790E" w:rsidRPr="001C06E6" w:rsidRDefault="0012790E">
      <w:pPr>
        <w:pStyle w:val="MeasureTitle"/>
        <w:rPr>
          <w:b w:val="0"/>
          <w:bCs/>
        </w:rPr>
      </w:pPr>
      <w:r w:rsidRPr="001C06E6">
        <w:rPr>
          <w:bCs/>
        </w:rPr>
        <w:t>Regional cooperation initiative on carbon sequestration</w:t>
      </w:r>
    </w:p>
    <w:p w14:paraId="367A5736"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4982EB11" w14:textId="77777777">
        <w:tc>
          <w:tcPr>
            <w:tcW w:w="2497" w:type="dxa"/>
            <w:tcBorders>
              <w:top w:val="single" w:sz="4" w:space="0" w:color="293F5B"/>
              <w:bottom w:val="single" w:sz="4" w:space="0" w:color="293F5B"/>
            </w:tcBorders>
            <w:shd w:val="clear" w:color="auto" w:fill="auto"/>
          </w:tcPr>
          <w:p w14:paraId="0E707AB4"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C1FF4D4"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1002DA6"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EE421D4"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50F2AAC4"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88DF880" w14:textId="77777777" w:rsidR="0012790E" w:rsidRPr="001C06E6" w:rsidRDefault="0012790E">
            <w:pPr>
              <w:pStyle w:val="MeasureTableYearHeadings"/>
              <w:keepNext/>
            </w:pPr>
            <w:r w:rsidRPr="001C06E6">
              <w:t>2027</w:t>
            </w:r>
            <w:r>
              <w:noBreakHyphen/>
            </w:r>
            <w:r w:rsidRPr="001C06E6">
              <w:t>28</w:t>
            </w:r>
          </w:p>
        </w:tc>
      </w:tr>
      <w:tr w:rsidR="0012790E" w:rsidRPr="001C06E6" w14:paraId="7DEFB96A" w14:textId="77777777">
        <w:tc>
          <w:tcPr>
            <w:tcW w:w="2497" w:type="dxa"/>
            <w:tcBorders>
              <w:top w:val="single" w:sz="4" w:space="0" w:color="293F5B"/>
              <w:bottom w:val="single" w:sz="4" w:space="0" w:color="293F5B"/>
            </w:tcBorders>
            <w:shd w:val="clear" w:color="auto" w:fill="auto"/>
          </w:tcPr>
          <w:p w14:paraId="3E80B73A"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6B0213E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9C31522" w14:textId="77777777" w:rsidR="0012790E" w:rsidRPr="001C06E6" w:rsidRDefault="0012790E">
            <w:pPr>
              <w:pStyle w:val="MeasureTableDataRightAlignedwith2ptsspacing"/>
              <w:keepNext/>
            </w:pPr>
            <w:r>
              <w:t xml:space="preserve">5.2   </w:t>
            </w:r>
          </w:p>
        </w:tc>
        <w:tc>
          <w:tcPr>
            <w:tcW w:w="1045" w:type="dxa"/>
            <w:tcBorders>
              <w:top w:val="single" w:sz="4" w:space="0" w:color="293F5B"/>
              <w:bottom w:val="single" w:sz="4" w:space="0" w:color="293F5B"/>
            </w:tcBorders>
            <w:shd w:val="clear" w:color="auto" w:fill="auto"/>
          </w:tcPr>
          <w:p w14:paraId="5C0E8F71" w14:textId="77777777" w:rsidR="0012790E" w:rsidRPr="001C06E6" w:rsidRDefault="0012790E">
            <w:pPr>
              <w:pStyle w:val="MeasureTableDataRightAlignedwith2ptsspacing"/>
              <w:keepNext/>
            </w:pPr>
            <w:r>
              <w:t xml:space="preserve">5.3   </w:t>
            </w:r>
          </w:p>
        </w:tc>
        <w:tc>
          <w:tcPr>
            <w:tcW w:w="1045" w:type="dxa"/>
            <w:tcBorders>
              <w:top w:val="single" w:sz="4" w:space="0" w:color="293F5B"/>
              <w:bottom w:val="single" w:sz="4" w:space="0" w:color="293F5B"/>
            </w:tcBorders>
            <w:shd w:val="clear" w:color="auto" w:fill="auto"/>
          </w:tcPr>
          <w:p w14:paraId="35A1D6F1" w14:textId="77777777" w:rsidR="0012790E" w:rsidRPr="001C06E6" w:rsidRDefault="0012790E">
            <w:pPr>
              <w:pStyle w:val="MeasureTableDataRightAlignedwith2ptsspacing"/>
              <w:keepNext/>
            </w:pPr>
            <w:r>
              <w:t xml:space="preserve">4.8   </w:t>
            </w:r>
          </w:p>
        </w:tc>
        <w:tc>
          <w:tcPr>
            <w:tcW w:w="1045" w:type="dxa"/>
            <w:tcBorders>
              <w:top w:val="single" w:sz="4" w:space="0" w:color="293F5B"/>
              <w:bottom w:val="single" w:sz="4" w:space="0" w:color="293F5B"/>
            </w:tcBorders>
            <w:shd w:val="clear" w:color="auto" w:fill="auto"/>
          </w:tcPr>
          <w:p w14:paraId="1CBF9CD1" w14:textId="77777777" w:rsidR="0012790E" w:rsidRPr="001C06E6" w:rsidRDefault="0012790E">
            <w:pPr>
              <w:pStyle w:val="MeasureTableDataRightAlignedwith2ptsspacing"/>
              <w:keepNext/>
            </w:pPr>
            <w:r>
              <w:t xml:space="preserve">4.4   </w:t>
            </w:r>
          </w:p>
        </w:tc>
      </w:tr>
      <w:tr w:rsidR="0012790E" w:rsidRPr="001C06E6" w14:paraId="076CE4E8" w14:textId="77777777">
        <w:tc>
          <w:tcPr>
            <w:tcW w:w="2497" w:type="dxa"/>
            <w:tcBorders>
              <w:top w:val="single" w:sz="4" w:space="0" w:color="293F5B"/>
              <w:bottom w:val="single" w:sz="4" w:space="0" w:color="293F5B"/>
            </w:tcBorders>
            <w:shd w:val="clear" w:color="auto" w:fill="auto"/>
          </w:tcPr>
          <w:p w14:paraId="70A92040" w14:textId="77777777" w:rsidR="0012790E" w:rsidRPr="001C06E6" w:rsidRDefault="0012790E">
            <w:pPr>
              <w:pStyle w:val="MeasureTableHeadingleftalignedwith2ptsspacing"/>
              <w:keepNext/>
            </w:pPr>
            <w:r>
              <w:t xml:space="preserve">Department of Industry, Science and Resources </w:t>
            </w:r>
          </w:p>
        </w:tc>
        <w:tc>
          <w:tcPr>
            <w:tcW w:w="1045" w:type="dxa"/>
            <w:tcBorders>
              <w:top w:val="single" w:sz="4" w:space="0" w:color="293F5B"/>
              <w:bottom w:val="single" w:sz="4" w:space="0" w:color="293F5B"/>
            </w:tcBorders>
            <w:shd w:val="clear" w:color="auto" w:fill="auto"/>
          </w:tcPr>
          <w:p w14:paraId="2347241F"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B419040" w14:textId="77777777" w:rsidR="0012790E" w:rsidRPr="001C06E6" w:rsidRDefault="0012790E">
            <w:pPr>
              <w:pStyle w:val="MeasureTableDataRightAlignedwith2ptsspacing"/>
              <w:keepNext/>
            </w:pPr>
            <w:r>
              <w:t xml:space="preserve">2.3 </w:t>
            </w:r>
          </w:p>
        </w:tc>
        <w:tc>
          <w:tcPr>
            <w:tcW w:w="1045" w:type="dxa"/>
            <w:tcBorders>
              <w:top w:val="single" w:sz="4" w:space="0" w:color="293F5B"/>
              <w:bottom w:val="single" w:sz="4" w:space="0" w:color="293F5B"/>
            </w:tcBorders>
            <w:shd w:val="clear" w:color="auto" w:fill="auto"/>
          </w:tcPr>
          <w:p w14:paraId="1D47E309" w14:textId="77777777" w:rsidR="0012790E" w:rsidRPr="001C06E6" w:rsidRDefault="0012790E">
            <w:pPr>
              <w:pStyle w:val="MeasureTableDataRightAlignedwith2ptsspacing"/>
              <w:keepNext/>
            </w:pPr>
            <w:r>
              <w:t xml:space="preserve">2.3 </w:t>
            </w:r>
          </w:p>
        </w:tc>
        <w:tc>
          <w:tcPr>
            <w:tcW w:w="1045" w:type="dxa"/>
            <w:tcBorders>
              <w:top w:val="single" w:sz="4" w:space="0" w:color="293F5B"/>
              <w:bottom w:val="single" w:sz="4" w:space="0" w:color="293F5B"/>
            </w:tcBorders>
            <w:shd w:val="clear" w:color="auto" w:fill="auto"/>
          </w:tcPr>
          <w:p w14:paraId="69DD8671" w14:textId="77777777" w:rsidR="0012790E" w:rsidRPr="001C06E6" w:rsidRDefault="0012790E">
            <w:pPr>
              <w:pStyle w:val="MeasureTableDataRightAlignedwith2ptsspacing"/>
              <w:keepNext/>
            </w:pPr>
            <w:r>
              <w:t xml:space="preserve">2.3 </w:t>
            </w:r>
          </w:p>
        </w:tc>
        <w:tc>
          <w:tcPr>
            <w:tcW w:w="1045" w:type="dxa"/>
            <w:tcBorders>
              <w:top w:val="single" w:sz="4" w:space="0" w:color="293F5B"/>
              <w:bottom w:val="single" w:sz="4" w:space="0" w:color="293F5B"/>
            </w:tcBorders>
            <w:shd w:val="clear" w:color="auto" w:fill="auto"/>
          </w:tcPr>
          <w:p w14:paraId="727B8366" w14:textId="77777777" w:rsidR="0012790E" w:rsidRPr="001C06E6" w:rsidRDefault="0012790E">
            <w:pPr>
              <w:pStyle w:val="MeasureTableDataRightAlignedwith2ptsspacing"/>
              <w:keepNext/>
            </w:pPr>
            <w:r>
              <w:t xml:space="preserve">2.6 </w:t>
            </w:r>
          </w:p>
        </w:tc>
      </w:tr>
      <w:tr w:rsidR="0012790E" w:rsidRPr="001C06E6" w14:paraId="6AF67226" w14:textId="77777777">
        <w:tc>
          <w:tcPr>
            <w:tcW w:w="2497" w:type="dxa"/>
            <w:tcBorders>
              <w:top w:val="single" w:sz="4" w:space="0" w:color="293F5B"/>
              <w:bottom w:val="single" w:sz="4" w:space="0" w:color="293F5B"/>
            </w:tcBorders>
            <w:shd w:val="clear" w:color="auto" w:fill="auto"/>
          </w:tcPr>
          <w:p w14:paraId="77964DB4" w14:textId="77777777" w:rsidR="0012790E" w:rsidRPr="001C06E6" w:rsidRDefault="0012790E">
            <w:pPr>
              <w:pStyle w:val="MeasureTableHeadingleftalignedwith2ptsspacing"/>
              <w:keepNext/>
            </w:pPr>
            <w:r>
              <w:t xml:space="preserve">Department of Foreign Affairs and Trade </w:t>
            </w:r>
          </w:p>
        </w:tc>
        <w:tc>
          <w:tcPr>
            <w:tcW w:w="1045" w:type="dxa"/>
            <w:tcBorders>
              <w:top w:val="single" w:sz="4" w:space="0" w:color="293F5B"/>
              <w:bottom w:val="single" w:sz="4" w:space="0" w:color="293F5B"/>
            </w:tcBorders>
            <w:shd w:val="clear" w:color="auto" w:fill="auto"/>
          </w:tcPr>
          <w:p w14:paraId="5C2FDFC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3A9035A" w14:textId="77777777" w:rsidR="0012790E" w:rsidRPr="001C06E6" w:rsidRDefault="0012790E">
            <w:pPr>
              <w:pStyle w:val="MeasureTableDataRightAlignedwith2ptsspacing"/>
              <w:keepNext/>
            </w:pPr>
            <w:r>
              <w:t xml:space="preserve">0.8 </w:t>
            </w:r>
          </w:p>
        </w:tc>
        <w:tc>
          <w:tcPr>
            <w:tcW w:w="1045" w:type="dxa"/>
            <w:tcBorders>
              <w:top w:val="single" w:sz="4" w:space="0" w:color="293F5B"/>
              <w:bottom w:val="single" w:sz="4" w:space="0" w:color="293F5B"/>
            </w:tcBorders>
            <w:shd w:val="clear" w:color="auto" w:fill="auto"/>
          </w:tcPr>
          <w:p w14:paraId="75F26BA8" w14:textId="77777777" w:rsidR="0012790E" w:rsidRPr="001C06E6" w:rsidRDefault="0012790E">
            <w:pPr>
              <w:pStyle w:val="MeasureTableDataRightAlignedwith2ptsspacing"/>
              <w:keepNext/>
            </w:pPr>
            <w:r>
              <w:t xml:space="preserve">0.9 </w:t>
            </w:r>
          </w:p>
        </w:tc>
        <w:tc>
          <w:tcPr>
            <w:tcW w:w="1045" w:type="dxa"/>
            <w:tcBorders>
              <w:top w:val="single" w:sz="4" w:space="0" w:color="293F5B"/>
              <w:bottom w:val="single" w:sz="4" w:space="0" w:color="293F5B"/>
            </w:tcBorders>
            <w:shd w:val="clear" w:color="auto" w:fill="auto"/>
          </w:tcPr>
          <w:p w14:paraId="701915AC" w14:textId="77777777" w:rsidR="0012790E" w:rsidRPr="001C06E6" w:rsidRDefault="0012790E">
            <w:pPr>
              <w:pStyle w:val="MeasureTableDataRightAlignedwith2ptsspacing"/>
              <w:keepNext/>
            </w:pPr>
            <w:r>
              <w:t xml:space="preserve">0.9 </w:t>
            </w:r>
          </w:p>
        </w:tc>
        <w:tc>
          <w:tcPr>
            <w:tcW w:w="1045" w:type="dxa"/>
            <w:tcBorders>
              <w:top w:val="single" w:sz="4" w:space="0" w:color="293F5B"/>
              <w:bottom w:val="single" w:sz="4" w:space="0" w:color="293F5B"/>
            </w:tcBorders>
            <w:shd w:val="clear" w:color="auto" w:fill="auto"/>
          </w:tcPr>
          <w:p w14:paraId="0D615B41" w14:textId="77777777" w:rsidR="0012790E" w:rsidRPr="001C06E6" w:rsidRDefault="0012790E">
            <w:pPr>
              <w:pStyle w:val="MeasureTableDataRightAlignedwith2ptsspacing"/>
              <w:keepNext/>
            </w:pPr>
            <w:r>
              <w:t xml:space="preserve">0.9 </w:t>
            </w:r>
          </w:p>
        </w:tc>
      </w:tr>
      <w:tr w:rsidR="0012790E" w:rsidRPr="001C06E6" w14:paraId="62CC2498" w14:textId="77777777">
        <w:tc>
          <w:tcPr>
            <w:tcW w:w="2497" w:type="dxa"/>
            <w:tcBorders>
              <w:top w:val="single" w:sz="4" w:space="0" w:color="293F5B"/>
              <w:bottom w:val="single" w:sz="4" w:space="0" w:color="293F5B"/>
            </w:tcBorders>
            <w:shd w:val="clear" w:color="auto" w:fill="auto"/>
          </w:tcPr>
          <w:p w14:paraId="0B861C16"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32F02A45"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42926E56" w14:textId="77777777" w:rsidR="0012790E" w:rsidRPr="001C06E6" w:rsidRDefault="0012790E">
            <w:pPr>
              <w:pStyle w:val="Totaldatarowrightaligned"/>
              <w:keepNext/>
            </w:pPr>
            <w:r w:rsidRPr="001C06E6">
              <w:t>8.3</w:t>
            </w:r>
          </w:p>
        </w:tc>
        <w:tc>
          <w:tcPr>
            <w:tcW w:w="1045" w:type="dxa"/>
            <w:tcBorders>
              <w:top w:val="single" w:sz="4" w:space="0" w:color="293F5B"/>
              <w:bottom w:val="single" w:sz="4" w:space="0" w:color="293F5B"/>
            </w:tcBorders>
            <w:shd w:val="clear" w:color="auto" w:fill="auto"/>
          </w:tcPr>
          <w:p w14:paraId="069FA7D9" w14:textId="77777777" w:rsidR="0012790E" w:rsidRPr="001C06E6" w:rsidRDefault="0012790E">
            <w:pPr>
              <w:pStyle w:val="Totaldatarowrightaligned"/>
              <w:keepNext/>
            </w:pPr>
            <w:r w:rsidRPr="001C06E6">
              <w:t>8.5</w:t>
            </w:r>
          </w:p>
        </w:tc>
        <w:tc>
          <w:tcPr>
            <w:tcW w:w="1045" w:type="dxa"/>
            <w:tcBorders>
              <w:top w:val="single" w:sz="4" w:space="0" w:color="293F5B"/>
              <w:bottom w:val="single" w:sz="4" w:space="0" w:color="293F5B"/>
            </w:tcBorders>
            <w:shd w:val="clear" w:color="auto" w:fill="auto"/>
          </w:tcPr>
          <w:p w14:paraId="35F6D1B3" w14:textId="77777777" w:rsidR="0012790E" w:rsidRPr="001C06E6" w:rsidRDefault="0012790E">
            <w:pPr>
              <w:pStyle w:val="Totaldatarowrightaligned"/>
              <w:keepNext/>
            </w:pPr>
            <w:r w:rsidRPr="001C06E6">
              <w:t>8.0</w:t>
            </w:r>
          </w:p>
        </w:tc>
        <w:tc>
          <w:tcPr>
            <w:tcW w:w="1045" w:type="dxa"/>
            <w:tcBorders>
              <w:top w:val="single" w:sz="4" w:space="0" w:color="293F5B"/>
              <w:bottom w:val="single" w:sz="4" w:space="0" w:color="293F5B"/>
            </w:tcBorders>
            <w:shd w:val="clear" w:color="auto" w:fill="auto"/>
          </w:tcPr>
          <w:p w14:paraId="58D79DC3" w14:textId="77777777" w:rsidR="0012790E" w:rsidRPr="001C06E6" w:rsidRDefault="0012790E">
            <w:pPr>
              <w:pStyle w:val="Totaldatarowrightaligned"/>
              <w:keepNext/>
            </w:pPr>
            <w:r w:rsidRPr="001C06E6">
              <w:t>7.8</w:t>
            </w:r>
          </w:p>
        </w:tc>
      </w:tr>
    </w:tbl>
    <w:p w14:paraId="4CA4C47E"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6812F77A" w14:textId="77777777" w:rsidR="0012790E" w:rsidRDefault="0012790E" w:rsidP="54937204">
      <w:pPr>
        <w:pStyle w:val="Normal2"/>
        <w:rPr>
          <w:rFonts w:cs="Book Antiqua"/>
          <w:lang w:val="en-US"/>
        </w:rPr>
      </w:pPr>
      <w:r w:rsidRPr="54937204">
        <w:rPr>
          <w:rFonts w:cs="Book Antiqua"/>
          <w:lang w:val="en-US"/>
        </w:rPr>
        <w:t xml:space="preserve">The Government will provide $32.6 million over four years from 2024–25 to establish regulatory frameworks and bilateral instruments to better support heavy industry to </w:t>
      </w:r>
      <w:r w:rsidRPr="54937204">
        <w:rPr>
          <w:rFonts w:cs="Book Antiqua"/>
          <w:lang w:val="en-US"/>
        </w:rPr>
        <w:lastRenderedPageBreak/>
        <w:t xml:space="preserve">reduce emissions to meet Paris Agreement commitments, both in Australia and overseas. This will provide industry with the option of moving carbon dioxide to suitable and secure geological storage sites, where proven, to support energy security, meet obligations under Australian law and provide carbon management solutions for regional partners, consistent with our obligations under international law. </w:t>
      </w:r>
    </w:p>
    <w:p w14:paraId="3AACFE21" w14:textId="77777777" w:rsidR="0012790E" w:rsidRPr="001C06E6" w:rsidRDefault="0012790E">
      <w:pPr>
        <w:pStyle w:val="MeasureTitle"/>
        <w:rPr>
          <w:b w:val="0"/>
          <w:bCs/>
        </w:rPr>
      </w:pPr>
      <w:r w:rsidRPr="001C06E6">
        <w:rPr>
          <w:bCs/>
        </w:rPr>
        <w:t>Sustaining Water Functions</w:t>
      </w:r>
    </w:p>
    <w:p w14:paraId="199E06AA"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9486A40" w14:textId="77777777">
        <w:tc>
          <w:tcPr>
            <w:tcW w:w="2497" w:type="dxa"/>
            <w:tcBorders>
              <w:top w:val="single" w:sz="4" w:space="0" w:color="293F5B"/>
              <w:bottom w:val="single" w:sz="4" w:space="0" w:color="293F5B"/>
            </w:tcBorders>
            <w:shd w:val="clear" w:color="auto" w:fill="auto"/>
          </w:tcPr>
          <w:p w14:paraId="5E7276F5"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84A6E9E"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0A828688"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4C6FCECC"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85D3535"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ACF2EF0" w14:textId="77777777" w:rsidR="0012790E" w:rsidRPr="001C06E6" w:rsidRDefault="0012790E">
            <w:pPr>
              <w:pStyle w:val="MeasureTableYearHeadings"/>
              <w:keepNext/>
            </w:pPr>
            <w:r w:rsidRPr="001C06E6">
              <w:t>2027</w:t>
            </w:r>
            <w:r>
              <w:noBreakHyphen/>
            </w:r>
            <w:r w:rsidRPr="001C06E6">
              <w:t>28</w:t>
            </w:r>
          </w:p>
        </w:tc>
      </w:tr>
      <w:tr w:rsidR="0012790E" w:rsidRPr="001C06E6" w14:paraId="27FC03F2" w14:textId="77777777">
        <w:tc>
          <w:tcPr>
            <w:tcW w:w="2497" w:type="dxa"/>
            <w:tcBorders>
              <w:top w:val="single" w:sz="4" w:space="0" w:color="293F5B"/>
              <w:bottom w:val="single" w:sz="4" w:space="0" w:color="293F5B"/>
            </w:tcBorders>
            <w:shd w:val="clear" w:color="auto" w:fill="auto"/>
          </w:tcPr>
          <w:p w14:paraId="1A211AE1"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0310E65C"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A6208E0" w14:textId="77777777" w:rsidR="0012790E" w:rsidRPr="001C06E6" w:rsidRDefault="0012790E">
            <w:pPr>
              <w:pStyle w:val="MeasureTableDataRightAlignedwith2ptsspacing"/>
              <w:keepNext/>
            </w:pPr>
            <w:r>
              <w:t xml:space="preserve">55.5   </w:t>
            </w:r>
          </w:p>
        </w:tc>
        <w:tc>
          <w:tcPr>
            <w:tcW w:w="1045" w:type="dxa"/>
            <w:tcBorders>
              <w:top w:val="single" w:sz="4" w:space="0" w:color="293F5B"/>
              <w:bottom w:val="single" w:sz="4" w:space="0" w:color="293F5B"/>
            </w:tcBorders>
            <w:shd w:val="clear" w:color="auto" w:fill="auto"/>
          </w:tcPr>
          <w:p w14:paraId="5DFB4EB8" w14:textId="77777777" w:rsidR="0012790E" w:rsidRPr="001C06E6" w:rsidRDefault="0012790E">
            <w:pPr>
              <w:pStyle w:val="MeasureTableDataRightAlignedwith2ptsspacing"/>
              <w:keepNext/>
            </w:pPr>
            <w:r>
              <w:t xml:space="preserve">58.9   </w:t>
            </w:r>
          </w:p>
        </w:tc>
        <w:tc>
          <w:tcPr>
            <w:tcW w:w="1045" w:type="dxa"/>
            <w:tcBorders>
              <w:top w:val="single" w:sz="4" w:space="0" w:color="293F5B"/>
              <w:bottom w:val="single" w:sz="4" w:space="0" w:color="293F5B"/>
            </w:tcBorders>
            <w:shd w:val="clear" w:color="auto" w:fill="auto"/>
          </w:tcPr>
          <w:p w14:paraId="0D07D56B" w14:textId="77777777" w:rsidR="0012790E" w:rsidRPr="001C06E6" w:rsidRDefault="0012790E">
            <w:pPr>
              <w:pStyle w:val="MeasureTableDataRightAlignedwith2ptsspacing"/>
              <w:keepNext/>
            </w:pPr>
            <w:r>
              <w:t xml:space="preserve">59.0   </w:t>
            </w:r>
          </w:p>
        </w:tc>
        <w:tc>
          <w:tcPr>
            <w:tcW w:w="1045" w:type="dxa"/>
            <w:tcBorders>
              <w:top w:val="single" w:sz="4" w:space="0" w:color="293F5B"/>
              <w:bottom w:val="single" w:sz="4" w:space="0" w:color="293F5B"/>
            </w:tcBorders>
            <w:shd w:val="clear" w:color="auto" w:fill="auto"/>
          </w:tcPr>
          <w:p w14:paraId="009324EB" w14:textId="77777777" w:rsidR="0012790E" w:rsidRPr="001C06E6" w:rsidRDefault="0012790E">
            <w:pPr>
              <w:pStyle w:val="MeasureTableDataRightAlignedwith2ptsspacing"/>
              <w:keepNext/>
            </w:pPr>
            <w:r>
              <w:t xml:space="preserve">43.9   </w:t>
            </w:r>
          </w:p>
        </w:tc>
      </w:tr>
      <w:tr w:rsidR="0012790E" w:rsidRPr="001C06E6" w14:paraId="2DE24138" w14:textId="77777777">
        <w:tc>
          <w:tcPr>
            <w:tcW w:w="2497" w:type="dxa"/>
            <w:tcBorders>
              <w:top w:val="single" w:sz="4" w:space="0" w:color="293F5B"/>
              <w:bottom w:val="single" w:sz="4" w:space="0" w:color="293F5B"/>
            </w:tcBorders>
            <w:shd w:val="clear" w:color="auto" w:fill="auto"/>
          </w:tcPr>
          <w:p w14:paraId="0A3013B7"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7171065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80C47C7" w14:textId="77777777" w:rsidR="0012790E" w:rsidRPr="001C06E6" w:rsidRDefault="0012790E">
            <w:pPr>
              <w:pStyle w:val="MeasureTableDataRightAlignedwith2ptsspacing"/>
              <w:keepNext/>
            </w:pPr>
            <w:r w:rsidRPr="001C06E6">
              <w:t>8.0</w:t>
            </w:r>
          </w:p>
        </w:tc>
        <w:tc>
          <w:tcPr>
            <w:tcW w:w="1045" w:type="dxa"/>
            <w:tcBorders>
              <w:top w:val="single" w:sz="4" w:space="0" w:color="293F5B"/>
              <w:bottom w:val="single" w:sz="4" w:space="0" w:color="293F5B"/>
            </w:tcBorders>
            <w:shd w:val="clear" w:color="auto" w:fill="auto"/>
          </w:tcPr>
          <w:p w14:paraId="2A2A6035" w14:textId="77777777" w:rsidR="0012790E" w:rsidRPr="001C06E6" w:rsidRDefault="0012790E">
            <w:pPr>
              <w:pStyle w:val="MeasureTableDataRightAlignedwith2ptsspacing"/>
              <w:keepNext/>
            </w:pPr>
            <w:r w:rsidRPr="001C06E6">
              <w:t>8.0</w:t>
            </w:r>
          </w:p>
        </w:tc>
        <w:tc>
          <w:tcPr>
            <w:tcW w:w="1045" w:type="dxa"/>
            <w:tcBorders>
              <w:top w:val="single" w:sz="4" w:space="0" w:color="293F5B"/>
              <w:bottom w:val="single" w:sz="4" w:space="0" w:color="293F5B"/>
            </w:tcBorders>
            <w:shd w:val="clear" w:color="auto" w:fill="auto"/>
          </w:tcPr>
          <w:p w14:paraId="36B98C99" w14:textId="77777777" w:rsidR="0012790E" w:rsidRPr="001C06E6" w:rsidRDefault="0012790E">
            <w:pPr>
              <w:pStyle w:val="MeasureTableDataRightAlignedwith2ptsspacing"/>
              <w:keepNext/>
            </w:pPr>
            <w:r w:rsidRPr="001C06E6">
              <w:t>8.0</w:t>
            </w:r>
          </w:p>
        </w:tc>
        <w:tc>
          <w:tcPr>
            <w:tcW w:w="1045" w:type="dxa"/>
            <w:tcBorders>
              <w:top w:val="single" w:sz="4" w:space="0" w:color="293F5B"/>
              <w:bottom w:val="single" w:sz="4" w:space="0" w:color="293F5B"/>
            </w:tcBorders>
            <w:shd w:val="clear" w:color="auto" w:fill="auto"/>
          </w:tcPr>
          <w:p w14:paraId="07539E08" w14:textId="77777777" w:rsidR="0012790E" w:rsidRPr="001C06E6" w:rsidRDefault="0012790E">
            <w:pPr>
              <w:pStyle w:val="MeasureTableDataRightAlignedwith2ptsspacing"/>
              <w:keepNext/>
            </w:pPr>
            <w:r w:rsidRPr="001C06E6">
              <w:t>8.0</w:t>
            </w:r>
          </w:p>
        </w:tc>
      </w:tr>
      <w:tr w:rsidR="0012790E" w:rsidRPr="001C06E6" w14:paraId="25F309E8" w14:textId="77777777" w:rsidTr="00BA7D99">
        <w:tc>
          <w:tcPr>
            <w:tcW w:w="2497" w:type="dxa"/>
            <w:tcBorders>
              <w:top w:val="single" w:sz="4" w:space="0" w:color="293F5B"/>
              <w:bottom w:val="single" w:sz="4" w:space="0" w:color="293F5B"/>
            </w:tcBorders>
            <w:shd w:val="clear" w:color="auto" w:fill="auto"/>
          </w:tcPr>
          <w:p w14:paraId="5BECD08B" w14:textId="77777777" w:rsidR="0012790E" w:rsidRPr="001C06E6" w:rsidRDefault="0012790E">
            <w:pPr>
              <w:pStyle w:val="MeasureTableHeadingleftalignedwith2ptsspacing"/>
              <w:keepNext/>
            </w:pPr>
            <w:r>
              <w:t xml:space="preserve">Australian Competition and Consumer Commission </w:t>
            </w:r>
          </w:p>
        </w:tc>
        <w:tc>
          <w:tcPr>
            <w:tcW w:w="1045" w:type="dxa"/>
            <w:tcBorders>
              <w:top w:val="single" w:sz="4" w:space="0" w:color="293F5B"/>
              <w:bottom w:val="single" w:sz="4" w:space="0" w:color="293F5B"/>
            </w:tcBorders>
            <w:shd w:val="clear" w:color="auto" w:fill="auto"/>
          </w:tcPr>
          <w:p w14:paraId="27093E1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8A09B4E" w14:textId="77777777" w:rsidR="0012790E" w:rsidRPr="001C06E6" w:rsidRDefault="0012790E">
            <w:pPr>
              <w:pStyle w:val="MeasureTableDataRightAlignedwith2ptsspacing"/>
              <w:keepNext/>
            </w:pPr>
            <w:r>
              <w:t xml:space="preserve">2.6 </w:t>
            </w:r>
          </w:p>
        </w:tc>
        <w:tc>
          <w:tcPr>
            <w:tcW w:w="1045" w:type="dxa"/>
            <w:tcBorders>
              <w:top w:val="single" w:sz="4" w:space="0" w:color="293F5B"/>
              <w:bottom w:val="single" w:sz="4" w:space="0" w:color="293F5B"/>
            </w:tcBorders>
            <w:shd w:val="clear" w:color="auto" w:fill="auto"/>
          </w:tcPr>
          <w:p w14:paraId="3472BEBA" w14:textId="77777777" w:rsidR="0012790E" w:rsidRPr="001C06E6" w:rsidRDefault="0012790E">
            <w:pPr>
              <w:pStyle w:val="MeasureTableDataRightAlignedwith2ptsspacing"/>
              <w:keepNext/>
            </w:pPr>
            <w:r>
              <w:t xml:space="preserve">3.0 </w:t>
            </w:r>
          </w:p>
        </w:tc>
        <w:tc>
          <w:tcPr>
            <w:tcW w:w="1045" w:type="dxa"/>
            <w:tcBorders>
              <w:top w:val="single" w:sz="4" w:space="0" w:color="293F5B"/>
              <w:bottom w:val="single" w:sz="4" w:space="0" w:color="293F5B"/>
            </w:tcBorders>
            <w:shd w:val="clear" w:color="auto" w:fill="auto"/>
          </w:tcPr>
          <w:p w14:paraId="310BB2AC"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8D246CE" w14:textId="77777777" w:rsidR="0012790E" w:rsidRPr="001C06E6" w:rsidRDefault="0012790E">
            <w:pPr>
              <w:pStyle w:val="MeasureTableDataRightAlignedwith2ptsspacing"/>
              <w:keepNext/>
            </w:pPr>
            <w:r>
              <w:t xml:space="preserve">- </w:t>
            </w:r>
          </w:p>
        </w:tc>
      </w:tr>
      <w:tr w:rsidR="0012790E" w:rsidRPr="001C06E6" w14:paraId="7DBB81B2" w14:textId="77777777">
        <w:tc>
          <w:tcPr>
            <w:tcW w:w="2497" w:type="dxa"/>
            <w:tcBorders>
              <w:top w:val="single" w:sz="4" w:space="0" w:color="293F5B"/>
              <w:bottom w:val="single" w:sz="4" w:space="0" w:color="293F5B"/>
            </w:tcBorders>
            <w:shd w:val="clear" w:color="auto" w:fill="auto"/>
          </w:tcPr>
          <w:p w14:paraId="77CFBE2D" w14:textId="77777777" w:rsidR="0012790E" w:rsidRPr="001C06E6" w:rsidRDefault="0012790E">
            <w:pPr>
              <w:pStyle w:val="MeasureTableHeadingleftalignedwith2ptsspacing"/>
              <w:keepNext/>
            </w:pPr>
            <w:r w:rsidRPr="001C06E6">
              <w:t>Murray</w:t>
            </w:r>
            <w:r>
              <w:noBreakHyphen/>
            </w:r>
            <w:r w:rsidRPr="001C06E6">
              <w:t>Darling Basin Authority</w:t>
            </w:r>
          </w:p>
        </w:tc>
        <w:tc>
          <w:tcPr>
            <w:tcW w:w="1045" w:type="dxa"/>
            <w:tcBorders>
              <w:top w:val="single" w:sz="4" w:space="0" w:color="293F5B"/>
              <w:bottom w:val="single" w:sz="4" w:space="0" w:color="293F5B"/>
            </w:tcBorders>
            <w:shd w:val="clear" w:color="auto" w:fill="auto"/>
          </w:tcPr>
          <w:p w14:paraId="77BFCDB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442D732" w14:textId="77777777" w:rsidR="0012790E" w:rsidRPr="001C06E6" w:rsidRDefault="0012790E">
            <w:pPr>
              <w:pStyle w:val="MeasureTableDataRightAlignedwith2ptsspacing"/>
              <w:keepNext/>
            </w:pPr>
            <w:r w:rsidRPr="001C06E6">
              <w:t>3.7</w:t>
            </w:r>
          </w:p>
        </w:tc>
        <w:tc>
          <w:tcPr>
            <w:tcW w:w="1045" w:type="dxa"/>
            <w:tcBorders>
              <w:top w:val="single" w:sz="4" w:space="0" w:color="293F5B"/>
              <w:bottom w:val="single" w:sz="4" w:space="0" w:color="293F5B"/>
            </w:tcBorders>
            <w:shd w:val="clear" w:color="auto" w:fill="auto"/>
          </w:tcPr>
          <w:p w14:paraId="63464F2F" w14:textId="77777777" w:rsidR="0012790E" w:rsidRPr="001C06E6" w:rsidRDefault="0012790E">
            <w:pPr>
              <w:pStyle w:val="MeasureTableDataRightAlignedwith2ptsspacing"/>
              <w:keepNext/>
            </w:pPr>
            <w:r w:rsidRPr="001C06E6">
              <w:t>0.9</w:t>
            </w:r>
          </w:p>
        </w:tc>
        <w:tc>
          <w:tcPr>
            <w:tcW w:w="1045" w:type="dxa"/>
            <w:tcBorders>
              <w:top w:val="single" w:sz="4" w:space="0" w:color="293F5B"/>
              <w:bottom w:val="single" w:sz="4" w:space="0" w:color="293F5B"/>
            </w:tcBorders>
            <w:shd w:val="clear" w:color="auto" w:fill="auto"/>
          </w:tcPr>
          <w:p w14:paraId="1B58BCDB" w14:textId="77777777" w:rsidR="0012790E" w:rsidRPr="001C06E6" w:rsidRDefault="0012790E">
            <w:pPr>
              <w:pStyle w:val="MeasureTableDataRightAlignedwith2ptsspacing"/>
              <w:keepNext/>
            </w:pPr>
            <w:r w:rsidRPr="001C06E6">
              <w:t>0.7</w:t>
            </w:r>
          </w:p>
        </w:tc>
        <w:tc>
          <w:tcPr>
            <w:tcW w:w="1045" w:type="dxa"/>
            <w:tcBorders>
              <w:top w:val="single" w:sz="4" w:space="0" w:color="293F5B"/>
              <w:bottom w:val="single" w:sz="4" w:space="0" w:color="293F5B"/>
            </w:tcBorders>
            <w:shd w:val="clear" w:color="auto" w:fill="auto"/>
          </w:tcPr>
          <w:p w14:paraId="3651DDEC" w14:textId="77777777" w:rsidR="0012790E" w:rsidRPr="001C06E6" w:rsidRDefault="0012790E">
            <w:pPr>
              <w:pStyle w:val="MeasureTableDataRightAlignedwith2ptsspacing"/>
              <w:keepNext/>
            </w:pPr>
            <w:r w:rsidRPr="001C06E6">
              <w:t>0.7</w:t>
            </w:r>
          </w:p>
        </w:tc>
      </w:tr>
      <w:tr w:rsidR="0012790E" w:rsidRPr="001C06E6" w14:paraId="09D07B4C" w14:textId="77777777">
        <w:tc>
          <w:tcPr>
            <w:tcW w:w="2497" w:type="dxa"/>
            <w:tcBorders>
              <w:top w:val="single" w:sz="4" w:space="0" w:color="293F5B"/>
              <w:bottom w:val="single" w:sz="4" w:space="0" w:color="293F5B"/>
            </w:tcBorders>
            <w:shd w:val="clear" w:color="auto" w:fill="auto"/>
          </w:tcPr>
          <w:p w14:paraId="1D6B7723"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3EC63BBA"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5EE2962" w14:textId="77777777" w:rsidR="0012790E" w:rsidRPr="001C06E6" w:rsidRDefault="0012790E">
            <w:pPr>
              <w:pStyle w:val="Totaldatarowrightaligned"/>
              <w:keepNext/>
            </w:pPr>
            <w:r w:rsidRPr="001C06E6">
              <w:t>69.8</w:t>
            </w:r>
          </w:p>
        </w:tc>
        <w:tc>
          <w:tcPr>
            <w:tcW w:w="1045" w:type="dxa"/>
            <w:tcBorders>
              <w:top w:val="single" w:sz="4" w:space="0" w:color="293F5B"/>
              <w:bottom w:val="single" w:sz="4" w:space="0" w:color="293F5B"/>
            </w:tcBorders>
            <w:shd w:val="clear" w:color="auto" w:fill="auto"/>
          </w:tcPr>
          <w:p w14:paraId="2CB67423" w14:textId="77777777" w:rsidR="0012790E" w:rsidRPr="001C06E6" w:rsidRDefault="0012790E">
            <w:pPr>
              <w:pStyle w:val="Totaldatarowrightaligned"/>
              <w:keepNext/>
            </w:pPr>
            <w:r w:rsidRPr="001C06E6">
              <w:t>70.8</w:t>
            </w:r>
          </w:p>
        </w:tc>
        <w:tc>
          <w:tcPr>
            <w:tcW w:w="1045" w:type="dxa"/>
            <w:tcBorders>
              <w:top w:val="single" w:sz="4" w:space="0" w:color="293F5B"/>
              <w:bottom w:val="single" w:sz="4" w:space="0" w:color="293F5B"/>
            </w:tcBorders>
            <w:shd w:val="clear" w:color="auto" w:fill="auto"/>
          </w:tcPr>
          <w:p w14:paraId="6E922CE4" w14:textId="77777777" w:rsidR="0012790E" w:rsidRPr="001C06E6" w:rsidRDefault="0012790E">
            <w:pPr>
              <w:pStyle w:val="Totaldatarowrightaligned"/>
              <w:keepNext/>
            </w:pPr>
            <w:r w:rsidRPr="001C06E6">
              <w:t>67.7</w:t>
            </w:r>
          </w:p>
        </w:tc>
        <w:tc>
          <w:tcPr>
            <w:tcW w:w="1045" w:type="dxa"/>
            <w:tcBorders>
              <w:top w:val="single" w:sz="4" w:space="0" w:color="293F5B"/>
              <w:bottom w:val="single" w:sz="4" w:space="0" w:color="293F5B"/>
            </w:tcBorders>
            <w:shd w:val="clear" w:color="auto" w:fill="auto"/>
          </w:tcPr>
          <w:p w14:paraId="78D12049" w14:textId="77777777" w:rsidR="0012790E" w:rsidRPr="001C06E6" w:rsidRDefault="0012790E">
            <w:pPr>
              <w:pStyle w:val="Totaldatarowrightaligned"/>
              <w:keepNext/>
            </w:pPr>
            <w:r w:rsidRPr="001C06E6">
              <w:t>52.6</w:t>
            </w:r>
          </w:p>
        </w:tc>
      </w:tr>
    </w:tbl>
    <w:p w14:paraId="1E16BFF2"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69CE5644" w14:textId="77777777" w:rsidR="0012790E" w:rsidRDefault="0012790E">
      <w:pPr>
        <w:pStyle w:val="Normal2"/>
        <w:rPr>
          <w:rFonts w:cs="Book Antiqua"/>
        </w:rPr>
      </w:pPr>
      <w:r w:rsidRPr="001C06E6">
        <w:rPr>
          <w:rFonts w:cs="Book Antiqua"/>
        </w:rPr>
        <w:t>The Government will provide $262.2</w:t>
      </w:r>
      <w:r>
        <w:rPr>
          <w:rFonts w:cs="Book Antiqua"/>
        </w:rPr>
        <w:t> </w:t>
      </w:r>
      <w:r w:rsidRPr="001C06E6">
        <w:rPr>
          <w:rFonts w:cs="Book Antiqua"/>
        </w:rPr>
        <w:t xml:space="preserve">million over five years from </w:t>
      </w:r>
      <w:r>
        <w:rPr>
          <w:rFonts w:cs="Book Antiqua"/>
        </w:rPr>
        <w:t>2023–24</w:t>
      </w:r>
      <w:r w:rsidRPr="001C06E6">
        <w:rPr>
          <w:rFonts w:cs="Book Antiqua"/>
        </w:rPr>
        <w:t xml:space="preserve"> to support</w:t>
      </w:r>
      <w:r>
        <w:rPr>
          <w:rFonts w:cs="Book Antiqua"/>
        </w:rPr>
        <w:t xml:space="preserve"> </w:t>
      </w:r>
      <w:r w:rsidRPr="001C06E6">
        <w:rPr>
          <w:rFonts w:cs="Book Antiqua"/>
        </w:rPr>
        <w:t xml:space="preserve">the </w:t>
      </w:r>
      <w:r>
        <w:rPr>
          <w:rFonts w:cs="Book Antiqua"/>
        </w:rPr>
        <w:t>Australian Government</w:t>
      </w:r>
      <w:r w:rsidRPr="001C06E6">
        <w:rPr>
          <w:rFonts w:cs="Book Antiqua"/>
        </w:rPr>
        <w:t>’s water policy functions, including;</w:t>
      </w:r>
    </w:p>
    <w:p w14:paraId="2BD0671D" w14:textId="77777777" w:rsidR="0012790E" w:rsidRDefault="0012790E">
      <w:pPr>
        <w:pStyle w:val="Bullet"/>
      </w:pPr>
      <w:r w:rsidRPr="001C06E6">
        <w:t>$217.3</w:t>
      </w:r>
      <w:r>
        <w:t> </w:t>
      </w:r>
      <w:r w:rsidRPr="001C06E6">
        <w:t xml:space="preserve">million over four years from </w:t>
      </w:r>
      <w:r>
        <w:t>2024–25</w:t>
      </w:r>
      <w:r w:rsidRPr="001C06E6">
        <w:t xml:space="preserve"> for the Department of Climate Change, Energy, the Environment and Water to extend terminating funding for core water policy functions and to provide resourcing to enable the delivery of the Murray</w:t>
      </w:r>
      <w:r>
        <w:noBreakHyphen/>
      </w:r>
      <w:r w:rsidRPr="001C06E6">
        <w:t>Darling Basin Plan</w:t>
      </w:r>
      <w:r>
        <w:t xml:space="preserve"> </w:t>
      </w:r>
    </w:p>
    <w:p w14:paraId="75109966" w14:textId="77777777" w:rsidR="0012790E" w:rsidRDefault="0012790E">
      <w:pPr>
        <w:pStyle w:val="Bullet"/>
      </w:pPr>
      <w:r w:rsidRPr="001C06E6">
        <w:t>$32.0</w:t>
      </w:r>
      <w:r>
        <w:t> </w:t>
      </w:r>
      <w:r w:rsidRPr="001C06E6">
        <w:t xml:space="preserve">million over four years from </w:t>
      </w:r>
      <w:r>
        <w:t>2024–25</w:t>
      </w:r>
      <w:r w:rsidRPr="001C06E6">
        <w:t xml:space="preserve"> to extend the terminating </w:t>
      </w:r>
      <w:r w:rsidRPr="001C06E6">
        <w:rPr>
          <w:i/>
          <w:iCs/>
        </w:rPr>
        <w:t xml:space="preserve">Improving Great Artesian Basin Drought Resilience </w:t>
      </w:r>
      <w:r w:rsidRPr="001C06E6">
        <w:t>program to deliver water saving projects and improve water security in the region</w:t>
      </w:r>
      <w:r>
        <w:t xml:space="preserve"> </w:t>
      </w:r>
    </w:p>
    <w:p w14:paraId="18D9E467" w14:textId="77777777" w:rsidR="0012790E" w:rsidRDefault="0012790E">
      <w:pPr>
        <w:pStyle w:val="Bullet"/>
      </w:pPr>
      <w:r w:rsidRPr="001C06E6">
        <w:t>$7.2</w:t>
      </w:r>
      <w:r>
        <w:t> </w:t>
      </w:r>
      <w:r w:rsidRPr="001C06E6">
        <w:t xml:space="preserve">million over five years from </w:t>
      </w:r>
      <w:r>
        <w:t>2023–24</w:t>
      </w:r>
      <w:r w:rsidRPr="001C06E6">
        <w:t xml:space="preserve"> for the Murray</w:t>
      </w:r>
      <w:r>
        <w:noBreakHyphen/>
      </w:r>
      <w:r w:rsidRPr="001C06E6">
        <w:t xml:space="preserve">Darling Basin Authority to deliver new statutory responsibilities under the </w:t>
      </w:r>
      <w:r w:rsidRPr="001C06E6">
        <w:rPr>
          <w:i/>
          <w:iCs/>
        </w:rPr>
        <w:t>Water Amendment</w:t>
      </w:r>
      <w:r w:rsidRPr="001C06E6">
        <w:t xml:space="preserve"> (</w:t>
      </w:r>
      <w:r w:rsidRPr="001C06E6">
        <w:rPr>
          <w:i/>
          <w:iCs/>
        </w:rPr>
        <w:t xml:space="preserve">Restoring Our Rivers) Act 2023 </w:t>
      </w:r>
      <w:r w:rsidRPr="001C06E6">
        <w:t>(the Act)</w:t>
      </w:r>
      <w:r>
        <w:t xml:space="preserve"> </w:t>
      </w:r>
    </w:p>
    <w:p w14:paraId="7A1C111E" w14:textId="77777777" w:rsidR="0012790E" w:rsidRDefault="0012790E">
      <w:pPr>
        <w:pStyle w:val="Bullet"/>
      </w:pPr>
      <w:r w:rsidRPr="001C06E6">
        <w:t>$5.7</w:t>
      </w:r>
      <w:r>
        <w:t> </w:t>
      </w:r>
      <w:r w:rsidRPr="001C06E6">
        <w:t xml:space="preserve">million over two years from </w:t>
      </w:r>
      <w:r>
        <w:t>2024–25</w:t>
      </w:r>
      <w:r w:rsidRPr="001C06E6">
        <w:t xml:space="preserve"> for the Australian Competition and Consumer Commission to implement water market integrity functions set out in the Act, including new compliance, enforcement and information</w:t>
      </w:r>
      <w:r>
        <w:noBreakHyphen/>
      </w:r>
      <w:r w:rsidRPr="001C06E6">
        <w:t>gathering powers.</w:t>
      </w:r>
      <w:r>
        <w:t xml:space="preserve"> </w:t>
      </w:r>
    </w:p>
    <w:p w14:paraId="21C9939A" w14:textId="77777777" w:rsidR="0012790E" w:rsidRDefault="0012790E" w:rsidP="54937204">
      <w:pPr>
        <w:pStyle w:val="Normal2"/>
        <w:rPr>
          <w:rFonts w:cs="Book Antiqua"/>
          <w:lang w:val="en-US"/>
        </w:rPr>
      </w:pPr>
      <w:r w:rsidRPr="54937204">
        <w:rPr>
          <w:rFonts w:cs="Book Antiqua"/>
          <w:lang w:val="en-US"/>
        </w:rPr>
        <w:t xml:space="preserve">Funding for this measure has already been provided for by the Government. </w:t>
      </w:r>
    </w:p>
    <w:p w14:paraId="4D303D68" w14:textId="77777777" w:rsidR="0012790E" w:rsidRPr="001C06E6" w:rsidRDefault="0012790E">
      <w:pPr>
        <w:pStyle w:val="MeasureTitle"/>
        <w:rPr>
          <w:b w:val="0"/>
          <w:bCs/>
        </w:rPr>
      </w:pPr>
      <w:r w:rsidRPr="001C06E6">
        <w:rPr>
          <w:bCs/>
        </w:rPr>
        <w:lastRenderedPageBreak/>
        <w:t>Tourism Reef Protection Initiative – continuing delivery</w:t>
      </w:r>
    </w:p>
    <w:p w14:paraId="4EB09D0A"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0A29DE9" w14:textId="77777777">
        <w:tc>
          <w:tcPr>
            <w:tcW w:w="2497" w:type="dxa"/>
            <w:tcBorders>
              <w:top w:val="single" w:sz="4" w:space="0" w:color="293F5B"/>
              <w:bottom w:val="single" w:sz="4" w:space="0" w:color="293F5B"/>
            </w:tcBorders>
            <w:shd w:val="clear" w:color="auto" w:fill="auto"/>
          </w:tcPr>
          <w:p w14:paraId="688575C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3052C43"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587FEAA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E5A8447"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1916FAF"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37668E3" w14:textId="77777777" w:rsidR="0012790E" w:rsidRPr="001C06E6" w:rsidRDefault="0012790E">
            <w:pPr>
              <w:pStyle w:val="MeasureTableYearHeadings"/>
              <w:keepNext/>
            </w:pPr>
            <w:r w:rsidRPr="001C06E6">
              <w:t>2027</w:t>
            </w:r>
            <w:r>
              <w:noBreakHyphen/>
            </w:r>
            <w:r w:rsidRPr="001C06E6">
              <w:t>28</w:t>
            </w:r>
          </w:p>
        </w:tc>
      </w:tr>
      <w:tr w:rsidR="0012790E" w:rsidRPr="001C06E6" w14:paraId="46BE3C7E" w14:textId="77777777">
        <w:tc>
          <w:tcPr>
            <w:tcW w:w="2497" w:type="dxa"/>
            <w:tcBorders>
              <w:top w:val="single" w:sz="4" w:space="0" w:color="293F5B"/>
              <w:bottom w:val="single" w:sz="4" w:space="0" w:color="293F5B"/>
            </w:tcBorders>
            <w:shd w:val="clear" w:color="auto" w:fill="auto"/>
          </w:tcPr>
          <w:p w14:paraId="5990DE7E" w14:textId="77777777" w:rsidR="0012790E" w:rsidRPr="001C06E6" w:rsidRDefault="0012790E">
            <w:pPr>
              <w:pStyle w:val="MeasureTableHeadingleftalignedwith2ptsspacing"/>
              <w:keepNext/>
            </w:pPr>
            <w:r>
              <w:t xml:space="preserve">Great Barrier Reef Marine Park Authority </w:t>
            </w:r>
          </w:p>
        </w:tc>
        <w:tc>
          <w:tcPr>
            <w:tcW w:w="1045" w:type="dxa"/>
            <w:tcBorders>
              <w:top w:val="single" w:sz="4" w:space="0" w:color="293F5B"/>
              <w:bottom w:val="single" w:sz="4" w:space="0" w:color="293F5B"/>
            </w:tcBorders>
            <w:shd w:val="clear" w:color="auto" w:fill="auto"/>
          </w:tcPr>
          <w:p w14:paraId="25B4625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42E546B" w14:textId="77777777" w:rsidR="0012790E" w:rsidRPr="001C06E6" w:rsidRDefault="0012790E">
            <w:pPr>
              <w:pStyle w:val="MeasureTableDataRightAlignedwith2ptsspacing"/>
              <w:keepNext/>
            </w:pPr>
            <w:r>
              <w:t xml:space="preserve">5.0 </w:t>
            </w:r>
          </w:p>
        </w:tc>
        <w:tc>
          <w:tcPr>
            <w:tcW w:w="1045" w:type="dxa"/>
            <w:tcBorders>
              <w:top w:val="single" w:sz="4" w:space="0" w:color="293F5B"/>
              <w:bottom w:val="single" w:sz="4" w:space="0" w:color="293F5B"/>
            </w:tcBorders>
            <w:shd w:val="clear" w:color="auto" w:fill="auto"/>
          </w:tcPr>
          <w:p w14:paraId="50693D0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057EDB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846948F" w14:textId="77777777" w:rsidR="0012790E" w:rsidRPr="001C06E6" w:rsidRDefault="0012790E">
            <w:pPr>
              <w:pStyle w:val="MeasureTableDataRightAlignedwith2ptsspacing"/>
              <w:keepNext/>
            </w:pPr>
            <w:r>
              <w:t xml:space="preserve">- </w:t>
            </w:r>
          </w:p>
        </w:tc>
      </w:tr>
      <w:tr w:rsidR="0012790E" w:rsidRPr="001C06E6" w14:paraId="205E5B18" w14:textId="77777777">
        <w:tc>
          <w:tcPr>
            <w:tcW w:w="2497" w:type="dxa"/>
            <w:tcBorders>
              <w:top w:val="single" w:sz="4" w:space="0" w:color="293F5B"/>
              <w:bottom w:val="single" w:sz="4" w:space="0" w:color="293F5B"/>
            </w:tcBorders>
            <w:shd w:val="clear" w:color="auto" w:fill="auto"/>
          </w:tcPr>
          <w:p w14:paraId="0B238212"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6C41AD46"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EA1543C" w14:textId="77777777" w:rsidR="0012790E" w:rsidRPr="001C06E6" w:rsidRDefault="0012790E">
            <w:pPr>
              <w:pStyle w:val="MeasureTableDataRightAlignedwith2ptsspacing"/>
              <w:keepNext/>
            </w:pPr>
            <w:r>
              <w:t xml:space="preserve">-5.0   </w:t>
            </w:r>
          </w:p>
        </w:tc>
        <w:tc>
          <w:tcPr>
            <w:tcW w:w="1045" w:type="dxa"/>
            <w:tcBorders>
              <w:top w:val="single" w:sz="4" w:space="0" w:color="293F5B"/>
              <w:bottom w:val="single" w:sz="4" w:space="0" w:color="293F5B"/>
            </w:tcBorders>
            <w:shd w:val="clear" w:color="auto" w:fill="auto"/>
          </w:tcPr>
          <w:p w14:paraId="7E295ABC"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38ACF7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F44E051" w14:textId="77777777" w:rsidR="0012790E" w:rsidRPr="001C06E6" w:rsidRDefault="0012790E">
            <w:pPr>
              <w:pStyle w:val="MeasureTableDataRightAlignedwith2ptsspacing"/>
              <w:keepNext/>
            </w:pPr>
            <w:r>
              <w:t xml:space="preserve">-   </w:t>
            </w:r>
          </w:p>
        </w:tc>
      </w:tr>
      <w:tr w:rsidR="0012790E" w:rsidRPr="001C06E6" w14:paraId="25B21916" w14:textId="77777777">
        <w:tc>
          <w:tcPr>
            <w:tcW w:w="2497" w:type="dxa"/>
            <w:tcBorders>
              <w:top w:val="single" w:sz="4" w:space="0" w:color="293F5B"/>
              <w:bottom w:val="single" w:sz="4" w:space="0" w:color="293F5B"/>
            </w:tcBorders>
            <w:shd w:val="clear" w:color="auto" w:fill="auto"/>
          </w:tcPr>
          <w:p w14:paraId="5ED96F20"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688FC6F"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6049180C"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6F2C6983"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15D8A8AD"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3CB9F7C" w14:textId="77777777" w:rsidR="0012790E" w:rsidRPr="001C06E6" w:rsidRDefault="0012790E">
            <w:pPr>
              <w:pStyle w:val="Totaldatarowrightaligned"/>
              <w:keepNext/>
            </w:pPr>
            <w:r w:rsidRPr="001C06E6">
              <w:t>-</w:t>
            </w:r>
          </w:p>
        </w:tc>
      </w:tr>
    </w:tbl>
    <w:p w14:paraId="3C792DF2"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0FE4654C" w14:textId="77777777" w:rsidR="0012790E" w:rsidRDefault="0012790E" w:rsidP="54937204">
      <w:pPr>
        <w:pStyle w:val="Normal2"/>
        <w:rPr>
          <w:rFonts w:cs="Book Antiqua"/>
          <w:lang w:val="en-US"/>
        </w:rPr>
      </w:pPr>
      <w:r w:rsidRPr="54937204">
        <w:rPr>
          <w:rFonts w:cs="Book Antiqua"/>
          <w:lang w:val="en-US"/>
        </w:rPr>
        <w:t xml:space="preserve">The Government will provide $5.0 million in 2024–25 for the Great Barrier Reef Marine Park Authority to engage tourism operators to conduct reef monitoring, protection and other stewardship activities to protect the Great Barrier Reef. </w:t>
      </w:r>
    </w:p>
    <w:p w14:paraId="480ED9EB" w14:textId="77777777" w:rsidR="0012790E" w:rsidRDefault="0012790E" w:rsidP="54937204">
      <w:pPr>
        <w:pStyle w:val="Normal2"/>
        <w:rPr>
          <w:rFonts w:cs="Book Antiqua"/>
          <w:lang w:val="en-US"/>
        </w:rPr>
      </w:pPr>
      <w:r w:rsidRPr="54937204">
        <w:rPr>
          <w:rFonts w:cs="Book Antiqua"/>
          <w:lang w:val="en-US"/>
        </w:rPr>
        <w:t xml:space="preserve">The cost of this measure will be met from a reprioritisation of funding from the 2022–23 March Budget measure titled </w:t>
      </w:r>
      <w:r w:rsidRPr="54937204">
        <w:rPr>
          <w:rFonts w:cs="Book Antiqua"/>
          <w:i/>
          <w:iCs/>
          <w:lang w:val="en-US"/>
        </w:rPr>
        <w:t>Strengthening the Great Barrier Reef through Stewardship and Leadership</w:t>
      </w:r>
      <w:r w:rsidRPr="54937204">
        <w:rPr>
          <w:rFonts w:cs="Book Antiqua"/>
          <w:lang w:val="en-US"/>
        </w:rPr>
        <w:t xml:space="preserve">. </w:t>
      </w:r>
    </w:p>
    <w:p w14:paraId="7CCAE6E2" w14:textId="77777777" w:rsidR="0012790E" w:rsidRDefault="0012790E">
      <w:pPr>
        <w:pStyle w:val="PortfolioName"/>
        <w:rPr>
          <w:bCs/>
          <w:szCs w:val="26"/>
        </w:rPr>
        <w:sectPr w:rsidR="0012790E" w:rsidSect="00EA5BFE">
          <w:pgSz w:w="11905" w:h="16837"/>
          <w:pgMar w:top="2835" w:right="2098" w:bottom="2466" w:left="2098" w:header="1814" w:footer="1814" w:gutter="0"/>
          <w:cols w:space="720"/>
          <w:noEndnote/>
          <w:docGrid w:linePitch="272"/>
        </w:sectPr>
      </w:pPr>
    </w:p>
    <w:p w14:paraId="0F085621" w14:textId="77777777" w:rsidR="0012790E" w:rsidRPr="001C06E6" w:rsidRDefault="0012790E" w:rsidP="00132091">
      <w:pPr>
        <w:pStyle w:val="PortfolioName"/>
      </w:pPr>
      <w:r w:rsidRPr="001C06E6">
        <w:lastRenderedPageBreak/>
        <w:t xml:space="preserve">Cross </w:t>
      </w:r>
      <w:r w:rsidRPr="00132091">
        <w:t>Portfolio</w:t>
      </w:r>
    </w:p>
    <w:p w14:paraId="4DDCE45D" w14:textId="77777777" w:rsidR="0012790E" w:rsidRPr="001C06E6" w:rsidRDefault="0012790E">
      <w:pPr>
        <w:pStyle w:val="MeasureTitle"/>
      </w:pPr>
      <w:r w:rsidRPr="001C06E6">
        <w:rPr>
          <w:bCs/>
        </w:rPr>
        <w:t>Australian Universities Accord – tertiary education system reforms</w:t>
      </w:r>
    </w:p>
    <w:p w14:paraId="2E319C5A"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79BFFD6" w14:textId="77777777">
        <w:tc>
          <w:tcPr>
            <w:tcW w:w="2497" w:type="dxa"/>
            <w:tcBorders>
              <w:top w:val="single" w:sz="4" w:space="0" w:color="293F5B"/>
              <w:bottom w:val="single" w:sz="4" w:space="0" w:color="293F5B"/>
            </w:tcBorders>
            <w:shd w:val="clear" w:color="auto" w:fill="auto"/>
          </w:tcPr>
          <w:p w14:paraId="4047F6FF"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3DB675C"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318FC47"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093110C"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501F0B9"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67CAA3F" w14:textId="77777777" w:rsidR="0012790E" w:rsidRPr="001C06E6" w:rsidRDefault="0012790E">
            <w:pPr>
              <w:pStyle w:val="MeasureTableYearHeadings"/>
              <w:keepNext/>
            </w:pPr>
            <w:r w:rsidRPr="001C06E6">
              <w:t>2027</w:t>
            </w:r>
            <w:r>
              <w:noBreakHyphen/>
            </w:r>
            <w:r w:rsidRPr="001C06E6">
              <w:t>28</w:t>
            </w:r>
          </w:p>
        </w:tc>
      </w:tr>
      <w:tr w:rsidR="0012790E" w:rsidRPr="001C06E6" w14:paraId="3A282FA2" w14:textId="77777777">
        <w:tc>
          <w:tcPr>
            <w:tcW w:w="2497" w:type="dxa"/>
            <w:tcBorders>
              <w:top w:val="single" w:sz="4" w:space="0" w:color="293F5B"/>
              <w:bottom w:val="single" w:sz="4" w:space="0" w:color="293F5B"/>
            </w:tcBorders>
            <w:shd w:val="clear" w:color="auto" w:fill="auto"/>
          </w:tcPr>
          <w:p w14:paraId="66B2A37C"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6E36B7B7" w14:textId="77777777" w:rsidR="0012790E" w:rsidRPr="001C06E6" w:rsidRDefault="0012790E">
            <w:pPr>
              <w:pStyle w:val="MeasureTableDataRightAlignedwith2ptsspacing"/>
              <w:keepNext/>
            </w:pPr>
            <w:r w:rsidRPr="001C06E6">
              <w:t>0.3</w:t>
            </w:r>
          </w:p>
        </w:tc>
        <w:tc>
          <w:tcPr>
            <w:tcW w:w="1045" w:type="dxa"/>
            <w:tcBorders>
              <w:top w:val="single" w:sz="4" w:space="0" w:color="293F5B"/>
              <w:bottom w:val="single" w:sz="4" w:space="0" w:color="293F5B"/>
            </w:tcBorders>
            <w:shd w:val="clear" w:color="auto" w:fill="auto"/>
          </w:tcPr>
          <w:p w14:paraId="4432E85B" w14:textId="77777777" w:rsidR="0012790E" w:rsidRPr="001C06E6" w:rsidRDefault="0012790E">
            <w:pPr>
              <w:pStyle w:val="MeasureTableDataRightAlignedwith2ptsspacing"/>
              <w:keepNext/>
            </w:pPr>
            <w:r w:rsidRPr="001C06E6">
              <w:t>0.2</w:t>
            </w:r>
          </w:p>
        </w:tc>
        <w:tc>
          <w:tcPr>
            <w:tcW w:w="1045" w:type="dxa"/>
            <w:tcBorders>
              <w:top w:val="single" w:sz="4" w:space="0" w:color="293F5B"/>
              <w:bottom w:val="single" w:sz="4" w:space="0" w:color="293F5B"/>
            </w:tcBorders>
            <w:shd w:val="clear" w:color="auto" w:fill="auto"/>
          </w:tcPr>
          <w:p w14:paraId="7008D51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DE3614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7184BFE" w14:textId="77777777" w:rsidR="0012790E" w:rsidRPr="001C06E6" w:rsidRDefault="0012790E">
            <w:pPr>
              <w:pStyle w:val="MeasureTableDataRightAlignedwith2ptsspacing"/>
              <w:keepNext/>
            </w:pPr>
            <w:r w:rsidRPr="001C06E6">
              <w:t>-</w:t>
            </w:r>
          </w:p>
        </w:tc>
      </w:tr>
      <w:tr w:rsidR="00245E01" w:rsidRPr="001C06E6" w14:paraId="39C223F7" w14:textId="77777777" w:rsidTr="00AC2FA9">
        <w:tc>
          <w:tcPr>
            <w:tcW w:w="2497" w:type="dxa"/>
            <w:tcBorders>
              <w:top w:val="single" w:sz="4" w:space="0" w:color="293F5B"/>
              <w:bottom w:val="single" w:sz="4" w:space="0" w:color="293F5B"/>
            </w:tcBorders>
            <w:shd w:val="clear" w:color="auto" w:fill="auto"/>
          </w:tcPr>
          <w:p w14:paraId="32B823F5" w14:textId="77777777" w:rsidR="00245E01" w:rsidRPr="001C06E6" w:rsidRDefault="00245E01" w:rsidP="00245E01">
            <w:pPr>
              <w:pStyle w:val="MeasureTableHeadingleftalignedwith2ptsspacing"/>
              <w:keepNext/>
            </w:pPr>
            <w:r w:rsidRPr="001C06E6">
              <w:t>Department of Education</w:t>
            </w:r>
          </w:p>
        </w:tc>
        <w:tc>
          <w:tcPr>
            <w:tcW w:w="1045" w:type="dxa"/>
            <w:tcBorders>
              <w:top w:val="single" w:sz="4" w:space="0" w:color="293F5B"/>
              <w:bottom w:val="single" w:sz="4" w:space="0" w:color="293F5B"/>
            </w:tcBorders>
            <w:shd w:val="clear" w:color="auto" w:fill="auto"/>
          </w:tcPr>
          <w:p w14:paraId="5D483A21" w14:textId="77777777" w:rsidR="00245E01" w:rsidRPr="001C06E6" w:rsidRDefault="00245E01" w:rsidP="00245E01">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6EAF2CF" w14:textId="77777777" w:rsidR="00245E01" w:rsidRPr="001C06E6" w:rsidRDefault="00245E01" w:rsidP="00245E01">
            <w:pPr>
              <w:pStyle w:val="MeasureTableDataRightAlignedwith2ptsspacing"/>
              <w:keepNext/>
            </w:pPr>
            <w:r w:rsidRPr="001C06E6">
              <w:t>34.4</w:t>
            </w:r>
          </w:p>
        </w:tc>
        <w:tc>
          <w:tcPr>
            <w:tcW w:w="1045" w:type="dxa"/>
            <w:tcBorders>
              <w:top w:val="single" w:sz="4" w:space="0" w:color="293F5B"/>
              <w:bottom w:val="single" w:sz="4" w:space="0" w:color="293F5B"/>
            </w:tcBorders>
            <w:shd w:val="clear" w:color="auto" w:fill="auto"/>
            <w:vAlign w:val="bottom"/>
          </w:tcPr>
          <w:p w14:paraId="6E71BB79" w14:textId="484C26FD" w:rsidR="00245E01" w:rsidRPr="001C06E6" w:rsidRDefault="00245E01" w:rsidP="00245E01">
            <w:pPr>
              <w:pStyle w:val="MeasureTableDataRightAlignedwith2ptsspacing"/>
              <w:keepNext/>
            </w:pPr>
            <w:r>
              <w:rPr>
                <w:szCs w:val="16"/>
              </w:rPr>
              <w:t>146.5</w:t>
            </w:r>
          </w:p>
        </w:tc>
        <w:tc>
          <w:tcPr>
            <w:tcW w:w="1045" w:type="dxa"/>
            <w:tcBorders>
              <w:top w:val="single" w:sz="4" w:space="0" w:color="293F5B"/>
              <w:bottom w:val="single" w:sz="4" w:space="0" w:color="293F5B"/>
            </w:tcBorders>
            <w:shd w:val="clear" w:color="auto" w:fill="auto"/>
            <w:vAlign w:val="bottom"/>
          </w:tcPr>
          <w:p w14:paraId="1C320DB7" w14:textId="2C80920D" w:rsidR="00245E01" w:rsidRPr="001C06E6" w:rsidRDefault="00245E01" w:rsidP="00245E01">
            <w:pPr>
              <w:pStyle w:val="MeasureTableDataRightAlignedwith2ptsspacing"/>
              <w:keepNext/>
            </w:pPr>
            <w:r>
              <w:rPr>
                <w:szCs w:val="16"/>
              </w:rPr>
              <w:t>172.7</w:t>
            </w:r>
          </w:p>
        </w:tc>
        <w:tc>
          <w:tcPr>
            <w:tcW w:w="1045" w:type="dxa"/>
            <w:tcBorders>
              <w:top w:val="single" w:sz="4" w:space="0" w:color="293F5B"/>
              <w:bottom w:val="single" w:sz="4" w:space="0" w:color="293F5B"/>
            </w:tcBorders>
            <w:shd w:val="clear" w:color="auto" w:fill="auto"/>
            <w:vAlign w:val="bottom"/>
          </w:tcPr>
          <w:p w14:paraId="4744E997" w14:textId="5B6FC3E7" w:rsidR="00245E01" w:rsidRPr="001C06E6" w:rsidRDefault="00245E01" w:rsidP="00245E01">
            <w:pPr>
              <w:pStyle w:val="MeasureTableDataRightAlignedwith2ptsspacing"/>
              <w:keepNext/>
            </w:pPr>
            <w:r>
              <w:rPr>
                <w:szCs w:val="16"/>
              </w:rPr>
              <w:t>199.8</w:t>
            </w:r>
          </w:p>
        </w:tc>
      </w:tr>
      <w:tr w:rsidR="0012790E" w:rsidRPr="001C06E6" w14:paraId="102235A1" w14:textId="77777777">
        <w:tc>
          <w:tcPr>
            <w:tcW w:w="2497" w:type="dxa"/>
            <w:tcBorders>
              <w:top w:val="single" w:sz="4" w:space="0" w:color="293F5B"/>
              <w:bottom w:val="single" w:sz="4" w:space="0" w:color="293F5B"/>
            </w:tcBorders>
            <w:shd w:val="clear" w:color="auto" w:fill="auto"/>
          </w:tcPr>
          <w:p w14:paraId="67EA99F6"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2E216D67"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36EC5A2" w14:textId="77777777" w:rsidR="0012790E" w:rsidRPr="001C06E6" w:rsidRDefault="0012790E">
            <w:pPr>
              <w:pStyle w:val="MeasureTableDataRightAlignedwith2ptsspacing"/>
              <w:keepNext/>
            </w:pPr>
            <w:r>
              <w:t xml:space="preserve">14.0 </w:t>
            </w:r>
          </w:p>
        </w:tc>
        <w:tc>
          <w:tcPr>
            <w:tcW w:w="1045" w:type="dxa"/>
            <w:tcBorders>
              <w:top w:val="single" w:sz="4" w:space="0" w:color="293F5B"/>
              <w:bottom w:val="single" w:sz="4" w:space="0" w:color="293F5B"/>
            </w:tcBorders>
            <w:shd w:val="clear" w:color="auto" w:fill="auto"/>
          </w:tcPr>
          <w:p w14:paraId="5BA0C10D" w14:textId="77777777" w:rsidR="0012790E" w:rsidRPr="001C06E6" w:rsidRDefault="0012790E">
            <w:pPr>
              <w:pStyle w:val="MeasureTableDataRightAlignedwith2ptsspacing"/>
              <w:keepNext/>
            </w:pPr>
            <w:r>
              <w:t xml:space="preserve">15.0 </w:t>
            </w:r>
          </w:p>
        </w:tc>
        <w:tc>
          <w:tcPr>
            <w:tcW w:w="1045" w:type="dxa"/>
            <w:tcBorders>
              <w:top w:val="single" w:sz="4" w:space="0" w:color="293F5B"/>
              <w:bottom w:val="single" w:sz="4" w:space="0" w:color="293F5B"/>
            </w:tcBorders>
            <w:shd w:val="clear" w:color="auto" w:fill="auto"/>
          </w:tcPr>
          <w:p w14:paraId="411AEA76" w14:textId="77777777" w:rsidR="0012790E" w:rsidRPr="001C06E6" w:rsidRDefault="0012790E">
            <w:pPr>
              <w:pStyle w:val="MeasureTableDataRightAlignedwith2ptsspacing"/>
              <w:keepNext/>
            </w:pPr>
            <w:r>
              <w:t xml:space="preserve">20.9 </w:t>
            </w:r>
          </w:p>
        </w:tc>
        <w:tc>
          <w:tcPr>
            <w:tcW w:w="1045" w:type="dxa"/>
            <w:tcBorders>
              <w:top w:val="single" w:sz="4" w:space="0" w:color="293F5B"/>
              <w:bottom w:val="single" w:sz="4" w:space="0" w:color="293F5B"/>
            </w:tcBorders>
            <w:shd w:val="clear" w:color="auto" w:fill="auto"/>
          </w:tcPr>
          <w:p w14:paraId="40A1896F" w14:textId="77777777" w:rsidR="0012790E" w:rsidRPr="001C06E6" w:rsidRDefault="0012790E">
            <w:pPr>
              <w:pStyle w:val="MeasureTableDataRightAlignedwith2ptsspacing"/>
              <w:keepNext/>
            </w:pPr>
            <w:r>
              <w:t xml:space="preserve">22.9 </w:t>
            </w:r>
          </w:p>
        </w:tc>
      </w:tr>
      <w:tr w:rsidR="008D2C0A" w:rsidRPr="001C06E6" w14:paraId="3F82B23A" w14:textId="77777777">
        <w:tc>
          <w:tcPr>
            <w:tcW w:w="2497" w:type="dxa"/>
            <w:tcBorders>
              <w:top w:val="single" w:sz="4" w:space="0" w:color="293F5B"/>
              <w:bottom w:val="single" w:sz="4" w:space="0" w:color="293F5B"/>
            </w:tcBorders>
            <w:shd w:val="clear" w:color="auto" w:fill="auto"/>
          </w:tcPr>
          <w:p w14:paraId="7B49FFFC" w14:textId="037A1B52" w:rsidR="008D2C0A" w:rsidRDefault="008D2C0A">
            <w:pPr>
              <w:pStyle w:val="MeasureTableHeadingleftalignedwith2ptsspacing"/>
              <w:keepNext/>
            </w:pPr>
            <w:r>
              <w:t>Department of Health and</w:t>
            </w:r>
            <w:r w:rsidR="00A01178">
              <w:t xml:space="preserve"> Aged Care</w:t>
            </w:r>
          </w:p>
        </w:tc>
        <w:tc>
          <w:tcPr>
            <w:tcW w:w="1045" w:type="dxa"/>
            <w:tcBorders>
              <w:top w:val="single" w:sz="4" w:space="0" w:color="293F5B"/>
              <w:bottom w:val="single" w:sz="4" w:space="0" w:color="293F5B"/>
            </w:tcBorders>
            <w:shd w:val="clear" w:color="auto" w:fill="auto"/>
          </w:tcPr>
          <w:p w14:paraId="60EE5EA8" w14:textId="5D8F0C04" w:rsidR="008D2C0A" w:rsidRDefault="00A01178">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33B23377" w14:textId="6D70BDBF" w:rsidR="008D2C0A" w:rsidRDefault="00A01178">
            <w:pPr>
              <w:pStyle w:val="MeasureTableDataRightAlignedwith2ptsspacing"/>
              <w:keepNext/>
            </w:pPr>
            <w:r>
              <w:t>9.6</w:t>
            </w:r>
          </w:p>
        </w:tc>
        <w:tc>
          <w:tcPr>
            <w:tcW w:w="1045" w:type="dxa"/>
            <w:tcBorders>
              <w:top w:val="single" w:sz="4" w:space="0" w:color="293F5B"/>
              <w:bottom w:val="single" w:sz="4" w:space="0" w:color="293F5B"/>
            </w:tcBorders>
            <w:shd w:val="clear" w:color="auto" w:fill="auto"/>
          </w:tcPr>
          <w:p w14:paraId="566D2D4D" w14:textId="36D94AA6" w:rsidR="008D2C0A" w:rsidRDefault="00A01178">
            <w:pPr>
              <w:pStyle w:val="MeasureTableDataRightAlignedwith2ptsspacing"/>
              <w:keepNext/>
            </w:pPr>
            <w:r>
              <w:t>5.2</w:t>
            </w:r>
          </w:p>
        </w:tc>
        <w:tc>
          <w:tcPr>
            <w:tcW w:w="1045" w:type="dxa"/>
            <w:tcBorders>
              <w:top w:val="single" w:sz="4" w:space="0" w:color="293F5B"/>
              <w:bottom w:val="single" w:sz="4" w:space="0" w:color="293F5B"/>
            </w:tcBorders>
            <w:shd w:val="clear" w:color="auto" w:fill="auto"/>
          </w:tcPr>
          <w:p w14:paraId="356FD158" w14:textId="34A344B9" w:rsidR="008D2C0A" w:rsidDel="009711AD" w:rsidRDefault="00A01178">
            <w:pPr>
              <w:pStyle w:val="MeasureTableDataRightAlignedwith2ptsspacing"/>
              <w:keepNext/>
            </w:pPr>
            <w:r>
              <w:t>1.5</w:t>
            </w:r>
          </w:p>
        </w:tc>
        <w:tc>
          <w:tcPr>
            <w:tcW w:w="1045" w:type="dxa"/>
            <w:tcBorders>
              <w:top w:val="single" w:sz="4" w:space="0" w:color="293F5B"/>
              <w:bottom w:val="single" w:sz="4" w:space="0" w:color="293F5B"/>
            </w:tcBorders>
            <w:shd w:val="clear" w:color="auto" w:fill="auto"/>
          </w:tcPr>
          <w:p w14:paraId="1DBEE5CD" w14:textId="1D9B3E63" w:rsidR="008D2C0A" w:rsidDel="009711AD" w:rsidRDefault="00A01178">
            <w:pPr>
              <w:pStyle w:val="MeasureTableDataRightAlignedwith2ptsspacing"/>
              <w:keepNext/>
            </w:pPr>
            <w:r>
              <w:t>2.1</w:t>
            </w:r>
          </w:p>
        </w:tc>
      </w:tr>
      <w:tr w:rsidR="0012790E" w:rsidRPr="001C06E6" w14:paraId="0EDCE986" w14:textId="77777777">
        <w:tc>
          <w:tcPr>
            <w:tcW w:w="2497" w:type="dxa"/>
            <w:tcBorders>
              <w:top w:val="single" w:sz="4" w:space="0" w:color="293F5B"/>
              <w:bottom w:val="single" w:sz="4" w:space="0" w:color="293F5B"/>
            </w:tcBorders>
            <w:shd w:val="clear" w:color="auto" w:fill="auto"/>
          </w:tcPr>
          <w:p w14:paraId="1048F2FA" w14:textId="77777777" w:rsidR="0012790E" w:rsidRPr="001C06E6" w:rsidRDefault="0012790E">
            <w:pPr>
              <w:pStyle w:val="MeasureTableHeadingleftalignedwith2ptsspacing"/>
              <w:keepNext/>
            </w:pPr>
            <w:r>
              <w:t xml:space="preserve">Office of the Commonwealth Ombudsman </w:t>
            </w:r>
          </w:p>
        </w:tc>
        <w:tc>
          <w:tcPr>
            <w:tcW w:w="1045" w:type="dxa"/>
            <w:tcBorders>
              <w:top w:val="single" w:sz="4" w:space="0" w:color="293F5B"/>
              <w:bottom w:val="single" w:sz="4" w:space="0" w:color="293F5B"/>
            </w:tcBorders>
            <w:shd w:val="clear" w:color="auto" w:fill="auto"/>
          </w:tcPr>
          <w:p w14:paraId="599E14F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097581F" w14:textId="77777777" w:rsidR="0012790E" w:rsidRPr="001C06E6" w:rsidRDefault="0012790E">
            <w:pPr>
              <w:pStyle w:val="MeasureTableDataRightAlignedwith2ptsspacing"/>
              <w:keepNext/>
            </w:pPr>
            <w:r>
              <w:t xml:space="preserve">8.8 </w:t>
            </w:r>
          </w:p>
        </w:tc>
        <w:tc>
          <w:tcPr>
            <w:tcW w:w="1045" w:type="dxa"/>
            <w:tcBorders>
              <w:top w:val="single" w:sz="4" w:space="0" w:color="293F5B"/>
              <w:bottom w:val="single" w:sz="4" w:space="0" w:color="293F5B"/>
            </w:tcBorders>
            <w:shd w:val="clear" w:color="auto" w:fill="auto"/>
          </w:tcPr>
          <w:p w14:paraId="691C518F" w14:textId="77777777" w:rsidR="0012790E" w:rsidRPr="001C06E6" w:rsidRDefault="0012790E">
            <w:pPr>
              <w:pStyle w:val="MeasureTableDataRightAlignedwith2ptsspacing"/>
              <w:keepNext/>
            </w:pPr>
            <w:r>
              <w:t xml:space="preserve">10.6 </w:t>
            </w:r>
          </w:p>
        </w:tc>
        <w:tc>
          <w:tcPr>
            <w:tcW w:w="1045" w:type="dxa"/>
            <w:tcBorders>
              <w:top w:val="single" w:sz="4" w:space="0" w:color="293F5B"/>
              <w:bottom w:val="single" w:sz="4" w:space="0" w:color="293F5B"/>
            </w:tcBorders>
            <w:shd w:val="clear" w:color="auto" w:fill="auto"/>
          </w:tcPr>
          <w:p w14:paraId="7E71D2E8" w14:textId="0393B4B6" w:rsidR="0012790E" w:rsidRPr="001C06E6" w:rsidRDefault="009711AD">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6FB50710" w14:textId="548858CC" w:rsidR="0012790E" w:rsidRPr="001C06E6" w:rsidRDefault="009711AD">
            <w:pPr>
              <w:pStyle w:val="MeasureTableDataRightAlignedwith2ptsspacing"/>
              <w:keepNext/>
            </w:pPr>
            <w:r>
              <w:t xml:space="preserve">nfp </w:t>
            </w:r>
          </w:p>
        </w:tc>
      </w:tr>
      <w:tr w:rsidR="0012790E" w:rsidRPr="001C06E6" w14:paraId="12B1B2DC" w14:textId="77777777">
        <w:tc>
          <w:tcPr>
            <w:tcW w:w="2497" w:type="dxa"/>
            <w:tcBorders>
              <w:top w:val="single" w:sz="4" w:space="0" w:color="293F5B"/>
              <w:bottom w:val="single" w:sz="4" w:space="0" w:color="293F5B"/>
            </w:tcBorders>
            <w:shd w:val="clear" w:color="auto" w:fill="auto"/>
          </w:tcPr>
          <w:p w14:paraId="4BF78522" w14:textId="77777777" w:rsidR="0012790E" w:rsidRPr="001C06E6" w:rsidRDefault="0012790E">
            <w:pPr>
              <w:pStyle w:val="MeasureTableHeadingleftalignedwith2ptsspacing"/>
              <w:keepNext/>
            </w:pPr>
            <w:r>
              <w:t xml:space="preserve">Australian Skills Quality Authority </w:t>
            </w:r>
          </w:p>
        </w:tc>
        <w:tc>
          <w:tcPr>
            <w:tcW w:w="1045" w:type="dxa"/>
            <w:tcBorders>
              <w:top w:val="single" w:sz="4" w:space="0" w:color="293F5B"/>
              <w:bottom w:val="single" w:sz="4" w:space="0" w:color="293F5B"/>
            </w:tcBorders>
            <w:shd w:val="clear" w:color="auto" w:fill="auto"/>
          </w:tcPr>
          <w:p w14:paraId="71BB3FD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78C264B" w14:textId="77777777" w:rsidR="0012790E" w:rsidRPr="001C06E6" w:rsidRDefault="0012790E">
            <w:pPr>
              <w:pStyle w:val="MeasureTableDataRightAlignedwith2ptsspacing"/>
              <w:keepNext/>
            </w:pPr>
            <w:r>
              <w:t xml:space="preserve">1.3 </w:t>
            </w:r>
          </w:p>
        </w:tc>
        <w:tc>
          <w:tcPr>
            <w:tcW w:w="1045" w:type="dxa"/>
            <w:tcBorders>
              <w:top w:val="single" w:sz="4" w:space="0" w:color="293F5B"/>
              <w:bottom w:val="single" w:sz="4" w:space="0" w:color="293F5B"/>
            </w:tcBorders>
            <w:shd w:val="clear" w:color="auto" w:fill="auto"/>
          </w:tcPr>
          <w:p w14:paraId="16A5DE5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44F9A4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CDF6EFD" w14:textId="77777777" w:rsidR="0012790E" w:rsidRPr="001C06E6" w:rsidRDefault="0012790E">
            <w:pPr>
              <w:pStyle w:val="MeasureTableDataRightAlignedwith2ptsspacing"/>
              <w:keepNext/>
            </w:pPr>
            <w:r>
              <w:t xml:space="preserve">- </w:t>
            </w:r>
          </w:p>
        </w:tc>
      </w:tr>
      <w:tr w:rsidR="0012790E" w:rsidRPr="001C06E6" w14:paraId="4F7AEF1F" w14:textId="77777777">
        <w:tc>
          <w:tcPr>
            <w:tcW w:w="2497" w:type="dxa"/>
            <w:tcBorders>
              <w:top w:val="single" w:sz="4" w:space="0" w:color="293F5B"/>
              <w:bottom w:val="single" w:sz="4" w:space="0" w:color="293F5B"/>
            </w:tcBorders>
            <w:shd w:val="clear" w:color="auto" w:fill="auto"/>
          </w:tcPr>
          <w:p w14:paraId="46275852" w14:textId="77777777" w:rsidR="0012790E" w:rsidRPr="001C06E6" w:rsidRDefault="0012790E">
            <w:pPr>
              <w:pStyle w:val="MeasureTableHeadingleftalignedwith2ptsspacing"/>
              <w:keepNext/>
            </w:pPr>
            <w:r>
              <w:t xml:space="preserve">Tertiary Education Quality and Standards Agency </w:t>
            </w:r>
          </w:p>
        </w:tc>
        <w:tc>
          <w:tcPr>
            <w:tcW w:w="1045" w:type="dxa"/>
            <w:tcBorders>
              <w:top w:val="single" w:sz="4" w:space="0" w:color="293F5B"/>
              <w:bottom w:val="single" w:sz="4" w:space="0" w:color="293F5B"/>
            </w:tcBorders>
            <w:shd w:val="clear" w:color="auto" w:fill="auto"/>
          </w:tcPr>
          <w:p w14:paraId="6E7416A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69709B1" w14:textId="77777777" w:rsidR="0012790E" w:rsidRPr="001C06E6" w:rsidRDefault="0012790E">
            <w:pPr>
              <w:pStyle w:val="MeasureTableDataRightAlignedwith2ptsspacing"/>
              <w:keepNext/>
            </w:pPr>
            <w:r>
              <w:t xml:space="preserve">0.5 </w:t>
            </w:r>
          </w:p>
        </w:tc>
        <w:tc>
          <w:tcPr>
            <w:tcW w:w="1045" w:type="dxa"/>
            <w:tcBorders>
              <w:top w:val="single" w:sz="4" w:space="0" w:color="293F5B"/>
              <w:bottom w:val="single" w:sz="4" w:space="0" w:color="293F5B"/>
            </w:tcBorders>
            <w:shd w:val="clear" w:color="auto" w:fill="auto"/>
          </w:tcPr>
          <w:p w14:paraId="1B5BCE8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C0DE07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B67FDA8" w14:textId="77777777" w:rsidR="0012790E" w:rsidRPr="001C06E6" w:rsidRDefault="0012790E">
            <w:pPr>
              <w:pStyle w:val="MeasureTableDataRightAlignedwith2ptsspacing"/>
              <w:keepNext/>
            </w:pPr>
            <w:r>
              <w:t xml:space="preserve">- </w:t>
            </w:r>
          </w:p>
        </w:tc>
      </w:tr>
      <w:tr w:rsidR="0012790E" w:rsidRPr="001C06E6" w14:paraId="7535545B" w14:textId="77777777">
        <w:tc>
          <w:tcPr>
            <w:tcW w:w="2497" w:type="dxa"/>
            <w:tcBorders>
              <w:top w:val="single" w:sz="4" w:space="0" w:color="293F5B"/>
              <w:bottom w:val="single" w:sz="4" w:space="0" w:color="293F5B"/>
            </w:tcBorders>
            <w:shd w:val="clear" w:color="auto" w:fill="auto"/>
          </w:tcPr>
          <w:p w14:paraId="3A3450FA"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0413631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6CC00ED" w14:textId="77777777" w:rsidR="0012790E" w:rsidRPr="001C06E6" w:rsidRDefault="0012790E">
            <w:pPr>
              <w:pStyle w:val="MeasureTableDataRightAlignedwith2ptsspacing"/>
              <w:keepNext/>
            </w:pPr>
            <w:r w:rsidRPr="001C06E6">
              <w:t>0.5</w:t>
            </w:r>
          </w:p>
        </w:tc>
        <w:tc>
          <w:tcPr>
            <w:tcW w:w="1045" w:type="dxa"/>
            <w:tcBorders>
              <w:top w:val="single" w:sz="4" w:space="0" w:color="293F5B"/>
              <w:bottom w:val="single" w:sz="4" w:space="0" w:color="293F5B"/>
            </w:tcBorders>
            <w:shd w:val="clear" w:color="auto" w:fill="auto"/>
          </w:tcPr>
          <w:p w14:paraId="0B4C731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EE72D7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5C80359" w14:textId="77777777" w:rsidR="0012790E" w:rsidRPr="001C06E6" w:rsidRDefault="0012790E">
            <w:pPr>
              <w:pStyle w:val="MeasureTableDataRightAlignedwith2ptsspacing"/>
              <w:keepNext/>
            </w:pPr>
            <w:r w:rsidRPr="001C06E6">
              <w:t>-</w:t>
            </w:r>
          </w:p>
        </w:tc>
      </w:tr>
      <w:tr w:rsidR="0012790E" w:rsidRPr="001C06E6" w14:paraId="3C71A0B3" w14:textId="77777777">
        <w:tc>
          <w:tcPr>
            <w:tcW w:w="2497" w:type="dxa"/>
            <w:tcBorders>
              <w:top w:val="single" w:sz="4" w:space="0" w:color="293F5B"/>
              <w:bottom w:val="single" w:sz="4" w:space="0" w:color="293F5B"/>
            </w:tcBorders>
            <w:shd w:val="clear" w:color="auto" w:fill="auto"/>
          </w:tcPr>
          <w:p w14:paraId="19F21DE6" w14:textId="77777777" w:rsidR="0012790E" w:rsidRPr="001C06E6" w:rsidRDefault="0012790E">
            <w:pPr>
              <w:pStyle w:val="MeasureTableHeadingleftalignedwith2ptsspacing"/>
              <w:keepNext/>
            </w:pPr>
            <w:r w:rsidRPr="001C06E6">
              <w:t>Attorney</w:t>
            </w:r>
            <w:r>
              <w:noBreakHyphen/>
            </w:r>
            <w:r w:rsidRPr="001C06E6">
              <w:t>General's Department</w:t>
            </w:r>
          </w:p>
        </w:tc>
        <w:tc>
          <w:tcPr>
            <w:tcW w:w="1045" w:type="dxa"/>
            <w:tcBorders>
              <w:top w:val="single" w:sz="4" w:space="0" w:color="293F5B"/>
              <w:bottom w:val="single" w:sz="4" w:space="0" w:color="293F5B"/>
            </w:tcBorders>
            <w:shd w:val="clear" w:color="auto" w:fill="auto"/>
          </w:tcPr>
          <w:p w14:paraId="7871B75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D92E2E3" w14:textId="77777777" w:rsidR="0012790E" w:rsidRPr="001C06E6" w:rsidRDefault="0012790E">
            <w:pPr>
              <w:pStyle w:val="MeasureTableDataRightAlignedwith2ptsspacing"/>
              <w:keepNext/>
            </w:pPr>
            <w:r w:rsidRPr="001C06E6">
              <w:t>0.3</w:t>
            </w:r>
          </w:p>
        </w:tc>
        <w:tc>
          <w:tcPr>
            <w:tcW w:w="1045" w:type="dxa"/>
            <w:tcBorders>
              <w:top w:val="single" w:sz="4" w:space="0" w:color="293F5B"/>
              <w:bottom w:val="single" w:sz="4" w:space="0" w:color="293F5B"/>
            </w:tcBorders>
            <w:shd w:val="clear" w:color="auto" w:fill="auto"/>
          </w:tcPr>
          <w:p w14:paraId="4717027E" w14:textId="77777777" w:rsidR="0012790E" w:rsidRPr="001C06E6" w:rsidRDefault="0012790E">
            <w:pPr>
              <w:pStyle w:val="MeasureTableDataRightAlignedwith2ptsspacing"/>
              <w:keepNext/>
            </w:pPr>
            <w:r w:rsidRPr="001C06E6">
              <w:t>0.4</w:t>
            </w:r>
          </w:p>
        </w:tc>
        <w:tc>
          <w:tcPr>
            <w:tcW w:w="1045" w:type="dxa"/>
            <w:tcBorders>
              <w:top w:val="single" w:sz="4" w:space="0" w:color="293F5B"/>
              <w:bottom w:val="single" w:sz="4" w:space="0" w:color="293F5B"/>
            </w:tcBorders>
            <w:shd w:val="clear" w:color="auto" w:fill="auto"/>
          </w:tcPr>
          <w:p w14:paraId="58C7886B" w14:textId="77777777" w:rsidR="0012790E" w:rsidRPr="001C06E6" w:rsidRDefault="0012790E">
            <w:pPr>
              <w:pStyle w:val="MeasureTableDataRightAlignedwith2ptsspacing"/>
              <w:keepNext/>
            </w:pPr>
            <w:r w:rsidRPr="001C06E6">
              <w:t>0.2</w:t>
            </w:r>
          </w:p>
        </w:tc>
        <w:tc>
          <w:tcPr>
            <w:tcW w:w="1045" w:type="dxa"/>
            <w:tcBorders>
              <w:top w:val="single" w:sz="4" w:space="0" w:color="293F5B"/>
              <w:bottom w:val="single" w:sz="4" w:space="0" w:color="293F5B"/>
            </w:tcBorders>
            <w:shd w:val="clear" w:color="auto" w:fill="auto"/>
          </w:tcPr>
          <w:p w14:paraId="79C9593E" w14:textId="77777777" w:rsidR="0012790E" w:rsidRPr="001C06E6" w:rsidRDefault="0012790E">
            <w:pPr>
              <w:pStyle w:val="MeasureTableDataRightAlignedwith2ptsspacing"/>
              <w:keepNext/>
            </w:pPr>
            <w:r w:rsidRPr="001C06E6">
              <w:t>0.2</w:t>
            </w:r>
          </w:p>
        </w:tc>
      </w:tr>
      <w:tr w:rsidR="0012790E" w:rsidRPr="001C06E6" w14:paraId="639A2466" w14:textId="77777777">
        <w:tc>
          <w:tcPr>
            <w:tcW w:w="2497" w:type="dxa"/>
            <w:tcBorders>
              <w:top w:val="single" w:sz="4" w:space="0" w:color="293F5B"/>
              <w:bottom w:val="single" w:sz="4" w:space="0" w:color="293F5B"/>
            </w:tcBorders>
            <w:shd w:val="clear" w:color="auto" w:fill="auto"/>
          </w:tcPr>
          <w:p w14:paraId="6E2ED28F"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1550A87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25CBD0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ACC3B1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803A5C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EFB23D2" w14:textId="77777777" w:rsidR="0012790E" w:rsidRPr="001C06E6" w:rsidRDefault="0012790E">
            <w:pPr>
              <w:pStyle w:val="MeasureTableDataRightAlignedwith2ptsspacing"/>
              <w:keepNext/>
            </w:pPr>
            <w:r w:rsidRPr="001C06E6">
              <w:t>-</w:t>
            </w:r>
          </w:p>
        </w:tc>
      </w:tr>
      <w:tr w:rsidR="0012790E" w:rsidRPr="001C06E6" w14:paraId="609EF88E" w14:textId="77777777">
        <w:tc>
          <w:tcPr>
            <w:tcW w:w="2497" w:type="dxa"/>
            <w:tcBorders>
              <w:top w:val="single" w:sz="4" w:space="0" w:color="293F5B"/>
              <w:bottom w:val="single" w:sz="4" w:space="0" w:color="293F5B"/>
            </w:tcBorders>
            <w:shd w:val="clear" w:color="auto" w:fill="auto"/>
          </w:tcPr>
          <w:p w14:paraId="2B735996"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0340A4FD" w14:textId="77777777" w:rsidR="0012790E" w:rsidRPr="001C06E6" w:rsidRDefault="0012790E">
            <w:pPr>
              <w:pStyle w:val="Totaldatarowrightaligned"/>
              <w:keepNext/>
            </w:pPr>
            <w:r w:rsidRPr="001C06E6">
              <w:t>0.3</w:t>
            </w:r>
          </w:p>
        </w:tc>
        <w:tc>
          <w:tcPr>
            <w:tcW w:w="1045" w:type="dxa"/>
            <w:tcBorders>
              <w:top w:val="single" w:sz="4" w:space="0" w:color="293F5B"/>
              <w:bottom w:val="single" w:sz="4" w:space="0" w:color="293F5B"/>
            </w:tcBorders>
            <w:shd w:val="clear" w:color="auto" w:fill="auto"/>
          </w:tcPr>
          <w:p w14:paraId="62063B0D" w14:textId="77777777" w:rsidR="0012790E" w:rsidRPr="001C06E6" w:rsidRDefault="0012790E">
            <w:pPr>
              <w:pStyle w:val="Totaldatarowrightaligned"/>
              <w:keepNext/>
            </w:pPr>
            <w:r w:rsidRPr="001C06E6">
              <w:t>69.7</w:t>
            </w:r>
          </w:p>
        </w:tc>
        <w:tc>
          <w:tcPr>
            <w:tcW w:w="1045" w:type="dxa"/>
            <w:tcBorders>
              <w:top w:val="single" w:sz="4" w:space="0" w:color="293F5B"/>
              <w:bottom w:val="single" w:sz="4" w:space="0" w:color="293F5B"/>
            </w:tcBorders>
            <w:shd w:val="clear" w:color="auto" w:fill="auto"/>
          </w:tcPr>
          <w:p w14:paraId="241443F5" w14:textId="77777777" w:rsidR="0012790E" w:rsidRPr="001C06E6" w:rsidRDefault="0012790E">
            <w:pPr>
              <w:pStyle w:val="Totaldatarowrightaligned"/>
              <w:keepNext/>
            </w:pPr>
            <w:r w:rsidRPr="001C06E6">
              <w:t>177.6</w:t>
            </w:r>
          </w:p>
        </w:tc>
        <w:tc>
          <w:tcPr>
            <w:tcW w:w="1045" w:type="dxa"/>
            <w:tcBorders>
              <w:top w:val="single" w:sz="4" w:space="0" w:color="293F5B"/>
              <w:bottom w:val="single" w:sz="4" w:space="0" w:color="293F5B"/>
            </w:tcBorders>
            <w:shd w:val="clear" w:color="auto" w:fill="auto"/>
          </w:tcPr>
          <w:p w14:paraId="387FDD81" w14:textId="0DC36A2C" w:rsidR="0012790E" w:rsidRPr="001C06E6" w:rsidRDefault="00A01178">
            <w:pPr>
              <w:pStyle w:val="Totaldatarowrightaligned"/>
              <w:keepNext/>
            </w:pPr>
            <w:r>
              <w:t>195.2</w:t>
            </w:r>
          </w:p>
        </w:tc>
        <w:tc>
          <w:tcPr>
            <w:tcW w:w="1045" w:type="dxa"/>
            <w:tcBorders>
              <w:top w:val="single" w:sz="4" w:space="0" w:color="293F5B"/>
              <w:bottom w:val="single" w:sz="4" w:space="0" w:color="293F5B"/>
            </w:tcBorders>
            <w:shd w:val="clear" w:color="auto" w:fill="auto"/>
          </w:tcPr>
          <w:p w14:paraId="1C616CFD" w14:textId="1CCCC838" w:rsidR="0012790E" w:rsidRPr="001C06E6" w:rsidRDefault="00A01178">
            <w:pPr>
              <w:pStyle w:val="Totaldatarowrightaligned"/>
              <w:keepNext/>
            </w:pPr>
            <w:r>
              <w:t>224.9</w:t>
            </w:r>
          </w:p>
        </w:tc>
      </w:tr>
      <w:tr w:rsidR="0012790E" w:rsidRPr="001C06E6" w14:paraId="404CF96E" w14:textId="77777777">
        <w:tc>
          <w:tcPr>
            <w:tcW w:w="2497" w:type="dxa"/>
            <w:tcBorders>
              <w:top w:val="single" w:sz="4" w:space="0" w:color="293F5B"/>
            </w:tcBorders>
            <w:shd w:val="clear" w:color="auto" w:fill="auto"/>
          </w:tcPr>
          <w:p w14:paraId="4DB246D6"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4B54651F" w14:textId="77777777" w:rsidR="0012790E" w:rsidRPr="001C06E6" w:rsidRDefault="0012790E">
            <w:pPr>
              <w:pStyle w:val="AgencyName"/>
              <w:keepNext/>
            </w:pPr>
          </w:p>
        </w:tc>
        <w:tc>
          <w:tcPr>
            <w:tcW w:w="1045" w:type="dxa"/>
            <w:tcBorders>
              <w:top w:val="single" w:sz="4" w:space="0" w:color="293F5B"/>
            </w:tcBorders>
            <w:shd w:val="clear" w:color="auto" w:fill="auto"/>
          </w:tcPr>
          <w:p w14:paraId="7FB826E2" w14:textId="77777777" w:rsidR="0012790E" w:rsidRPr="001C06E6" w:rsidRDefault="0012790E">
            <w:pPr>
              <w:pStyle w:val="AgencyName"/>
              <w:keepNext/>
            </w:pPr>
          </w:p>
        </w:tc>
        <w:tc>
          <w:tcPr>
            <w:tcW w:w="1045" w:type="dxa"/>
            <w:tcBorders>
              <w:top w:val="single" w:sz="4" w:space="0" w:color="293F5B"/>
            </w:tcBorders>
            <w:shd w:val="clear" w:color="auto" w:fill="auto"/>
          </w:tcPr>
          <w:p w14:paraId="56B89706" w14:textId="77777777" w:rsidR="0012790E" w:rsidRPr="001C06E6" w:rsidRDefault="0012790E">
            <w:pPr>
              <w:pStyle w:val="AgencyName"/>
              <w:keepNext/>
            </w:pPr>
          </w:p>
        </w:tc>
        <w:tc>
          <w:tcPr>
            <w:tcW w:w="1045" w:type="dxa"/>
            <w:tcBorders>
              <w:top w:val="single" w:sz="4" w:space="0" w:color="293F5B"/>
            </w:tcBorders>
            <w:shd w:val="clear" w:color="auto" w:fill="auto"/>
          </w:tcPr>
          <w:p w14:paraId="0286A2D1" w14:textId="77777777" w:rsidR="0012790E" w:rsidRPr="001C06E6" w:rsidRDefault="0012790E">
            <w:pPr>
              <w:pStyle w:val="AgencyName"/>
              <w:keepNext/>
            </w:pPr>
          </w:p>
        </w:tc>
        <w:tc>
          <w:tcPr>
            <w:tcW w:w="1045" w:type="dxa"/>
            <w:tcBorders>
              <w:top w:val="single" w:sz="4" w:space="0" w:color="293F5B"/>
            </w:tcBorders>
            <w:shd w:val="clear" w:color="auto" w:fill="auto"/>
          </w:tcPr>
          <w:p w14:paraId="0220D30B" w14:textId="77777777" w:rsidR="0012790E" w:rsidRPr="001C06E6" w:rsidRDefault="0012790E">
            <w:pPr>
              <w:pStyle w:val="AgencyName"/>
              <w:keepNext/>
            </w:pPr>
          </w:p>
        </w:tc>
      </w:tr>
      <w:tr w:rsidR="0012790E" w:rsidRPr="001C06E6" w14:paraId="65C3066C" w14:textId="77777777">
        <w:tc>
          <w:tcPr>
            <w:tcW w:w="2497" w:type="dxa"/>
            <w:tcBorders>
              <w:bottom w:val="single" w:sz="4" w:space="0" w:color="293F5B"/>
            </w:tcBorders>
            <w:shd w:val="clear" w:color="auto" w:fill="auto"/>
          </w:tcPr>
          <w:p w14:paraId="6409D6C8" w14:textId="77777777" w:rsidR="0012790E" w:rsidRPr="001C06E6" w:rsidRDefault="0012790E">
            <w:pPr>
              <w:pStyle w:val="AgencyNamewith2ptsspacing"/>
              <w:keepNext/>
            </w:pPr>
            <w:r w:rsidRPr="001C06E6">
              <w:t>Australian Taxation Office</w:t>
            </w:r>
          </w:p>
        </w:tc>
        <w:tc>
          <w:tcPr>
            <w:tcW w:w="1045" w:type="dxa"/>
            <w:tcBorders>
              <w:bottom w:val="single" w:sz="4" w:space="0" w:color="293F5B"/>
            </w:tcBorders>
            <w:shd w:val="clear" w:color="auto" w:fill="auto"/>
          </w:tcPr>
          <w:p w14:paraId="6881A972"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514E5EBE"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4695812E" w14:textId="7729C297" w:rsidR="0012790E" w:rsidRPr="001C06E6" w:rsidRDefault="00DA38D1">
            <w:pPr>
              <w:pStyle w:val="Measuretabledatarightaligneditalics"/>
              <w:keepNext/>
            </w:pPr>
            <w:r>
              <w:t>..</w:t>
            </w:r>
          </w:p>
        </w:tc>
        <w:tc>
          <w:tcPr>
            <w:tcW w:w="1045" w:type="dxa"/>
            <w:tcBorders>
              <w:bottom w:val="single" w:sz="4" w:space="0" w:color="293F5B"/>
            </w:tcBorders>
            <w:shd w:val="clear" w:color="auto" w:fill="auto"/>
          </w:tcPr>
          <w:p w14:paraId="70899999" w14:textId="181B082E" w:rsidR="0012790E" w:rsidRPr="001C06E6" w:rsidRDefault="00DA38D1">
            <w:pPr>
              <w:pStyle w:val="Measuretabledatarightaligneditalics"/>
              <w:keepNext/>
            </w:pPr>
            <w:r>
              <w:t>..</w:t>
            </w:r>
          </w:p>
        </w:tc>
        <w:tc>
          <w:tcPr>
            <w:tcW w:w="1045" w:type="dxa"/>
            <w:tcBorders>
              <w:bottom w:val="single" w:sz="4" w:space="0" w:color="293F5B"/>
            </w:tcBorders>
            <w:shd w:val="clear" w:color="auto" w:fill="auto"/>
          </w:tcPr>
          <w:p w14:paraId="69D68541" w14:textId="601580C9" w:rsidR="0012790E" w:rsidRPr="001C06E6" w:rsidRDefault="00DA38D1">
            <w:pPr>
              <w:pStyle w:val="Measuretabledatarightaligneditalics"/>
              <w:keepNext/>
            </w:pPr>
            <w:r>
              <w:t>..</w:t>
            </w:r>
          </w:p>
        </w:tc>
      </w:tr>
      <w:tr w:rsidR="0012790E" w:rsidRPr="001C06E6" w14:paraId="6F273C29" w14:textId="77777777">
        <w:tc>
          <w:tcPr>
            <w:tcW w:w="2497" w:type="dxa"/>
            <w:tcBorders>
              <w:top w:val="single" w:sz="4" w:space="0" w:color="293F5B"/>
              <w:bottom w:val="single" w:sz="4" w:space="0" w:color="293F5B"/>
            </w:tcBorders>
            <w:shd w:val="clear" w:color="auto" w:fill="auto"/>
          </w:tcPr>
          <w:p w14:paraId="05DA4816" w14:textId="77777777" w:rsidR="0012790E" w:rsidRPr="001C06E6" w:rsidRDefault="0012790E">
            <w:pPr>
              <w:pStyle w:val="AgencyName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220C2838" w14:textId="77777777" w:rsidR="0012790E" w:rsidRPr="001C06E6" w:rsidRDefault="0012790E">
            <w:pPr>
              <w:pStyle w:val="Measuretabledatarightaligneditalics"/>
              <w:keepNext/>
            </w:pPr>
            <w:r>
              <w:t xml:space="preserve">-2.9 </w:t>
            </w:r>
          </w:p>
        </w:tc>
        <w:tc>
          <w:tcPr>
            <w:tcW w:w="1045" w:type="dxa"/>
            <w:tcBorders>
              <w:top w:val="single" w:sz="4" w:space="0" w:color="293F5B"/>
              <w:bottom w:val="single" w:sz="4" w:space="0" w:color="293F5B"/>
            </w:tcBorders>
            <w:shd w:val="clear" w:color="auto" w:fill="auto"/>
          </w:tcPr>
          <w:p w14:paraId="476FB6F9" w14:textId="77777777" w:rsidR="0012790E" w:rsidRPr="001C06E6" w:rsidRDefault="0012790E">
            <w:pPr>
              <w:pStyle w:val="Measuretabledatarightaligneditalics"/>
              <w:keepNext/>
            </w:pPr>
            <w:r>
              <w:t xml:space="preserve">-13.8 </w:t>
            </w:r>
          </w:p>
        </w:tc>
        <w:tc>
          <w:tcPr>
            <w:tcW w:w="1045" w:type="dxa"/>
            <w:tcBorders>
              <w:top w:val="single" w:sz="4" w:space="0" w:color="293F5B"/>
              <w:bottom w:val="single" w:sz="4" w:space="0" w:color="293F5B"/>
            </w:tcBorders>
            <w:shd w:val="clear" w:color="auto" w:fill="auto"/>
          </w:tcPr>
          <w:p w14:paraId="23CB4500" w14:textId="77777777" w:rsidR="0012790E" w:rsidRPr="001C06E6" w:rsidRDefault="0012790E">
            <w:pPr>
              <w:pStyle w:val="Measuretabledatarightaligneditalics"/>
              <w:keepNext/>
            </w:pPr>
            <w:r>
              <w:t xml:space="preserve">-9.6 </w:t>
            </w:r>
          </w:p>
        </w:tc>
        <w:tc>
          <w:tcPr>
            <w:tcW w:w="1045" w:type="dxa"/>
            <w:tcBorders>
              <w:top w:val="single" w:sz="4" w:space="0" w:color="293F5B"/>
              <w:bottom w:val="single" w:sz="4" w:space="0" w:color="293F5B"/>
            </w:tcBorders>
            <w:shd w:val="clear" w:color="auto" w:fill="auto"/>
          </w:tcPr>
          <w:p w14:paraId="4822E2F9" w14:textId="77777777" w:rsidR="0012790E" w:rsidRPr="001C06E6" w:rsidRDefault="0012790E">
            <w:pPr>
              <w:pStyle w:val="Measuretabledatarightaligneditalics"/>
              <w:keepNext/>
            </w:pPr>
            <w:r>
              <w:t xml:space="preserve">-10.4 </w:t>
            </w:r>
          </w:p>
        </w:tc>
        <w:tc>
          <w:tcPr>
            <w:tcW w:w="1045" w:type="dxa"/>
            <w:tcBorders>
              <w:top w:val="single" w:sz="4" w:space="0" w:color="293F5B"/>
              <w:bottom w:val="single" w:sz="4" w:space="0" w:color="293F5B"/>
            </w:tcBorders>
            <w:shd w:val="clear" w:color="auto" w:fill="auto"/>
          </w:tcPr>
          <w:p w14:paraId="7D6A395A" w14:textId="77777777" w:rsidR="0012790E" w:rsidRPr="001C06E6" w:rsidRDefault="0012790E">
            <w:pPr>
              <w:pStyle w:val="Measuretabledatarightaligneditalics"/>
              <w:keepNext/>
            </w:pPr>
            <w:r>
              <w:t xml:space="preserve">-10.5 </w:t>
            </w:r>
          </w:p>
        </w:tc>
      </w:tr>
      <w:tr w:rsidR="0012790E" w:rsidRPr="001C06E6" w14:paraId="4D570CA5" w14:textId="77777777">
        <w:tc>
          <w:tcPr>
            <w:tcW w:w="2497" w:type="dxa"/>
            <w:tcBorders>
              <w:top w:val="single" w:sz="4" w:space="0" w:color="293F5B"/>
              <w:bottom w:val="single" w:sz="4" w:space="0" w:color="293F5B"/>
            </w:tcBorders>
            <w:shd w:val="clear" w:color="auto" w:fill="auto"/>
          </w:tcPr>
          <w:p w14:paraId="4F3BE482" w14:textId="77777777" w:rsidR="0012790E" w:rsidRPr="001C06E6" w:rsidRDefault="0012790E">
            <w:pPr>
              <w:pStyle w:val="AgencyNamewith2ptsspacing"/>
              <w:keepNext/>
            </w:pPr>
            <w:r w:rsidRPr="001C06E6">
              <w:t>Department of Education</w:t>
            </w:r>
          </w:p>
        </w:tc>
        <w:tc>
          <w:tcPr>
            <w:tcW w:w="1045" w:type="dxa"/>
            <w:tcBorders>
              <w:top w:val="single" w:sz="4" w:space="0" w:color="293F5B"/>
              <w:bottom w:val="single" w:sz="4" w:space="0" w:color="293F5B"/>
            </w:tcBorders>
            <w:shd w:val="clear" w:color="auto" w:fill="auto"/>
          </w:tcPr>
          <w:p w14:paraId="47BA338E" w14:textId="77777777" w:rsidR="0012790E" w:rsidRPr="001C06E6" w:rsidRDefault="0012790E">
            <w:pPr>
              <w:pStyle w:val="Measuretabledatarightaligneditalics"/>
              <w:keepNext/>
            </w:pPr>
            <w:r w:rsidRPr="001C06E6">
              <w:t>-18.9</w:t>
            </w:r>
          </w:p>
        </w:tc>
        <w:tc>
          <w:tcPr>
            <w:tcW w:w="1045" w:type="dxa"/>
            <w:tcBorders>
              <w:top w:val="single" w:sz="4" w:space="0" w:color="293F5B"/>
              <w:bottom w:val="single" w:sz="4" w:space="0" w:color="293F5B"/>
            </w:tcBorders>
            <w:shd w:val="clear" w:color="auto" w:fill="auto"/>
          </w:tcPr>
          <w:p w14:paraId="4D58B0BE" w14:textId="77777777" w:rsidR="0012790E" w:rsidRPr="001C06E6" w:rsidRDefault="0012790E">
            <w:pPr>
              <w:pStyle w:val="Measuretabledatarightaligneditalics"/>
              <w:keepNext/>
            </w:pPr>
            <w:r w:rsidRPr="001C06E6">
              <w:t>-90.7</w:t>
            </w:r>
          </w:p>
        </w:tc>
        <w:tc>
          <w:tcPr>
            <w:tcW w:w="1045" w:type="dxa"/>
            <w:tcBorders>
              <w:top w:val="single" w:sz="4" w:space="0" w:color="293F5B"/>
              <w:bottom w:val="single" w:sz="4" w:space="0" w:color="293F5B"/>
            </w:tcBorders>
            <w:shd w:val="clear" w:color="auto" w:fill="auto"/>
          </w:tcPr>
          <w:p w14:paraId="5E8140EA" w14:textId="77777777" w:rsidR="0012790E" w:rsidRPr="001C06E6" w:rsidRDefault="0012790E">
            <w:pPr>
              <w:pStyle w:val="Measuretabledatarightaligneditalics"/>
              <w:keepNext/>
            </w:pPr>
            <w:r w:rsidRPr="001C06E6">
              <w:t>-17.0</w:t>
            </w:r>
          </w:p>
        </w:tc>
        <w:tc>
          <w:tcPr>
            <w:tcW w:w="1045" w:type="dxa"/>
            <w:tcBorders>
              <w:top w:val="single" w:sz="4" w:space="0" w:color="293F5B"/>
              <w:bottom w:val="single" w:sz="4" w:space="0" w:color="293F5B"/>
            </w:tcBorders>
            <w:shd w:val="clear" w:color="auto" w:fill="auto"/>
          </w:tcPr>
          <w:p w14:paraId="1FA42D52" w14:textId="77777777" w:rsidR="0012790E" w:rsidRPr="001C06E6" w:rsidRDefault="0012790E">
            <w:pPr>
              <w:pStyle w:val="Measuretabledatarightaligneditalics"/>
              <w:keepNext/>
            </w:pPr>
            <w:r w:rsidRPr="001C06E6">
              <w:t>-29.4</w:t>
            </w:r>
          </w:p>
        </w:tc>
        <w:tc>
          <w:tcPr>
            <w:tcW w:w="1045" w:type="dxa"/>
            <w:tcBorders>
              <w:top w:val="single" w:sz="4" w:space="0" w:color="293F5B"/>
              <w:bottom w:val="single" w:sz="4" w:space="0" w:color="293F5B"/>
            </w:tcBorders>
            <w:shd w:val="clear" w:color="auto" w:fill="auto"/>
          </w:tcPr>
          <w:p w14:paraId="786B743C" w14:textId="77777777" w:rsidR="0012790E" w:rsidRPr="001C06E6" w:rsidRDefault="0012790E">
            <w:pPr>
              <w:pStyle w:val="Measuretabledatarightaligneditalics"/>
              <w:keepNext/>
            </w:pPr>
            <w:r w:rsidRPr="001C06E6">
              <w:t>-35.3</w:t>
            </w:r>
          </w:p>
        </w:tc>
      </w:tr>
      <w:tr w:rsidR="0012790E" w:rsidRPr="001C06E6" w14:paraId="7E9644D4" w14:textId="77777777">
        <w:tc>
          <w:tcPr>
            <w:tcW w:w="2497" w:type="dxa"/>
            <w:tcBorders>
              <w:top w:val="single" w:sz="4" w:space="0" w:color="293F5B"/>
              <w:bottom w:val="single" w:sz="4" w:space="0" w:color="293F5B"/>
            </w:tcBorders>
            <w:shd w:val="clear" w:color="auto" w:fill="auto"/>
          </w:tcPr>
          <w:p w14:paraId="1F8CF0AF" w14:textId="77777777" w:rsidR="0012790E" w:rsidRPr="001C06E6" w:rsidRDefault="0012790E">
            <w:pPr>
              <w:pStyle w:val="Totalrowitalicsleftaligned"/>
              <w:keepNext/>
            </w:pPr>
            <w:r w:rsidRPr="001C06E6">
              <w:t>Total – Receipts</w:t>
            </w:r>
          </w:p>
        </w:tc>
        <w:tc>
          <w:tcPr>
            <w:tcW w:w="1045" w:type="dxa"/>
            <w:tcBorders>
              <w:top w:val="single" w:sz="4" w:space="0" w:color="293F5B"/>
              <w:bottom w:val="single" w:sz="4" w:space="0" w:color="293F5B"/>
            </w:tcBorders>
            <w:shd w:val="clear" w:color="auto" w:fill="auto"/>
          </w:tcPr>
          <w:p w14:paraId="7CFA1BC6" w14:textId="77777777" w:rsidR="0012790E" w:rsidRPr="001C06E6" w:rsidRDefault="0012790E">
            <w:pPr>
              <w:pStyle w:val="Totalrowitalicsrightaligned"/>
              <w:keepNext/>
            </w:pPr>
            <w:r w:rsidRPr="001C06E6">
              <w:t>-21.8</w:t>
            </w:r>
          </w:p>
        </w:tc>
        <w:tc>
          <w:tcPr>
            <w:tcW w:w="1045" w:type="dxa"/>
            <w:tcBorders>
              <w:top w:val="single" w:sz="4" w:space="0" w:color="293F5B"/>
              <w:bottom w:val="single" w:sz="4" w:space="0" w:color="293F5B"/>
            </w:tcBorders>
            <w:shd w:val="clear" w:color="auto" w:fill="auto"/>
          </w:tcPr>
          <w:p w14:paraId="22086F98" w14:textId="77777777" w:rsidR="0012790E" w:rsidRPr="001C06E6" w:rsidRDefault="0012790E">
            <w:pPr>
              <w:pStyle w:val="Totalrowitalicsrightaligned"/>
              <w:keepNext/>
            </w:pPr>
            <w:r w:rsidRPr="001C06E6">
              <w:t>-104.5</w:t>
            </w:r>
          </w:p>
        </w:tc>
        <w:tc>
          <w:tcPr>
            <w:tcW w:w="1045" w:type="dxa"/>
            <w:tcBorders>
              <w:top w:val="single" w:sz="4" w:space="0" w:color="293F5B"/>
              <w:bottom w:val="single" w:sz="4" w:space="0" w:color="293F5B"/>
            </w:tcBorders>
            <w:shd w:val="clear" w:color="auto" w:fill="auto"/>
          </w:tcPr>
          <w:p w14:paraId="38ADED04" w14:textId="77777777" w:rsidR="0012790E" w:rsidRPr="001C06E6" w:rsidRDefault="0012790E">
            <w:pPr>
              <w:pStyle w:val="Totalrowitalicsrightaligned"/>
              <w:keepNext/>
            </w:pPr>
            <w:r w:rsidRPr="001C06E6">
              <w:t>-26.6</w:t>
            </w:r>
          </w:p>
        </w:tc>
        <w:tc>
          <w:tcPr>
            <w:tcW w:w="1045" w:type="dxa"/>
            <w:tcBorders>
              <w:top w:val="single" w:sz="4" w:space="0" w:color="293F5B"/>
              <w:bottom w:val="single" w:sz="4" w:space="0" w:color="293F5B"/>
            </w:tcBorders>
            <w:shd w:val="clear" w:color="auto" w:fill="auto"/>
          </w:tcPr>
          <w:p w14:paraId="036A8148" w14:textId="77777777" w:rsidR="0012790E" w:rsidRPr="001C06E6" w:rsidRDefault="0012790E">
            <w:pPr>
              <w:pStyle w:val="Totalrowitalicsrightaligned"/>
              <w:keepNext/>
            </w:pPr>
            <w:r w:rsidRPr="001C06E6">
              <w:t>-39.8</w:t>
            </w:r>
          </w:p>
        </w:tc>
        <w:tc>
          <w:tcPr>
            <w:tcW w:w="1045" w:type="dxa"/>
            <w:tcBorders>
              <w:top w:val="single" w:sz="4" w:space="0" w:color="293F5B"/>
              <w:bottom w:val="single" w:sz="4" w:space="0" w:color="293F5B"/>
            </w:tcBorders>
            <w:shd w:val="clear" w:color="auto" w:fill="auto"/>
          </w:tcPr>
          <w:p w14:paraId="27EE5DEE" w14:textId="77777777" w:rsidR="0012790E" w:rsidRPr="001C06E6" w:rsidRDefault="0012790E">
            <w:pPr>
              <w:pStyle w:val="Totalrowitalicsrightaligned"/>
              <w:keepNext/>
            </w:pPr>
            <w:r w:rsidRPr="001C06E6">
              <w:t>-45.8</w:t>
            </w:r>
          </w:p>
        </w:tc>
      </w:tr>
    </w:tbl>
    <w:p w14:paraId="65DB8342" w14:textId="77777777" w:rsidR="0012790E" w:rsidRPr="001C06E6" w:rsidRDefault="0012790E">
      <w:pPr>
        <w:keepNext/>
        <w:widowControl w:val="0"/>
        <w:tabs>
          <w:tab w:val="right" w:pos="3536"/>
          <w:tab w:val="right" w:pos="4579"/>
          <w:tab w:val="right" w:pos="5622"/>
          <w:tab w:val="right" w:pos="6664"/>
          <w:tab w:val="right" w:pos="7707"/>
        </w:tabs>
        <w:spacing w:line="226" w:lineRule="exact"/>
        <w:rPr>
          <w:i/>
          <w:iCs/>
          <w:color w:val="000000"/>
          <w:sz w:val="16"/>
          <w:szCs w:val="16"/>
          <w:lang w:val="en-AU"/>
        </w:rPr>
      </w:pPr>
    </w:p>
    <w:p w14:paraId="314759C3" w14:textId="77777777" w:rsidR="0012790E" w:rsidRDefault="0012790E" w:rsidP="54937204">
      <w:pPr>
        <w:pStyle w:val="Normal2"/>
        <w:rPr>
          <w:rFonts w:cs="Book Antiqua"/>
          <w:lang w:val="en-US"/>
        </w:rPr>
      </w:pPr>
      <w:r w:rsidRPr="54937204">
        <w:rPr>
          <w:rFonts w:cs="Book Antiqua"/>
          <w:lang w:val="en-US"/>
        </w:rPr>
        <w:t>The Government will provide $1.1 billion over five years from 2023–24 (and an additional $2.7 billion from 2028–29 to 2034–35) for the first stage of reforms to Australia’s tertiary education system in response to the Australian Universities Accord Final Report. These reforms will boost equity and access to higher education, progress tertiary harmonisation and will support a target of 80 per cent of the working age population holding a tertiary qualification by 2050. Funding includes:</w:t>
      </w:r>
    </w:p>
    <w:p w14:paraId="194B5F11" w14:textId="77777777" w:rsidR="0012790E" w:rsidRDefault="0012790E">
      <w:pPr>
        <w:pStyle w:val="Bullet"/>
      </w:pPr>
      <w:r w:rsidRPr="001C06E6">
        <w:t>$427.4</w:t>
      </w:r>
      <w:r>
        <w:t> </w:t>
      </w:r>
      <w:r w:rsidRPr="001C06E6">
        <w:t xml:space="preserve">million over four years from </w:t>
      </w:r>
      <w:r>
        <w:t>2024–25</w:t>
      </w:r>
      <w:r w:rsidRPr="001C06E6">
        <w:t xml:space="preserve"> (and an additional $1.2 billion from </w:t>
      </w:r>
      <w:r>
        <w:t>2028–29</w:t>
      </w:r>
      <w:r w:rsidRPr="001C06E6">
        <w:t xml:space="preserve"> to </w:t>
      </w:r>
      <w:r>
        <w:t>2034–35</w:t>
      </w:r>
      <w:r w:rsidRPr="001C06E6">
        <w:t>) to establish a new Commonwealth Prac Payment of $319.5 per week (benchmarked to the single Austudy rate) from 1</w:t>
      </w:r>
      <w:r>
        <w:t> </w:t>
      </w:r>
      <w:r w:rsidRPr="001C06E6">
        <w:t>July</w:t>
      </w:r>
      <w:r>
        <w:t> </w:t>
      </w:r>
      <w:r w:rsidRPr="001C06E6">
        <w:t>2025 for tertiary students undertaking supervised mandatory placements as part of their nursing (including midwifery), teaching or social work studies</w:t>
      </w:r>
      <w:r>
        <w:t xml:space="preserve"> </w:t>
      </w:r>
    </w:p>
    <w:p w14:paraId="7B8ABEC0" w14:textId="77777777" w:rsidR="0012790E" w:rsidRDefault="0012790E">
      <w:pPr>
        <w:pStyle w:val="Bullet"/>
      </w:pPr>
      <w:r w:rsidRPr="001C06E6">
        <w:lastRenderedPageBreak/>
        <w:t>$350.3</w:t>
      </w:r>
      <w:r>
        <w:t> </w:t>
      </w:r>
      <w:r w:rsidRPr="001C06E6">
        <w:t xml:space="preserve">million over four years from </w:t>
      </w:r>
      <w:r>
        <w:t>2024–25</w:t>
      </w:r>
      <w:r w:rsidRPr="001C06E6">
        <w:t xml:space="preserve"> (and an additional $1.1 billion from </w:t>
      </w:r>
      <w:r>
        <w:t>2028–29</w:t>
      </w:r>
      <w:r w:rsidRPr="001C06E6">
        <w:t xml:space="preserve"> to </w:t>
      </w:r>
      <w:r>
        <w:t>2034–35</w:t>
      </w:r>
      <w:r w:rsidRPr="001C06E6">
        <w:t>) to expand access to university enabling and preparation programs through a new FEE</w:t>
      </w:r>
      <w:r>
        <w:noBreakHyphen/>
      </w:r>
      <w:r w:rsidRPr="001C06E6">
        <w:t>FREE Uni Ready Courses program from 1</w:t>
      </w:r>
      <w:r>
        <w:t> </w:t>
      </w:r>
      <w:r w:rsidRPr="001C06E6">
        <w:t>January</w:t>
      </w:r>
      <w:r>
        <w:t> </w:t>
      </w:r>
      <w:r w:rsidRPr="001C06E6">
        <w:t>2025</w:t>
      </w:r>
      <w:r>
        <w:t xml:space="preserve"> </w:t>
      </w:r>
    </w:p>
    <w:p w14:paraId="14C4D911" w14:textId="3A207012" w:rsidR="0012790E" w:rsidRDefault="0012790E">
      <w:pPr>
        <w:pStyle w:val="Bullet"/>
      </w:pPr>
      <w:r w:rsidRPr="001C06E6">
        <w:t>$239.7</w:t>
      </w:r>
      <w:r>
        <w:t> </w:t>
      </w:r>
      <w:r w:rsidRPr="001C06E6">
        <w:t xml:space="preserve">million over five years from </w:t>
      </w:r>
      <w:r>
        <w:t>2023–24</w:t>
      </w:r>
      <w:r w:rsidRPr="001C06E6">
        <w:t xml:space="preserve"> (and an additional $250.5</w:t>
      </w:r>
      <w:r>
        <w:t> </w:t>
      </w:r>
      <w:r w:rsidRPr="001C06E6">
        <w:t xml:space="preserve">million from </w:t>
      </w:r>
      <w:r w:rsidR="00922608">
        <w:br/>
      </w:r>
      <w:r>
        <w:t>2028–29</w:t>
      </w:r>
      <w:r w:rsidRPr="001C06E6">
        <w:t xml:space="preserve"> to </w:t>
      </w:r>
      <w:r>
        <w:t>2034–35</w:t>
      </w:r>
      <w:r w:rsidRPr="001C06E6">
        <w:t>) to limit the indexation of the Higher Education Loan Program (and other student loans) debt to the lower of either the Consumer Price Index or the Wage Price Index, effective from 1</w:t>
      </w:r>
      <w:r>
        <w:t> </w:t>
      </w:r>
      <w:r w:rsidRPr="001C06E6">
        <w:t>June</w:t>
      </w:r>
      <w:r>
        <w:t> </w:t>
      </w:r>
      <w:r w:rsidRPr="001C06E6">
        <w:t>2023, subject to the passage of legislation. This applies retrospectively and is estimated to reduce outstanding loans by around $3</w:t>
      </w:r>
      <w:r w:rsidR="00B85997">
        <w:t>.0</w:t>
      </w:r>
      <w:r w:rsidRPr="001C06E6">
        <w:t xml:space="preserve"> billion</w:t>
      </w:r>
      <w:r>
        <w:t xml:space="preserve"> </w:t>
      </w:r>
    </w:p>
    <w:p w14:paraId="5EC82AD4" w14:textId="2AD358F7" w:rsidR="0012790E" w:rsidRDefault="0012790E">
      <w:pPr>
        <w:pStyle w:val="Bullet"/>
      </w:pPr>
      <w:r w:rsidRPr="001C06E6">
        <w:t>$27.7</w:t>
      </w:r>
      <w:r>
        <w:t> </w:t>
      </w:r>
      <w:r w:rsidRPr="001C06E6">
        <w:t xml:space="preserve">million over four years from </w:t>
      </w:r>
      <w:r>
        <w:t>2024–25</w:t>
      </w:r>
      <w:r w:rsidRPr="001C06E6">
        <w:t xml:space="preserve"> (and an additional $32.8</w:t>
      </w:r>
      <w:r>
        <w:t> </w:t>
      </w:r>
      <w:r w:rsidRPr="001C06E6">
        <w:t xml:space="preserve">million from </w:t>
      </w:r>
      <w:r w:rsidR="00922608">
        <w:br/>
      </w:r>
      <w:r>
        <w:t>2028–29</w:t>
      </w:r>
      <w:r w:rsidRPr="001C06E6">
        <w:t xml:space="preserve"> to </w:t>
      </w:r>
      <w:r>
        <w:t>2034–35</w:t>
      </w:r>
      <w:r w:rsidRPr="001C06E6">
        <w:t>) to develop initiatives that break down artificial barriers and harmonise regulatory, governance and qualification arrangements between the higher education and vocational education and training sectors</w:t>
      </w:r>
      <w:r>
        <w:t xml:space="preserve"> </w:t>
      </w:r>
    </w:p>
    <w:p w14:paraId="401FF60F" w14:textId="422AE23A" w:rsidR="0012790E" w:rsidRDefault="0012790E">
      <w:pPr>
        <w:pStyle w:val="Bullet"/>
      </w:pPr>
      <w:r w:rsidRPr="001C06E6">
        <w:t>$24.6</w:t>
      </w:r>
      <w:r>
        <w:t> </w:t>
      </w:r>
      <w:r w:rsidRPr="001C06E6">
        <w:t xml:space="preserve">million over four years from </w:t>
      </w:r>
      <w:r>
        <w:t>2024–25</w:t>
      </w:r>
      <w:r w:rsidRPr="001C06E6">
        <w:t xml:space="preserve"> (and an additional $72.7</w:t>
      </w:r>
      <w:r>
        <w:t> </w:t>
      </w:r>
      <w:r w:rsidRPr="001C06E6">
        <w:t xml:space="preserve">million from </w:t>
      </w:r>
      <w:r w:rsidR="00922608">
        <w:br/>
      </w:r>
      <w:r>
        <w:t>2028–29</w:t>
      </w:r>
      <w:r w:rsidRPr="001C06E6">
        <w:t xml:space="preserve"> to </w:t>
      </w:r>
      <w:r>
        <w:t>2034–35</w:t>
      </w:r>
      <w:r w:rsidRPr="001C06E6">
        <w:t>) for Charles Darwin University to establish a new medical school for</w:t>
      </w:r>
      <w:r w:rsidR="00922608">
        <w:t> </w:t>
      </w:r>
      <w:r w:rsidRPr="001C06E6">
        <w:t>the Northern Territory with 40 new commencing medical students per year from 1</w:t>
      </w:r>
      <w:r>
        <w:t> </w:t>
      </w:r>
      <w:r w:rsidRPr="001C06E6">
        <w:t>January</w:t>
      </w:r>
      <w:r>
        <w:t> </w:t>
      </w:r>
      <w:r w:rsidRPr="001C06E6">
        <w:t>2026, with funding placed in the Contingency Reserve subject to the completion of exploratory work</w:t>
      </w:r>
      <w:r>
        <w:t xml:space="preserve"> </w:t>
      </w:r>
    </w:p>
    <w:p w14:paraId="252F7EA2" w14:textId="2ED9054D" w:rsidR="0012790E" w:rsidRDefault="0012790E">
      <w:pPr>
        <w:pStyle w:val="Bullet"/>
      </w:pPr>
      <w:r w:rsidRPr="001C06E6">
        <w:t>$19.4</w:t>
      </w:r>
      <w:r>
        <w:t> </w:t>
      </w:r>
      <w:r w:rsidRPr="001C06E6">
        <w:t xml:space="preserve">million over two years from </w:t>
      </w:r>
      <w:r>
        <w:t>2024–25</w:t>
      </w:r>
      <w:r w:rsidRPr="001C06E6">
        <w:t xml:space="preserve"> to establish a National Student Ombudsman from 1</w:t>
      </w:r>
      <w:r>
        <w:t> </w:t>
      </w:r>
      <w:r w:rsidRPr="001C06E6">
        <w:t>February</w:t>
      </w:r>
      <w:r>
        <w:t> </w:t>
      </w:r>
      <w:r w:rsidRPr="001C06E6">
        <w:t>2025. The Ombudsman will provide a single, national mechanism for higher education students to escalate complaints regarding the administrative actions of</w:t>
      </w:r>
      <w:r w:rsidR="00E00F9E">
        <w:t> </w:t>
      </w:r>
      <w:r w:rsidRPr="001C06E6">
        <w:t xml:space="preserve">their education provider and will be established as an ongoing function of the Commonwealth Ombudsman, with Government to explore arrangements for cost recovery from </w:t>
      </w:r>
      <w:r>
        <w:t>2026–27</w:t>
      </w:r>
      <w:r w:rsidRPr="001C06E6">
        <w:t>. Partial funding for this measure has been provisioned in the Contingency Reserve</w:t>
      </w:r>
      <w:r>
        <w:t xml:space="preserve"> </w:t>
      </w:r>
    </w:p>
    <w:p w14:paraId="2A19D6E2" w14:textId="3D17F13D" w:rsidR="0012790E" w:rsidRDefault="0012790E">
      <w:pPr>
        <w:pStyle w:val="Bullet"/>
      </w:pPr>
      <w:r w:rsidRPr="001C06E6">
        <w:t>$18.7</w:t>
      </w:r>
      <w:r>
        <w:t> </w:t>
      </w:r>
      <w:r w:rsidRPr="001C06E6">
        <w:t xml:space="preserve">million over four years from </w:t>
      </w:r>
      <w:r>
        <w:t>2024–25</w:t>
      </w:r>
      <w:r w:rsidRPr="001C06E6">
        <w:t xml:space="preserve"> (and an additional $28.8</w:t>
      </w:r>
      <w:r>
        <w:t> </w:t>
      </w:r>
      <w:r w:rsidRPr="001C06E6">
        <w:t xml:space="preserve">million from </w:t>
      </w:r>
      <w:r w:rsidR="00922608">
        <w:br/>
      </w:r>
      <w:r>
        <w:t>2028–29</w:t>
      </w:r>
      <w:r w:rsidRPr="001C06E6">
        <w:t xml:space="preserve"> to </w:t>
      </w:r>
      <w:r>
        <w:t>2034–35</w:t>
      </w:r>
      <w:r w:rsidRPr="001C06E6">
        <w:t>) to introduce a National Higher Education Code to Prevent and Respond to Gender</w:t>
      </w:r>
      <w:r>
        <w:noBreakHyphen/>
      </w:r>
      <w:r w:rsidRPr="001C06E6">
        <w:t>based Violence from 1</w:t>
      </w:r>
      <w:r>
        <w:t> </w:t>
      </w:r>
      <w:r w:rsidRPr="001C06E6">
        <w:t>January</w:t>
      </w:r>
      <w:r>
        <w:t> </w:t>
      </w:r>
      <w:r w:rsidRPr="001C06E6">
        <w:t>2025</w:t>
      </w:r>
      <w:r>
        <w:t xml:space="preserve"> </w:t>
      </w:r>
    </w:p>
    <w:p w14:paraId="3C556143" w14:textId="77777777" w:rsidR="0012790E" w:rsidRDefault="0012790E">
      <w:pPr>
        <w:pStyle w:val="Bullet"/>
      </w:pPr>
      <w:r w:rsidRPr="001C06E6">
        <w:t>$3.0</w:t>
      </w:r>
      <w:r>
        <w:t> </w:t>
      </w:r>
      <w:r w:rsidRPr="001C06E6">
        <w:t xml:space="preserve">million in </w:t>
      </w:r>
      <w:r>
        <w:t>2024–25</w:t>
      </w:r>
      <w:r w:rsidRPr="001C06E6">
        <w:t xml:space="preserve"> for the Department of Education to develop a business case for an appropriate information technology system to support the reforms to higher education funding and governance</w:t>
      </w:r>
      <w:r>
        <w:t xml:space="preserve"> </w:t>
      </w:r>
    </w:p>
    <w:p w14:paraId="328113EB" w14:textId="77777777" w:rsidR="0012790E" w:rsidRDefault="0012790E">
      <w:pPr>
        <w:pStyle w:val="Bullet"/>
      </w:pPr>
      <w:r w:rsidRPr="001C06E6">
        <w:t>$2.6</w:t>
      </w:r>
      <w:r>
        <w:t> </w:t>
      </w:r>
      <w:r w:rsidRPr="001C06E6">
        <w:t xml:space="preserve">million in </w:t>
      </w:r>
      <w:r>
        <w:t>2024–25</w:t>
      </w:r>
      <w:r w:rsidRPr="001C06E6">
        <w:t xml:space="preserve"> to implement changes to the Department of Education’s Provider Registration and International Student Management System to improve integrity in the international education sector</w:t>
      </w:r>
      <w:r>
        <w:t xml:space="preserve"> </w:t>
      </w:r>
    </w:p>
    <w:p w14:paraId="1CE5EA47" w14:textId="77777777" w:rsidR="0012790E" w:rsidRDefault="0012790E">
      <w:pPr>
        <w:pStyle w:val="Bullet"/>
      </w:pPr>
      <w:r w:rsidRPr="001C06E6">
        <w:t>$2.1</w:t>
      </w:r>
      <w:r>
        <w:t> </w:t>
      </w:r>
      <w:r w:rsidRPr="001C06E6">
        <w:t xml:space="preserve">million over four years from </w:t>
      </w:r>
      <w:r>
        <w:t>2024–25</w:t>
      </w:r>
      <w:r w:rsidRPr="001C06E6">
        <w:t xml:space="preserve"> (and an additional $3.7</w:t>
      </w:r>
      <w:r>
        <w:t> </w:t>
      </w:r>
      <w:r w:rsidRPr="001C06E6">
        <w:t xml:space="preserve">million from </w:t>
      </w:r>
      <w:r>
        <w:t>2028–29</w:t>
      </w:r>
      <w:r w:rsidRPr="001C06E6">
        <w:t xml:space="preserve"> to </w:t>
      </w:r>
      <w:r>
        <w:t>2034–35</w:t>
      </w:r>
      <w:r w:rsidRPr="001C06E6">
        <w:t>) for the Department of Education to develop and implement regulation to require universities to establish new supply of purpose</w:t>
      </w:r>
      <w:r>
        <w:noBreakHyphen/>
      </w:r>
      <w:r w:rsidRPr="001C06E6">
        <w:t>built student accommodation to support any increase in international student enrolments over an initial international student allocation, to be set in consultation with the sector. The accommodation would be available to both domestic and international students.</w:t>
      </w:r>
      <w:r>
        <w:t xml:space="preserve"> </w:t>
      </w:r>
    </w:p>
    <w:p w14:paraId="3B595958" w14:textId="77777777" w:rsidR="0012790E" w:rsidRDefault="0012790E">
      <w:pPr>
        <w:pStyle w:val="Normal2"/>
        <w:rPr>
          <w:rFonts w:cs="Book Antiqua"/>
        </w:rPr>
      </w:pPr>
      <w:r w:rsidRPr="001C06E6">
        <w:rPr>
          <w:rFonts w:cs="Book Antiqua"/>
        </w:rPr>
        <w:lastRenderedPageBreak/>
        <w:t>The Government will also undertake a strategic examination of Australia’s research</w:t>
      </w:r>
      <w:r>
        <w:rPr>
          <w:rFonts w:cs="Book Antiqua"/>
        </w:rPr>
        <w:t xml:space="preserve"> </w:t>
      </w:r>
      <w:r w:rsidRPr="001C06E6">
        <w:rPr>
          <w:rFonts w:cs="Book Antiqua"/>
        </w:rPr>
        <w:t>and development system to strengthen its alignment with Australia’s priorities and</w:t>
      </w:r>
      <w:r>
        <w:rPr>
          <w:rFonts w:cs="Book Antiqua"/>
        </w:rPr>
        <w:t xml:space="preserve"> </w:t>
      </w:r>
      <w:r w:rsidRPr="001C06E6">
        <w:rPr>
          <w:rFonts w:cs="Book Antiqua"/>
        </w:rPr>
        <w:t>improve innovation and research and development outcomes.</w:t>
      </w:r>
      <w:r>
        <w:rPr>
          <w:rFonts w:cs="Book Antiqua"/>
        </w:rPr>
        <w:t xml:space="preserve"> </w:t>
      </w:r>
    </w:p>
    <w:p w14:paraId="6DC55D9B" w14:textId="77777777" w:rsidR="0012790E" w:rsidRDefault="0012790E" w:rsidP="54937204">
      <w:pPr>
        <w:pStyle w:val="Normal2"/>
        <w:rPr>
          <w:rFonts w:cs="Book Antiqua"/>
          <w:lang w:val="en-US"/>
        </w:rPr>
      </w:pPr>
      <w:r w:rsidRPr="54937204">
        <w:rPr>
          <w:rFonts w:cs="Book Antiqua"/>
          <w:lang w:val="en-US"/>
        </w:rPr>
        <w:t>Higher education providers will also be required to direct a minimum of 40 per cent of their Student Services and Amenities Fee revenue to student</w:t>
      </w:r>
      <w:r>
        <w:rPr>
          <w:rFonts w:cs="Book Antiqua"/>
        </w:rPr>
        <w:noBreakHyphen/>
      </w:r>
      <w:r w:rsidRPr="54937204">
        <w:rPr>
          <w:rFonts w:cs="Book Antiqua"/>
          <w:lang w:val="en-US"/>
        </w:rPr>
        <w:t xml:space="preserve">led organisations from 1 January 2025. </w:t>
      </w:r>
    </w:p>
    <w:p w14:paraId="47A4FEF1" w14:textId="77777777" w:rsidR="0012790E" w:rsidRDefault="0012790E" w:rsidP="54937204">
      <w:pPr>
        <w:pStyle w:val="Normal2"/>
        <w:rPr>
          <w:rFonts w:cs="Book Antiqua"/>
          <w:lang w:val="en-US"/>
        </w:rPr>
      </w:pPr>
      <w:r w:rsidRPr="54937204">
        <w:rPr>
          <w:rFonts w:cs="Book Antiqua"/>
          <w:lang w:val="en-US"/>
        </w:rPr>
        <w:t>Details of the following reforms to boost equity and access to higher education and to progress tertiary harmonisation will be announced once final consultations with relevant stakeholders have completed:</w:t>
      </w:r>
    </w:p>
    <w:p w14:paraId="1FD5324D" w14:textId="77777777" w:rsidR="0012790E" w:rsidRDefault="0012790E">
      <w:pPr>
        <w:pStyle w:val="Bullet"/>
      </w:pPr>
      <w:r w:rsidRPr="001C06E6">
        <w:t>The Australian Tertiary Education Commission which is intended to be established by 1</w:t>
      </w:r>
      <w:r>
        <w:t> </w:t>
      </w:r>
      <w:r w:rsidRPr="001C06E6">
        <w:t>July</w:t>
      </w:r>
      <w:r>
        <w:t> </w:t>
      </w:r>
      <w:r w:rsidRPr="001C06E6">
        <w:t>2025, will be responsible for tertiary education system stewardship, delivery of funding arrangements for higher education, ongoing tertiary harmonisation and data collection and reporting</w:t>
      </w:r>
      <w:r>
        <w:t xml:space="preserve"> </w:t>
      </w:r>
    </w:p>
    <w:p w14:paraId="50F78A24" w14:textId="097823BB" w:rsidR="0012790E" w:rsidRDefault="0012790E">
      <w:pPr>
        <w:pStyle w:val="Bullet"/>
      </w:pPr>
      <w:r w:rsidRPr="001C06E6">
        <w:t>Managed growth funding for universities is intended to commence from 1</w:t>
      </w:r>
      <w:r>
        <w:t> </w:t>
      </w:r>
      <w:r w:rsidRPr="001C06E6">
        <w:t>January</w:t>
      </w:r>
      <w:r>
        <w:t> </w:t>
      </w:r>
      <w:r w:rsidRPr="001C06E6">
        <w:t>2026. This approach will more accurately reflect student demand, support efficient growth in places, and help Australia to reach its tertiary attainment target</w:t>
      </w:r>
      <w:r>
        <w:t xml:space="preserve"> </w:t>
      </w:r>
    </w:p>
    <w:p w14:paraId="437B5C92" w14:textId="22F21427" w:rsidR="0012790E" w:rsidRDefault="0012790E">
      <w:pPr>
        <w:pStyle w:val="Bullet"/>
      </w:pPr>
      <w:r w:rsidRPr="001C06E6">
        <w:t>A needs</w:t>
      </w:r>
      <w:r>
        <w:noBreakHyphen/>
      </w:r>
      <w:r w:rsidRPr="001C06E6">
        <w:t>based funding system is intended to be implemented from 1</w:t>
      </w:r>
      <w:r>
        <w:t> </w:t>
      </w:r>
      <w:r w:rsidRPr="001C06E6">
        <w:t>January</w:t>
      </w:r>
      <w:r>
        <w:t> </w:t>
      </w:r>
      <w:r w:rsidRPr="001C06E6">
        <w:t>2026 to</w:t>
      </w:r>
      <w:r w:rsidR="00E00F9E">
        <w:t> </w:t>
      </w:r>
      <w:r w:rsidRPr="001C06E6">
        <w:t>better support First Nations students, students from low socio</w:t>
      </w:r>
      <w:r>
        <w:noBreakHyphen/>
      </w:r>
      <w:r w:rsidRPr="001C06E6">
        <w:t>economic status backgrounds, students with disability and students studying in regional and remote Australia.</w:t>
      </w:r>
      <w:r>
        <w:t xml:space="preserve"> </w:t>
      </w:r>
    </w:p>
    <w:p w14:paraId="6E9B308B" w14:textId="77777777" w:rsidR="0012790E" w:rsidRDefault="0012790E" w:rsidP="54937204">
      <w:pPr>
        <w:pStyle w:val="Normal2"/>
        <w:rPr>
          <w:rFonts w:cs="Book Antiqua"/>
          <w:lang w:val="en-US"/>
        </w:rPr>
      </w:pPr>
      <w:r w:rsidRPr="54937204">
        <w:rPr>
          <w:rFonts w:cs="Book Antiqua"/>
          <w:lang w:val="en-US"/>
        </w:rPr>
        <w:t>The cost of this measure will be partially met from savings identified in the Education Portfolio, including:</w:t>
      </w:r>
    </w:p>
    <w:p w14:paraId="52A226BA" w14:textId="35BAC66B" w:rsidR="0012790E" w:rsidRDefault="0012790E">
      <w:pPr>
        <w:pStyle w:val="Bullet"/>
      </w:pPr>
      <w:r w:rsidRPr="001C06E6">
        <w:t>$57.2</w:t>
      </w:r>
      <w:r>
        <w:t> </w:t>
      </w:r>
      <w:r w:rsidRPr="001C06E6">
        <w:t xml:space="preserve">million over four years from </w:t>
      </w:r>
      <w:r>
        <w:t>2024–25</w:t>
      </w:r>
      <w:r w:rsidRPr="001C06E6">
        <w:t xml:space="preserve"> (and an additional $167.5</w:t>
      </w:r>
      <w:r>
        <w:t> </w:t>
      </w:r>
      <w:r w:rsidRPr="001C06E6">
        <w:t xml:space="preserve">million from </w:t>
      </w:r>
      <w:r w:rsidR="00922608">
        <w:br/>
      </w:r>
      <w:r>
        <w:t>2028–29</w:t>
      </w:r>
      <w:r w:rsidRPr="001C06E6">
        <w:t xml:space="preserve"> to </w:t>
      </w:r>
      <w:r>
        <w:t>2034–35</w:t>
      </w:r>
      <w:r w:rsidRPr="001C06E6">
        <w:t xml:space="preserve">) by ceasing funding for new scholarships for domestic and international students under the </w:t>
      </w:r>
      <w:r w:rsidRPr="001C06E6">
        <w:rPr>
          <w:i/>
          <w:iCs/>
        </w:rPr>
        <w:t xml:space="preserve">Destination Australia </w:t>
      </w:r>
      <w:r w:rsidRPr="001C06E6">
        <w:t>program</w:t>
      </w:r>
      <w:r>
        <w:t xml:space="preserve"> </w:t>
      </w:r>
    </w:p>
    <w:p w14:paraId="31B48C81" w14:textId="77777777" w:rsidR="0012790E" w:rsidRDefault="0012790E">
      <w:pPr>
        <w:pStyle w:val="Bullet"/>
      </w:pPr>
      <w:r w:rsidRPr="001C06E6">
        <w:t>$8.0</w:t>
      </w:r>
      <w:r>
        <w:t> </w:t>
      </w:r>
      <w:r w:rsidRPr="001C06E6">
        <w:t xml:space="preserve">million over four years from </w:t>
      </w:r>
      <w:r>
        <w:t>2024–25</w:t>
      </w:r>
      <w:r w:rsidRPr="001C06E6">
        <w:t xml:space="preserve"> by reducing funding for the </w:t>
      </w:r>
      <w:r w:rsidRPr="001C06E6">
        <w:rPr>
          <w:i/>
          <w:iCs/>
        </w:rPr>
        <w:t>Quality Indicators for Learning and Teaching</w:t>
      </w:r>
      <w:r w:rsidRPr="001C06E6">
        <w:t xml:space="preserve"> program.</w:t>
      </w:r>
      <w:r>
        <w:t xml:space="preserve"> </w:t>
      </w:r>
    </w:p>
    <w:p w14:paraId="767F1005" w14:textId="77777777" w:rsidR="0012790E" w:rsidRDefault="0012790E" w:rsidP="54937204">
      <w:pPr>
        <w:pStyle w:val="Normal2"/>
        <w:rPr>
          <w:rFonts w:cs="Book Antiqua"/>
          <w:lang w:val="en-US"/>
        </w:rPr>
      </w:pPr>
      <w:r w:rsidRPr="54937204">
        <w:rPr>
          <w:rFonts w:cs="Book Antiqua"/>
          <w:lang w:val="en-US"/>
        </w:rPr>
        <w:t xml:space="preserve">This measure builds on the 2023–24 MYEFO measures titled </w:t>
      </w:r>
      <w:r w:rsidRPr="54937204">
        <w:rPr>
          <w:rFonts w:cs="Book Antiqua"/>
          <w:i/>
          <w:iCs/>
          <w:lang w:val="en-US"/>
        </w:rPr>
        <w:t xml:space="preserve">Australian Universities Accord Interim Report – initial response </w:t>
      </w:r>
      <w:r w:rsidRPr="54937204">
        <w:rPr>
          <w:rFonts w:cs="Book Antiqua"/>
          <w:lang w:val="en-US"/>
        </w:rPr>
        <w:t>and</w:t>
      </w:r>
      <w:r w:rsidRPr="54937204">
        <w:rPr>
          <w:rFonts w:cs="Book Antiqua"/>
          <w:i/>
          <w:iCs/>
          <w:lang w:val="en-US"/>
        </w:rPr>
        <w:t xml:space="preserve"> Migration System Reforms; </w:t>
      </w:r>
      <w:r w:rsidRPr="54937204">
        <w:rPr>
          <w:rFonts w:cs="Book Antiqua"/>
          <w:lang w:val="en-US"/>
        </w:rPr>
        <w:t xml:space="preserve">and builds on the Employment White Paper. </w:t>
      </w:r>
    </w:p>
    <w:p w14:paraId="039683E2" w14:textId="77777777" w:rsidR="0012790E" w:rsidRDefault="0012790E">
      <w:pPr>
        <w:pStyle w:val="Normal2"/>
        <w:rPr>
          <w:rFonts w:cs="Book Antiqua"/>
        </w:rPr>
      </w:pPr>
      <w:r w:rsidRPr="001C06E6">
        <w:rPr>
          <w:rFonts w:cs="Book Antiqua"/>
        </w:rPr>
        <w:t xml:space="preserve">Parts of this measure support the implementation of the </w:t>
      </w:r>
      <w:r w:rsidRPr="001C06E6">
        <w:rPr>
          <w:rFonts w:cs="Book Antiqua"/>
          <w:i/>
          <w:iCs/>
        </w:rPr>
        <w:t>National Plan to End Violence</w:t>
      </w:r>
      <w:r>
        <w:rPr>
          <w:rFonts w:cs="Book Antiqua"/>
          <w:i/>
          <w:iCs/>
        </w:rPr>
        <w:t xml:space="preserve"> </w:t>
      </w:r>
      <w:r w:rsidRPr="001C06E6">
        <w:rPr>
          <w:rFonts w:cs="Book Antiqua"/>
          <w:i/>
          <w:iCs/>
        </w:rPr>
        <w:t xml:space="preserve">Against Women and Children </w:t>
      </w:r>
      <w:r>
        <w:rPr>
          <w:rFonts w:cs="Book Antiqua"/>
          <w:i/>
          <w:iCs/>
        </w:rPr>
        <w:t>2022–32</w:t>
      </w:r>
      <w:r w:rsidRPr="001C06E6">
        <w:rPr>
          <w:rFonts w:cs="Book Antiqua"/>
        </w:rPr>
        <w:t>.</w:t>
      </w:r>
      <w:r>
        <w:rPr>
          <w:rFonts w:cs="Book Antiqua"/>
        </w:rPr>
        <w:t xml:space="preserve"> </w:t>
      </w:r>
    </w:p>
    <w:p w14:paraId="404E3684" w14:textId="77777777" w:rsidR="0012790E" w:rsidRPr="001C06E6" w:rsidRDefault="0012790E">
      <w:pPr>
        <w:pStyle w:val="MeasureTitle"/>
        <w:rPr>
          <w:b w:val="0"/>
          <w:bCs/>
        </w:rPr>
      </w:pPr>
      <w:r w:rsidRPr="001C06E6">
        <w:rPr>
          <w:bCs/>
        </w:rPr>
        <w:lastRenderedPageBreak/>
        <w:t>Future Made in Australia</w:t>
      </w:r>
      <w:r>
        <w:rPr>
          <w:bCs/>
        </w:rPr>
        <w:t xml:space="preserve"> – </w:t>
      </w:r>
      <w:r w:rsidRPr="001C06E6">
        <w:rPr>
          <w:bCs/>
        </w:rPr>
        <w:t>Attracting Investment in Key Industries</w:t>
      </w:r>
    </w:p>
    <w:p w14:paraId="138E2F63"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FAE701B" w14:textId="77777777">
        <w:tc>
          <w:tcPr>
            <w:tcW w:w="2497" w:type="dxa"/>
            <w:tcBorders>
              <w:top w:val="single" w:sz="4" w:space="0" w:color="293F5B"/>
              <w:bottom w:val="single" w:sz="4" w:space="0" w:color="293F5B"/>
            </w:tcBorders>
            <w:shd w:val="clear" w:color="auto" w:fill="auto"/>
          </w:tcPr>
          <w:p w14:paraId="50BC9CB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ED5EC34"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FD37629"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E68D2B2"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667BB4C"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4893B23" w14:textId="77777777" w:rsidR="0012790E" w:rsidRPr="001C06E6" w:rsidRDefault="0012790E">
            <w:pPr>
              <w:pStyle w:val="MeasureTableYearHeadings"/>
              <w:keepNext/>
            </w:pPr>
            <w:r w:rsidRPr="001C06E6">
              <w:t>2027</w:t>
            </w:r>
            <w:r>
              <w:noBreakHyphen/>
            </w:r>
            <w:r w:rsidRPr="001C06E6">
              <w:t>28</w:t>
            </w:r>
          </w:p>
        </w:tc>
      </w:tr>
      <w:tr w:rsidR="0012790E" w:rsidRPr="001C06E6" w14:paraId="3DEBB120" w14:textId="77777777">
        <w:tc>
          <w:tcPr>
            <w:tcW w:w="2497" w:type="dxa"/>
            <w:tcBorders>
              <w:top w:val="single" w:sz="4" w:space="0" w:color="293F5B"/>
              <w:bottom w:val="single" w:sz="4" w:space="0" w:color="293F5B"/>
            </w:tcBorders>
            <w:shd w:val="clear" w:color="auto" w:fill="auto"/>
          </w:tcPr>
          <w:p w14:paraId="320F6CBD"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14CB599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838C1E8" w14:textId="77777777" w:rsidR="0012790E" w:rsidRPr="001C06E6" w:rsidRDefault="0012790E">
            <w:pPr>
              <w:pStyle w:val="MeasureTableDataRightAlignedwith2ptsspacing"/>
              <w:keepNext/>
            </w:pPr>
            <w:r w:rsidRPr="001C06E6">
              <w:t>45.7</w:t>
            </w:r>
          </w:p>
        </w:tc>
        <w:tc>
          <w:tcPr>
            <w:tcW w:w="1045" w:type="dxa"/>
            <w:tcBorders>
              <w:top w:val="single" w:sz="4" w:space="0" w:color="293F5B"/>
              <w:bottom w:val="single" w:sz="4" w:space="0" w:color="293F5B"/>
            </w:tcBorders>
            <w:shd w:val="clear" w:color="auto" w:fill="auto"/>
          </w:tcPr>
          <w:p w14:paraId="1473C923" w14:textId="77777777" w:rsidR="0012790E" w:rsidRPr="001C06E6" w:rsidRDefault="0012790E">
            <w:pPr>
              <w:pStyle w:val="MeasureTableDataRightAlignedwith2ptsspacing"/>
              <w:keepNext/>
            </w:pPr>
            <w:r w:rsidRPr="001C06E6">
              <w:t>8.0</w:t>
            </w:r>
          </w:p>
        </w:tc>
        <w:tc>
          <w:tcPr>
            <w:tcW w:w="1045" w:type="dxa"/>
            <w:tcBorders>
              <w:top w:val="single" w:sz="4" w:space="0" w:color="293F5B"/>
              <w:bottom w:val="single" w:sz="4" w:space="0" w:color="293F5B"/>
            </w:tcBorders>
            <w:shd w:val="clear" w:color="auto" w:fill="auto"/>
          </w:tcPr>
          <w:p w14:paraId="38F7EDC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A68B4C5" w14:textId="77777777" w:rsidR="0012790E" w:rsidRPr="001C06E6" w:rsidRDefault="0012790E">
            <w:pPr>
              <w:pStyle w:val="MeasureTableDataRightAlignedwith2ptsspacing"/>
              <w:keepNext/>
            </w:pPr>
            <w:r w:rsidRPr="001C06E6">
              <w:t>-</w:t>
            </w:r>
          </w:p>
        </w:tc>
      </w:tr>
      <w:tr w:rsidR="0012790E" w:rsidRPr="001C06E6" w14:paraId="00A37BB4" w14:textId="77777777">
        <w:tc>
          <w:tcPr>
            <w:tcW w:w="2497" w:type="dxa"/>
            <w:tcBorders>
              <w:top w:val="single" w:sz="4" w:space="0" w:color="293F5B"/>
              <w:bottom w:val="single" w:sz="4" w:space="0" w:color="293F5B"/>
            </w:tcBorders>
            <w:shd w:val="clear" w:color="auto" w:fill="auto"/>
          </w:tcPr>
          <w:p w14:paraId="15F6DE03"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3AAFD43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66CDB29" w14:textId="77777777" w:rsidR="0012790E" w:rsidRPr="001C06E6" w:rsidRDefault="0012790E">
            <w:pPr>
              <w:pStyle w:val="MeasureTableDataRightAlignedwith2ptsspacing"/>
              <w:keepNext/>
            </w:pPr>
            <w:r w:rsidRPr="001C06E6">
              <w:t>1.3</w:t>
            </w:r>
          </w:p>
        </w:tc>
        <w:tc>
          <w:tcPr>
            <w:tcW w:w="1045" w:type="dxa"/>
            <w:tcBorders>
              <w:top w:val="single" w:sz="4" w:space="0" w:color="293F5B"/>
              <w:bottom w:val="single" w:sz="4" w:space="0" w:color="293F5B"/>
            </w:tcBorders>
            <w:shd w:val="clear" w:color="auto" w:fill="auto"/>
          </w:tcPr>
          <w:p w14:paraId="19206892" w14:textId="77777777" w:rsidR="0012790E" w:rsidRPr="001C06E6" w:rsidRDefault="0012790E">
            <w:pPr>
              <w:pStyle w:val="MeasureTableDataRightAlignedwith2ptsspacing"/>
              <w:keepNext/>
            </w:pPr>
            <w:r w:rsidRPr="001C06E6">
              <w:t>1.8</w:t>
            </w:r>
          </w:p>
        </w:tc>
        <w:tc>
          <w:tcPr>
            <w:tcW w:w="1045" w:type="dxa"/>
            <w:tcBorders>
              <w:top w:val="single" w:sz="4" w:space="0" w:color="293F5B"/>
              <w:bottom w:val="single" w:sz="4" w:space="0" w:color="293F5B"/>
            </w:tcBorders>
            <w:shd w:val="clear" w:color="auto" w:fill="auto"/>
          </w:tcPr>
          <w:p w14:paraId="0B58771E" w14:textId="77777777" w:rsidR="0012790E" w:rsidRPr="001C06E6" w:rsidRDefault="0012790E">
            <w:pPr>
              <w:pStyle w:val="MeasureTableDataRightAlignedwith2ptsspacing"/>
              <w:keepNext/>
            </w:pPr>
            <w:r w:rsidRPr="001C06E6">
              <w:t>1.8</w:t>
            </w:r>
          </w:p>
        </w:tc>
        <w:tc>
          <w:tcPr>
            <w:tcW w:w="1045" w:type="dxa"/>
            <w:tcBorders>
              <w:top w:val="single" w:sz="4" w:space="0" w:color="293F5B"/>
              <w:bottom w:val="single" w:sz="4" w:space="0" w:color="293F5B"/>
            </w:tcBorders>
            <w:shd w:val="clear" w:color="auto" w:fill="auto"/>
          </w:tcPr>
          <w:p w14:paraId="5BDE77B7" w14:textId="77777777" w:rsidR="0012790E" w:rsidRPr="001C06E6" w:rsidRDefault="0012790E">
            <w:pPr>
              <w:pStyle w:val="MeasureTableDataRightAlignedwith2ptsspacing"/>
              <w:keepNext/>
            </w:pPr>
            <w:r w:rsidRPr="001C06E6">
              <w:t>1.9</w:t>
            </w:r>
          </w:p>
        </w:tc>
      </w:tr>
      <w:tr w:rsidR="0012790E" w:rsidRPr="001C06E6" w14:paraId="64C1D025" w14:textId="77777777">
        <w:tc>
          <w:tcPr>
            <w:tcW w:w="2497" w:type="dxa"/>
            <w:tcBorders>
              <w:top w:val="single" w:sz="4" w:space="0" w:color="293F5B"/>
              <w:bottom w:val="single" w:sz="4" w:space="0" w:color="293F5B"/>
            </w:tcBorders>
            <w:shd w:val="clear" w:color="auto" w:fill="auto"/>
          </w:tcPr>
          <w:p w14:paraId="1ACD622A" w14:textId="77777777" w:rsidR="0012790E" w:rsidRPr="001C06E6" w:rsidRDefault="0012790E">
            <w:pPr>
              <w:pStyle w:val="MeasureTableHeadingleftalignedwith2ptsspacing"/>
              <w:keepNext/>
            </w:pPr>
            <w:r>
              <w:t xml:space="preserve">Department of Foreign Affairs and Trade </w:t>
            </w:r>
          </w:p>
        </w:tc>
        <w:tc>
          <w:tcPr>
            <w:tcW w:w="1045" w:type="dxa"/>
            <w:tcBorders>
              <w:top w:val="single" w:sz="4" w:space="0" w:color="293F5B"/>
              <w:bottom w:val="single" w:sz="4" w:space="0" w:color="293F5B"/>
            </w:tcBorders>
            <w:shd w:val="clear" w:color="auto" w:fill="auto"/>
          </w:tcPr>
          <w:p w14:paraId="543B9A7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DA15E80" w14:textId="77777777" w:rsidR="0012790E" w:rsidRPr="001C06E6" w:rsidRDefault="0012790E">
            <w:pPr>
              <w:pStyle w:val="MeasureTableDataRightAlignedwith2ptsspacing"/>
              <w:keepNext/>
            </w:pPr>
            <w:r>
              <w:t xml:space="preserve">1.2 </w:t>
            </w:r>
          </w:p>
        </w:tc>
        <w:tc>
          <w:tcPr>
            <w:tcW w:w="1045" w:type="dxa"/>
            <w:tcBorders>
              <w:top w:val="single" w:sz="4" w:space="0" w:color="293F5B"/>
              <w:bottom w:val="single" w:sz="4" w:space="0" w:color="293F5B"/>
            </w:tcBorders>
            <w:shd w:val="clear" w:color="auto" w:fill="auto"/>
          </w:tcPr>
          <w:p w14:paraId="02B30429" w14:textId="77777777" w:rsidR="0012790E" w:rsidRPr="001C06E6" w:rsidRDefault="0012790E">
            <w:pPr>
              <w:pStyle w:val="MeasureTableDataRightAlignedwith2ptsspacing"/>
              <w:keepNext/>
            </w:pPr>
            <w:r>
              <w:t xml:space="preserve">1.1 </w:t>
            </w:r>
          </w:p>
        </w:tc>
        <w:tc>
          <w:tcPr>
            <w:tcW w:w="1045" w:type="dxa"/>
            <w:tcBorders>
              <w:top w:val="single" w:sz="4" w:space="0" w:color="293F5B"/>
              <w:bottom w:val="single" w:sz="4" w:space="0" w:color="293F5B"/>
            </w:tcBorders>
            <w:shd w:val="clear" w:color="auto" w:fill="auto"/>
          </w:tcPr>
          <w:p w14:paraId="28B33A17" w14:textId="77777777" w:rsidR="0012790E" w:rsidRPr="001C06E6" w:rsidRDefault="0012790E">
            <w:pPr>
              <w:pStyle w:val="MeasureTableDataRightAlignedwith2ptsspacing"/>
              <w:keepNext/>
            </w:pPr>
            <w:r>
              <w:t xml:space="preserve">1.1 </w:t>
            </w:r>
          </w:p>
        </w:tc>
        <w:tc>
          <w:tcPr>
            <w:tcW w:w="1045" w:type="dxa"/>
            <w:tcBorders>
              <w:top w:val="single" w:sz="4" w:space="0" w:color="293F5B"/>
              <w:bottom w:val="single" w:sz="4" w:space="0" w:color="293F5B"/>
            </w:tcBorders>
            <w:shd w:val="clear" w:color="auto" w:fill="auto"/>
          </w:tcPr>
          <w:p w14:paraId="7EC849BD" w14:textId="77777777" w:rsidR="0012790E" w:rsidRPr="001C06E6" w:rsidRDefault="0012790E">
            <w:pPr>
              <w:pStyle w:val="MeasureTableDataRightAlignedwith2ptsspacing"/>
              <w:keepNext/>
            </w:pPr>
            <w:r>
              <w:t xml:space="preserve">1.2 </w:t>
            </w:r>
          </w:p>
        </w:tc>
      </w:tr>
      <w:tr w:rsidR="0012790E" w:rsidRPr="001C06E6" w14:paraId="1CE73132" w14:textId="77777777">
        <w:tc>
          <w:tcPr>
            <w:tcW w:w="2497" w:type="dxa"/>
            <w:tcBorders>
              <w:top w:val="single" w:sz="4" w:space="0" w:color="293F5B"/>
              <w:bottom w:val="single" w:sz="4" w:space="0" w:color="293F5B"/>
            </w:tcBorders>
            <w:shd w:val="clear" w:color="auto" w:fill="auto"/>
          </w:tcPr>
          <w:p w14:paraId="7A5AF846" w14:textId="77777777" w:rsidR="0012790E" w:rsidRPr="001C06E6" w:rsidRDefault="0012790E">
            <w:pPr>
              <w:pStyle w:val="MeasureTableHeadingleftalignedwith2ptsspacing"/>
              <w:keepNext/>
            </w:pPr>
            <w:r>
              <w:t xml:space="preserve">Department of the Prime Minister and Cabinet </w:t>
            </w:r>
          </w:p>
        </w:tc>
        <w:tc>
          <w:tcPr>
            <w:tcW w:w="1045" w:type="dxa"/>
            <w:tcBorders>
              <w:top w:val="single" w:sz="4" w:space="0" w:color="293F5B"/>
              <w:bottom w:val="single" w:sz="4" w:space="0" w:color="293F5B"/>
            </w:tcBorders>
            <w:shd w:val="clear" w:color="auto" w:fill="auto"/>
          </w:tcPr>
          <w:p w14:paraId="0EF397A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20DD62F" w14:textId="77777777" w:rsidR="0012790E" w:rsidRPr="001C06E6" w:rsidRDefault="0012790E">
            <w:pPr>
              <w:pStyle w:val="MeasureTableDataRightAlignedwith2ptsspacing"/>
              <w:keepNext/>
            </w:pPr>
            <w:r>
              <w:t xml:space="preserve">1.0 </w:t>
            </w:r>
          </w:p>
        </w:tc>
        <w:tc>
          <w:tcPr>
            <w:tcW w:w="1045" w:type="dxa"/>
            <w:tcBorders>
              <w:top w:val="single" w:sz="4" w:space="0" w:color="293F5B"/>
              <w:bottom w:val="single" w:sz="4" w:space="0" w:color="293F5B"/>
            </w:tcBorders>
            <w:shd w:val="clear" w:color="auto" w:fill="auto"/>
          </w:tcPr>
          <w:p w14:paraId="57DE8DD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FF50106"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534FD53" w14:textId="77777777" w:rsidR="0012790E" w:rsidRPr="001C06E6" w:rsidRDefault="0012790E">
            <w:pPr>
              <w:pStyle w:val="MeasureTableDataRightAlignedwith2ptsspacing"/>
              <w:keepNext/>
            </w:pPr>
            <w:r>
              <w:t xml:space="preserve">- </w:t>
            </w:r>
          </w:p>
        </w:tc>
      </w:tr>
      <w:tr w:rsidR="0012790E" w:rsidRPr="001C06E6" w14:paraId="3BCC5F75" w14:textId="77777777">
        <w:tc>
          <w:tcPr>
            <w:tcW w:w="2497" w:type="dxa"/>
            <w:tcBorders>
              <w:top w:val="single" w:sz="4" w:space="0" w:color="293F5B"/>
              <w:bottom w:val="single" w:sz="4" w:space="0" w:color="293F5B"/>
            </w:tcBorders>
            <w:shd w:val="clear" w:color="auto" w:fill="auto"/>
          </w:tcPr>
          <w:p w14:paraId="6C570F0C"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62E92EED" w14:textId="77777777" w:rsidR="0012790E" w:rsidRPr="001C06E6" w:rsidRDefault="0012790E">
            <w:pPr>
              <w:pStyle w:val="MeasureTableDataRightAlignedwith2ptsspacing"/>
              <w:keepNext/>
            </w:pPr>
            <w:r>
              <w:t xml:space="preserve">-19.8   </w:t>
            </w:r>
          </w:p>
        </w:tc>
        <w:tc>
          <w:tcPr>
            <w:tcW w:w="1045" w:type="dxa"/>
            <w:tcBorders>
              <w:top w:val="single" w:sz="4" w:space="0" w:color="293F5B"/>
              <w:bottom w:val="single" w:sz="4" w:space="0" w:color="293F5B"/>
            </w:tcBorders>
            <w:shd w:val="clear" w:color="auto" w:fill="auto"/>
          </w:tcPr>
          <w:p w14:paraId="26BA25C5" w14:textId="77777777" w:rsidR="0012790E" w:rsidRPr="001C06E6" w:rsidRDefault="0012790E">
            <w:pPr>
              <w:pStyle w:val="MeasureTableDataRightAlignedwith2ptsspacing"/>
              <w:keepNext/>
            </w:pPr>
            <w:r>
              <w:t xml:space="preserve">1.9   </w:t>
            </w:r>
          </w:p>
        </w:tc>
        <w:tc>
          <w:tcPr>
            <w:tcW w:w="1045" w:type="dxa"/>
            <w:tcBorders>
              <w:top w:val="single" w:sz="4" w:space="0" w:color="293F5B"/>
              <w:bottom w:val="single" w:sz="4" w:space="0" w:color="293F5B"/>
            </w:tcBorders>
            <w:shd w:val="clear" w:color="auto" w:fill="auto"/>
          </w:tcPr>
          <w:p w14:paraId="4E47D114"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42CD64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725AF8C" w14:textId="77777777" w:rsidR="0012790E" w:rsidRPr="001C06E6" w:rsidRDefault="0012790E">
            <w:pPr>
              <w:pStyle w:val="MeasureTableDataRightAlignedwith2ptsspacing"/>
              <w:keepNext/>
            </w:pPr>
            <w:r>
              <w:t xml:space="preserve">-   </w:t>
            </w:r>
          </w:p>
        </w:tc>
      </w:tr>
      <w:tr w:rsidR="0012790E" w:rsidRPr="001C06E6" w14:paraId="19789E8D" w14:textId="77777777">
        <w:tc>
          <w:tcPr>
            <w:tcW w:w="2497" w:type="dxa"/>
            <w:tcBorders>
              <w:top w:val="single" w:sz="4" w:space="0" w:color="293F5B"/>
              <w:bottom w:val="single" w:sz="4" w:space="0" w:color="293F5B"/>
            </w:tcBorders>
            <w:shd w:val="clear" w:color="auto" w:fill="auto"/>
          </w:tcPr>
          <w:p w14:paraId="2A76DDED"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2D2C9F72" w14:textId="77777777" w:rsidR="0012790E" w:rsidRPr="001C06E6" w:rsidRDefault="0012790E">
            <w:pPr>
              <w:pStyle w:val="Totaldatarowrightaligned"/>
              <w:keepNext/>
            </w:pPr>
            <w:r w:rsidRPr="001C06E6">
              <w:t>-19.8</w:t>
            </w:r>
          </w:p>
        </w:tc>
        <w:tc>
          <w:tcPr>
            <w:tcW w:w="1045" w:type="dxa"/>
            <w:tcBorders>
              <w:top w:val="single" w:sz="4" w:space="0" w:color="293F5B"/>
              <w:bottom w:val="single" w:sz="4" w:space="0" w:color="293F5B"/>
            </w:tcBorders>
            <w:shd w:val="clear" w:color="auto" w:fill="auto"/>
          </w:tcPr>
          <w:p w14:paraId="23EDA3CB" w14:textId="77777777" w:rsidR="0012790E" w:rsidRPr="001C06E6" w:rsidRDefault="0012790E">
            <w:pPr>
              <w:pStyle w:val="Totaldatarowrightaligned"/>
              <w:keepNext/>
            </w:pPr>
            <w:r w:rsidRPr="001C06E6">
              <w:t>51.1</w:t>
            </w:r>
          </w:p>
        </w:tc>
        <w:tc>
          <w:tcPr>
            <w:tcW w:w="1045" w:type="dxa"/>
            <w:tcBorders>
              <w:top w:val="single" w:sz="4" w:space="0" w:color="293F5B"/>
              <w:bottom w:val="single" w:sz="4" w:space="0" w:color="293F5B"/>
            </w:tcBorders>
            <w:shd w:val="clear" w:color="auto" w:fill="auto"/>
          </w:tcPr>
          <w:p w14:paraId="6EB1723E" w14:textId="77777777" w:rsidR="0012790E" w:rsidRPr="001C06E6" w:rsidRDefault="0012790E">
            <w:pPr>
              <w:pStyle w:val="Totaldatarowrightaligned"/>
              <w:keepNext/>
            </w:pPr>
            <w:r w:rsidRPr="001C06E6">
              <w:t>11.0</w:t>
            </w:r>
          </w:p>
        </w:tc>
        <w:tc>
          <w:tcPr>
            <w:tcW w:w="1045" w:type="dxa"/>
            <w:tcBorders>
              <w:top w:val="single" w:sz="4" w:space="0" w:color="293F5B"/>
              <w:bottom w:val="single" w:sz="4" w:space="0" w:color="293F5B"/>
            </w:tcBorders>
            <w:shd w:val="clear" w:color="auto" w:fill="auto"/>
          </w:tcPr>
          <w:p w14:paraId="2878AA03" w14:textId="77777777" w:rsidR="0012790E" w:rsidRPr="001C06E6" w:rsidRDefault="0012790E">
            <w:pPr>
              <w:pStyle w:val="Totaldatarowrightaligned"/>
              <w:keepNext/>
            </w:pPr>
            <w:r w:rsidRPr="001C06E6">
              <w:t>3.0</w:t>
            </w:r>
          </w:p>
        </w:tc>
        <w:tc>
          <w:tcPr>
            <w:tcW w:w="1045" w:type="dxa"/>
            <w:tcBorders>
              <w:top w:val="single" w:sz="4" w:space="0" w:color="293F5B"/>
              <w:bottom w:val="single" w:sz="4" w:space="0" w:color="293F5B"/>
            </w:tcBorders>
            <w:shd w:val="clear" w:color="auto" w:fill="auto"/>
          </w:tcPr>
          <w:p w14:paraId="381F07BD" w14:textId="77777777" w:rsidR="0012790E" w:rsidRPr="001C06E6" w:rsidRDefault="0012790E">
            <w:pPr>
              <w:pStyle w:val="Totaldatarowrightaligned"/>
              <w:keepNext/>
            </w:pPr>
            <w:r w:rsidRPr="001C06E6">
              <w:t>3.0</w:t>
            </w:r>
          </w:p>
        </w:tc>
      </w:tr>
    </w:tbl>
    <w:p w14:paraId="4367463D"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6BFE62C8" w14:textId="6D4E021F" w:rsidR="0012790E" w:rsidRDefault="0012790E">
      <w:pPr>
        <w:pStyle w:val="Normal2"/>
        <w:rPr>
          <w:rFonts w:cs="Book Antiqua"/>
        </w:rPr>
      </w:pPr>
      <w:r w:rsidRPr="001C06E6">
        <w:rPr>
          <w:rFonts w:cs="Book Antiqua"/>
        </w:rPr>
        <w:t>The Government will provide $68.0</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(and $3.1</w:t>
      </w:r>
      <w:r>
        <w:rPr>
          <w:rFonts w:cs="Book Antiqua"/>
        </w:rPr>
        <w:t> </w:t>
      </w:r>
      <w:r w:rsidRPr="001C06E6">
        <w:rPr>
          <w:rFonts w:cs="Book Antiqua"/>
        </w:rPr>
        <w:t xml:space="preserve">million per year ongoing) to attract investment in </w:t>
      </w:r>
      <w:r w:rsidR="0062605C">
        <w:rPr>
          <w:rFonts w:cs="Book Antiqua"/>
        </w:rPr>
        <w:t>k</w:t>
      </w:r>
      <w:r w:rsidRPr="001C06E6">
        <w:rPr>
          <w:rFonts w:cs="Book Antiqua"/>
        </w:rPr>
        <w:t>ey industries to support a</w:t>
      </w:r>
      <w:r>
        <w:rPr>
          <w:rFonts w:cs="Book Antiqua"/>
        </w:rPr>
        <w:t xml:space="preserve"> </w:t>
      </w:r>
      <w:r w:rsidRPr="001C06E6">
        <w:rPr>
          <w:rFonts w:cs="Book Antiqua"/>
        </w:rPr>
        <w:t>Future Made in Australia. Funding includes:</w:t>
      </w:r>
    </w:p>
    <w:p w14:paraId="19207D95" w14:textId="42B07C02" w:rsidR="0012790E" w:rsidRDefault="0012790E">
      <w:pPr>
        <w:pStyle w:val="Bullet"/>
      </w:pPr>
      <w:r w:rsidRPr="001C06E6">
        <w:t>$54.7</w:t>
      </w:r>
      <w:r>
        <w:t> </w:t>
      </w:r>
      <w:r w:rsidRPr="001C06E6">
        <w:t xml:space="preserve">million over two years from </w:t>
      </w:r>
      <w:r>
        <w:t>2024–25</w:t>
      </w:r>
      <w:r w:rsidRPr="001C06E6">
        <w:t xml:space="preserve"> to administer, coordinate and promote the Government’s Future Made in Australia agenda, including the development of legislation that establishes a National Interest Framework and consultation with industry, investors and major stakeholders on the development of a ‘single front door’ that improves the attraction and facilitation of major investment proposals</w:t>
      </w:r>
      <w:r>
        <w:t xml:space="preserve"> </w:t>
      </w:r>
    </w:p>
    <w:p w14:paraId="0E7E7867" w14:textId="77777777" w:rsidR="0012790E" w:rsidRDefault="0012790E">
      <w:pPr>
        <w:pStyle w:val="Bullet"/>
      </w:pPr>
      <w:r w:rsidRPr="001C06E6">
        <w:t>$11.4</w:t>
      </w:r>
      <w:r>
        <w:t> </w:t>
      </w:r>
      <w:r w:rsidRPr="001C06E6">
        <w:t xml:space="preserve">million over four years from </w:t>
      </w:r>
      <w:r>
        <w:t>2024–25</w:t>
      </w:r>
      <w:r w:rsidRPr="001C06E6">
        <w:t xml:space="preserve"> (and $3.1</w:t>
      </w:r>
      <w:r>
        <w:t> </w:t>
      </w:r>
      <w:r w:rsidRPr="001C06E6">
        <w:t xml:space="preserve">million per year ongoing from </w:t>
      </w:r>
      <w:r>
        <w:t>2028–29</w:t>
      </w:r>
      <w:r w:rsidRPr="001C06E6">
        <w:t>) to establish and manage a domestic National Interest Account with Export Finance Australia, supporting domestic projects in the national interest, consistent with the Future Made in Australia National Interest Framework</w:t>
      </w:r>
      <w:r>
        <w:t xml:space="preserve"> </w:t>
      </w:r>
    </w:p>
    <w:p w14:paraId="24DDAE88" w14:textId="77777777" w:rsidR="0012790E" w:rsidRDefault="0012790E">
      <w:pPr>
        <w:pStyle w:val="Bullet"/>
      </w:pPr>
      <w:r w:rsidRPr="001C06E6">
        <w:t>$1.9</w:t>
      </w:r>
      <w:r>
        <w:t> </w:t>
      </w:r>
      <w:r w:rsidRPr="001C06E6">
        <w:t xml:space="preserve">million in </w:t>
      </w:r>
      <w:r>
        <w:t>2024–25</w:t>
      </w:r>
      <w:r w:rsidRPr="001C06E6">
        <w:t xml:space="preserve"> to undertake an independent statutory review of the </w:t>
      </w:r>
      <w:r w:rsidRPr="001C06E6">
        <w:rPr>
          <w:i/>
          <w:iCs/>
        </w:rPr>
        <w:t>Northern Australia Infrastructure Facility Act 2016</w:t>
      </w:r>
      <w:r w:rsidRPr="001C06E6">
        <w:t>.</w:t>
      </w:r>
      <w:r>
        <w:t xml:space="preserve"> </w:t>
      </w:r>
    </w:p>
    <w:p w14:paraId="677D6A33" w14:textId="77777777" w:rsidR="0012790E" w:rsidRDefault="0012790E" w:rsidP="54937204">
      <w:pPr>
        <w:pStyle w:val="Normal2"/>
        <w:rPr>
          <w:rFonts w:cs="Book Antiqua"/>
          <w:lang w:val="en-US"/>
        </w:rPr>
      </w:pPr>
      <w:r w:rsidRPr="54937204">
        <w:rPr>
          <w:rFonts w:cs="Book Antiqua"/>
          <w:lang w:val="en-US"/>
        </w:rPr>
        <w:t xml:space="preserve">The Government also intends to enhance Indigenous Business Australia’s ability to leverage their capital to invest in First Nations communities and businesses. </w:t>
      </w:r>
    </w:p>
    <w:p w14:paraId="51601BB7"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savings identified in the Department of Infrastructure, Transport, Regional Development, Communications and the Arts. </w:t>
      </w:r>
    </w:p>
    <w:p w14:paraId="5E1F99E2" w14:textId="77777777" w:rsidR="005847C2" w:rsidRPr="001C06E6" w:rsidRDefault="005847C2" w:rsidP="005847C2">
      <w:pPr>
        <w:pStyle w:val="MeasureTitle"/>
        <w:rPr>
          <w:bCs/>
        </w:rPr>
      </w:pPr>
      <w:r w:rsidRPr="001C06E6">
        <w:rPr>
          <w:bCs/>
        </w:rPr>
        <w:lastRenderedPageBreak/>
        <w:t>Future Made in Australia</w:t>
      </w:r>
      <w:r>
        <w:rPr>
          <w:bCs/>
        </w:rPr>
        <w:t xml:space="preserve"> – </w:t>
      </w:r>
      <w:r w:rsidRPr="001C06E6">
        <w:rPr>
          <w:bCs/>
        </w:rPr>
        <w:t>Investing in Innovation, Science and Digital</w:t>
      </w:r>
      <w:r>
        <w:rPr>
          <w:bCs/>
        </w:rPr>
        <w:t xml:space="preserve"> </w:t>
      </w:r>
      <w:r w:rsidRPr="001C06E6">
        <w:rPr>
          <w:bCs/>
        </w:rPr>
        <w:t>Capabilities</w:t>
      </w:r>
    </w:p>
    <w:p w14:paraId="7D5F5721" w14:textId="77777777" w:rsidR="005847C2" w:rsidRPr="001C06E6" w:rsidRDefault="005847C2" w:rsidP="005847C2">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5847C2" w:rsidRPr="001C06E6" w14:paraId="0E203F89" w14:textId="77777777" w:rsidTr="006A4B04">
        <w:tc>
          <w:tcPr>
            <w:tcW w:w="2497" w:type="dxa"/>
            <w:tcBorders>
              <w:top w:val="single" w:sz="4" w:space="0" w:color="293F5B"/>
              <w:bottom w:val="single" w:sz="4" w:space="0" w:color="293F5B"/>
            </w:tcBorders>
            <w:shd w:val="clear" w:color="auto" w:fill="auto"/>
          </w:tcPr>
          <w:p w14:paraId="4D9E79A2" w14:textId="77777777" w:rsidR="005847C2" w:rsidRPr="001C06E6" w:rsidRDefault="005847C2" w:rsidP="006A4B04">
            <w:pPr>
              <w:pStyle w:val="MeasureTableYearHeadings"/>
              <w:keepNext/>
            </w:pPr>
          </w:p>
        </w:tc>
        <w:tc>
          <w:tcPr>
            <w:tcW w:w="1045" w:type="dxa"/>
            <w:tcBorders>
              <w:top w:val="single" w:sz="4" w:space="0" w:color="293F5B"/>
              <w:bottom w:val="single" w:sz="4" w:space="0" w:color="293F5B"/>
            </w:tcBorders>
            <w:shd w:val="clear" w:color="auto" w:fill="auto"/>
          </w:tcPr>
          <w:p w14:paraId="53AD2460" w14:textId="77777777" w:rsidR="005847C2" w:rsidRPr="001C06E6" w:rsidRDefault="005847C2" w:rsidP="006A4B04">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4595FA0" w14:textId="77777777" w:rsidR="005847C2" w:rsidRPr="001C06E6" w:rsidRDefault="005847C2" w:rsidP="006A4B04">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3B6546A" w14:textId="77777777" w:rsidR="005847C2" w:rsidRPr="001C06E6" w:rsidRDefault="005847C2" w:rsidP="006A4B04">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4D157CC" w14:textId="77777777" w:rsidR="005847C2" w:rsidRPr="001C06E6" w:rsidRDefault="005847C2" w:rsidP="006A4B04">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E221F86" w14:textId="77777777" w:rsidR="005847C2" w:rsidRPr="001C06E6" w:rsidRDefault="005847C2" w:rsidP="006A4B04">
            <w:pPr>
              <w:pStyle w:val="MeasureTableYearHeadings"/>
              <w:keepNext/>
            </w:pPr>
            <w:r w:rsidRPr="001C06E6">
              <w:t>2027</w:t>
            </w:r>
            <w:r>
              <w:noBreakHyphen/>
            </w:r>
            <w:r w:rsidRPr="001C06E6">
              <w:t>28</w:t>
            </w:r>
          </w:p>
        </w:tc>
      </w:tr>
      <w:tr w:rsidR="007E136A" w:rsidRPr="001C06E6" w14:paraId="55CF98EF" w14:textId="77777777" w:rsidTr="00AC2FA9">
        <w:tc>
          <w:tcPr>
            <w:tcW w:w="2497" w:type="dxa"/>
            <w:tcBorders>
              <w:top w:val="single" w:sz="4" w:space="0" w:color="293F5B"/>
              <w:bottom w:val="single" w:sz="4" w:space="0" w:color="293F5B"/>
            </w:tcBorders>
            <w:shd w:val="clear" w:color="auto" w:fill="auto"/>
          </w:tcPr>
          <w:p w14:paraId="063214CF" w14:textId="77777777" w:rsidR="007E136A" w:rsidRPr="001C06E6" w:rsidRDefault="007E136A" w:rsidP="007E136A">
            <w:pPr>
              <w:pStyle w:val="MeasureTableHeadingleftalignedwith2ptsspacing"/>
              <w:keepNext/>
            </w:pPr>
            <w:r>
              <w:t xml:space="preserve">Export Finance and Insurance Corporation (National Interest component) </w:t>
            </w:r>
          </w:p>
        </w:tc>
        <w:tc>
          <w:tcPr>
            <w:tcW w:w="1045" w:type="dxa"/>
            <w:tcBorders>
              <w:top w:val="single" w:sz="4" w:space="0" w:color="293F5B"/>
              <w:bottom w:val="single" w:sz="4" w:space="0" w:color="293F5B"/>
            </w:tcBorders>
            <w:shd w:val="clear" w:color="auto" w:fill="auto"/>
          </w:tcPr>
          <w:p w14:paraId="4A54F8DA" w14:textId="33FA8213" w:rsidR="007E136A" w:rsidRPr="001C06E6" w:rsidRDefault="007E136A" w:rsidP="007E136A">
            <w:pPr>
              <w:pStyle w:val="MeasureTableDataRightAlignedwith2ptsspacing"/>
              <w:keepNext/>
            </w:pPr>
            <w:r>
              <w:rPr>
                <w:szCs w:val="16"/>
              </w:rPr>
              <w:t>nfp</w:t>
            </w:r>
          </w:p>
        </w:tc>
        <w:tc>
          <w:tcPr>
            <w:tcW w:w="1045" w:type="dxa"/>
            <w:tcBorders>
              <w:top w:val="single" w:sz="4" w:space="0" w:color="293F5B"/>
              <w:bottom w:val="single" w:sz="4" w:space="0" w:color="293F5B"/>
            </w:tcBorders>
            <w:shd w:val="clear" w:color="auto" w:fill="auto"/>
          </w:tcPr>
          <w:p w14:paraId="38DBB11E" w14:textId="2C5CF1B0" w:rsidR="007E136A" w:rsidRPr="001C06E6" w:rsidRDefault="007E136A" w:rsidP="007E136A">
            <w:pPr>
              <w:pStyle w:val="MeasureTableDataRightAlignedwith2ptsspacing"/>
              <w:keepNext/>
            </w:pPr>
            <w:r>
              <w:rPr>
                <w:szCs w:val="16"/>
              </w:rPr>
              <w:t>nfp</w:t>
            </w:r>
          </w:p>
        </w:tc>
        <w:tc>
          <w:tcPr>
            <w:tcW w:w="1045" w:type="dxa"/>
            <w:tcBorders>
              <w:top w:val="single" w:sz="4" w:space="0" w:color="293F5B"/>
              <w:bottom w:val="single" w:sz="4" w:space="0" w:color="293F5B"/>
            </w:tcBorders>
            <w:shd w:val="clear" w:color="auto" w:fill="auto"/>
          </w:tcPr>
          <w:p w14:paraId="5F269148" w14:textId="04B0BE2A" w:rsidR="007E136A" w:rsidRPr="001C06E6" w:rsidRDefault="007E136A" w:rsidP="007E136A">
            <w:pPr>
              <w:pStyle w:val="MeasureTableDataRightAlignedwith2ptsspacing"/>
              <w:keepNext/>
            </w:pPr>
            <w:r>
              <w:rPr>
                <w:szCs w:val="16"/>
              </w:rPr>
              <w:t>nfp</w:t>
            </w:r>
          </w:p>
        </w:tc>
        <w:tc>
          <w:tcPr>
            <w:tcW w:w="1045" w:type="dxa"/>
            <w:tcBorders>
              <w:top w:val="single" w:sz="4" w:space="0" w:color="293F5B"/>
              <w:bottom w:val="single" w:sz="4" w:space="0" w:color="293F5B"/>
            </w:tcBorders>
            <w:shd w:val="clear" w:color="auto" w:fill="auto"/>
          </w:tcPr>
          <w:p w14:paraId="65A058A3" w14:textId="0B7C00D7" w:rsidR="007E136A" w:rsidRPr="001C06E6" w:rsidRDefault="007E136A" w:rsidP="007E136A">
            <w:pPr>
              <w:pStyle w:val="MeasureTableDataRightAlignedwith2ptsspacing"/>
              <w:keepNext/>
            </w:pPr>
            <w:r>
              <w:rPr>
                <w:szCs w:val="16"/>
              </w:rPr>
              <w:t>nfp</w:t>
            </w:r>
          </w:p>
        </w:tc>
        <w:tc>
          <w:tcPr>
            <w:tcW w:w="1045" w:type="dxa"/>
            <w:tcBorders>
              <w:top w:val="single" w:sz="4" w:space="0" w:color="293F5B"/>
              <w:bottom w:val="single" w:sz="4" w:space="0" w:color="293F5B"/>
            </w:tcBorders>
            <w:shd w:val="clear" w:color="auto" w:fill="auto"/>
          </w:tcPr>
          <w:p w14:paraId="53754B1E" w14:textId="2F38F8B2" w:rsidR="007E136A" w:rsidRPr="001C06E6" w:rsidRDefault="007E136A" w:rsidP="007E136A">
            <w:pPr>
              <w:pStyle w:val="MeasureTableDataRightAlignedwith2ptsspacing"/>
              <w:keepNext/>
            </w:pPr>
            <w:r>
              <w:rPr>
                <w:szCs w:val="16"/>
              </w:rPr>
              <w:t>nfp</w:t>
            </w:r>
          </w:p>
        </w:tc>
      </w:tr>
      <w:tr w:rsidR="005847C2" w:rsidRPr="001C06E6" w14:paraId="4845C1AE" w14:textId="77777777" w:rsidTr="006A4B04">
        <w:tc>
          <w:tcPr>
            <w:tcW w:w="2497" w:type="dxa"/>
            <w:tcBorders>
              <w:top w:val="single" w:sz="4" w:space="0" w:color="293F5B"/>
              <w:bottom w:val="single" w:sz="4" w:space="0" w:color="293F5B"/>
            </w:tcBorders>
            <w:shd w:val="clear" w:color="auto" w:fill="auto"/>
          </w:tcPr>
          <w:p w14:paraId="182AFD44" w14:textId="77777777" w:rsidR="005847C2" w:rsidRPr="001C06E6" w:rsidRDefault="005847C2" w:rsidP="006A4B04">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4442D785" w14:textId="77777777" w:rsidR="005847C2" w:rsidRPr="001C06E6" w:rsidRDefault="005847C2" w:rsidP="006A4B04">
            <w:pPr>
              <w:pStyle w:val="MeasureTableDataRightAlignedwith2ptsspacing"/>
              <w:keepNext/>
            </w:pPr>
            <w:r w:rsidRPr="001C06E6">
              <w:t>0.9</w:t>
            </w:r>
          </w:p>
        </w:tc>
        <w:tc>
          <w:tcPr>
            <w:tcW w:w="1045" w:type="dxa"/>
            <w:tcBorders>
              <w:top w:val="single" w:sz="4" w:space="0" w:color="293F5B"/>
              <w:bottom w:val="single" w:sz="4" w:space="0" w:color="293F5B"/>
            </w:tcBorders>
            <w:shd w:val="clear" w:color="auto" w:fill="auto"/>
          </w:tcPr>
          <w:p w14:paraId="5352DD89" w14:textId="77777777" w:rsidR="005847C2" w:rsidRPr="001C06E6" w:rsidRDefault="005847C2" w:rsidP="006A4B04">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D09B0E7" w14:textId="77777777" w:rsidR="005847C2" w:rsidRPr="001C06E6" w:rsidRDefault="005847C2" w:rsidP="006A4B04">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7D4697A" w14:textId="77777777" w:rsidR="005847C2" w:rsidRPr="001C06E6" w:rsidRDefault="005847C2" w:rsidP="006A4B04">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ADF6C2C" w14:textId="77777777" w:rsidR="005847C2" w:rsidRPr="001C06E6" w:rsidRDefault="005847C2" w:rsidP="006A4B04">
            <w:pPr>
              <w:pStyle w:val="MeasureTableDataRightAlignedwith2ptsspacing"/>
              <w:keepNext/>
            </w:pPr>
            <w:r w:rsidRPr="001C06E6">
              <w:t>-</w:t>
            </w:r>
          </w:p>
        </w:tc>
      </w:tr>
      <w:tr w:rsidR="005847C2" w:rsidRPr="001C06E6" w14:paraId="3351DD8A" w14:textId="77777777" w:rsidTr="006A4B04">
        <w:tc>
          <w:tcPr>
            <w:tcW w:w="2497" w:type="dxa"/>
            <w:tcBorders>
              <w:top w:val="single" w:sz="4" w:space="0" w:color="293F5B"/>
              <w:bottom w:val="single" w:sz="4" w:space="0" w:color="293F5B"/>
            </w:tcBorders>
            <w:shd w:val="clear" w:color="auto" w:fill="auto"/>
          </w:tcPr>
          <w:p w14:paraId="3724070E" w14:textId="77777777" w:rsidR="005847C2" w:rsidRPr="001C06E6" w:rsidRDefault="005847C2" w:rsidP="006A4B04">
            <w:pPr>
              <w:pStyle w:val="MeasureTableHeadingleftalignedwith2ptsspacing"/>
              <w:keepNext/>
            </w:pPr>
            <w:r>
              <w:t xml:space="preserve">Department of Foreign Affairs and Trade </w:t>
            </w:r>
          </w:p>
        </w:tc>
        <w:tc>
          <w:tcPr>
            <w:tcW w:w="1045" w:type="dxa"/>
            <w:tcBorders>
              <w:top w:val="single" w:sz="4" w:space="0" w:color="293F5B"/>
              <w:bottom w:val="single" w:sz="4" w:space="0" w:color="293F5B"/>
            </w:tcBorders>
            <w:shd w:val="clear" w:color="auto" w:fill="auto"/>
          </w:tcPr>
          <w:p w14:paraId="7C2F6B90" w14:textId="77777777" w:rsidR="005847C2" w:rsidRPr="001C06E6" w:rsidRDefault="005847C2" w:rsidP="006A4B04">
            <w:pPr>
              <w:pStyle w:val="MeasureTableDataRightAlignedwith2ptsspacing"/>
              <w:keepNext/>
            </w:pPr>
            <w:r>
              <w:t xml:space="preserve">0.1 </w:t>
            </w:r>
          </w:p>
        </w:tc>
        <w:tc>
          <w:tcPr>
            <w:tcW w:w="1045" w:type="dxa"/>
            <w:tcBorders>
              <w:top w:val="single" w:sz="4" w:space="0" w:color="293F5B"/>
              <w:bottom w:val="single" w:sz="4" w:space="0" w:color="293F5B"/>
            </w:tcBorders>
            <w:shd w:val="clear" w:color="auto" w:fill="auto"/>
          </w:tcPr>
          <w:p w14:paraId="423E7E74" w14:textId="77777777" w:rsidR="005847C2" w:rsidRPr="001C06E6" w:rsidRDefault="005847C2" w:rsidP="006A4B04">
            <w:pPr>
              <w:pStyle w:val="MeasureTableDataRightAlignedwith2ptsspacing"/>
              <w:keepNext/>
            </w:pPr>
            <w:r>
              <w:t xml:space="preserve">0.3 </w:t>
            </w:r>
          </w:p>
        </w:tc>
        <w:tc>
          <w:tcPr>
            <w:tcW w:w="1045" w:type="dxa"/>
            <w:tcBorders>
              <w:top w:val="single" w:sz="4" w:space="0" w:color="293F5B"/>
              <w:bottom w:val="single" w:sz="4" w:space="0" w:color="293F5B"/>
            </w:tcBorders>
            <w:shd w:val="clear" w:color="auto" w:fill="auto"/>
          </w:tcPr>
          <w:p w14:paraId="72860DD1" w14:textId="77777777" w:rsidR="005847C2" w:rsidRPr="001C06E6" w:rsidRDefault="005847C2" w:rsidP="006A4B04">
            <w:pPr>
              <w:pStyle w:val="MeasureTableDataRightAlignedwith2ptsspacing"/>
              <w:keepNext/>
            </w:pPr>
            <w:r>
              <w:t xml:space="preserve">0.3 </w:t>
            </w:r>
          </w:p>
        </w:tc>
        <w:tc>
          <w:tcPr>
            <w:tcW w:w="1045" w:type="dxa"/>
            <w:tcBorders>
              <w:top w:val="single" w:sz="4" w:space="0" w:color="293F5B"/>
              <w:bottom w:val="single" w:sz="4" w:space="0" w:color="293F5B"/>
            </w:tcBorders>
            <w:shd w:val="clear" w:color="auto" w:fill="auto"/>
          </w:tcPr>
          <w:p w14:paraId="1BCCF76D" w14:textId="77777777" w:rsidR="005847C2" w:rsidRPr="001C06E6" w:rsidRDefault="005847C2" w:rsidP="006A4B04">
            <w:pPr>
              <w:pStyle w:val="MeasureTableDataRightAlignedwith2ptsspacing"/>
              <w:keepNext/>
            </w:pPr>
            <w:r>
              <w:t xml:space="preserve">0.3 </w:t>
            </w:r>
          </w:p>
        </w:tc>
        <w:tc>
          <w:tcPr>
            <w:tcW w:w="1045" w:type="dxa"/>
            <w:tcBorders>
              <w:top w:val="single" w:sz="4" w:space="0" w:color="293F5B"/>
              <w:bottom w:val="single" w:sz="4" w:space="0" w:color="293F5B"/>
            </w:tcBorders>
            <w:shd w:val="clear" w:color="auto" w:fill="auto"/>
          </w:tcPr>
          <w:p w14:paraId="213CC4AD" w14:textId="77777777" w:rsidR="005847C2" w:rsidRPr="001C06E6" w:rsidRDefault="005847C2" w:rsidP="006A4B04">
            <w:pPr>
              <w:pStyle w:val="MeasureTableDataRightAlignedwith2ptsspacing"/>
              <w:keepNext/>
            </w:pPr>
            <w:r>
              <w:t xml:space="preserve">0.3 </w:t>
            </w:r>
          </w:p>
        </w:tc>
      </w:tr>
      <w:tr w:rsidR="005847C2" w:rsidRPr="001C06E6" w14:paraId="55344AC1" w14:textId="77777777" w:rsidTr="006A4B04">
        <w:tc>
          <w:tcPr>
            <w:tcW w:w="2497" w:type="dxa"/>
            <w:tcBorders>
              <w:top w:val="single" w:sz="4" w:space="0" w:color="293F5B"/>
              <w:bottom w:val="single" w:sz="4" w:space="0" w:color="293F5B"/>
            </w:tcBorders>
            <w:shd w:val="clear" w:color="auto" w:fill="auto"/>
          </w:tcPr>
          <w:p w14:paraId="66ACD5EA" w14:textId="77777777" w:rsidR="005847C2" w:rsidRPr="001C06E6" w:rsidRDefault="005847C2" w:rsidP="006A4B04">
            <w:pPr>
              <w:pStyle w:val="MeasureTableHeadingleftalignedwith2ptsspacing"/>
              <w:keepNext/>
            </w:pPr>
            <w:r w:rsidRPr="001C06E6">
              <w:t>Geoscience Australia</w:t>
            </w:r>
          </w:p>
        </w:tc>
        <w:tc>
          <w:tcPr>
            <w:tcW w:w="1045" w:type="dxa"/>
            <w:tcBorders>
              <w:top w:val="single" w:sz="4" w:space="0" w:color="293F5B"/>
              <w:bottom w:val="single" w:sz="4" w:space="0" w:color="293F5B"/>
            </w:tcBorders>
            <w:shd w:val="clear" w:color="auto" w:fill="auto"/>
          </w:tcPr>
          <w:p w14:paraId="0F976999" w14:textId="77777777" w:rsidR="005847C2" w:rsidRPr="001C06E6" w:rsidRDefault="005847C2" w:rsidP="006A4B04">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3EBAC229" w14:textId="77777777" w:rsidR="005847C2" w:rsidRPr="001C06E6" w:rsidRDefault="005847C2" w:rsidP="006A4B04">
            <w:pPr>
              <w:pStyle w:val="MeasureTableDataRightAlignedwith2ptsspacing"/>
              <w:keepNext/>
            </w:pPr>
            <w:r w:rsidRPr="001C06E6">
              <w:t>68.2</w:t>
            </w:r>
          </w:p>
        </w:tc>
        <w:tc>
          <w:tcPr>
            <w:tcW w:w="1045" w:type="dxa"/>
            <w:tcBorders>
              <w:top w:val="single" w:sz="4" w:space="0" w:color="293F5B"/>
              <w:bottom w:val="single" w:sz="4" w:space="0" w:color="293F5B"/>
            </w:tcBorders>
            <w:shd w:val="clear" w:color="auto" w:fill="auto"/>
          </w:tcPr>
          <w:p w14:paraId="1DB785D9" w14:textId="77777777" w:rsidR="005847C2" w:rsidRPr="001C06E6" w:rsidRDefault="005847C2" w:rsidP="006A4B04">
            <w:pPr>
              <w:pStyle w:val="MeasureTableDataRightAlignedwith2ptsspacing"/>
              <w:keepNext/>
            </w:pPr>
            <w:r w:rsidRPr="001C06E6">
              <w:t>107.1</w:t>
            </w:r>
          </w:p>
        </w:tc>
        <w:tc>
          <w:tcPr>
            <w:tcW w:w="1045" w:type="dxa"/>
            <w:tcBorders>
              <w:top w:val="single" w:sz="4" w:space="0" w:color="293F5B"/>
              <w:bottom w:val="single" w:sz="4" w:space="0" w:color="293F5B"/>
            </w:tcBorders>
            <w:shd w:val="clear" w:color="auto" w:fill="auto"/>
          </w:tcPr>
          <w:p w14:paraId="24969F57" w14:textId="77777777" w:rsidR="005847C2" w:rsidRPr="001C06E6" w:rsidRDefault="005847C2" w:rsidP="006A4B04">
            <w:pPr>
              <w:pStyle w:val="MeasureTableDataRightAlignedwith2ptsspacing"/>
              <w:keepNext/>
            </w:pPr>
            <w:r w:rsidRPr="001C06E6">
              <w:t>105.5</w:t>
            </w:r>
          </w:p>
        </w:tc>
        <w:tc>
          <w:tcPr>
            <w:tcW w:w="1045" w:type="dxa"/>
            <w:tcBorders>
              <w:top w:val="single" w:sz="4" w:space="0" w:color="293F5B"/>
              <w:bottom w:val="single" w:sz="4" w:space="0" w:color="293F5B"/>
            </w:tcBorders>
            <w:shd w:val="clear" w:color="auto" w:fill="auto"/>
          </w:tcPr>
          <w:p w14:paraId="416B8759" w14:textId="77777777" w:rsidR="005847C2" w:rsidRPr="001C06E6" w:rsidRDefault="005847C2" w:rsidP="006A4B04">
            <w:pPr>
              <w:pStyle w:val="MeasureTableDataRightAlignedwith2ptsspacing"/>
              <w:keepNext/>
            </w:pPr>
            <w:r w:rsidRPr="001C06E6">
              <w:t>126.9</w:t>
            </w:r>
          </w:p>
        </w:tc>
      </w:tr>
      <w:tr w:rsidR="005847C2" w:rsidRPr="001C06E6" w14:paraId="14381C06" w14:textId="77777777" w:rsidTr="006A4B04">
        <w:tc>
          <w:tcPr>
            <w:tcW w:w="2497" w:type="dxa"/>
            <w:tcBorders>
              <w:top w:val="single" w:sz="4" w:space="0" w:color="293F5B"/>
              <w:bottom w:val="single" w:sz="4" w:space="0" w:color="293F5B"/>
            </w:tcBorders>
            <w:shd w:val="clear" w:color="auto" w:fill="auto"/>
          </w:tcPr>
          <w:p w14:paraId="5224BDC1" w14:textId="77777777" w:rsidR="005847C2" w:rsidRPr="001C06E6" w:rsidRDefault="005847C2" w:rsidP="006A4B04">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669087AD" w14:textId="77777777" w:rsidR="005847C2" w:rsidRPr="001C06E6" w:rsidRDefault="005847C2" w:rsidP="006A4B04">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1B1EDA2" w14:textId="77777777" w:rsidR="005847C2" w:rsidRPr="001C06E6" w:rsidRDefault="005847C2" w:rsidP="006A4B04">
            <w:pPr>
              <w:pStyle w:val="MeasureTableDataRightAlignedwith2ptsspacing"/>
              <w:keepNext/>
            </w:pPr>
            <w:r w:rsidRPr="001C06E6">
              <w:t>0.7</w:t>
            </w:r>
          </w:p>
        </w:tc>
        <w:tc>
          <w:tcPr>
            <w:tcW w:w="1045" w:type="dxa"/>
            <w:tcBorders>
              <w:top w:val="single" w:sz="4" w:space="0" w:color="293F5B"/>
              <w:bottom w:val="single" w:sz="4" w:space="0" w:color="293F5B"/>
            </w:tcBorders>
            <w:shd w:val="clear" w:color="auto" w:fill="auto"/>
          </w:tcPr>
          <w:p w14:paraId="31F64E5F" w14:textId="77777777" w:rsidR="005847C2" w:rsidRPr="001C06E6" w:rsidRDefault="005847C2" w:rsidP="006A4B04">
            <w:pPr>
              <w:pStyle w:val="MeasureTableDataRightAlignedwith2ptsspacing"/>
              <w:keepNext/>
            </w:pPr>
            <w:r w:rsidRPr="001C06E6">
              <w:t>0.7</w:t>
            </w:r>
          </w:p>
        </w:tc>
        <w:tc>
          <w:tcPr>
            <w:tcW w:w="1045" w:type="dxa"/>
            <w:tcBorders>
              <w:top w:val="single" w:sz="4" w:space="0" w:color="293F5B"/>
              <w:bottom w:val="single" w:sz="4" w:space="0" w:color="293F5B"/>
            </w:tcBorders>
            <w:shd w:val="clear" w:color="auto" w:fill="auto"/>
          </w:tcPr>
          <w:p w14:paraId="51296947" w14:textId="77777777" w:rsidR="005847C2" w:rsidRPr="001C06E6" w:rsidRDefault="005847C2" w:rsidP="006A4B04">
            <w:pPr>
              <w:pStyle w:val="MeasureTableDataRightAlignedwith2ptsspacing"/>
              <w:keepNext/>
            </w:pPr>
            <w:r w:rsidRPr="001C06E6">
              <w:t>0.7</w:t>
            </w:r>
          </w:p>
        </w:tc>
        <w:tc>
          <w:tcPr>
            <w:tcW w:w="1045" w:type="dxa"/>
            <w:tcBorders>
              <w:top w:val="single" w:sz="4" w:space="0" w:color="293F5B"/>
              <w:bottom w:val="single" w:sz="4" w:space="0" w:color="293F5B"/>
            </w:tcBorders>
            <w:shd w:val="clear" w:color="auto" w:fill="auto"/>
          </w:tcPr>
          <w:p w14:paraId="3CB8AFAC" w14:textId="77777777" w:rsidR="005847C2" w:rsidRPr="001C06E6" w:rsidRDefault="005847C2" w:rsidP="006A4B04">
            <w:pPr>
              <w:pStyle w:val="MeasureTableDataRightAlignedwith2ptsspacing"/>
              <w:keepNext/>
            </w:pPr>
            <w:r w:rsidRPr="001C06E6">
              <w:t>0.7</w:t>
            </w:r>
          </w:p>
        </w:tc>
      </w:tr>
      <w:tr w:rsidR="005847C2" w:rsidRPr="001C06E6" w14:paraId="1ED7ED22" w14:textId="77777777" w:rsidTr="006A4B04">
        <w:tc>
          <w:tcPr>
            <w:tcW w:w="2497" w:type="dxa"/>
            <w:tcBorders>
              <w:top w:val="single" w:sz="4" w:space="0" w:color="293F5B"/>
              <w:bottom w:val="single" w:sz="4" w:space="0" w:color="293F5B"/>
            </w:tcBorders>
            <w:shd w:val="clear" w:color="auto" w:fill="auto"/>
          </w:tcPr>
          <w:p w14:paraId="4797D10B" w14:textId="77777777" w:rsidR="005847C2" w:rsidRPr="001C06E6" w:rsidRDefault="005847C2" w:rsidP="006A4B04">
            <w:pPr>
              <w:pStyle w:val="MeasureTableHeadingleftalignedwith2ptsspacing"/>
              <w:keepNext/>
            </w:pPr>
            <w:r>
              <w:t xml:space="preserve">National Reconstruction Fund Corporation </w:t>
            </w:r>
          </w:p>
        </w:tc>
        <w:tc>
          <w:tcPr>
            <w:tcW w:w="1045" w:type="dxa"/>
            <w:tcBorders>
              <w:top w:val="single" w:sz="4" w:space="0" w:color="293F5B"/>
              <w:bottom w:val="single" w:sz="4" w:space="0" w:color="293F5B"/>
            </w:tcBorders>
            <w:shd w:val="clear" w:color="auto" w:fill="auto"/>
          </w:tcPr>
          <w:p w14:paraId="263B7C0C" w14:textId="77777777" w:rsidR="005847C2" w:rsidRPr="001C06E6" w:rsidRDefault="005847C2" w:rsidP="006A4B04">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312A529" w14:textId="77777777" w:rsidR="005847C2" w:rsidRPr="001C06E6" w:rsidRDefault="005847C2" w:rsidP="006A4B04">
            <w:pPr>
              <w:pStyle w:val="MeasureTableDataRightAlignedwith2ptsspacing"/>
              <w:keepNext/>
            </w:pPr>
            <w:r>
              <w:t xml:space="preserve">-12.7 </w:t>
            </w:r>
          </w:p>
        </w:tc>
        <w:tc>
          <w:tcPr>
            <w:tcW w:w="1045" w:type="dxa"/>
            <w:tcBorders>
              <w:top w:val="single" w:sz="4" w:space="0" w:color="293F5B"/>
              <w:bottom w:val="single" w:sz="4" w:space="0" w:color="293F5B"/>
            </w:tcBorders>
            <w:shd w:val="clear" w:color="auto" w:fill="auto"/>
          </w:tcPr>
          <w:p w14:paraId="0D56F6B5" w14:textId="77777777" w:rsidR="005847C2" w:rsidRPr="001C06E6" w:rsidRDefault="005847C2" w:rsidP="006A4B04">
            <w:pPr>
              <w:pStyle w:val="MeasureTableDataRightAlignedwith2ptsspacing"/>
              <w:keepNext/>
            </w:pPr>
            <w:r>
              <w:t xml:space="preserve">-0.9 </w:t>
            </w:r>
          </w:p>
        </w:tc>
        <w:tc>
          <w:tcPr>
            <w:tcW w:w="1045" w:type="dxa"/>
            <w:tcBorders>
              <w:top w:val="single" w:sz="4" w:space="0" w:color="293F5B"/>
              <w:bottom w:val="single" w:sz="4" w:space="0" w:color="293F5B"/>
            </w:tcBorders>
            <w:shd w:val="clear" w:color="auto" w:fill="auto"/>
          </w:tcPr>
          <w:p w14:paraId="5C4324F1" w14:textId="77777777" w:rsidR="005847C2" w:rsidRPr="001C06E6" w:rsidRDefault="005847C2" w:rsidP="006A4B04">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6ED0B51" w14:textId="77777777" w:rsidR="005847C2" w:rsidRPr="001C06E6" w:rsidRDefault="005847C2" w:rsidP="006A4B04">
            <w:pPr>
              <w:pStyle w:val="MeasureTableDataRightAlignedwith2ptsspacing"/>
              <w:keepNext/>
            </w:pPr>
            <w:r>
              <w:t xml:space="preserve">- </w:t>
            </w:r>
          </w:p>
        </w:tc>
      </w:tr>
      <w:tr w:rsidR="005847C2" w:rsidRPr="001C06E6" w14:paraId="54226884" w14:textId="77777777" w:rsidTr="006A4B04">
        <w:tc>
          <w:tcPr>
            <w:tcW w:w="2497" w:type="dxa"/>
            <w:tcBorders>
              <w:top w:val="single" w:sz="4" w:space="0" w:color="293F5B"/>
              <w:bottom w:val="single" w:sz="4" w:space="0" w:color="293F5B"/>
            </w:tcBorders>
            <w:shd w:val="clear" w:color="auto" w:fill="auto"/>
          </w:tcPr>
          <w:p w14:paraId="5CB0E87F" w14:textId="77777777" w:rsidR="005847C2" w:rsidRPr="001C06E6" w:rsidRDefault="005847C2" w:rsidP="006A4B04">
            <w:pPr>
              <w:pStyle w:val="MeasureTableHeadingleftalignedwith2ptsspacing"/>
              <w:keepNext/>
            </w:pPr>
            <w:r>
              <w:t xml:space="preserve">Department of Industry, Science and Resources </w:t>
            </w:r>
          </w:p>
        </w:tc>
        <w:tc>
          <w:tcPr>
            <w:tcW w:w="1045" w:type="dxa"/>
            <w:tcBorders>
              <w:top w:val="single" w:sz="4" w:space="0" w:color="293F5B"/>
              <w:bottom w:val="single" w:sz="4" w:space="0" w:color="293F5B"/>
            </w:tcBorders>
            <w:shd w:val="clear" w:color="auto" w:fill="auto"/>
          </w:tcPr>
          <w:p w14:paraId="09D4445B" w14:textId="37A98E2B" w:rsidR="005847C2" w:rsidRPr="001C06E6" w:rsidRDefault="00CC328E" w:rsidP="006A4B04">
            <w:pPr>
              <w:pStyle w:val="MeasureTableDataRightAlignedwith2ptsspacing"/>
              <w:keepNext/>
            </w:pPr>
            <w:r>
              <w:t>nfp</w:t>
            </w:r>
            <w:r w:rsidR="005847C2">
              <w:t xml:space="preserve"> </w:t>
            </w:r>
          </w:p>
        </w:tc>
        <w:tc>
          <w:tcPr>
            <w:tcW w:w="1045" w:type="dxa"/>
            <w:tcBorders>
              <w:top w:val="single" w:sz="4" w:space="0" w:color="293F5B"/>
              <w:bottom w:val="single" w:sz="4" w:space="0" w:color="293F5B"/>
            </w:tcBorders>
            <w:shd w:val="clear" w:color="auto" w:fill="auto"/>
          </w:tcPr>
          <w:p w14:paraId="2F4EFFF9" w14:textId="7EBFE8BA" w:rsidR="005847C2" w:rsidRPr="001C06E6" w:rsidRDefault="00CC328E" w:rsidP="006A4B04">
            <w:pPr>
              <w:pStyle w:val="MeasureTableDataRightAlignedwith2ptsspacing"/>
              <w:keepNext/>
            </w:pPr>
            <w:r>
              <w:t>nfp</w:t>
            </w:r>
          </w:p>
        </w:tc>
        <w:tc>
          <w:tcPr>
            <w:tcW w:w="1045" w:type="dxa"/>
            <w:tcBorders>
              <w:top w:val="single" w:sz="4" w:space="0" w:color="293F5B"/>
              <w:bottom w:val="single" w:sz="4" w:space="0" w:color="293F5B"/>
            </w:tcBorders>
            <w:shd w:val="clear" w:color="auto" w:fill="auto"/>
          </w:tcPr>
          <w:p w14:paraId="04BEADAE" w14:textId="235010FF" w:rsidR="005847C2" w:rsidRPr="001C06E6" w:rsidRDefault="00CC328E" w:rsidP="006A4B04">
            <w:pPr>
              <w:pStyle w:val="MeasureTableDataRightAlignedwith2ptsspacing"/>
              <w:keepNext/>
            </w:pPr>
            <w:r>
              <w:t>nfp</w:t>
            </w:r>
          </w:p>
        </w:tc>
        <w:tc>
          <w:tcPr>
            <w:tcW w:w="1045" w:type="dxa"/>
            <w:tcBorders>
              <w:top w:val="single" w:sz="4" w:space="0" w:color="293F5B"/>
              <w:bottom w:val="single" w:sz="4" w:space="0" w:color="293F5B"/>
            </w:tcBorders>
            <w:shd w:val="clear" w:color="auto" w:fill="auto"/>
          </w:tcPr>
          <w:p w14:paraId="2219A4DC" w14:textId="51A8CFFE" w:rsidR="005847C2" w:rsidRPr="001C06E6" w:rsidRDefault="008542F5" w:rsidP="006A4B04">
            <w:pPr>
              <w:pStyle w:val="MeasureTableDataRightAlignedwith2ptsspacing"/>
              <w:keepNext/>
            </w:pPr>
            <w:r>
              <w:t>nfp</w:t>
            </w:r>
          </w:p>
        </w:tc>
        <w:tc>
          <w:tcPr>
            <w:tcW w:w="1045" w:type="dxa"/>
            <w:tcBorders>
              <w:top w:val="single" w:sz="4" w:space="0" w:color="293F5B"/>
              <w:bottom w:val="single" w:sz="4" w:space="0" w:color="293F5B"/>
            </w:tcBorders>
            <w:shd w:val="clear" w:color="auto" w:fill="auto"/>
          </w:tcPr>
          <w:p w14:paraId="4CD64BAF" w14:textId="54401671" w:rsidR="005847C2" w:rsidRPr="001C06E6" w:rsidRDefault="008542F5" w:rsidP="006A4B04">
            <w:pPr>
              <w:pStyle w:val="MeasureTableDataRightAlignedwith2ptsspacing"/>
              <w:keepNext/>
            </w:pPr>
            <w:r>
              <w:t>nfp</w:t>
            </w:r>
          </w:p>
        </w:tc>
      </w:tr>
      <w:tr w:rsidR="005847C2" w:rsidRPr="001C06E6" w14:paraId="62CCBE32" w14:textId="77777777" w:rsidTr="006A4B04">
        <w:tc>
          <w:tcPr>
            <w:tcW w:w="2497" w:type="dxa"/>
            <w:tcBorders>
              <w:top w:val="single" w:sz="4" w:space="0" w:color="293F5B"/>
              <w:bottom w:val="single" w:sz="4" w:space="0" w:color="293F5B"/>
            </w:tcBorders>
            <w:shd w:val="clear" w:color="auto" w:fill="auto"/>
          </w:tcPr>
          <w:p w14:paraId="47107807" w14:textId="77777777" w:rsidR="005847C2" w:rsidRPr="001C06E6" w:rsidRDefault="005847C2" w:rsidP="006A4B04">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DD989D8" w14:textId="39A9DEB8" w:rsidR="005847C2" w:rsidRPr="001C06E6" w:rsidRDefault="0038644A" w:rsidP="006A4B04">
            <w:pPr>
              <w:pStyle w:val="Totaldatarowrightaligned"/>
              <w:keepNext/>
            </w:pPr>
            <w:r>
              <w:t>1.1</w:t>
            </w:r>
          </w:p>
        </w:tc>
        <w:tc>
          <w:tcPr>
            <w:tcW w:w="1045" w:type="dxa"/>
            <w:tcBorders>
              <w:top w:val="single" w:sz="4" w:space="0" w:color="293F5B"/>
              <w:bottom w:val="single" w:sz="4" w:space="0" w:color="293F5B"/>
            </w:tcBorders>
            <w:shd w:val="clear" w:color="auto" w:fill="auto"/>
          </w:tcPr>
          <w:p w14:paraId="7D8A137C" w14:textId="44D20160" w:rsidR="005847C2" w:rsidRPr="001C06E6" w:rsidRDefault="0038644A" w:rsidP="006A4B04">
            <w:pPr>
              <w:pStyle w:val="Totaldatarowrightaligned"/>
              <w:keepNext/>
            </w:pPr>
            <w:r>
              <w:t>56.5</w:t>
            </w:r>
          </w:p>
        </w:tc>
        <w:tc>
          <w:tcPr>
            <w:tcW w:w="1045" w:type="dxa"/>
            <w:tcBorders>
              <w:top w:val="single" w:sz="4" w:space="0" w:color="293F5B"/>
              <w:bottom w:val="single" w:sz="4" w:space="0" w:color="293F5B"/>
            </w:tcBorders>
            <w:shd w:val="clear" w:color="auto" w:fill="auto"/>
          </w:tcPr>
          <w:p w14:paraId="351A6B17" w14:textId="478B931F" w:rsidR="005847C2" w:rsidRPr="001C06E6" w:rsidRDefault="0038644A" w:rsidP="006A4B04">
            <w:pPr>
              <w:pStyle w:val="Totaldatarowrightaligned"/>
              <w:keepNext/>
            </w:pPr>
            <w:r>
              <w:t>107.2</w:t>
            </w:r>
          </w:p>
        </w:tc>
        <w:tc>
          <w:tcPr>
            <w:tcW w:w="1045" w:type="dxa"/>
            <w:tcBorders>
              <w:top w:val="single" w:sz="4" w:space="0" w:color="293F5B"/>
              <w:bottom w:val="single" w:sz="4" w:space="0" w:color="293F5B"/>
            </w:tcBorders>
            <w:shd w:val="clear" w:color="auto" w:fill="auto"/>
          </w:tcPr>
          <w:p w14:paraId="518B32B0" w14:textId="5097DE88" w:rsidR="005847C2" w:rsidRPr="001C06E6" w:rsidRDefault="00987EAD" w:rsidP="006A4B04">
            <w:pPr>
              <w:pStyle w:val="Totaldatarowrightaligned"/>
              <w:keepNext/>
            </w:pPr>
            <w:r>
              <w:t>106.5</w:t>
            </w:r>
          </w:p>
        </w:tc>
        <w:tc>
          <w:tcPr>
            <w:tcW w:w="1045" w:type="dxa"/>
            <w:tcBorders>
              <w:top w:val="single" w:sz="4" w:space="0" w:color="293F5B"/>
              <w:bottom w:val="single" w:sz="4" w:space="0" w:color="293F5B"/>
            </w:tcBorders>
            <w:shd w:val="clear" w:color="auto" w:fill="auto"/>
          </w:tcPr>
          <w:p w14:paraId="642461E7" w14:textId="6D40F22D" w:rsidR="005847C2" w:rsidRPr="001C06E6" w:rsidRDefault="00987EAD" w:rsidP="006A4B04">
            <w:pPr>
              <w:pStyle w:val="Totaldatarowrightaligned"/>
              <w:keepNext/>
            </w:pPr>
            <w:r>
              <w:t>127.9</w:t>
            </w:r>
          </w:p>
        </w:tc>
      </w:tr>
      <w:tr w:rsidR="005847C2" w:rsidRPr="001C06E6" w14:paraId="0BD29C0A" w14:textId="77777777" w:rsidTr="006A4B04">
        <w:tc>
          <w:tcPr>
            <w:tcW w:w="2497" w:type="dxa"/>
            <w:tcBorders>
              <w:top w:val="single" w:sz="4" w:space="0" w:color="293F5B"/>
            </w:tcBorders>
            <w:shd w:val="clear" w:color="auto" w:fill="auto"/>
          </w:tcPr>
          <w:p w14:paraId="63A977DA" w14:textId="77777777" w:rsidR="005847C2" w:rsidRPr="001C06E6" w:rsidRDefault="005847C2" w:rsidP="006A4B04">
            <w:pPr>
              <w:pStyle w:val="AgencyName"/>
              <w:keepNext/>
            </w:pPr>
            <w:r w:rsidRPr="001C06E6">
              <w:t>Related receipts ($m)</w:t>
            </w:r>
          </w:p>
        </w:tc>
        <w:tc>
          <w:tcPr>
            <w:tcW w:w="1045" w:type="dxa"/>
            <w:tcBorders>
              <w:top w:val="single" w:sz="4" w:space="0" w:color="293F5B"/>
            </w:tcBorders>
            <w:shd w:val="clear" w:color="auto" w:fill="auto"/>
          </w:tcPr>
          <w:p w14:paraId="7767D16A" w14:textId="77777777" w:rsidR="005847C2" w:rsidRPr="001C06E6" w:rsidRDefault="005847C2" w:rsidP="006A4B04">
            <w:pPr>
              <w:pStyle w:val="AgencyName"/>
              <w:keepNext/>
            </w:pPr>
          </w:p>
        </w:tc>
        <w:tc>
          <w:tcPr>
            <w:tcW w:w="1045" w:type="dxa"/>
            <w:tcBorders>
              <w:top w:val="single" w:sz="4" w:space="0" w:color="293F5B"/>
            </w:tcBorders>
            <w:shd w:val="clear" w:color="auto" w:fill="auto"/>
          </w:tcPr>
          <w:p w14:paraId="64D9CCF0" w14:textId="77777777" w:rsidR="005847C2" w:rsidRPr="001C06E6" w:rsidRDefault="005847C2" w:rsidP="006A4B04">
            <w:pPr>
              <w:pStyle w:val="AgencyName"/>
              <w:keepNext/>
            </w:pPr>
          </w:p>
        </w:tc>
        <w:tc>
          <w:tcPr>
            <w:tcW w:w="1045" w:type="dxa"/>
            <w:tcBorders>
              <w:top w:val="single" w:sz="4" w:space="0" w:color="293F5B"/>
            </w:tcBorders>
            <w:shd w:val="clear" w:color="auto" w:fill="auto"/>
          </w:tcPr>
          <w:p w14:paraId="1297EFBA" w14:textId="77777777" w:rsidR="005847C2" w:rsidRPr="001C06E6" w:rsidRDefault="005847C2" w:rsidP="006A4B04">
            <w:pPr>
              <w:pStyle w:val="AgencyName"/>
              <w:keepNext/>
            </w:pPr>
          </w:p>
        </w:tc>
        <w:tc>
          <w:tcPr>
            <w:tcW w:w="1045" w:type="dxa"/>
            <w:tcBorders>
              <w:top w:val="single" w:sz="4" w:space="0" w:color="293F5B"/>
            </w:tcBorders>
            <w:shd w:val="clear" w:color="auto" w:fill="auto"/>
          </w:tcPr>
          <w:p w14:paraId="69D4728F" w14:textId="77777777" w:rsidR="005847C2" w:rsidRPr="001C06E6" w:rsidRDefault="005847C2" w:rsidP="006A4B04">
            <w:pPr>
              <w:pStyle w:val="AgencyName"/>
              <w:keepNext/>
            </w:pPr>
          </w:p>
        </w:tc>
        <w:tc>
          <w:tcPr>
            <w:tcW w:w="1045" w:type="dxa"/>
            <w:tcBorders>
              <w:top w:val="single" w:sz="4" w:space="0" w:color="293F5B"/>
            </w:tcBorders>
            <w:shd w:val="clear" w:color="auto" w:fill="auto"/>
          </w:tcPr>
          <w:p w14:paraId="163BB670" w14:textId="77777777" w:rsidR="005847C2" w:rsidRPr="001C06E6" w:rsidRDefault="005847C2" w:rsidP="006A4B04">
            <w:pPr>
              <w:pStyle w:val="AgencyName"/>
              <w:keepNext/>
            </w:pPr>
          </w:p>
        </w:tc>
      </w:tr>
      <w:tr w:rsidR="005847C2" w:rsidRPr="001C06E6" w14:paraId="73548BDF" w14:textId="77777777" w:rsidTr="006A4B04">
        <w:tc>
          <w:tcPr>
            <w:tcW w:w="2497" w:type="dxa"/>
            <w:tcBorders>
              <w:bottom w:val="single" w:sz="4" w:space="0" w:color="293F5B"/>
            </w:tcBorders>
            <w:shd w:val="clear" w:color="auto" w:fill="auto"/>
          </w:tcPr>
          <w:p w14:paraId="29B8EBB3" w14:textId="77777777" w:rsidR="005847C2" w:rsidRPr="001C06E6" w:rsidRDefault="005847C2" w:rsidP="006A4B04">
            <w:pPr>
              <w:pStyle w:val="AgencyNamewith2ptsspacing"/>
              <w:keepNext/>
            </w:pPr>
            <w:r>
              <w:t xml:space="preserve">Export Finance and Insurance Corporation (National Interest component) </w:t>
            </w:r>
          </w:p>
        </w:tc>
        <w:tc>
          <w:tcPr>
            <w:tcW w:w="1045" w:type="dxa"/>
            <w:tcBorders>
              <w:bottom w:val="single" w:sz="4" w:space="0" w:color="293F5B"/>
            </w:tcBorders>
            <w:shd w:val="clear" w:color="auto" w:fill="auto"/>
          </w:tcPr>
          <w:p w14:paraId="3636F11E" w14:textId="6F97A254" w:rsidR="005847C2" w:rsidRPr="001C06E6" w:rsidRDefault="00D52498" w:rsidP="006A4B04">
            <w:pPr>
              <w:pStyle w:val="Measuretabledatarightaligneditalics"/>
              <w:keepNext/>
            </w:pPr>
            <w:r>
              <w:t>nfp</w:t>
            </w:r>
            <w:r w:rsidR="005847C2">
              <w:t xml:space="preserve">   </w:t>
            </w:r>
          </w:p>
        </w:tc>
        <w:tc>
          <w:tcPr>
            <w:tcW w:w="1045" w:type="dxa"/>
            <w:tcBorders>
              <w:bottom w:val="single" w:sz="4" w:space="0" w:color="293F5B"/>
            </w:tcBorders>
            <w:shd w:val="clear" w:color="auto" w:fill="auto"/>
          </w:tcPr>
          <w:p w14:paraId="74CCE37D" w14:textId="273B65A1" w:rsidR="005847C2" w:rsidRPr="001C06E6" w:rsidRDefault="00D52498" w:rsidP="006A4B04">
            <w:pPr>
              <w:pStyle w:val="Measuretabledatarightaligneditalics"/>
              <w:keepNext/>
            </w:pPr>
            <w:r>
              <w:t>nfp</w:t>
            </w:r>
            <w:r w:rsidR="005847C2">
              <w:t xml:space="preserve">   </w:t>
            </w:r>
          </w:p>
        </w:tc>
        <w:tc>
          <w:tcPr>
            <w:tcW w:w="1045" w:type="dxa"/>
            <w:tcBorders>
              <w:bottom w:val="single" w:sz="4" w:space="0" w:color="293F5B"/>
            </w:tcBorders>
            <w:shd w:val="clear" w:color="auto" w:fill="auto"/>
          </w:tcPr>
          <w:p w14:paraId="73401935" w14:textId="2CB6A7BB" w:rsidR="005847C2" w:rsidRPr="001C06E6" w:rsidRDefault="00D52498" w:rsidP="006A4B04">
            <w:pPr>
              <w:pStyle w:val="Measuretabledatarightaligneditalics"/>
              <w:keepNext/>
            </w:pPr>
            <w:r>
              <w:t>nfp</w:t>
            </w:r>
            <w:r w:rsidR="005847C2">
              <w:t xml:space="preserve">   </w:t>
            </w:r>
          </w:p>
        </w:tc>
        <w:tc>
          <w:tcPr>
            <w:tcW w:w="1045" w:type="dxa"/>
            <w:tcBorders>
              <w:bottom w:val="single" w:sz="4" w:space="0" w:color="293F5B"/>
            </w:tcBorders>
            <w:shd w:val="clear" w:color="auto" w:fill="auto"/>
          </w:tcPr>
          <w:p w14:paraId="7D140E8C" w14:textId="764D8D64" w:rsidR="005847C2" w:rsidRPr="001C06E6" w:rsidRDefault="00D52498" w:rsidP="006A4B04">
            <w:pPr>
              <w:pStyle w:val="Measuretabledatarightaligneditalics"/>
              <w:keepNext/>
            </w:pPr>
            <w:r>
              <w:t>nfp</w:t>
            </w:r>
            <w:r w:rsidR="005847C2">
              <w:t xml:space="preserve">   </w:t>
            </w:r>
          </w:p>
        </w:tc>
        <w:tc>
          <w:tcPr>
            <w:tcW w:w="1045" w:type="dxa"/>
            <w:tcBorders>
              <w:bottom w:val="single" w:sz="4" w:space="0" w:color="293F5B"/>
            </w:tcBorders>
            <w:shd w:val="clear" w:color="auto" w:fill="auto"/>
          </w:tcPr>
          <w:p w14:paraId="057EFA4A" w14:textId="18363B14" w:rsidR="005847C2" w:rsidRPr="001C06E6" w:rsidRDefault="00D52498" w:rsidP="006A4B04">
            <w:pPr>
              <w:pStyle w:val="Measuretabledatarightaligneditalics"/>
              <w:keepNext/>
            </w:pPr>
            <w:r>
              <w:t>nfp</w:t>
            </w:r>
            <w:r w:rsidR="005847C2">
              <w:t xml:space="preserve">   </w:t>
            </w:r>
          </w:p>
        </w:tc>
      </w:tr>
    </w:tbl>
    <w:p w14:paraId="0D86E38C" w14:textId="77777777" w:rsidR="005847C2" w:rsidRPr="001C06E6" w:rsidRDefault="005847C2" w:rsidP="005847C2">
      <w:pPr>
        <w:keepNext/>
        <w:widowControl w:val="0"/>
        <w:spacing w:line="184" w:lineRule="exact"/>
        <w:rPr>
          <w:i/>
          <w:iCs/>
          <w:color w:val="000000"/>
          <w:sz w:val="16"/>
          <w:szCs w:val="16"/>
          <w:lang w:val="en-AU"/>
        </w:rPr>
      </w:pPr>
    </w:p>
    <w:p w14:paraId="0AD43D51" w14:textId="3DDCBC4C" w:rsidR="005847C2" w:rsidRDefault="005847C2" w:rsidP="005847C2">
      <w:pPr>
        <w:pStyle w:val="Normal2"/>
        <w:rPr>
          <w:rFonts w:cs="Book Antiqua"/>
          <w:lang w:val="en-US"/>
        </w:rPr>
      </w:pPr>
      <w:r w:rsidRPr="54937204">
        <w:rPr>
          <w:rFonts w:cs="Book Antiqua"/>
          <w:lang w:val="en-US"/>
        </w:rPr>
        <w:t>The Government will provide $</w:t>
      </w:r>
      <w:r>
        <w:rPr>
          <w:rFonts w:cs="Book Antiqua"/>
          <w:lang w:val="en-US"/>
        </w:rPr>
        <w:t>1.7</w:t>
      </w:r>
      <w:r w:rsidRPr="54937204">
        <w:rPr>
          <w:rFonts w:cs="Book Antiqua"/>
          <w:lang w:val="en-US"/>
        </w:rPr>
        <w:t xml:space="preserve"> billion funding over </w:t>
      </w:r>
      <w:r>
        <w:rPr>
          <w:rFonts w:cs="Book Antiqua"/>
          <w:lang w:val="en-US"/>
        </w:rPr>
        <w:t>ten</w:t>
      </w:r>
      <w:r w:rsidRPr="54937204">
        <w:rPr>
          <w:rFonts w:cs="Book Antiqua"/>
          <w:lang w:val="en-US"/>
        </w:rPr>
        <w:t xml:space="preserve"> years from </w:t>
      </w:r>
      <w:r>
        <w:rPr>
          <w:rFonts w:cs="Book Antiqua"/>
          <w:lang w:val="en-US"/>
        </w:rPr>
        <w:t>2024</w:t>
      </w:r>
      <w:r w:rsidR="000E6D84">
        <w:rPr>
          <w:rFonts w:cs="Book Antiqua"/>
          <w:lang w:val="en-US"/>
        </w:rPr>
        <w:t>–</w:t>
      </w:r>
      <w:r>
        <w:rPr>
          <w:rFonts w:cs="Book Antiqua"/>
          <w:lang w:val="en-US"/>
        </w:rPr>
        <w:t>25</w:t>
      </w:r>
      <w:r w:rsidRPr="54937204">
        <w:rPr>
          <w:rFonts w:cs="Book Antiqua"/>
          <w:lang w:val="en-US"/>
        </w:rPr>
        <w:t xml:space="preserve"> for investments in innovation, science and digital capabilities to support a Future Made in Australia</w:t>
      </w:r>
      <w:r>
        <w:rPr>
          <w:rFonts w:cs="Book Antiqua"/>
          <w:lang w:val="en-US"/>
        </w:rPr>
        <w:t>. Funding includes</w:t>
      </w:r>
      <w:r w:rsidRPr="54937204">
        <w:rPr>
          <w:rFonts w:cs="Book Antiqua"/>
          <w:lang w:val="en-US"/>
        </w:rPr>
        <w:t>:</w:t>
      </w:r>
    </w:p>
    <w:p w14:paraId="0B40FC89" w14:textId="07921ECA" w:rsidR="005847C2" w:rsidRDefault="005847C2" w:rsidP="005847C2">
      <w:pPr>
        <w:pStyle w:val="Bullet"/>
      </w:pPr>
      <w:r w:rsidRPr="001C06E6">
        <w:t>$566.1</w:t>
      </w:r>
      <w:r>
        <w:t> </w:t>
      </w:r>
      <w:r w:rsidRPr="001C06E6">
        <w:t xml:space="preserve">million over </w:t>
      </w:r>
      <w:r>
        <w:t>ten </w:t>
      </w:r>
      <w:r w:rsidRPr="001C06E6">
        <w:t xml:space="preserve">years from </w:t>
      </w:r>
      <w:r>
        <w:t>2024–25</w:t>
      </w:r>
      <w:r w:rsidRPr="001C06E6">
        <w:t xml:space="preserve"> (</w:t>
      </w:r>
      <w:r>
        <w:t>and an average of $111.8 million per year from 2034–35 to 2058</w:t>
      </w:r>
      <w:r w:rsidR="000E6D84">
        <w:t>–</w:t>
      </w:r>
      <w:r>
        <w:t>59</w:t>
      </w:r>
      <w:r w:rsidRPr="001C06E6">
        <w:t xml:space="preserve">) for Geoscience Australia to map Australia’s national groundwater systems and resource endowments to increase industry investment and identify potential discoveries of all current critical minerals and strategic materials. This extends the terminating </w:t>
      </w:r>
      <w:r w:rsidRPr="001C06E6">
        <w:rPr>
          <w:i/>
          <w:iCs/>
        </w:rPr>
        <w:t xml:space="preserve">Exploring for the Future </w:t>
      </w:r>
      <w:r w:rsidR="0045427C">
        <w:t>p</w:t>
      </w:r>
      <w:r w:rsidRPr="00AC2FA9">
        <w:t>rogram</w:t>
      </w:r>
      <w:r w:rsidRPr="001C06E6">
        <w:t>, reshaping it as the Resourcing Australia’s Prosperity program</w:t>
      </w:r>
    </w:p>
    <w:p w14:paraId="5724B869" w14:textId="0BB3D87E" w:rsidR="005847C2" w:rsidRDefault="005847C2" w:rsidP="005847C2">
      <w:pPr>
        <w:pStyle w:val="Bullet"/>
      </w:pPr>
      <w:r w:rsidRPr="001C06E6">
        <w:t>$466.4</w:t>
      </w:r>
      <w:r>
        <w:t> </w:t>
      </w:r>
      <w:r w:rsidRPr="001C06E6">
        <w:t>million for a financing package of equity and loans provided by Export Finance Australia on the National Interest Account to PsiQuantum Pty Ltd to support the construction and operation of quantum computing capabilities and associated investment in industry and research development in Brisbane, as part of a joint investment with the Queensland Government. Additional funding of $27.7</w:t>
      </w:r>
      <w:r>
        <w:t> </w:t>
      </w:r>
      <w:r w:rsidRPr="001C06E6">
        <w:t>million over 11</w:t>
      </w:r>
      <w:r>
        <w:t> </w:t>
      </w:r>
      <w:r w:rsidRPr="001C06E6">
        <w:t xml:space="preserve">years from </w:t>
      </w:r>
      <w:r>
        <w:t>2023–24</w:t>
      </w:r>
      <w:r w:rsidRPr="001C06E6">
        <w:t xml:space="preserve"> will also be provided for the Department of Finance, the Department of Foreign Affairs and Trade, the Department of Industry, Science and Resources and the Department of the Treasury to </w:t>
      </w:r>
      <w:r w:rsidR="004E4E61">
        <w:t>manage</w:t>
      </w:r>
      <w:r w:rsidR="004E4E61" w:rsidRPr="001C06E6">
        <w:t xml:space="preserve"> </w:t>
      </w:r>
      <w:r w:rsidRPr="001C06E6">
        <w:t>and provide oversight of this investment. The financial implications of the financing package are not for publication (nfp) due to commercial sensitivities</w:t>
      </w:r>
      <w:r>
        <w:t xml:space="preserve"> </w:t>
      </w:r>
    </w:p>
    <w:p w14:paraId="36C3672A" w14:textId="485F013C" w:rsidR="005847C2" w:rsidRDefault="005847C2" w:rsidP="005847C2">
      <w:pPr>
        <w:pStyle w:val="Bullet"/>
      </w:pPr>
      <w:r w:rsidRPr="001C06E6">
        <w:t>$</w:t>
      </w:r>
      <w:r>
        <w:t>448.7 </w:t>
      </w:r>
      <w:r w:rsidRPr="001C06E6">
        <w:t xml:space="preserve">million over </w:t>
      </w:r>
      <w:r>
        <w:t>11</w:t>
      </w:r>
      <w:r w:rsidRPr="001C06E6">
        <w:t xml:space="preserve"> years from </w:t>
      </w:r>
      <w:r>
        <w:t>2023–24</w:t>
      </w:r>
      <w:r w:rsidRPr="001C06E6">
        <w:t xml:space="preserve"> (</w:t>
      </w:r>
      <w:r>
        <w:t>and an average of $43.2 million per year ongoing from 2034</w:t>
      </w:r>
      <w:r w:rsidR="000E6D84">
        <w:t>–</w:t>
      </w:r>
      <w:r>
        <w:t xml:space="preserve">35) </w:t>
      </w:r>
      <w:r w:rsidRPr="001C06E6">
        <w:t>establish Australia’s partnership with the United States on the next generation of the Landsat satellite earth observation program (Landsat Next)</w:t>
      </w:r>
    </w:p>
    <w:p w14:paraId="015999FE" w14:textId="77777777" w:rsidR="005847C2" w:rsidRDefault="005847C2" w:rsidP="005847C2">
      <w:pPr>
        <w:pStyle w:val="Bullet"/>
      </w:pPr>
      <w:r w:rsidRPr="001C06E6">
        <w:lastRenderedPageBreak/>
        <w:t>$145.4</w:t>
      </w:r>
      <w:r>
        <w:t> </w:t>
      </w:r>
      <w:r w:rsidRPr="001C06E6">
        <w:t xml:space="preserve">million over two years from </w:t>
      </w:r>
      <w:r>
        <w:t>2024–25</w:t>
      </w:r>
      <w:r w:rsidRPr="001C06E6">
        <w:t xml:space="preserve"> to maintain the National Measurement Institute’s core scientific measurement and ICT capabilities and to support current site operations and future planning.</w:t>
      </w:r>
      <w:r>
        <w:t xml:space="preserve"> </w:t>
      </w:r>
    </w:p>
    <w:p w14:paraId="65754FAE" w14:textId="77777777" w:rsidR="005847C2" w:rsidRDefault="005847C2" w:rsidP="005847C2">
      <w:pPr>
        <w:pStyle w:val="Normal2"/>
        <w:rPr>
          <w:rFonts w:cs="Book Antiqua"/>
          <w:lang w:val="en-US"/>
        </w:rPr>
      </w:pPr>
      <w:r w:rsidRPr="54937204">
        <w:rPr>
          <w:rFonts w:cs="Book Antiqua"/>
          <w:lang w:val="en-US"/>
        </w:rPr>
        <w:t xml:space="preserve">The cost of this measure will be partially met from savings identified in the Department of Industry, Science and Resources. </w:t>
      </w:r>
    </w:p>
    <w:p w14:paraId="607EBF12" w14:textId="77777777" w:rsidR="005847C2" w:rsidRDefault="005847C2" w:rsidP="005847C2">
      <w:pPr>
        <w:pStyle w:val="Normal2"/>
        <w:rPr>
          <w:rFonts w:cs="Book Antiqua"/>
        </w:rPr>
      </w:pPr>
      <w:r w:rsidRPr="001C06E6">
        <w:rPr>
          <w:rFonts w:cs="Book Antiqua"/>
        </w:rPr>
        <w:t xml:space="preserve">The proposal builds on the </w:t>
      </w:r>
      <w:r>
        <w:rPr>
          <w:rFonts w:cs="Book Antiqua"/>
        </w:rPr>
        <w:t>2023–24 </w:t>
      </w:r>
      <w:r w:rsidRPr="001C06E6">
        <w:rPr>
          <w:rFonts w:cs="Book Antiqua"/>
        </w:rPr>
        <w:t xml:space="preserve">Budget measure </w:t>
      </w:r>
      <w:r w:rsidRPr="001C06E6">
        <w:rPr>
          <w:rFonts w:cs="Book Antiqua"/>
          <w:i/>
          <w:iCs/>
        </w:rPr>
        <w:t>Strengthening Australia’s</w:t>
      </w:r>
      <w:r>
        <w:rPr>
          <w:rFonts w:cs="Book Antiqua"/>
          <w:i/>
          <w:iCs/>
        </w:rPr>
        <w:t xml:space="preserve"> </w:t>
      </w:r>
      <w:r w:rsidRPr="001C06E6">
        <w:rPr>
          <w:rFonts w:cs="Book Antiqua"/>
          <w:i/>
          <w:iCs/>
        </w:rPr>
        <w:t>Science, Technology, Engineering and Mathematics Capabilities</w:t>
      </w:r>
      <w:r w:rsidRPr="001C06E6">
        <w:rPr>
          <w:rFonts w:cs="Book Antiqua"/>
        </w:rPr>
        <w:t>.</w:t>
      </w:r>
      <w:r>
        <w:rPr>
          <w:rFonts w:cs="Book Antiqua"/>
        </w:rPr>
        <w:t xml:space="preserve"> </w:t>
      </w:r>
    </w:p>
    <w:p w14:paraId="6F14189D" w14:textId="77777777" w:rsidR="0012790E" w:rsidRPr="001C06E6" w:rsidRDefault="0012790E">
      <w:pPr>
        <w:pStyle w:val="MeasureTitle"/>
        <w:rPr>
          <w:b w:val="0"/>
          <w:bCs/>
        </w:rPr>
      </w:pPr>
      <w:r w:rsidRPr="001C06E6">
        <w:rPr>
          <w:bCs/>
        </w:rPr>
        <w:t>Future Made in Australia</w:t>
      </w:r>
      <w:r>
        <w:rPr>
          <w:bCs/>
        </w:rPr>
        <w:t xml:space="preserve"> – </w:t>
      </w:r>
      <w:r w:rsidRPr="001C06E6">
        <w:rPr>
          <w:bCs/>
        </w:rPr>
        <w:t>Making Australia a Renewable Energy Superpower</w:t>
      </w:r>
    </w:p>
    <w:p w14:paraId="710136C5"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1B29F65" w14:textId="77777777">
        <w:tc>
          <w:tcPr>
            <w:tcW w:w="2497" w:type="dxa"/>
            <w:tcBorders>
              <w:top w:val="single" w:sz="4" w:space="0" w:color="293F5B"/>
              <w:bottom w:val="single" w:sz="4" w:space="0" w:color="293F5B"/>
            </w:tcBorders>
            <w:shd w:val="clear" w:color="auto" w:fill="auto"/>
          </w:tcPr>
          <w:p w14:paraId="569F0798"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DF33EF1"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7C26C87"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28CA741A"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9D4C2FD"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24950EE" w14:textId="77777777" w:rsidR="0012790E" w:rsidRPr="001C06E6" w:rsidRDefault="0012790E">
            <w:pPr>
              <w:pStyle w:val="MeasureTableYearHeadings"/>
              <w:keepNext/>
            </w:pPr>
            <w:r w:rsidRPr="001C06E6">
              <w:t>2027</w:t>
            </w:r>
            <w:r>
              <w:noBreakHyphen/>
            </w:r>
            <w:r w:rsidRPr="001C06E6">
              <w:t>28</w:t>
            </w:r>
          </w:p>
        </w:tc>
      </w:tr>
      <w:tr w:rsidR="0012790E" w:rsidRPr="001C06E6" w14:paraId="67E119C7" w14:textId="77777777">
        <w:tc>
          <w:tcPr>
            <w:tcW w:w="2497" w:type="dxa"/>
            <w:tcBorders>
              <w:top w:val="single" w:sz="4" w:space="0" w:color="293F5B"/>
              <w:bottom w:val="single" w:sz="4" w:space="0" w:color="293F5B"/>
            </w:tcBorders>
            <w:shd w:val="clear" w:color="auto" w:fill="auto"/>
          </w:tcPr>
          <w:p w14:paraId="3C998C94"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69B2EE0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0622803" w14:textId="77777777" w:rsidR="0012790E" w:rsidRPr="001C06E6" w:rsidRDefault="0012790E">
            <w:pPr>
              <w:pStyle w:val="MeasureTableDataRightAlignedwith2ptsspacing"/>
              <w:keepNext/>
            </w:pPr>
            <w:r>
              <w:t xml:space="preserve">11.6   </w:t>
            </w:r>
          </w:p>
        </w:tc>
        <w:tc>
          <w:tcPr>
            <w:tcW w:w="1045" w:type="dxa"/>
            <w:tcBorders>
              <w:top w:val="single" w:sz="4" w:space="0" w:color="293F5B"/>
              <w:bottom w:val="single" w:sz="4" w:space="0" w:color="293F5B"/>
            </w:tcBorders>
            <w:shd w:val="clear" w:color="auto" w:fill="auto"/>
          </w:tcPr>
          <w:p w14:paraId="20A5A7AD" w14:textId="77777777" w:rsidR="0012790E" w:rsidRPr="001C06E6" w:rsidRDefault="0012790E">
            <w:pPr>
              <w:pStyle w:val="MeasureTableDataRightAlignedwith2ptsspacing"/>
              <w:keepNext/>
            </w:pPr>
            <w:r>
              <w:t xml:space="preserve">13.9   </w:t>
            </w:r>
          </w:p>
        </w:tc>
        <w:tc>
          <w:tcPr>
            <w:tcW w:w="1045" w:type="dxa"/>
            <w:tcBorders>
              <w:top w:val="single" w:sz="4" w:space="0" w:color="293F5B"/>
              <w:bottom w:val="single" w:sz="4" w:space="0" w:color="293F5B"/>
            </w:tcBorders>
            <w:shd w:val="clear" w:color="auto" w:fill="auto"/>
          </w:tcPr>
          <w:p w14:paraId="0E1E4E40" w14:textId="77777777" w:rsidR="0012790E" w:rsidRPr="001C06E6" w:rsidRDefault="0012790E">
            <w:pPr>
              <w:pStyle w:val="MeasureTableDataRightAlignedwith2ptsspacing"/>
              <w:keepNext/>
            </w:pPr>
            <w:r>
              <w:t xml:space="preserve">12.2   </w:t>
            </w:r>
          </w:p>
        </w:tc>
        <w:tc>
          <w:tcPr>
            <w:tcW w:w="1045" w:type="dxa"/>
            <w:tcBorders>
              <w:top w:val="single" w:sz="4" w:space="0" w:color="293F5B"/>
              <w:bottom w:val="single" w:sz="4" w:space="0" w:color="293F5B"/>
            </w:tcBorders>
            <w:shd w:val="clear" w:color="auto" w:fill="auto"/>
          </w:tcPr>
          <w:p w14:paraId="3BAC9BC8" w14:textId="77777777" w:rsidR="0012790E" w:rsidRPr="001C06E6" w:rsidRDefault="0012790E">
            <w:pPr>
              <w:pStyle w:val="MeasureTableDataRightAlignedwith2ptsspacing"/>
              <w:keepNext/>
            </w:pPr>
            <w:r>
              <w:t xml:space="preserve">6.4   </w:t>
            </w:r>
          </w:p>
        </w:tc>
      </w:tr>
      <w:tr w:rsidR="0012790E" w:rsidRPr="001C06E6" w14:paraId="3BEF8ABF" w14:textId="77777777">
        <w:tc>
          <w:tcPr>
            <w:tcW w:w="2497" w:type="dxa"/>
            <w:tcBorders>
              <w:top w:val="single" w:sz="4" w:space="0" w:color="293F5B"/>
              <w:bottom w:val="single" w:sz="4" w:space="0" w:color="293F5B"/>
            </w:tcBorders>
            <w:shd w:val="clear" w:color="auto" w:fill="auto"/>
          </w:tcPr>
          <w:p w14:paraId="41A6C421" w14:textId="77777777" w:rsidR="0012790E" w:rsidRPr="001C06E6" w:rsidRDefault="0012790E">
            <w:pPr>
              <w:pStyle w:val="MeasureTableHeadingleftalignedwith2ptsspacing"/>
              <w:keepNext/>
            </w:pPr>
            <w:r w:rsidRPr="001C06E6">
              <w:t>Geoscience Australia</w:t>
            </w:r>
          </w:p>
        </w:tc>
        <w:tc>
          <w:tcPr>
            <w:tcW w:w="1045" w:type="dxa"/>
            <w:tcBorders>
              <w:top w:val="single" w:sz="4" w:space="0" w:color="293F5B"/>
              <w:bottom w:val="single" w:sz="4" w:space="0" w:color="293F5B"/>
            </w:tcBorders>
            <w:shd w:val="clear" w:color="auto" w:fill="auto"/>
          </w:tcPr>
          <w:p w14:paraId="35BF01D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BB6D631" w14:textId="77777777" w:rsidR="0012790E" w:rsidRPr="001C06E6" w:rsidRDefault="0012790E">
            <w:pPr>
              <w:pStyle w:val="MeasureTableDataRightAlignedwith2ptsspacing"/>
              <w:keepNext/>
            </w:pPr>
            <w:r w:rsidRPr="001C06E6">
              <w:t>7.6</w:t>
            </w:r>
          </w:p>
        </w:tc>
        <w:tc>
          <w:tcPr>
            <w:tcW w:w="1045" w:type="dxa"/>
            <w:tcBorders>
              <w:top w:val="single" w:sz="4" w:space="0" w:color="293F5B"/>
              <w:bottom w:val="single" w:sz="4" w:space="0" w:color="293F5B"/>
            </w:tcBorders>
            <w:shd w:val="clear" w:color="auto" w:fill="auto"/>
          </w:tcPr>
          <w:p w14:paraId="30441960" w14:textId="77777777" w:rsidR="0012790E" w:rsidRPr="001C06E6" w:rsidRDefault="0012790E">
            <w:pPr>
              <w:pStyle w:val="MeasureTableDataRightAlignedwith2ptsspacing"/>
              <w:keepNext/>
            </w:pPr>
            <w:r w:rsidRPr="001C06E6">
              <w:t>3.7</w:t>
            </w:r>
          </w:p>
        </w:tc>
        <w:tc>
          <w:tcPr>
            <w:tcW w:w="1045" w:type="dxa"/>
            <w:tcBorders>
              <w:top w:val="single" w:sz="4" w:space="0" w:color="293F5B"/>
              <w:bottom w:val="single" w:sz="4" w:space="0" w:color="293F5B"/>
            </w:tcBorders>
            <w:shd w:val="clear" w:color="auto" w:fill="auto"/>
          </w:tcPr>
          <w:p w14:paraId="3F8E5037" w14:textId="77777777" w:rsidR="0012790E" w:rsidRPr="001C06E6" w:rsidRDefault="0012790E">
            <w:pPr>
              <w:pStyle w:val="MeasureTableDataRightAlignedwith2ptsspacing"/>
              <w:keepNext/>
            </w:pPr>
            <w:r w:rsidRPr="001C06E6">
              <w:t>5.3</w:t>
            </w:r>
          </w:p>
        </w:tc>
        <w:tc>
          <w:tcPr>
            <w:tcW w:w="1045" w:type="dxa"/>
            <w:tcBorders>
              <w:top w:val="single" w:sz="4" w:space="0" w:color="293F5B"/>
              <w:bottom w:val="single" w:sz="4" w:space="0" w:color="293F5B"/>
            </w:tcBorders>
            <w:shd w:val="clear" w:color="auto" w:fill="auto"/>
          </w:tcPr>
          <w:p w14:paraId="51A82DBD" w14:textId="77777777" w:rsidR="0012790E" w:rsidRPr="001C06E6" w:rsidRDefault="0012790E">
            <w:pPr>
              <w:pStyle w:val="MeasureTableDataRightAlignedwith2ptsspacing"/>
              <w:keepNext/>
            </w:pPr>
            <w:r w:rsidRPr="001C06E6">
              <w:t>-</w:t>
            </w:r>
          </w:p>
        </w:tc>
      </w:tr>
      <w:tr w:rsidR="006C5294" w:rsidRPr="001C06E6" w14:paraId="7EFF1117" w14:textId="77777777" w:rsidTr="00AC2FA9">
        <w:tc>
          <w:tcPr>
            <w:tcW w:w="2497" w:type="dxa"/>
            <w:tcBorders>
              <w:top w:val="single" w:sz="4" w:space="0" w:color="293F5B"/>
              <w:bottom w:val="single" w:sz="4" w:space="0" w:color="293F5B"/>
            </w:tcBorders>
            <w:shd w:val="clear" w:color="auto" w:fill="auto"/>
          </w:tcPr>
          <w:p w14:paraId="6FAA881E" w14:textId="77777777" w:rsidR="006C5294" w:rsidRPr="001C06E6" w:rsidRDefault="006C5294" w:rsidP="006C5294">
            <w:pPr>
              <w:pStyle w:val="MeasureTableHeadingleftalignedwith2ptsspacing"/>
              <w:keepNext/>
            </w:pPr>
            <w:r>
              <w:t xml:space="preserve">Australian Renewable Energy Agency </w:t>
            </w:r>
          </w:p>
        </w:tc>
        <w:tc>
          <w:tcPr>
            <w:tcW w:w="1045" w:type="dxa"/>
            <w:tcBorders>
              <w:top w:val="single" w:sz="4" w:space="0" w:color="293F5B"/>
              <w:bottom w:val="single" w:sz="4" w:space="0" w:color="293F5B"/>
            </w:tcBorders>
            <w:shd w:val="clear" w:color="auto" w:fill="auto"/>
          </w:tcPr>
          <w:p w14:paraId="7C34D2B8" w14:textId="73852A95" w:rsidR="006C5294" w:rsidRPr="001C06E6" w:rsidRDefault="00273AB3" w:rsidP="006C5294">
            <w:pPr>
              <w:pStyle w:val="MeasureTableDataRightAlignedwith2ptsspacing"/>
              <w:keepNext/>
            </w:pPr>
            <w:r>
              <w:t>-</w:t>
            </w:r>
            <w:r w:rsidR="00FB6743">
              <w:t xml:space="preserve"> </w:t>
            </w:r>
          </w:p>
        </w:tc>
        <w:tc>
          <w:tcPr>
            <w:tcW w:w="1045" w:type="dxa"/>
            <w:tcBorders>
              <w:top w:val="single" w:sz="4" w:space="0" w:color="293F5B"/>
              <w:bottom w:val="single" w:sz="4" w:space="0" w:color="293F5B"/>
            </w:tcBorders>
            <w:shd w:val="clear" w:color="auto" w:fill="auto"/>
          </w:tcPr>
          <w:p w14:paraId="1184C55F" w14:textId="56BF786F" w:rsidR="006C5294" w:rsidRPr="001C06E6" w:rsidRDefault="00273AB3" w:rsidP="00FB6743">
            <w:pPr>
              <w:pStyle w:val="MeasureTableDataRightAlignedwith2ptsspacing"/>
              <w:keepNext/>
            </w:pPr>
            <w:r>
              <w:rPr>
                <w:szCs w:val="16"/>
              </w:rPr>
              <w:t>138.1</w:t>
            </w:r>
          </w:p>
        </w:tc>
        <w:tc>
          <w:tcPr>
            <w:tcW w:w="1045" w:type="dxa"/>
            <w:tcBorders>
              <w:top w:val="single" w:sz="4" w:space="0" w:color="293F5B"/>
              <w:bottom w:val="single" w:sz="4" w:space="0" w:color="293F5B"/>
            </w:tcBorders>
            <w:shd w:val="clear" w:color="auto" w:fill="auto"/>
          </w:tcPr>
          <w:p w14:paraId="2D948FF9" w14:textId="0A7C2028" w:rsidR="006C5294" w:rsidRPr="001C06E6" w:rsidRDefault="00273AB3" w:rsidP="00FB6743">
            <w:pPr>
              <w:pStyle w:val="MeasureTableDataRightAlignedwith2ptsspacing"/>
              <w:keepNext/>
            </w:pPr>
            <w:r>
              <w:rPr>
                <w:szCs w:val="16"/>
              </w:rPr>
              <w:t>310.9</w:t>
            </w:r>
          </w:p>
        </w:tc>
        <w:tc>
          <w:tcPr>
            <w:tcW w:w="1045" w:type="dxa"/>
            <w:tcBorders>
              <w:top w:val="single" w:sz="4" w:space="0" w:color="293F5B"/>
              <w:bottom w:val="single" w:sz="4" w:space="0" w:color="293F5B"/>
            </w:tcBorders>
            <w:shd w:val="clear" w:color="auto" w:fill="auto"/>
          </w:tcPr>
          <w:p w14:paraId="376421B8" w14:textId="56EA4C3D" w:rsidR="006C5294" w:rsidRPr="001C06E6" w:rsidRDefault="001804F2" w:rsidP="00FB6743">
            <w:pPr>
              <w:pStyle w:val="MeasureTableDataRightAlignedwith2ptsspacing"/>
              <w:keepNext/>
            </w:pPr>
            <w:r>
              <w:rPr>
                <w:szCs w:val="16"/>
              </w:rPr>
              <w:t>326.0</w:t>
            </w:r>
          </w:p>
        </w:tc>
        <w:tc>
          <w:tcPr>
            <w:tcW w:w="1045" w:type="dxa"/>
            <w:tcBorders>
              <w:top w:val="single" w:sz="4" w:space="0" w:color="293F5B"/>
              <w:bottom w:val="single" w:sz="4" w:space="0" w:color="293F5B"/>
            </w:tcBorders>
            <w:shd w:val="clear" w:color="auto" w:fill="auto"/>
          </w:tcPr>
          <w:p w14:paraId="176E56A7" w14:textId="757B925B" w:rsidR="006C5294" w:rsidRPr="001C06E6" w:rsidRDefault="001804F2" w:rsidP="00FB6743">
            <w:pPr>
              <w:pStyle w:val="MeasureTableDataRightAlignedwith2ptsspacing"/>
              <w:keepNext/>
            </w:pPr>
            <w:r>
              <w:rPr>
                <w:szCs w:val="16"/>
              </w:rPr>
              <w:t>497.6</w:t>
            </w:r>
          </w:p>
        </w:tc>
      </w:tr>
      <w:tr w:rsidR="0012790E" w:rsidRPr="001C06E6" w14:paraId="5EB8315A" w14:textId="77777777">
        <w:tc>
          <w:tcPr>
            <w:tcW w:w="2497" w:type="dxa"/>
            <w:tcBorders>
              <w:top w:val="single" w:sz="4" w:space="0" w:color="293F5B"/>
              <w:bottom w:val="single" w:sz="4" w:space="0" w:color="293F5B"/>
            </w:tcBorders>
            <w:shd w:val="clear" w:color="auto" w:fill="auto"/>
          </w:tcPr>
          <w:p w14:paraId="1A3FAA0D"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176B709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FCB2FB8" w14:textId="77777777" w:rsidR="0012790E" w:rsidRPr="001C06E6" w:rsidRDefault="0012790E">
            <w:pPr>
              <w:pStyle w:val="MeasureTableDataRightAlignedwith2ptsspacing"/>
              <w:keepNext/>
            </w:pPr>
            <w:r>
              <w:t xml:space="preserve">3.2   </w:t>
            </w:r>
          </w:p>
        </w:tc>
        <w:tc>
          <w:tcPr>
            <w:tcW w:w="1045" w:type="dxa"/>
            <w:tcBorders>
              <w:top w:val="single" w:sz="4" w:space="0" w:color="293F5B"/>
              <w:bottom w:val="single" w:sz="4" w:space="0" w:color="293F5B"/>
            </w:tcBorders>
            <w:shd w:val="clear" w:color="auto" w:fill="auto"/>
          </w:tcPr>
          <w:p w14:paraId="00F257AD" w14:textId="77777777" w:rsidR="0012790E" w:rsidRPr="001C06E6" w:rsidRDefault="0012790E">
            <w:pPr>
              <w:pStyle w:val="MeasureTableDataRightAlignedwith2ptsspacing"/>
              <w:keepNext/>
            </w:pPr>
            <w:r>
              <w:t xml:space="preserve">2.1   </w:t>
            </w:r>
          </w:p>
        </w:tc>
        <w:tc>
          <w:tcPr>
            <w:tcW w:w="1045" w:type="dxa"/>
            <w:tcBorders>
              <w:top w:val="single" w:sz="4" w:space="0" w:color="293F5B"/>
              <w:bottom w:val="single" w:sz="4" w:space="0" w:color="293F5B"/>
            </w:tcBorders>
            <w:shd w:val="clear" w:color="auto" w:fill="auto"/>
          </w:tcPr>
          <w:p w14:paraId="6C1A334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42F1EAA" w14:textId="77777777" w:rsidR="0012790E" w:rsidRPr="001C06E6" w:rsidRDefault="0012790E">
            <w:pPr>
              <w:pStyle w:val="MeasureTableDataRightAlignedwith2ptsspacing"/>
              <w:keepNext/>
            </w:pPr>
            <w:r>
              <w:t xml:space="preserve">-   </w:t>
            </w:r>
          </w:p>
        </w:tc>
      </w:tr>
      <w:tr w:rsidR="0012790E" w:rsidRPr="001C06E6" w14:paraId="0596D06B" w14:textId="77777777">
        <w:tc>
          <w:tcPr>
            <w:tcW w:w="2497" w:type="dxa"/>
            <w:tcBorders>
              <w:top w:val="single" w:sz="4" w:space="0" w:color="293F5B"/>
              <w:bottom w:val="single" w:sz="4" w:space="0" w:color="293F5B"/>
            </w:tcBorders>
            <w:shd w:val="clear" w:color="auto" w:fill="auto"/>
          </w:tcPr>
          <w:p w14:paraId="5B4A427A" w14:textId="77777777" w:rsidR="0012790E" w:rsidRPr="001C06E6" w:rsidRDefault="0012790E">
            <w:pPr>
              <w:pStyle w:val="MeasureTableHeadingleftalignedwith2ptsspacing"/>
              <w:keepNext/>
            </w:pPr>
            <w:r w:rsidRPr="001C06E6">
              <w:t>Clean Energy Regulator</w:t>
            </w:r>
          </w:p>
        </w:tc>
        <w:tc>
          <w:tcPr>
            <w:tcW w:w="1045" w:type="dxa"/>
            <w:tcBorders>
              <w:top w:val="single" w:sz="4" w:space="0" w:color="293F5B"/>
              <w:bottom w:val="single" w:sz="4" w:space="0" w:color="293F5B"/>
            </w:tcBorders>
            <w:shd w:val="clear" w:color="auto" w:fill="auto"/>
          </w:tcPr>
          <w:p w14:paraId="4AE53B0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7166D48" w14:textId="77777777" w:rsidR="0012790E" w:rsidRPr="001C06E6" w:rsidRDefault="0012790E">
            <w:pPr>
              <w:pStyle w:val="MeasureTableDataRightAlignedwith2ptsspacing"/>
              <w:keepNext/>
            </w:pPr>
            <w:r w:rsidRPr="001C06E6">
              <w:t>1.9</w:t>
            </w:r>
          </w:p>
        </w:tc>
        <w:tc>
          <w:tcPr>
            <w:tcW w:w="1045" w:type="dxa"/>
            <w:tcBorders>
              <w:top w:val="single" w:sz="4" w:space="0" w:color="293F5B"/>
              <w:bottom w:val="single" w:sz="4" w:space="0" w:color="293F5B"/>
            </w:tcBorders>
            <w:shd w:val="clear" w:color="auto" w:fill="auto"/>
          </w:tcPr>
          <w:p w14:paraId="126B5906" w14:textId="77777777" w:rsidR="0012790E" w:rsidRPr="001C06E6" w:rsidRDefault="0012790E">
            <w:pPr>
              <w:pStyle w:val="MeasureTableDataRightAlignedwith2ptsspacing"/>
              <w:keepNext/>
            </w:pPr>
            <w:r w:rsidRPr="001C06E6">
              <w:t>4.3</w:t>
            </w:r>
          </w:p>
        </w:tc>
        <w:tc>
          <w:tcPr>
            <w:tcW w:w="1045" w:type="dxa"/>
            <w:tcBorders>
              <w:top w:val="single" w:sz="4" w:space="0" w:color="293F5B"/>
              <w:bottom w:val="single" w:sz="4" w:space="0" w:color="293F5B"/>
            </w:tcBorders>
            <w:shd w:val="clear" w:color="auto" w:fill="auto"/>
          </w:tcPr>
          <w:p w14:paraId="3B42E3F1" w14:textId="77777777" w:rsidR="0012790E" w:rsidRPr="001C06E6" w:rsidRDefault="0012790E">
            <w:pPr>
              <w:pStyle w:val="MeasureTableDataRightAlignedwith2ptsspacing"/>
              <w:keepNext/>
            </w:pPr>
            <w:r w:rsidRPr="001C06E6">
              <w:t>6.1</w:t>
            </w:r>
          </w:p>
        </w:tc>
        <w:tc>
          <w:tcPr>
            <w:tcW w:w="1045" w:type="dxa"/>
            <w:tcBorders>
              <w:top w:val="single" w:sz="4" w:space="0" w:color="293F5B"/>
              <w:bottom w:val="single" w:sz="4" w:space="0" w:color="293F5B"/>
            </w:tcBorders>
            <w:shd w:val="clear" w:color="auto" w:fill="auto"/>
          </w:tcPr>
          <w:p w14:paraId="102F6733" w14:textId="77777777" w:rsidR="0012790E" w:rsidRPr="001C06E6" w:rsidRDefault="0012790E">
            <w:pPr>
              <w:pStyle w:val="MeasureTableDataRightAlignedwith2ptsspacing"/>
              <w:keepNext/>
            </w:pPr>
            <w:r w:rsidRPr="001C06E6">
              <w:t>3.4</w:t>
            </w:r>
          </w:p>
        </w:tc>
      </w:tr>
      <w:tr w:rsidR="0012790E" w:rsidRPr="001C06E6" w14:paraId="7AF44497" w14:textId="77777777">
        <w:tc>
          <w:tcPr>
            <w:tcW w:w="2497" w:type="dxa"/>
            <w:tcBorders>
              <w:top w:val="single" w:sz="4" w:space="0" w:color="293F5B"/>
              <w:bottom w:val="single" w:sz="4" w:space="0" w:color="293F5B"/>
            </w:tcBorders>
            <w:shd w:val="clear" w:color="auto" w:fill="auto"/>
          </w:tcPr>
          <w:p w14:paraId="05C657E4"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2526701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EA6E6E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3F58090" w14:textId="77777777" w:rsidR="0012790E" w:rsidRPr="001C06E6" w:rsidRDefault="0012790E">
            <w:pPr>
              <w:pStyle w:val="MeasureTableDataRightAlignedwith2ptsspacing"/>
              <w:keepNext/>
            </w:pPr>
            <w:r w:rsidRPr="001C06E6">
              <w:t>0.4</w:t>
            </w:r>
          </w:p>
        </w:tc>
        <w:tc>
          <w:tcPr>
            <w:tcW w:w="1045" w:type="dxa"/>
            <w:tcBorders>
              <w:top w:val="single" w:sz="4" w:space="0" w:color="293F5B"/>
              <w:bottom w:val="single" w:sz="4" w:space="0" w:color="293F5B"/>
            </w:tcBorders>
            <w:shd w:val="clear" w:color="auto" w:fill="auto"/>
          </w:tcPr>
          <w:p w14:paraId="2C52012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1043F10" w14:textId="77777777" w:rsidR="0012790E" w:rsidRPr="001C06E6" w:rsidRDefault="0012790E">
            <w:pPr>
              <w:pStyle w:val="MeasureTableDataRightAlignedwith2ptsspacing"/>
              <w:keepNext/>
            </w:pPr>
            <w:r w:rsidRPr="001C06E6">
              <w:t>500.0</w:t>
            </w:r>
          </w:p>
        </w:tc>
      </w:tr>
      <w:tr w:rsidR="0012790E" w:rsidRPr="001C06E6" w14:paraId="6D0941CE" w14:textId="77777777">
        <w:tc>
          <w:tcPr>
            <w:tcW w:w="2497" w:type="dxa"/>
            <w:tcBorders>
              <w:top w:val="single" w:sz="4" w:space="0" w:color="293F5B"/>
              <w:bottom w:val="single" w:sz="4" w:space="0" w:color="293F5B"/>
            </w:tcBorders>
            <w:shd w:val="clear" w:color="auto" w:fill="auto"/>
          </w:tcPr>
          <w:p w14:paraId="1B57DA2D"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1459A852" w14:textId="77777777" w:rsidR="0012790E" w:rsidRPr="001C06E6" w:rsidRDefault="0012790E">
            <w:pPr>
              <w:pStyle w:val="MeasureTableDataRightAlignedwith2ptsspacing"/>
              <w:keepNext/>
            </w:pPr>
            <w:r w:rsidRPr="001C06E6">
              <w:t>-4.3</w:t>
            </w:r>
          </w:p>
        </w:tc>
        <w:tc>
          <w:tcPr>
            <w:tcW w:w="1045" w:type="dxa"/>
            <w:tcBorders>
              <w:top w:val="single" w:sz="4" w:space="0" w:color="293F5B"/>
              <w:bottom w:val="single" w:sz="4" w:space="0" w:color="293F5B"/>
            </w:tcBorders>
            <w:shd w:val="clear" w:color="auto" w:fill="auto"/>
          </w:tcPr>
          <w:p w14:paraId="4E9B1F90" w14:textId="77777777" w:rsidR="0012790E" w:rsidRPr="001C06E6" w:rsidRDefault="0012790E">
            <w:pPr>
              <w:pStyle w:val="MeasureTableDataRightAlignedwith2ptsspacing"/>
              <w:keepNext/>
            </w:pPr>
            <w:r w:rsidRPr="001C06E6">
              <w:t>4.1</w:t>
            </w:r>
          </w:p>
        </w:tc>
        <w:tc>
          <w:tcPr>
            <w:tcW w:w="1045" w:type="dxa"/>
            <w:tcBorders>
              <w:top w:val="single" w:sz="4" w:space="0" w:color="293F5B"/>
              <w:bottom w:val="single" w:sz="4" w:space="0" w:color="293F5B"/>
            </w:tcBorders>
            <w:shd w:val="clear" w:color="auto" w:fill="auto"/>
          </w:tcPr>
          <w:p w14:paraId="3016C5FC" w14:textId="77777777" w:rsidR="0012790E" w:rsidRPr="001C06E6" w:rsidRDefault="0012790E">
            <w:pPr>
              <w:pStyle w:val="MeasureTableDataRightAlignedwith2ptsspacing"/>
              <w:keepNext/>
            </w:pPr>
            <w:r w:rsidRPr="001C06E6">
              <w:t>-3.8</w:t>
            </w:r>
          </w:p>
        </w:tc>
        <w:tc>
          <w:tcPr>
            <w:tcW w:w="1045" w:type="dxa"/>
            <w:tcBorders>
              <w:top w:val="single" w:sz="4" w:space="0" w:color="293F5B"/>
              <w:bottom w:val="single" w:sz="4" w:space="0" w:color="293F5B"/>
            </w:tcBorders>
            <w:shd w:val="clear" w:color="auto" w:fill="auto"/>
          </w:tcPr>
          <w:p w14:paraId="74B612E2" w14:textId="77777777" w:rsidR="0012790E" w:rsidRPr="001C06E6" w:rsidRDefault="0012790E">
            <w:pPr>
              <w:pStyle w:val="MeasureTableDataRightAlignedwith2ptsspacing"/>
              <w:keepNext/>
            </w:pPr>
            <w:r w:rsidRPr="001C06E6">
              <w:t>1.2</w:t>
            </w:r>
          </w:p>
        </w:tc>
        <w:tc>
          <w:tcPr>
            <w:tcW w:w="1045" w:type="dxa"/>
            <w:tcBorders>
              <w:top w:val="single" w:sz="4" w:space="0" w:color="293F5B"/>
              <w:bottom w:val="single" w:sz="4" w:space="0" w:color="293F5B"/>
            </w:tcBorders>
            <w:shd w:val="clear" w:color="auto" w:fill="auto"/>
          </w:tcPr>
          <w:p w14:paraId="07FF6D1A" w14:textId="77777777" w:rsidR="0012790E" w:rsidRPr="001C06E6" w:rsidRDefault="0012790E">
            <w:pPr>
              <w:pStyle w:val="MeasureTableDataRightAlignedwith2ptsspacing"/>
              <w:keepNext/>
            </w:pPr>
            <w:r w:rsidRPr="001C06E6">
              <w:t>-</w:t>
            </w:r>
          </w:p>
        </w:tc>
      </w:tr>
      <w:tr w:rsidR="0012790E" w:rsidRPr="001C06E6" w14:paraId="1DE0D347" w14:textId="77777777">
        <w:tc>
          <w:tcPr>
            <w:tcW w:w="2497" w:type="dxa"/>
            <w:tcBorders>
              <w:top w:val="single" w:sz="4" w:space="0" w:color="293F5B"/>
              <w:bottom w:val="single" w:sz="4" w:space="0" w:color="293F5B"/>
            </w:tcBorders>
            <w:shd w:val="clear" w:color="auto" w:fill="auto"/>
          </w:tcPr>
          <w:p w14:paraId="172E60FE" w14:textId="77777777" w:rsidR="0012790E" w:rsidRPr="001C06E6" w:rsidRDefault="0012790E">
            <w:pPr>
              <w:pStyle w:val="MeasureTableHeadingleftalignedwith2ptsspacing"/>
              <w:keepNext/>
            </w:pPr>
            <w:r>
              <w:t xml:space="preserve">Department of Industry, Science and Resources </w:t>
            </w:r>
          </w:p>
        </w:tc>
        <w:tc>
          <w:tcPr>
            <w:tcW w:w="1045" w:type="dxa"/>
            <w:tcBorders>
              <w:top w:val="single" w:sz="4" w:space="0" w:color="293F5B"/>
              <w:bottom w:val="single" w:sz="4" w:space="0" w:color="293F5B"/>
            </w:tcBorders>
            <w:shd w:val="clear" w:color="auto" w:fill="auto"/>
          </w:tcPr>
          <w:p w14:paraId="694BAC24" w14:textId="73E863BB" w:rsidR="0012790E" w:rsidRPr="001C06E6" w:rsidRDefault="0012790E">
            <w:pPr>
              <w:pStyle w:val="MeasureTableDataRightAlignedwith2ptsspacing"/>
              <w:keepNext/>
            </w:pPr>
            <w:r>
              <w:t>-24.</w:t>
            </w:r>
            <w:r w:rsidR="001804F2">
              <w:t>5</w:t>
            </w:r>
            <w:r>
              <w:t xml:space="preserve"> </w:t>
            </w:r>
          </w:p>
        </w:tc>
        <w:tc>
          <w:tcPr>
            <w:tcW w:w="1045" w:type="dxa"/>
            <w:tcBorders>
              <w:top w:val="single" w:sz="4" w:space="0" w:color="293F5B"/>
              <w:bottom w:val="single" w:sz="4" w:space="0" w:color="293F5B"/>
            </w:tcBorders>
            <w:shd w:val="clear" w:color="auto" w:fill="auto"/>
          </w:tcPr>
          <w:p w14:paraId="1717BFF1" w14:textId="3546F92A" w:rsidR="0012790E" w:rsidRPr="001C06E6" w:rsidRDefault="001804F2">
            <w:pPr>
              <w:pStyle w:val="MeasureTableDataRightAlignedwith2ptsspacing"/>
              <w:keepNext/>
            </w:pPr>
            <w:r>
              <w:t>26.5</w:t>
            </w:r>
          </w:p>
        </w:tc>
        <w:tc>
          <w:tcPr>
            <w:tcW w:w="1045" w:type="dxa"/>
            <w:tcBorders>
              <w:top w:val="single" w:sz="4" w:space="0" w:color="293F5B"/>
              <w:bottom w:val="single" w:sz="4" w:space="0" w:color="293F5B"/>
            </w:tcBorders>
            <w:shd w:val="clear" w:color="auto" w:fill="auto"/>
          </w:tcPr>
          <w:p w14:paraId="052B3262" w14:textId="7ED1A063" w:rsidR="0012790E" w:rsidRPr="001C06E6" w:rsidRDefault="001804F2">
            <w:pPr>
              <w:pStyle w:val="MeasureTableDataRightAlignedwith2ptsspacing"/>
              <w:keepNext/>
            </w:pPr>
            <w:r>
              <w:t>17.8</w:t>
            </w:r>
          </w:p>
        </w:tc>
        <w:tc>
          <w:tcPr>
            <w:tcW w:w="1045" w:type="dxa"/>
            <w:tcBorders>
              <w:top w:val="single" w:sz="4" w:space="0" w:color="293F5B"/>
              <w:bottom w:val="single" w:sz="4" w:space="0" w:color="293F5B"/>
            </w:tcBorders>
            <w:shd w:val="clear" w:color="auto" w:fill="auto"/>
          </w:tcPr>
          <w:p w14:paraId="6538850F" w14:textId="4B02F7E4" w:rsidR="0012790E" w:rsidRPr="001C06E6" w:rsidRDefault="001804F2">
            <w:pPr>
              <w:pStyle w:val="MeasureTableDataRightAlignedwith2ptsspacing"/>
              <w:keepNext/>
            </w:pPr>
            <w:r>
              <w:t>7.3</w:t>
            </w:r>
          </w:p>
        </w:tc>
        <w:tc>
          <w:tcPr>
            <w:tcW w:w="1045" w:type="dxa"/>
            <w:tcBorders>
              <w:top w:val="single" w:sz="4" w:space="0" w:color="293F5B"/>
              <w:bottom w:val="single" w:sz="4" w:space="0" w:color="293F5B"/>
            </w:tcBorders>
            <w:shd w:val="clear" w:color="auto" w:fill="auto"/>
          </w:tcPr>
          <w:p w14:paraId="445577C7" w14:textId="4BECBE78" w:rsidR="0012790E" w:rsidRPr="001C06E6" w:rsidRDefault="001804F2">
            <w:pPr>
              <w:pStyle w:val="MeasureTableDataRightAlignedwith2ptsspacing"/>
              <w:keepNext/>
            </w:pPr>
            <w:r>
              <w:t>3.2</w:t>
            </w:r>
          </w:p>
        </w:tc>
      </w:tr>
      <w:tr w:rsidR="0012790E" w:rsidRPr="001C06E6" w14:paraId="047CA094" w14:textId="77777777">
        <w:tc>
          <w:tcPr>
            <w:tcW w:w="2497" w:type="dxa"/>
            <w:tcBorders>
              <w:top w:val="single" w:sz="4" w:space="0" w:color="293F5B"/>
              <w:bottom w:val="single" w:sz="4" w:space="0" w:color="293F5B"/>
            </w:tcBorders>
            <w:shd w:val="clear" w:color="auto" w:fill="auto"/>
          </w:tcPr>
          <w:p w14:paraId="5516174B" w14:textId="77777777" w:rsidR="0012790E" w:rsidRPr="001C06E6" w:rsidRDefault="0012790E">
            <w:pPr>
              <w:pStyle w:val="MeasureTableHeadingleftalignedwith2ptsspacing"/>
              <w:keepNext/>
            </w:pPr>
            <w:r>
              <w:t xml:space="preserve">Export Finance and Insurance Corporation (National Interest component) </w:t>
            </w:r>
          </w:p>
        </w:tc>
        <w:tc>
          <w:tcPr>
            <w:tcW w:w="1045" w:type="dxa"/>
            <w:tcBorders>
              <w:top w:val="single" w:sz="4" w:space="0" w:color="293F5B"/>
              <w:bottom w:val="single" w:sz="4" w:space="0" w:color="293F5B"/>
            </w:tcBorders>
            <w:shd w:val="clear" w:color="auto" w:fill="auto"/>
          </w:tcPr>
          <w:p w14:paraId="4B88838B"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4F2B4988"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4AB0BEAC"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798FA545"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16C451A3" w14:textId="77777777" w:rsidR="0012790E" w:rsidRPr="001C06E6" w:rsidRDefault="0012790E">
            <w:pPr>
              <w:pStyle w:val="MeasureTableDataRightAlignedwith2ptsspacing"/>
              <w:keepNext/>
            </w:pPr>
            <w:r>
              <w:t xml:space="preserve">nfp   </w:t>
            </w:r>
          </w:p>
        </w:tc>
      </w:tr>
      <w:tr w:rsidR="0012790E" w:rsidRPr="001C06E6" w14:paraId="3CCFA48D" w14:textId="77777777">
        <w:tc>
          <w:tcPr>
            <w:tcW w:w="2497" w:type="dxa"/>
            <w:tcBorders>
              <w:top w:val="single" w:sz="4" w:space="0" w:color="293F5B"/>
              <w:bottom w:val="single" w:sz="4" w:space="0" w:color="293F5B"/>
            </w:tcBorders>
            <w:shd w:val="clear" w:color="auto" w:fill="auto"/>
          </w:tcPr>
          <w:p w14:paraId="3C28F062"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099AB64C" w14:textId="77777777" w:rsidR="0012790E" w:rsidRPr="001C06E6" w:rsidRDefault="0012790E">
            <w:pPr>
              <w:pStyle w:val="Totaldatarowrightaligned"/>
              <w:keepNext/>
            </w:pPr>
            <w:r w:rsidRPr="001C06E6">
              <w:t>-28.8</w:t>
            </w:r>
          </w:p>
        </w:tc>
        <w:tc>
          <w:tcPr>
            <w:tcW w:w="1045" w:type="dxa"/>
            <w:tcBorders>
              <w:top w:val="single" w:sz="4" w:space="0" w:color="293F5B"/>
              <w:bottom w:val="single" w:sz="4" w:space="0" w:color="293F5B"/>
            </w:tcBorders>
            <w:shd w:val="clear" w:color="auto" w:fill="auto"/>
          </w:tcPr>
          <w:p w14:paraId="0F503B28" w14:textId="77777777" w:rsidR="0012790E" w:rsidRPr="001C06E6" w:rsidRDefault="0012790E">
            <w:pPr>
              <w:pStyle w:val="Totaldatarowrightaligned"/>
              <w:keepNext/>
            </w:pPr>
            <w:r w:rsidRPr="001C06E6">
              <w:t>192.9</w:t>
            </w:r>
          </w:p>
        </w:tc>
        <w:tc>
          <w:tcPr>
            <w:tcW w:w="1045" w:type="dxa"/>
            <w:tcBorders>
              <w:top w:val="single" w:sz="4" w:space="0" w:color="293F5B"/>
              <w:bottom w:val="single" w:sz="4" w:space="0" w:color="293F5B"/>
            </w:tcBorders>
            <w:shd w:val="clear" w:color="auto" w:fill="auto"/>
          </w:tcPr>
          <w:p w14:paraId="13FA3431" w14:textId="77777777" w:rsidR="0012790E" w:rsidRPr="001C06E6" w:rsidRDefault="0012790E">
            <w:pPr>
              <w:pStyle w:val="Totaldatarowrightaligned"/>
              <w:keepNext/>
            </w:pPr>
            <w:r w:rsidRPr="001C06E6">
              <w:t>349.2</w:t>
            </w:r>
          </w:p>
        </w:tc>
        <w:tc>
          <w:tcPr>
            <w:tcW w:w="1045" w:type="dxa"/>
            <w:tcBorders>
              <w:top w:val="single" w:sz="4" w:space="0" w:color="293F5B"/>
              <w:bottom w:val="single" w:sz="4" w:space="0" w:color="293F5B"/>
            </w:tcBorders>
            <w:shd w:val="clear" w:color="auto" w:fill="auto"/>
          </w:tcPr>
          <w:p w14:paraId="00B0FA4C" w14:textId="77777777" w:rsidR="0012790E" w:rsidRPr="001C06E6" w:rsidRDefault="0012790E">
            <w:pPr>
              <w:pStyle w:val="Totaldatarowrightaligned"/>
              <w:keepNext/>
            </w:pPr>
            <w:r w:rsidRPr="001C06E6">
              <w:t>358.1</w:t>
            </w:r>
          </w:p>
        </w:tc>
        <w:tc>
          <w:tcPr>
            <w:tcW w:w="1045" w:type="dxa"/>
            <w:tcBorders>
              <w:top w:val="single" w:sz="4" w:space="0" w:color="293F5B"/>
              <w:bottom w:val="single" w:sz="4" w:space="0" w:color="293F5B"/>
            </w:tcBorders>
            <w:shd w:val="clear" w:color="auto" w:fill="auto"/>
          </w:tcPr>
          <w:p w14:paraId="207ED575" w14:textId="77777777" w:rsidR="0012790E" w:rsidRPr="001C06E6" w:rsidRDefault="0012790E">
            <w:pPr>
              <w:pStyle w:val="Totaldatarowrightaligned"/>
              <w:keepNext/>
            </w:pPr>
            <w:r w:rsidRPr="001C06E6">
              <w:t>1,010.5</w:t>
            </w:r>
          </w:p>
        </w:tc>
      </w:tr>
      <w:tr w:rsidR="0012790E" w:rsidRPr="001C06E6" w14:paraId="273D2C65" w14:textId="77777777">
        <w:tc>
          <w:tcPr>
            <w:tcW w:w="2497" w:type="dxa"/>
            <w:tcBorders>
              <w:top w:val="single" w:sz="4" w:space="0" w:color="293F5B"/>
            </w:tcBorders>
            <w:shd w:val="clear" w:color="auto" w:fill="auto"/>
          </w:tcPr>
          <w:p w14:paraId="04E8794D"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65822017" w14:textId="77777777" w:rsidR="0012790E" w:rsidRPr="001C06E6" w:rsidRDefault="0012790E">
            <w:pPr>
              <w:pStyle w:val="AgencyName"/>
              <w:keepNext/>
            </w:pPr>
          </w:p>
        </w:tc>
        <w:tc>
          <w:tcPr>
            <w:tcW w:w="1045" w:type="dxa"/>
            <w:tcBorders>
              <w:top w:val="single" w:sz="4" w:space="0" w:color="293F5B"/>
            </w:tcBorders>
            <w:shd w:val="clear" w:color="auto" w:fill="auto"/>
          </w:tcPr>
          <w:p w14:paraId="4C15F722" w14:textId="77777777" w:rsidR="0012790E" w:rsidRPr="001C06E6" w:rsidRDefault="0012790E">
            <w:pPr>
              <w:pStyle w:val="AgencyName"/>
              <w:keepNext/>
            </w:pPr>
          </w:p>
        </w:tc>
        <w:tc>
          <w:tcPr>
            <w:tcW w:w="1045" w:type="dxa"/>
            <w:tcBorders>
              <w:top w:val="single" w:sz="4" w:space="0" w:color="293F5B"/>
            </w:tcBorders>
            <w:shd w:val="clear" w:color="auto" w:fill="auto"/>
          </w:tcPr>
          <w:p w14:paraId="01B6B8F5" w14:textId="77777777" w:rsidR="0012790E" w:rsidRPr="001C06E6" w:rsidRDefault="0012790E">
            <w:pPr>
              <w:pStyle w:val="AgencyName"/>
              <w:keepNext/>
            </w:pPr>
          </w:p>
        </w:tc>
        <w:tc>
          <w:tcPr>
            <w:tcW w:w="1045" w:type="dxa"/>
            <w:tcBorders>
              <w:top w:val="single" w:sz="4" w:space="0" w:color="293F5B"/>
            </w:tcBorders>
            <w:shd w:val="clear" w:color="auto" w:fill="auto"/>
          </w:tcPr>
          <w:p w14:paraId="59E24E2B" w14:textId="77777777" w:rsidR="0012790E" w:rsidRPr="001C06E6" w:rsidRDefault="0012790E">
            <w:pPr>
              <w:pStyle w:val="AgencyName"/>
              <w:keepNext/>
            </w:pPr>
          </w:p>
        </w:tc>
        <w:tc>
          <w:tcPr>
            <w:tcW w:w="1045" w:type="dxa"/>
            <w:tcBorders>
              <w:top w:val="single" w:sz="4" w:space="0" w:color="293F5B"/>
            </w:tcBorders>
            <w:shd w:val="clear" w:color="auto" w:fill="auto"/>
          </w:tcPr>
          <w:p w14:paraId="59DDA62F" w14:textId="77777777" w:rsidR="0012790E" w:rsidRPr="001C06E6" w:rsidRDefault="0012790E">
            <w:pPr>
              <w:pStyle w:val="AgencyName"/>
              <w:keepNext/>
            </w:pPr>
          </w:p>
        </w:tc>
      </w:tr>
      <w:tr w:rsidR="0012790E" w:rsidRPr="001C06E6" w14:paraId="6E997B07" w14:textId="77777777">
        <w:tc>
          <w:tcPr>
            <w:tcW w:w="2497" w:type="dxa"/>
            <w:tcBorders>
              <w:bottom w:val="single" w:sz="4" w:space="0" w:color="293F5B"/>
            </w:tcBorders>
            <w:shd w:val="clear" w:color="auto" w:fill="auto"/>
          </w:tcPr>
          <w:p w14:paraId="70DCF7EE" w14:textId="77777777" w:rsidR="0012790E" w:rsidRPr="001C06E6" w:rsidRDefault="0012790E">
            <w:pPr>
              <w:pStyle w:val="AgencyNamewith2ptsspacing"/>
              <w:keepNext/>
            </w:pPr>
            <w:r w:rsidRPr="001C06E6">
              <w:t>Clean Energy Regulator</w:t>
            </w:r>
          </w:p>
        </w:tc>
        <w:tc>
          <w:tcPr>
            <w:tcW w:w="1045" w:type="dxa"/>
            <w:tcBorders>
              <w:bottom w:val="single" w:sz="4" w:space="0" w:color="293F5B"/>
            </w:tcBorders>
            <w:shd w:val="clear" w:color="auto" w:fill="auto"/>
          </w:tcPr>
          <w:p w14:paraId="68204C1C"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3A14C8AE"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4A639460"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6940068E"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58487410" w14:textId="77777777" w:rsidR="0012790E" w:rsidRPr="001C06E6" w:rsidRDefault="0012790E">
            <w:pPr>
              <w:pStyle w:val="Measuretabledatarightaligneditalics"/>
              <w:keepNext/>
            </w:pPr>
            <w:r w:rsidRPr="001C06E6">
              <w:t>0.1</w:t>
            </w:r>
          </w:p>
        </w:tc>
      </w:tr>
      <w:tr w:rsidR="0012790E" w:rsidRPr="001C06E6" w14:paraId="6745C954" w14:textId="77777777">
        <w:tc>
          <w:tcPr>
            <w:tcW w:w="2497" w:type="dxa"/>
            <w:tcBorders>
              <w:top w:val="single" w:sz="4" w:space="0" w:color="293F5B"/>
              <w:bottom w:val="single" w:sz="4" w:space="0" w:color="293F5B"/>
            </w:tcBorders>
            <w:shd w:val="clear" w:color="auto" w:fill="auto"/>
          </w:tcPr>
          <w:p w14:paraId="1111A6FE" w14:textId="77777777" w:rsidR="0012790E" w:rsidRPr="001C06E6" w:rsidRDefault="0012790E">
            <w:pPr>
              <w:pStyle w:val="AgencyNamewith2ptsspacing"/>
              <w:keepNext/>
            </w:pPr>
            <w:r>
              <w:t xml:space="preserve">Export Finance and Insurance Corporation (National Interest component) </w:t>
            </w:r>
          </w:p>
        </w:tc>
        <w:tc>
          <w:tcPr>
            <w:tcW w:w="1045" w:type="dxa"/>
            <w:tcBorders>
              <w:top w:val="single" w:sz="4" w:space="0" w:color="293F5B"/>
              <w:bottom w:val="single" w:sz="4" w:space="0" w:color="293F5B"/>
            </w:tcBorders>
            <w:shd w:val="clear" w:color="auto" w:fill="auto"/>
          </w:tcPr>
          <w:p w14:paraId="6D402407" w14:textId="77777777" w:rsidR="0012790E" w:rsidRPr="001C06E6" w:rsidRDefault="0012790E">
            <w:pPr>
              <w:pStyle w:val="Measuretabledatarightaligneditalics"/>
              <w:keepNext/>
            </w:pPr>
            <w:r>
              <w:t xml:space="preserve">nfp   </w:t>
            </w:r>
          </w:p>
        </w:tc>
        <w:tc>
          <w:tcPr>
            <w:tcW w:w="1045" w:type="dxa"/>
            <w:tcBorders>
              <w:top w:val="single" w:sz="4" w:space="0" w:color="293F5B"/>
              <w:bottom w:val="single" w:sz="4" w:space="0" w:color="293F5B"/>
            </w:tcBorders>
            <w:shd w:val="clear" w:color="auto" w:fill="auto"/>
          </w:tcPr>
          <w:p w14:paraId="50B324DE" w14:textId="77777777" w:rsidR="0012790E" w:rsidRPr="001C06E6" w:rsidRDefault="0012790E">
            <w:pPr>
              <w:pStyle w:val="Measuretabledatarightaligneditalics"/>
              <w:keepNext/>
            </w:pPr>
            <w:r>
              <w:t xml:space="preserve">nfp   </w:t>
            </w:r>
          </w:p>
        </w:tc>
        <w:tc>
          <w:tcPr>
            <w:tcW w:w="1045" w:type="dxa"/>
            <w:tcBorders>
              <w:top w:val="single" w:sz="4" w:space="0" w:color="293F5B"/>
              <w:bottom w:val="single" w:sz="4" w:space="0" w:color="293F5B"/>
            </w:tcBorders>
            <w:shd w:val="clear" w:color="auto" w:fill="auto"/>
          </w:tcPr>
          <w:p w14:paraId="039A2A19" w14:textId="77777777" w:rsidR="0012790E" w:rsidRPr="001C06E6" w:rsidRDefault="0012790E">
            <w:pPr>
              <w:pStyle w:val="Measuretabledatarightaligneditalics"/>
              <w:keepNext/>
            </w:pPr>
            <w:r>
              <w:t xml:space="preserve">nfp   </w:t>
            </w:r>
          </w:p>
        </w:tc>
        <w:tc>
          <w:tcPr>
            <w:tcW w:w="1045" w:type="dxa"/>
            <w:tcBorders>
              <w:top w:val="single" w:sz="4" w:space="0" w:color="293F5B"/>
              <w:bottom w:val="single" w:sz="4" w:space="0" w:color="293F5B"/>
            </w:tcBorders>
            <w:shd w:val="clear" w:color="auto" w:fill="auto"/>
          </w:tcPr>
          <w:p w14:paraId="4C4DC591" w14:textId="77777777" w:rsidR="0012790E" w:rsidRPr="001C06E6" w:rsidRDefault="0012790E">
            <w:pPr>
              <w:pStyle w:val="Measuretabledatarightaligneditalics"/>
              <w:keepNext/>
            </w:pPr>
            <w:r>
              <w:t xml:space="preserve">nfp   </w:t>
            </w:r>
          </w:p>
        </w:tc>
        <w:tc>
          <w:tcPr>
            <w:tcW w:w="1045" w:type="dxa"/>
            <w:tcBorders>
              <w:top w:val="single" w:sz="4" w:space="0" w:color="293F5B"/>
              <w:bottom w:val="single" w:sz="4" w:space="0" w:color="293F5B"/>
            </w:tcBorders>
            <w:shd w:val="clear" w:color="auto" w:fill="auto"/>
          </w:tcPr>
          <w:p w14:paraId="5EA12643" w14:textId="77777777" w:rsidR="0012790E" w:rsidRPr="001C06E6" w:rsidRDefault="0012790E">
            <w:pPr>
              <w:pStyle w:val="Measuretabledatarightaligneditalics"/>
              <w:keepNext/>
            </w:pPr>
            <w:r>
              <w:t xml:space="preserve">nfp   </w:t>
            </w:r>
          </w:p>
        </w:tc>
      </w:tr>
      <w:tr w:rsidR="0012790E" w:rsidRPr="001C06E6" w14:paraId="70D16527" w14:textId="77777777">
        <w:tc>
          <w:tcPr>
            <w:tcW w:w="2497" w:type="dxa"/>
            <w:tcBorders>
              <w:top w:val="single" w:sz="4" w:space="0" w:color="293F5B"/>
              <w:bottom w:val="single" w:sz="4" w:space="0" w:color="293F5B"/>
            </w:tcBorders>
            <w:shd w:val="clear" w:color="auto" w:fill="auto"/>
          </w:tcPr>
          <w:p w14:paraId="7B49986B" w14:textId="77777777" w:rsidR="0012790E" w:rsidRPr="001C06E6" w:rsidRDefault="0012790E">
            <w:pPr>
              <w:pStyle w:val="Totalrowitalicsleftaligned"/>
              <w:keepNext/>
            </w:pPr>
            <w:r w:rsidRPr="001C06E6">
              <w:t>Total – Receipts</w:t>
            </w:r>
          </w:p>
        </w:tc>
        <w:tc>
          <w:tcPr>
            <w:tcW w:w="1045" w:type="dxa"/>
            <w:tcBorders>
              <w:top w:val="single" w:sz="4" w:space="0" w:color="293F5B"/>
              <w:bottom w:val="single" w:sz="4" w:space="0" w:color="293F5B"/>
            </w:tcBorders>
            <w:shd w:val="clear" w:color="auto" w:fill="auto"/>
          </w:tcPr>
          <w:p w14:paraId="51693935"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4CC4754E"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27D4FD04"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30FB4777"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32F15EDF" w14:textId="77777777" w:rsidR="0012790E" w:rsidRPr="001C06E6" w:rsidRDefault="0012790E">
            <w:pPr>
              <w:pStyle w:val="Totalrowitalicsrightaligned"/>
              <w:keepNext/>
            </w:pPr>
            <w:r w:rsidRPr="001C06E6">
              <w:t>0.1</w:t>
            </w:r>
          </w:p>
        </w:tc>
      </w:tr>
    </w:tbl>
    <w:p w14:paraId="2C2288B3" w14:textId="77777777" w:rsidR="0012790E" w:rsidRPr="001C06E6" w:rsidRDefault="0012790E">
      <w:pPr>
        <w:keepNext/>
        <w:widowControl w:val="0"/>
        <w:tabs>
          <w:tab w:val="right" w:pos="3536"/>
          <w:tab w:val="right" w:pos="4579"/>
          <w:tab w:val="right" w:pos="5622"/>
          <w:tab w:val="right" w:pos="6664"/>
          <w:tab w:val="right" w:pos="7707"/>
        </w:tabs>
        <w:spacing w:line="184" w:lineRule="exact"/>
        <w:rPr>
          <w:i/>
          <w:iCs/>
          <w:color w:val="000000"/>
          <w:sz w:val="16"/>
          <w:szCs w:val="16"/>
          <w:lang w:val="en-AU"/>
        </w:rPr>
      </w:pPr>
    </w:p>
    <w:p w14:paraId="43E2F47F" w14:textId="2B06DCAA" w:rsidR="0012790E" w:rsidRDefault="0012790E" w:rsidP="54937204">
      <w:pPr>
        <w:pStyle w:val="Normal2"/>
        <w:rPr>
          <w:rFonts w:cs="Book Antiqua"/>
          <w:lang w:val="en-US"/>
        </w:rPr>
      </w:pPr>
      <w:r w:rsidRPr="54937204">
        <w:rPr>
          <w:rFonts w:cs="Book Antiqua"/>
          <w:lang w:val="en-US"/>
        </w:rPr>
        <w:t>The Government will provide an estimated $</w:t>
      </w:r>
      <w:r w:rsidR="005455BF">
        <w:rPr>
          <w:rFonts w:cs="Book Antiqua"/>
          <w:lang w:val="en-US"/>
        </w:rPr>
        <w:t>19.7</w:t>
      </w:r>
      <w:r w:rsidRPr="54937204">
        <w:rPr>
          <w:rFonts w:cs="Book Antiqua"/>
          <w:lang w:val="en-US"/>
        </w:rPr>
        <w:t xml:space="preserve"> billion over </w:t>
      </w:r>
      <w:r w:rsidR="005455BF">
        <w:rPr>
          <w:rFonts w:cs="Book Antiqua"/>
          <w:lang w:val="en-US"/>
        </w:rPr>
        <w:t>ten</w:t>
      </w:r>
      <w:r w:rsidRPr="54937204">
        <w:rPr>
          <w:rFonts w:cs="Book Antiqua"/>
          <w:lang w:val="en-US"/>
        </w:rPr>
        <w:t> years from 202</w:t>
      </w:r>
      <w:r w:rsidR="005455BF">
        <w:rPr>
          <w:rFonts w:cs="Book Antiqua"/>
          <w:lang w:val="en-US"/>
        </w:rPr>
        <w:t>4</w:t>
      </w:r>
      <w:r w:rsidRPr="54937204">
        <w:rPr>
          <w:rFonts w:cs="Book Antiqua"/>
          <w:lang w:val="en-US"/>
        </w:rPr>
        <w:t>–2</w:t>
      </w:r>
      <w:r w:rsidR="005455BF">
        <w:rPr>
          <w:rFonts w:cs="Book Antiqua"/>
          <w:lang w:val="en-US"/>
        </w:rPr>
        <w:t>5</w:t>
      </w:r>
      <w:r w:rsidRPr="54937204">
        <w:rPr>
          <w:rFonts w:cs="Book Antiqua"/>
          <w:lang w:val="en-US"/>
        </w:rPr>
        <w:t xml:space="preserve"> to accelerate investment in Future Made in Australia priority industries, including renewable hydrogen, green metals, low carbon liquid fuels, refining and processing of critical minerals and manufacturing of clean energy technologies including in solar and battery supply chains. Funding will catalyse clean energy supply chains and support Australia to become a renewable energy superpower. Funding includes:</w:t>
      </w:r>
    </w:p>
    <w:p w14:paraId="74CA9230" w14:textId="6816F104" w:rsidR="0012790E" w:rsidRDefault="0012790E">
      <w:pPr>
        <w:pStyle w:val="Bullet"/>
      </w:pPr>
      <w:r w:rsidRPr="001C06E6">
        <w:lastRenderedPageBreak/>
        <w:t>An estimated $7.</w:t>
      </w:r>
      <w:r w:rsidR="005455BF">
        <w:t>1</w:t>
      </w:r>
      <w:r w:rsidRPr="001C06E6">
        <w:t xml:space="preserve"> billion over 1</w:t>
      </w:r>
      <w:r w:rsidR="005455BF">
        <w:t>1</w:t>
      </w:r>
      <w:r>
        <w:t> </w:t>
      </w:r>
      <w:r w:rsidRPr="001C06E6">
        <w:t xml:space="preserve">years from </w:t>
      </w:r>
      <w:r>
        <w:t>202</w:t>
      </w:r>
      <w:r w:rsidR="005455BF">
        <w:t>3</w:t>
      </w:r>
      <w:r>
        <w:t>–2</w:t>
      </w:r>
      <w:r w:rsidR="005455BF">
        <w:t>4 (and an average of $1.5 billion per</w:t>
      </w:r>
      <w:r w:rsidR="00922608">
        <w:t> </w:t>
      </w:r>
      <w:r w:rsidR="005455BF">
        <w:t>year from 2034</w:t>
      </w:r>
      <w:r w:rsidR="00922608">
        <w:t>–</w:t>
      </w:r>
      <w:r w:rsidR="005455BF">
        <w:t>35 to 2040</w:t>
      </w:r>
      <w:r w:rsidR="00922608">
        <w:t>–</w:t>
      </w:r>
      <w:r w:rsidR="005455BF">
        <w:t>41)</w:t>
      </w:r>
      <w:r w:rsidRPr="001C06E6">
        <w:t xml:space="preserve"> to support refining and processing of critical minerals, including:</w:t>
      </w:r>
      <w:r>
        <w:t xml:space="preserve"> </w:t>
      </w:r>
    </w:p>
    <w:p w14:paraId="1A57246A" w14:textId="0D851A97" w:rsidR="0012790E" w:rsidRDefault="0012790E">
      <w:pPr>
        <w:pStyle w:val="Dash"/>
      </w:pPr>
      <w:r w:rsidRPr="001C06E6">
        <w:t xml:space="preserve">A Critical Minerals Production Tax Incentive from </w:t>
      </w:r>
      <w:r>
        <w:t>2027–28</w:t>
      </w:r>
      <w:r w:rsidRPr="001C06E6">
        <w:t xml:space="preserve"> to </w:t>
      </w:r>
      <w:r>
        <w:t>20</w:t>
      </w:r>
      <w:r w:rsidR="005455BF">
        <w:t>40</w:t>
      </w:r>
      <w:r>
        <w:t>–4</w:t>
      </w:r>
      <w:r w:rsidR="005455BF">
        <w:t>1</w:t>
      </w:r>
      <w:r w:rsidRPr="001C06E6">
        <w:t xml:space="preserve"> to support downstream refining and processing of Australia’s 31 critical minerals to improve supply chain resilience, at an estimated cost to the budget of $7.</w:t>
      </w:r>
      <w:r w:rsidR="005455BF">
        <w:t>0</w:t>
      </w:r>
      <w:r w:rsidRPr="001C06E6">
        <w:t xml:space="preserve"> billion over 1</w:t>
      </w:r>
      <w:r w:rsidR="005455BF">
        <w:t>1</w:t>
      </w:r>
      <w:r>
        <w:t> </w:t>
      </w:r>
      <w:r w:rsidRPr="001C06E6">
        <w:t xml:space="preserve">years from </w:t>
      </w:r>
      <w:r>
        <w:t>202</w:t>
      </w:r>
      <w:r w:rsidR="005455BF">
        <w:t>3</w:t>
      </w:r>
      <w:r>
        <w:t>–2</w:t>
      </w:r>
      <w:r w:rsidR="005455BF">
        <w:t>4 (and an average of $1.5 billion per year from 2034</w:t>
      </w:r>
      <w:r w:rsidR="00922608">
        <w:t>–</w:t>
      </w:r>
      <w:r w:rsidR="005455BF">
        <w:t xml:space="preserve">35 to </w:t>
      </w:r>
      <w:r w:rsidR="00922608">
        <w:br/>
      </w:r>
      <w:r w:rsidR="005455BF">
        <w:t>2040</w:t>
      </w:r>
      <w:r w:rsidR="00922608">
        <w:t>–</w:t>
      </w:r>
      <w:r w:rsidR="005455BF">
        <w:t>41)</w:t>
      </w:r>
      <w:r>
        <w:t xml:space="preserve"> </w:t>
      </w:r>
    </w:p>
    <w:p w14:paraId="1C1CBC6B" w14:textId="5BFC2C55" w:rsidR="0012790E" w:rsidRDefault="0012790E">
      <w:pPr>
        <w:pStyle w:val="Dash"/>
      </w:pPr>
      <w:r w:rsidRPr="001C06E6">
        <w:t>$10.2</w:t>
      </w:r>
      <w:r>
        <w:t> </w:t>
      </w:r>
      <w:r w:rsidRPr="001C06E6">
        <w:t xml:space="preserve">million in </w:t>
      </w:r>
      <w:r>
        <w:t>2024–25</w:t>
      </w:r>
      <w:r w:rsidRPr="001C06E6">
        <w:t xml:space="preserve"> for pre</w:t>
      </w:r>
      <w:r>
        <w:noBreakHyphen/>
      </w:r>
      <w:r w:rsidRPr="001C06E6">
        <w:t>feasibility studies for critical mineral common</w:t>
      </w:r>
      <w:r>
        <w:noBreakHyphen/>
      </w:r>
      <w:r w:rsidRPr="001C06E6">
        <w:t>user processing facilities in partnership with state and territory governments to enhance Australia’s capacity to process critical minerals, sovereign capability and economic</w:t>
      </w:r>
      <w:r w:rsidR="00C1440A">
        <w:t> </w:t>
      </w:r>
      <w:r w:rsidRPr="001C06E6">
        <w:t>resilience</w:t>
      </w:r>
      <w:r w:rsidR="003831E5">
        <w:t>.</w:t>
      </w:r>
      <w:r>
        <w:t xml:space="preserve"> </w:t>
      </w:r>
    </w:p>
    <w:p w14:paraId="15751A68" w14:textId="091B75C0" w:rsidR="0012790E" w:rsidRDefault="0012790E">
      <w:pPr>
        <w:pStyle w:val="Bullet"/>
      </w:pPr>
      <w:r w:rsidRPr="001C06E6">
        <w:t>An estimated $</w:t>
      </w:r>
      <w:r w:rsidR="005455BF">
        <w:t>8.0</w:t>
      </w:r>
      <w:r w:rsidRPr="001C06E6">
        <w:t xml:space="preserve"> billion over </w:t>
      </w:r>
      <w:r w:rsidR="005455BF">
        <w:t>ten</w:t>
      </w:r>
      <w:r>
        <w:t> </w:t>
      </w:r>
      <w:r w:rsidRPr="001C06E6">
        <w:t xml:space="preserve">years from </w:t>
      </w:r>
      <w:r>
        <w:t>2024–25</w:t>
      </w:r>
      <w:r w:rsidR="005455BF">
        <w:t xml:space="preserve"> (and an average of $1.2</w:t>
      </w:r>
      <w:r w:rsidR="00922608">
        <w:t> </w:t>
      </w:r>
      <w:r w:rsidR="005455BF">
        <w:t>billion per</w:t>
      </w:r>
      <w:r w:rsidR="00922608">
        <w:t> </w:t>
      </w:r>
      <w:r w:rsidR="005455BF">
        <w:t>year from 2034</w:t>
      </w:r>
      <w:r w:rsidR="00922608">
        <w:t>–</w:t>
      </w:r>
      <w:r w:rsidR="005455BF">
        <w:t>35 to 2040</w:t>
      </w:r>
      <w:r w:rsidR="00922608">
        <w:t>–</w:t>
      </w:r>
      <w:r w:rsidR="005455BF">
        <w:t>41)</w:t>
      </w:r>
      <w:r w:rsidRPr="001C06E6">
        <w:t xml:space="preserve"> to support the production of renewable hydrogen,</w:t>
      </w:r>
      <w:r w:rsidR="00C1440A">
        <w:t> </w:t>
      </w:r>
      <w:r w:rsidRPr="001C06E6">
        <w:t>including:</w:t>
      </w:r>
      <w:r>
        <w:t xml:space="preserve"> </w:t>
      </w:r>
    </w:p>
    <w:p w14:paraId="4882D0D6" w14:textId="4659CAE7" w:rsidR="0012790E" w:rsidRDefault="0012790E">
      <w:pPr>
        <w:pStyle w:val="Dash"/>
      </w:pPr>
      <w:r w:rsidRPr="001C06E6">
        <w:t xml:space="preserve">A Hydrogen Production Tax Incentive from </w:t>
      </w:r>
      <w:r>
        <w:t>2027–28</w:t>
      </w:r>
      <w:r w:rsidRPr="001C06E6">
        <w:t xml:space="preserve"> to </w:t>
      </w:r>
      <w:r>
        <w:t>20</w:t>
      </w:r>
      <w:r w:rsidR="005455BF">
        <w:t>40</w:t>
      </w:r>
      <w:r>
        <w:t>–4</w:t>
      </w:r>
      <w:r w:rsidR="005455BF">
        <w:t>1</w:t>
      </w:r>
      <w:r w:rsidRPr="001C06E6">
        <w:t xml:space="preserve"> to producers of renewable hydrogen to support the growth of a competitive hydrogen industry and Australia’s decarbonisation, at an estimated cost to the budget of $</w:t>
      </w:r>
      <w:r w:rsidR="005455BF">
        <w:t>6.7</w:t>
      </w:r>
      <w:r w:rsidRPr="001C06E6">
        <w:t xml:space="preserve"> billion over </w:t>
      </w:r>
      <w:r w:rsidR="00374D9A">
        <w:t>ten</w:t>
      </w:r>
      <w:r>
        <w:t> </w:t>
      </w:r>
      <w:r w:rsidRPr="001C06E6">
        <w:t xml:space="preserve">years from </w:t>
      </w:r>
      <w:r>
        <w:t>2024</w:t>
      </w:r>
      <w:r w:rsidR="00922608">
        <w:t>–</w:t>
      </w:r>
      <w:r>
        <w:t>25</w:t>
      </w:r>
      <w:r w:rsidR="005455BF">
        <w:t xml:space="preserve"> (and an average of $1.1 billion per year from 2034</w:t>
      </w:r>
      <w:r w:rsidR="00922608">
        <w:t>–</w:t>
      </w:r>
      <w:r w:rsidR="005455BF">
        <w:t xml:space="preserve">35 to </w:t>
      </w:r>
      <w:r w:rsidR="00922608">
        <w:br/>
      </w:r>
      <w:r w:rsidR="005455BF">
        <w:t>2040</w:t>
      </w:r>
      <w:r w:rsidR="00922608">
        <w:t>–</w:t>
      </w:r>
      <w:r w:rsidR="005455BF">
        <w:t>41)</w:t>
      </w:r>
      <w:r>
        <w:t xml:space="preserve"> </w:t>
      </w:r>
    </w:p>
    <w:p w14:paraId="5D927F67" w14:textId="247529B7" w:rsidR="0012790E" w:rsidRDefault="0012790E">
      <w:pPr>
        <w:pStyle w:val="Dash"/>
      </w:pPr>
      <w:r w:rsidRPr="001C06E6">
        <w:t>$</w:t>
      </w:r>
      <w:r w:rsidR="005455BF">
        <w:t>1.3</w:t>
      </w:r>
      <w:r w:rsidRPr="001C06E6">
        <w:t xml:space="preserve"> billion over </w:t>
      </w:r>
      <w:r w:rsidR="005455BF">
        <w:t>ten</w:t>
      </w:r>
      <w:r>
        <w:t> </w:t>
      </w:r>
      <w:r w:rsidRPr="001C06E6">
        <w:t xml:space="preserve">years from </w:t>
      </w:r>
      <w:r>
        <w:t>2024–25</w:t>
      </w:r>
      <w:r w:rsidR="005455BF">
        <w:t xml:space="preserve"> (and an average of $151.6 million per</w:t>
      </w:r>
      <w:r w:rsidR="00922608">
        <w:t> </w:t>
      </w:r>
      <w:r w:rsidR="005455BF">
        <w:t>year from 2034</w:t>
      </w:r>
      <w:r w:rsidR="00922608">
        <w:t>–</w:t>
      </w:r>
      <w:r w:rsidR="005455BF">
        <w:t>35 to 2038</w:t>
      </w:r>
      <w:r w:rsidR="00922608">
        <w:t>–</w:t>
      </w:r>
      <w:r w:rsidR="005455BF">
        <w:t>39)</w:t>
      </w:r>
      <w:r w:rsidRPr="001C06E6">
        <w:t xml:space="preserve"> for an additional round of the Hydrogen Headstart program to bridge the green premium for early</w:t>
      </w:r>
      <w:r>
        <w:noBreakHyphen/>
      </w:r>
      <w:r w:rsidRPr="001C06E6">
        <w:t>mover renewable hydrogen projects</w:t>
      </w:r>
      <w:r>
        <w:t xml:space="preserve"> </w:t>
      </w:r>
    </w:p>
    <w:p w14:paraId="582E6E34" w14:textId="60B22AF7" w:rsidR="0012790E" w:rsidRDefault="0012790E">
      <w:pPr>
        <w:pStyle w:val="Dash"/>
      </w:pPr>
      <w:r w:rsidRPr="001C06E6">
        <w:t>$17.1</w:t>
      </w:r>
      <w:r>
        <w:t> </w:t>
      </w:r>
      <w:r w:rsidRPr="001C06E6">
        <w:t xml:space="preserve">million over four years from </w:t>
      </w:r>
      <w:r>
        <w:t>2024</w:t>
      </w:r>
      <w:r w:rsidR="00922608">
        <w:t>–</w:t>
      </w:r>
      <w:r>
        <w:t>25</w:t>
      </w:r>
      <w:r w:rsidRPr="001C06E6">
        <w:t xml:space="preserve"> (and an additional $2.5</w:t>
      </w:r>
      <w:r>
        <w:t> </w:t>
      </w:r>
      <w:r w:rsidRPr="001C06E6">
        <w:t xml:space="preserve">million in </w:t>
      </w:r>
      <w:r w:rsidR="00922608">
        <w:br/>
      </w:r>
      <w:r>
        <w:t>2028–29</w:t>
      </w:r>
      <w:r w:rsidRPr="001C06E6">
        <w:t>) to deliver the 2024 National Hydrogen Strategy, including hydrogen infrastructure planning, social license and industry safety training and regulation</w:t>
      </w:r>
      <w:r w:rsidR="00D013FA">
        <w:t>.</w:t>
      </w:r>
      <w:r>
        <w:t xml:space="preserve"> </w:t>
      </w:r>
    </w:p>
    <w:p w14:paraId="0846AE4A" w14:textId="723257F4" w:rsidR="0012790E" w:rsidRDefault="0012790E">
      <w:pPr>
        <w:pStyle w:val="Bullet"/>
      </w:pPr>
      <w:r w:rsidRPr="001C06E6">
        <w:t>$1.</w:t>
      </w:r>
      <w:r w:rsidR="005455BF">
        <w:t>5</w:t>
      </w:r>
      <w:r w:rsidRPr="001C06E6">
        <w:t xml:space="preserve"> billion over </w:t>
      </w:r>
      <w:r w:rsidR="005455BF">
        <w:t>seven</w:t>
      </w:r>
      <w:r>
        <w:t> </w:t>
      </w:r>
      <w:r w:rsidRPr="001C06E6">
        <w:t xml:space="preserve">years from </w:t>
      </w:r>
      <w:r>
        <w:t>2027–28</w:t>
      </w:r>
      <w:r w:rsidR="005455BF">
        <w:t xml:space="preserve"> (and an average of $125.0 million per year from 2034</w:t>
      </w:r>
      <w:r w:rsidR="00922608">
        <w:t>–</w:t>
      </w:r>
      <w:r w:rsidR="005455BF">
        <w:t>35 to 2036</w:t>
      </w:r>
      <w:r w:rsidR="00922608">
        <w:t>–</w:t>
      </w:r>
      <w:r w:rsidR="005455BF">
        <w:t>37)</w:t>
      </w:r>
      <w:r w:rsidRPr="001C06E6">
        <w:t xml:space="preserve"> to the Australian Renewable Energy Agency to supercharge ARENA’s core investments in renewable energy and related technologies, including for the development, demonstration, commercialisation, manufacture and deployment of renewable energy technologies that will help make Australia a renewable energy superpower.</w:t>
      </w:r>
      <w:r>
        <w:t xml:space="preserve"> </w:t>
      </w:r>
    </w:p>
    <w:p w14:paraId="1A9907DB" w14:textId="30AE4247" w:rsidR="0012790E" w:rsidRDefault="0012790E">
      <w:pPr>
        <w:pStyle w:val="Bullet"/>
      </w:pPr>
      <w:r w:rsidRPr="001C06E6">
        <w:t xml:space="preserve">$1.7 billion over </w:t>
      </w:r>
      <w:r w:rsidR="005455BF">
        <w:t>ten</w:t>
      </w:r>
      <w:r>
        <w:t> </w:t>
      </w:r>
      <w:r w:rsidRPr="001C06E6">
        <w:t xml:space="preserve">years from </w:t>
      </w:r>
      <w:r>
        <w:t>2024–25</w:t>
      </w:r>
      <w:r w:rsidRPr="001C06E6">
        <w:t xml:space="preserve"> for the Future Made in Australia Innovation Fund, to be administered by the Australian Renewable Energy Agency, to support innovation, commercialisation, pilot and demonstration projects and early stage development in priority sectors, including renewable hydrogen, green metals, low carbon liquid fuels and clean energy technology manufacturing such as batteries.</w:t>
      </w:r>
      <w:r>
        <w:t xml:space="preserve"> </w:t>
      </w:r>
    </w:p>
    <w:p w14:paraId="7BCF0E28" w14:textId="6EEB6CB2" w:rsidR="0012790E" w:rsidRDefault="0012790E">
      <w:pPr>
        <w:pStyle w:val="Bullet"/>
      </w:pPr>
      <w:r w:rsidRPr="001C06E6">
        <w:t>$1.</w:t>
      </w:r>
      <w:r w:rsidR="005455BF">
        <w:t>4</w:t>
      </w:r>
      <w:r w:rsidRPr="001C06E6">
        <w:t xml:space="preserve"> billion over 1</w:t>
      </w:r>
      <w:r w:rsidR="005455BF">
        <w:t>1</w:t>
      </w:r>
      <w:r>
        <w:t> </w:t>
      </w:r>
      <w:r w:rsidRPr="001C06E6">
        <w:t xml:space="preserve">years from </w:t>
      </w:r>
      <w:r>
        <w:t>2023–24</w:t>
      </w:r>
      <w:r w:rsidR="005455BF">
        <w:t xml:space="preserve"> (and $66.8 million per year from 2034</w:t>
      </w:r>
      <w:r w:rsidR="00922608">
        <w:t>–</w:t>
      </w:r>
      <w:r w:rsidR="005455BF">
        <w:t>35 to 203</w:t>
      </w:r>
      <w:r w:rsidR="000E7AC6">
        <w:t>6</w:t>
      </w:r>
      <w:r w:rsidR="00922608">
        <w:t>–</w:t>
      </w:r>
      <w:r w:rsidR="005455BF">
        <w:t>37)</w:t>
      </w:r>
      <w:r w:rsidRPr="001C06E6">
        <w:t xml:space="preserve"> to support manufacturing of clean energy technologies, including:</w:t>
      </w:r>
      <w:r>
        <w:t xml:space="preserve"> </w:t>
      </w:r>
    </w:p>
    <w:p w14:paraId="515F1E2C" w14:textId="6F5E768F" w:rsidR="0012790E" w:rsidRDefault="0012790E">
      <w:pPr>
        <w:pStyle w:val="Dash"/>
      </w:pPr>
      <w:r w:rsidRPr="001C06E6">
        <w:lastRenderedPageBreak/>
        <w:t>$</w:t>
      </w:r>
      <w:r w:rsidR="005455BF">
        <w:t>835.6</w:t>
      </w:r>
      <w:r w:rsidRPr="001C06E6">
        <w:t xml:space="preserve"> </w:t>
      </w:r>
      <w:r w:rsidR="005455BF">
        <w:t>m</w:t>
      </w:r>
      <w:r w:rsidRPr="001C06E6">
        <w:t xml:space="preserve">illion over </w:t>
      </w:r>
      <w:r w:rsidR="005455BF">
        <w:t xml:space="preserve">ten </w:t>
      </w:r>
      <w:r w:rsidRPr="001C06E6">
        <w:t xml:space="preserve">years from </w:t>
      </w:r>
      <w:r>
        <w:t>2024–25</w:t>
      </w:r>
      <w:r w:rsidR="005455BF">
        <w:t xml:space="preserve"> (and $66.8 million per year from 2034</w:t>
      </w:r>
      <w:r w:rsidR="00922608">
        <w:t>–</w:t>
      </w:r>
      <w:r w:rsidR="005455BF">
        <w:t>35 to 2036</w:t>
      </w:r>
      <w:r w:rsidR="00922608">
        <w:t>–</w:t>
      </w:r>
      <w:r w:rsidR="005455BF">
        <w:t>37)</w:t>
      </w:r>
      <w:r w:rsidRPr="001C06E6">
        <w:t xml:space="preserve"> to establish the Solar Sunshot program administered by the Australian Renewable Energy Agency to promote the development of solar manufacturing capabilities, and improve the industry’s supply chain resilience through production incentives and other forms of support</w:t>
      </w:r>
      <w:r>
        <w:t xml:space="preserve"> </w:t>
      </w:r>
    </w:p>
    <w:p w14:paraId="491571C0" w14:textId="77777777" w:rsidR="0012790E" w:rsidRDefault="0012790E">
      <w:pPr>
        <w:pStyle w:val="Dash"/>
      </w:pPr>
      <w:r w:rsidRPr="001C06E6">
        <w:t>$549.0</w:t>
      </w:r>
      <w:r>
        <w:t> </w:t>
      </w:r>
      <w:r w:rsidRPr="001C06E6">
        <w:t xml:space="preserve">million over eight years from </w:t>
      </w:r>
      <w:r>
        <w:t>2023–24</w:t>
      </w:r>
      <w:r w:rsidRPr="001C06E6">
        <w:t xml:space="preserve"> to support battery manufacturing, including:</w:t>
      </w:r>
      <w:r>
        <w:t xml:space="preserve"> </w:t>
      </w:r>
    </w:p>
    <w:p w14:paraId="56B99E94" w14:textId="61E09E34" w:rsidR="0012790E" w:rsidRDefault="0012790E" w:rsidP="00AC2FA9">
      <w:pPr>
        <w:pStyle w:val="DoubleDot"/>
      </w:pPr>
      <w:r w:rsidRPr="001C06E6">
        <w:t>$523.2</w:t>
      </w:r>
      <w:r>
        <w:t> </w:t>
      </w:r>
      <w:r w:rsidRPr="001C06E6">
        <w:t xml:space="preserve">million over seven years from </w:t>
      </w:r>
      <w:r>
        <w:t>2024–25</w:t>
      </w:r>
      <w:r w:rsidRPr="001C06E6">
        <w:t xml:space="preserve"> to establish the Battery Breakthrough Initiative, administered by the Australian Renewable Energy Agency, to promote the development of battery manufacturing capabilities</w:t>
      </w:r>
      <w:r>
        <w:t xml:space="preserve"> </w:t>
      </w:r>
      <w:r w:rsidRPr="001C06E6">
        <w:t>through production incentives targeted at the highest value opportunities in the supply chain</w:t>
      </w:r>
    </w:p>
    <w:p w14:paraId="2A0566B7" w14:textId="7A46E099" w:rsidR="0012790E" w:rsidRDefault="0012790E" w:rsidP="00AC2FA9">
      <w:pPr>
        <w:pStyle w:val="DoubleDot"/>
      </w:pPr>
      <w:r w:rsidRPr="001C06E6">
        <w:t>$20.3</w:t>
      </w:r>
      <w:r>
        <w:t> </w:t>
      </w:r>
      <w:r w:rsidRPr="001C06E6">
        <w:t xml:space="preserve">million over five years from </w:t>
      </w:r>
      <w:r>
        <w:t>2023–24</w:t>
      </w:r>
      <w:r w:rsidRPr="001C06E6">
        <w:t xml:space="preserve"> for the Powering Australia Industry Growth Centre and the Future Battery Industries Cooperative Research Centre to</w:t>
      </w:r>
      <w:r w:rsidR="00C1440A">
        <w:t> </w:t>
      </w:r>
      <w:r w:rsidRPr="001C06E6">
        <w:t>enhance industry and research collaboration, including workforce training for battery research, manufacturing, transport and recycling</w:t>
      </w:r>
      <w:r>
        <w:t xml:space="preserve"> </w:t>
      </w:r>
    </w:p>
    <w:p w14:paraId="2C4230E1" w14:textId="77777777" w:rsidR="0012790E" w:rsidRDefault="0012790E" w:rsidP="00AC2FA9">
      <w:pPr>
        <w:pStyle w:val="DoubleDot"/>
      </w:pPr>
      <w:r w:rsidRPr="001C06E6">
        <w:t>$5.6</w:t>
      </w:r>
      <w:r>
        <w:t> </w:t>
      </w:r>
      <w:r w:rsidRPr="001C06E6">
        <w:t xml:space="preserve">million in </w:t>
      </w:r>
      <w:r>
        <w:t>2024–25</w:t>
      </w:r>
      <w:r w:rsidRPr="001C06E6">
        <w:t xml:space="preserve"> to support delivery of the Australian Made Battery Manufacturing Precinct to drive battery manufacturing in Australia.</w:t>
      </w:r>
      <w:r>
        <w:t xml:space="preserve"> </w:t>
      </w:r>
    </w:p>
    <w:p w14:paraId="0259FCA3" w14:textId="77777777" w:rsidR="0012790E" w:rsidRDefault="0012790E">
      <w:pPr>
        <w:pStyle w:val="Dash"/>
      </w:pPr>
      <w:r w:rsidRPr="001C06E6">
        <w:t>$2.0</w:t>
      </w:r>
      <w:r>
        <w:t> </w:t>
      </w:r>
      <w:r w:rsidRPr="001C06E6">
        <w:t xml:space="preserve">million over two years from </w:t>
      </w:r>
      <w:r>
        <w:t>2024–25</w:t>
      </w:r>
      <w:r w:rsidRPr="001C06E6">
        <w:t xml:space="preserve"> for a techno</w:t>
      </w:r>
      <w:r>
        <w:noBreakHyphen/>
      </w:r>
      <w:r w:rsidRPr="001C06E6">
        <w:t>economic feasibility study to explore solar value chain opportunities that could be generated from developing a green polysilicon industry in Australia, including through export and cooperative international opportunities.</w:t>
      </w:r>
      <w:r>
        <w:t xml:space="preserve"> </w:t>
      </w:r>
    </w:p>
    <w:p w14:paraId="513DA4F9" w14:textId="65E03FAC" w:rsidR="0012790E" w:rsidRDefault="0012790E">
      <w:pPr>
        <w:pStyle w:val="Bullet"/>
      </w:pPr>
      <w:r w:rsidRPr="001C06E6">
        <w:t>$20.9</w:t>
      </w:r>
      <w:r>
        <w:t> </w:t>
      </w:r>
      <w:r w:rsidRPr="001C06E6">
        <w:t xml:space="preserve">million over four years from </w:t>
      </w:r>
      <w:r>
        <w:t>2024–25</w:t>
      </w:r>
      <w:r w:rsidRPr="001C06E6">
        <w:t xml:space="preserve"> (and $1.2</w:t>
      </w:r>
      <w:r>
        <w:t> </w:t>
      </w:r>
      <w:r w:rsidRPr="001C06E6">
        <w:t xml:space="preserve">million per year ongoing) to undertake further consultation on incentives to support the production of, and demand for, </w:t>
      </w:r>
      <w:r w:rsidR="005455BF">
        <w:t>l</w:t>
      </w:r>
      <w:r w:rsidRPr="001C06E6">
        <w:t xml:space="preserve">ow </w:t>
      </w:r>
      <w:r w:rsidR="005455BF">
        <w:t>c</w:t>
      </w:r>
      <w:r w:rsidRPr="001C06E6">
        <w:t xml:space="preserve">arbon </w:t>
      </w:r>
      <w:r w:rsidR="005455BF">
        <w:t>l</w:t>
      </w:r>
      <w:r w:rsidRPr="001C06E6">
        <w:t xml:space="preserve">iquid </w:t>
      </w:r>
      <w:r w:rsidR="005455BF">
        <w:t>f</w:t>
      </w:r>
      <w:r w:rsidRPr="001C06E6">
        <w:t xml:space="preserve">uels, as well as the development of a </w:t>
      </w:r>
      <w:r w:rsidR="005455BF">
        <w:t>l</w:t>
      </w:r>
      <w:r w:rsidRPr="001C06E6">
        <w:t xml:space="preserve">ow </w:t>
      </w:r>
      <w:r w:rsidR="005455BF">
        <w:t>c</w:t>
      </w:r>
      <w:r w:rsidRPr="001C06E6">
        <w:t xml:space="preserve">arbon </w:t>
      </w:r>
      <w:r w:rsidR="005455BF">
        <w:t>l</w:t>
      </w:r>
      <w:r w:rsidRPr="001C06E6">
        <w:t xml:space="preserve">iquid </w:t>
      </w:r>
      <w:r w:rsidR="005455BF">
        <w:t>f</w:t>
      </w:r>
      <w:r w:rsidRPr="001C06E6">
        <w:t>uels certification scheme through the Guarantee of Origin Scheme</w:t>
      </w:r>
      <w:r w:rsidR="005D4F70">
        <w:t>.</w:t>
      </w:r>
      <w:r>
        <w:t xml:space="preserve"> </w:t>
      </w:r>
    </w:p>
    <w:p w14:paraId="44EEC14C" w14:textId="2E6B22B9" w:rsidR="0012790E" w:rsidRDefault="0012790E">
      <w:pPr>
        <w:pStyle w:val="Bullet"/>
      </w:pPr>
      <w:r w:rsidRPr="001C06E6">
        <w:t>$18.1</w:t>
      </w:r>
      <w:r>
        <w:t> </w:t>
      </w:r>
      <w:r w:rsidRPr="001C06E6">
        <w:t xml:space="preserve">million over six years from </w:t>
      </w:r>
      <w:r>
        <w:t>2024–25</w:t>
      </w:r>
      <w:r w:rsidRPr="001C06E6">
        <w:t xml:space="preserve"> for foundational initiatives to expedite the emergence of Australia’s green metals industry, including through enhanced industry and research collaboration, exploration of opportunities to improve the use of Australian scrap metal and undertaking of further consultation on incentives to support the production of green iron, steel, alumina and aluminum</w:t>
      </w:r>
      <w:r w:rsidR="005D4F70">
        <w:t>.</w:t>
      </w:r>
      <w:r>
        <w:t xml:space="preserve"> </w:t>
      </w:r>
    </w:p>
    <w:p w14:paraId="167A4D1D" w14:textId="00134787" w:rsidR="0012790E" w:rsidRDefault="0012790E">
      <w:pPr>
        <w:pStyle w:val="Bullet"/>
      </w:pPr>
      <w:r w:rsidRPr="001C06E6">
        <w:t>$11.4</w:t>
      </w:r>
      <w:r>
        <w:t> </w:t>
      </w:r>
      <w:r w:rsidRPr="001C06E6">
        <w:t xml:space="preserve">million over four years from </w:t>
      </w:r>
      <w:r>
        <w:t>2024–25</w:t>
      </w:r>
      <w:r w:rsidRPr="001C06E6">
        <w:t xml:space="preserve"> (and $1.1</w:t>
      </w:r>
      <w:r>
        <w:t> </w:t>
      </w:r>
      <w:r w:rsidRPr="001C06E6">
        <w:t>million per year ongoing) to fast track the initial phase of the G</w:t>
      </w:r>
      <w:r w:rsidR="005455BF">
        <w:t>uarantee of Origin</w:t>
      </w:r>
      <w:r w:rsidRPr="001C06E6">
        <w:t xml:space="preserve"> Scheme for green hydrogen and bring forward work on green metals, including iron, steel and aluminium.</w:t>
      </w:r>
      <w:r>
        <w:t xml:space="preserve"> </w:t>
      </w:r>
    </w:p>
    <w:p w14:paraId="6CED1677" w14:textId="7D9A54FD" w:rsidR="0012790E" w:rsidRDefault="0012790E" w:rsidP="54937204">
      <w:pPr>
        <w:pStyle w:val="Normal2"/>
        <w:rPr>
          <w:rFonts w:cs="Book Antiqua"/>
          <w:lang w:val="en-US"/>
        </w:rPr>
      </w:pPr>
      <w:r w:rsidRPr="54937204">
        <w:rPr>
          <w:rFonts w:cs="Book Antiqua"/>
          <w:lang w:val="en-US"/>
        </w:rPr>
        <w:t>The Government will also make up to $1.2 billion in strategic investments in priority critical minerals projects including up to $655</w:t>
      </w:r>
      <w:r w:rsidR="005D4F70">
        <w:rPr>
          <w:rFonts w:cs="Book Antiqua"/>
          <w:lang w:val="en-US"/>
        </w:rPr>
        <w:t>.0</w:t>
      </w:r>
      <w:r w:rsidRPr="54937204">
        <w:rPr>
          <w:rFonts w:cs="Book Antiqua"/>
          <w:lang w:val="en-US"/>
        </w:rPr>
        <w:t> million under the Critical Minerals Facility and up</w:t>
      </w:r>
      <w:r w:rsidR="00C1440A">
        <w:rPr>
          <w:rFonts w:cs="Book Antiqua"/>
          <w:lang w:val="en-US"/>
        </w:rPr>
        <w:t> </w:t>
      </w:r>
      <w:r w:rsidRPr="54937204">
        <w:rPr>
          <w:rFonts w:cs="Book Antiqua"/>
          <w:lang w:val="en-US"/>
        </w:rPr>
        <w:t>to $400</w:t>
      </w:r>
      <w:r w:rsidR="005D4F70">
        <w:rPr>
          <w:rFonts w:cs="Book Antiqua"/>
          <w:lang w:val="en-US"/>
        </w:rPr>
        <w:t>.0</w:t>
      </w:r>
      <w:r w:rsidRPr="54937204">
        <w:rPr>
          <w:rFonts w:cs="Book Antiqua"/>
          <w:lang w:val="en-US"/>
        </w:rPr>
        <w:t xml:space="preserve"> million through the Northern Australia Infrastructure Facility. This includes financing to support the Alpha HPA alumina project in Queensland and Arafura Rare Earth’s Nolans Rare Earth project in the Northern Territory. The Government has also </w:t>
      </w:r>
      <w:r w:rsidRPr="54937204">
        <w:rPr>
          <w:rFonts w:cs="Book Antiqua"/>
          <w:lang w:val="en-US"/>
        </w:rPr>
        <w:lastRenderedPageBreak/>
        <w:t xml:space="preserve">revised the terms of its support to Renascor Resources Limited. The financial implications of this support is not for publication (nfp) due to commercial sensitivities. </w:t>
      </w:r>
    </w:p>
    <w:p w14:paraId="5E83D7A1" w14:textId="77777777" w:rsidR="0012790E" w:rsidRDefault="0012790E">
      <w:pPr>
        <w:pStyle w:val="Normal2"/>
        <w:rPr>
          <w:rFonts w:cs="Book Antiqua"/>
        </w:rPr>
      </w:pPr>
      <w:r w:rsidRPr="001C06E6">
        <w:rPr>
          <w:rFonts w:cs="Book Antiqua"/>
        </w:rPr>
        <w:t>The Government has already provided partial funding for this measure.</w:t>
      </w:r>
      <w:r>
        <w:rPr>
          <w:rFonts w:cs="Book Antiqua"/>
        </w:rPr>
        <w:t xml:space="preserve"> </w:t>
      </w:r>
    </w:p>
    <w:p w14:paraId="02F413D5" w14:textId="0E5C0752" w:rsidR="0012790E" w:rsidRDefault="0012790E" w:rsidP="54937204">
      <w:pPr>
        <w:pStyle w:val="Normal2"/>
        <w:rPr>
          <w:rFonts w:cs="Book Antiqua"/>
          <w:lang w:val="en-US"/>
        </w:rPr>
      </w:pPr>
      <w:r w:rsidRPr="54937204">
        <w:rPr>
          <w:rFonts w:cs="Book Antiqua"/>
          <w:lang w:val="en-US"/>
        </w:rPr>
        <w:t xml:space="preserve">Funding for the Battery Breakthrough Initiative, the Solar Sunshot program, the Innovation Fund and the expansion of </w:t>
      </w:r>
      <w:r w:rsidR="005455BF">
        <w:rPr>
          <w:rFonts w:cs="Book Antiqua"/>
          <w:lang w:val="en-US"/>
        </w:rPr>
        <w:t xml:space="preserve">the </w:t>
      </w:r>
      <w:r w:rsidRPr="54937204">
        <w:rPr>
          <w:rFonts w:cs="Book Antiqua"/>
          <w:lang w:val="en-US"/>
        </w:rPr>
        <w:t xml:space="preserve">Australian Renewable Energy Agency will be held in the Contingency Reserve pending consultation and design. </w:t>
      </w:r>
    </w:p>
    <w:p w14:paraId="68A98BC6" w14:textId="7EABBFA9" w:rsidR="0012790E" w:rsidRDefault="0012790E" w:rsidP="54937204">
      <w:pPr>
        <w:pStyle w:val="Normal2"/>
        <w:rPr>
          <w:rFonts w:cs="Book Antiqua"/>
          <w:lang w:val="en-US"/>
        </w:rPr>
      </w:pPr>
      <w:r w:rsidRPr="54937204">
        <w:rPr>
          <w:rFonts w:cs="Book Antiqua"/>
          <w:lang w:val="en-US"/>
        </w:rPr>
        <w:t xml:space="preserve">The cost of this measure will be partially met through funding from the Strategic International Partnerships Investment Stream and from savings identified in the Department of Industry, Science and Resources. </w:t>
      </w:r>
    </w:p>
    <w:p w14:paraId="4B640A04" w14:textId="77777777" w:rsidR="0012790E" w:rsidRDefault="0012790E" w:rsidP="54937204">
      <w:pPr>
        <w:pStyle w:val="Normal2"/>
        <w:rPr>
          <w:rFonts w:cs="Book Antiqua"/>
          <w:lang w:val="en-US"/>
        </w:rPr>
      </w:pPr>
      <w:r w:rsidRPr="54937204">
        <w:rPr>
          <w:rFonts w:cs="Book Antiqua"/>
          <w:lang w:val="en-US"/>
        </w:rPr>
        <w:t xml:space="preserve">The measure builds on the 2022–23 October Budget measure titled </w:t>
      </w:r>
      <w:r w:rsidRPr="54937204">
        <w:rPr>
          <w:rFonts w:cs="Book Antiqua"/>
          <w:i/>
          <w:iCs/>
          <w:lang w:val="en-US"/>
        </w:rPr>
        <w:t xml:space="preserve">Enabling a Low Emissions Future and Supporting Green Markets, </w:t>
      </w:r>
      <w:r w:rsidRPr="54937204">
        <w:rPr>
          <w:rFonts w:cs="Book Antiqua"/>
          <w:lang w:val="en-US"/>
        </w:rPr>
        <w:t xml:space="preserve">the 2023–24 Budget measures titled </w:t>
      </w:r>
      <w:r w:rsidRPr="54937204">
        <w:rPr>
          <w:rFonts w:cs="Book Antiqua"/>
          <w:i/>
          <w:iCs/>
          <w:lang w:val="en-US"/>
        </w:rPr>
        <w:t>Hydrogen Headstart</w:t>
      </w:r>
      <w:r w:rsidRPr="54937204">
        <w:rPr>
          <w:rFonts w:cs="Book Antiqua"/>
          <w:lang w:val="en-US"/>
        </w:rPr>
        <w:t xml:space="preserve"> and </w:t>
      </w:r>
      <w:r w:rsidRPr="54937204">
        <w:rPr>
          <w:rFonts w:cs="Book Antiqua"/>
          <w:i/>
          <w:iCs/>
          <w:lang w:val="en-US"/>
        </w:rPr>
        <w:t>Guarantee of Origin</w:t>
      </w:r>
      <w:r w:rsidRPr="54937204">
        <w:rPr>
          <w:rFonts w:cs="Book Antiqua"/>
          <w:lang w:val="en-US"/>
        </w:rPr>
        <w:t xml:space="preserve"> and the 2023–24 MYEFO measure titled </w:t>
      </w:r>
      <w:r w:rsidRPr="54937204">
        <w:rPr>
          <w:rFonts w:cs="Book Antiqua"/>
          <w:i/>
          <w:iCs/>
          <w:lang w:val="en-US"/>
        </w:rPr>
        <w:t>Working with the Australian Critical Minerals Industry to Unlock Investment in Enabling Infrastructure</w:t>
      </w:r>
      <w:r w:rsidRPr="54937204">
        <w:rPr>
          <w:rFonts w:cs="Book Antiqua"/>
          <w:lang w:val="en-US"/>
        </w:rPr>
        <w:t xml:space="preserve">.   </w:t>
      </w:r>
    </w:p>
    <w:p w14:paraId="57E11930" w14:textId="77777777" w:rsidR="0012790E" w:rsidRPr="001C06E6" w:rsidRDefault="0012790E">
      <w:pPr>
        <w:pStyle w:val="MeasureTitle"/>
        <w:rPr>
          <w:b w:val="0"/>
          <w:bCs/>
        </w:rPr>
      </w:pPr>
      <w:r w:rsidRPr="001C06E6">
        <w:rPr>
          <w:bCs/>
        </w:rPr>
        <w:t>Future Made in Australia</w:t>
      </w:r>
      <w:r>
        <w:rPr>
          <w:bCs/>
        </w:rPr>
        <w:t xml:space="preserve"> – </w:t>
      </w:r>
      <w:r w:rsidRPr="001C06E6">
        <w:rPr>
          <w:bCs/>
        </w:rPr>
        <w:t>Promoting Sustainable Finance Markets</w:t>
      </w:r>
    </w:p>
    <w:p w14:paraId="71902931"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3E8610F" w14:textId="77777777">
        <w:tc>
          <w:tcPr>
            <w:tcW w:w="2497" w:type="dxa"/>
            <w:tcBorders>
              <w:top w:val="single" w:sz="4" w:space="0" w:color="293F5B"/>
              <w:bottom w:val="single" w:sz="4" w:space="0" w:color="293F5B"/>
            </w:tcBorders>
            <w:shd w:val="clear" w:color="auto" w:fill="auto"/>
          </w:tcPr>
          <w:p w14:paraId="42892613"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28688B0"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E367CFD"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2B65C077"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99564CD"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34908ED" w14:textId="77777777" w:rsidR="0012790E" w:rsidRPr="001C06E6" w:rsidRDefault="0012790E">
            <w:pPr>
              <w:pStyle w:val="MeasureTableYearHeadings"/>
              <w:keepNext/>
            </w:pPr>
            <w:r w:rsidRPr="001C06E6">
              <w:t>2027</w:t>
            </w:r>
            <w:r>
              <w:noBreakHyphen/>
            </w:r>
            <w:r w:rsidRPr="001C06E6">
              <w:t>28</w:t>
            </w:r>
          </w:p>
        </w:tc>
      </w:tr>
      <w:tr w:rsidR="0012790E" w:rsidRPr="001C06E6" w14:paraId="472DF3B9" w14:textId="77777777">
        <w:tc>
          <w:tcPr>
            <w:tcW w:w="2497" w:type="dxa"/>
            <w:tcBorders>
              <w:top w:val="single" w:sz="4" w:space="0" w:color="293F5B"/>
              <w:bottom w:val="single" w:sz="4" w:space="0" w:color="293F5B"/>
            </w:tcBorders>
            <w:shd w:val="clear" w:color="auto" w:fill="auto"/>
          </w:tcPr>
          <w:p w14:paraId="14E06B1F" w14:textId="77777777" w:rsidR="0012790E" w:rsidRPr="001C06E6" w:rsidRDefault="0012790E">
            <w:pPr>
              <w:pStyle w:val="MeasureTableHeadingleftalignedwith2ptsspacing"/>
              <w:keepNext/>
            </w:pPr>
            <w:r>
              <w:t xml:space="preserve">Australian Securities and Investments Commission </w:t>
            </w:r>
          </w:p>
        </w:tc>
        <w:tc>
          <w:tcPr>
            <w:tcW w:w="1045" w:type="dxa"/>
            <w:tcBorders>
              <w:top w:val="single" w:sz="4" w:space="0" w:color="293F5B"/>
              <w:bottom w:val="single" w:sz="4" w:space="0" w:color="293F5B"/>
            </w:tcBorders>
            <w:shd w:val="clear" w:color="auto" w:fill="auto"/>
          </w:tcPr>
          <w:p w14:paraId="007A429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D59EC94" w14:textId="77777777" w:rsidR="0012790E" w:rsidRPr="001C06E6" w:rsidRDefault="0012790E">
            <w:pPr>
              <w:pStyle w:val="MeasureTableDataRightAlignedwith2ptsspacing"/>
              <w:keepNext/>
            </w:pPr>
            <w:r>
              <w:t xml:space="preserve">3.0 </w:t>
            </w:r>
          </w:p>
        </w:tc>
        <w:tc>
          <w:tcPr>
            <w:tcW w:w="1045" w:type="dxa"/>
            <w:tcBorders>
              <w:top w:val="single" w:sz="4" w:space="0" w:color="293F5B"/>
              <w:bottom w:val="single" w:sz="4" w:space="0" w:color="293F5B"/>
            </w:tcBorders>
            <w:shd w:val="clear" w:color="auto" w:fill="auto"/>
          </w:tcPr>
          <w:p w14:paraId="2DD5D36B" w14:textId="77777777" w:rsidR="0012790E" w:rsidRPr="001C06E6" w:rsidRDefault="0012790E">
            <w:pPr>
              <w:pStyle w:val="MeasureTableDataRightAlignedwith2ptsspacing"/>
              <w:keepNext/>
            </w:pPr>
            <w:r>
              <w:t xml:space="preserve">2.8 </w:t>
            </w:r>
          </w:p>
        </w:tc>
        <w:tc>
          <w:tcPr>
            <w:tcW w:w="1045" w:type="dxa"/>
            <w:tcBorders>
              <w:top w:val="single" w:sz="4" w:space="0" w:color="293F5B"/>
              <w:bottom w:val="single" w:sz="4" w:space="0" w:color="293F5B"/>
            </w:tcBorders>
            <w:shd w:val="clear" w:color="auto" w:fill="auto"/>
          </w:tcPr>
          <w:p w14:paraId="7F1C733A" w14:textId="77777777" w:rsidR="0012790E" w:rsidRPr="001C06E6" w:rsidRDefault="0012790E">
            <w:pPr>
              <w:pStyle w:val="MeasureTableDataRightAlignedwith2ptsspacing"/>
              <w:keepNext/>
            </w:pPr>
            <w:r>
              <w:t xml:space="preserve">2.4 </w:t>
            </w:r>
          </w:p>
        </w:tc>
        <w:tc>
          <w:tcPr>
            <w:tcW w:w="1045" w:type="dxa"/>
            <w:tcBorders>
              <w:top w:val="single" w:sz="4" w:space="0" w:color="293F5B"/>
              <w:bottom w:val="single" w:sz="4" w:space="0" w:color="293F5B"/>
            </w:tcBorders>
            <w:shd w:val="clear" w:color="auto" w:fill="auto"/>
          </w:tcPr>
          <w:p w14:paraId="017D8397" w14:textId="77777777" w:rsidR="0012790E" w:rsidRPr="001C06E6" w:rsidRDefault="0012790E">
            <w:pPr>
              <w:pStyle w:val="MeasureTableDataRightAlignedwith2ptsspacing"/>
              <w:keepNext/>
            </w:pPr>
            <w:r>
              <w:t xml:space="preserve">2.3 </w:t>
            </w:r>
          </w:p>
        </w:tc>
      </w:tr>
      <w:tr w:rsidR="0012790E" w:rsidRPr="001C06E6" w14:paraId="41D93ADD" w14:textId="77777777">
        <w:tc>
          <w:tcPr>
            <w:tcW w:w="2497" w:type="dxa"/>
            <w:tcBorders>
              <w:top w:val="single" w:sz="4" w:space="0" w:color="293F5B"/>
              <w:bottom w:val="single" w:sz="4" w:space="0" w:color="293F5B"/>
            </w:tcBorders>
            <w:shd w:val="clear" w:color="auto" w:fill="auto"/>
          </w:tcPr>
          <w:p w14:paraId="48EBDF11"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1BD972D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0171F30" w14:textId="77777777" w:rsidR="0012790E" w:rsidRPr="001C06E6" w:rsidRDefault="0012790E">
            <w:pPr>
              <w:pStyle w:val="MeasureTableDataRightAlignedwith2ptsspacing"/>
              <w:keepNext/>
            </w:pPr>
            <w:r w:rsidRPr="001C06E6">
              <w:t>2.3</w:t>
            </w:r>
          </w:p>
        </w:tc>
        <w:tc>
          <w:tcPr>
            <w:tcW w:w="1045" w:type="dxa"/>
            <w:tcBorders>
              <w:top w:val="single" w:sz="4" w:space="0" w:color="293F5B"/>
              <w:bottom w:val="single" w:sz="4" w:space="0" w:color="293F5B"/>
            </w:tcBorders>
            <w:shd w:val="clear" w:color="auto" w:fill="auto"/>
          </w:tcPr>
          <w:p w14:paraId="121424B2" w14:textId="77777777" w:rsidR="0012790E" w:rsidRPr="001C06E6" w:rsidRDefault="0012790E">
            <w:pPr>
              <w:pStyle w:val="MeasureTableDataRightAlignedwith2ptsspacing"/>
              <w:keepNext/>
            </w:pPr>
            <w:r w:rsidRPr="001C06E6">
              <w:t>1.7</w:t>
            </w:r>
          </w:p>
        </w:tc>
        <w:tc>
          <w:tcPr>
            <w:tcW w:w="1045" w:type="dxa"/>
            <w:tcBorders>
              <w:top w:val="single" w:sz="4" w:space="0" w:color="293F5B"/>
              <w:bottom w:val="single" w:sz="4" w:space="0" w:color="293F5B"/>
            </w:tcBorders>
            <w:shd w:val="clear" w:color="auto" w:fill="auto"/>
          </w:tcPr>
          <w:p w14:paraId="29D0733E" w14:textId="77777777" w:rsidR="0012790E" w:rsidRPr="001C06E6" w:rsidRDefault="0012790E">
            <w:pPr>
              <w:pStyle w:val="MeasureTableDataRightAlignedwith2ptsspacing"/>
              <w:keepNext/>
            </w:pPr>
            <w:r w:rsidRPr="001C06E6">
              <w:t>1.1</w:t>
            </w:r>
          </w:p>
        </w:tc>
        <w:tc>
          <w:tcPr>
            <w:tcW w:w="1045" w:type="dxa"/>
            <w:tcBorders>
              <w:top w:val="single" w:sz="4" w:space="0" w:color="293F5B"/>
              <w:bottom w:val="single" w:sz="4" w:space="0" w:color="293F5B"/>
            </w:tcBorders>
            <w:shd w:val="clear" w:color="auto" w:fill="auto"/>
          </w:tcPr>
          <w:p w14:paraId="3CE1E9F5" w14:textId="77777777" w:rsidR="0012790E" w:rsidRPr="001C06E6" w:rsidRDefault="0012790E">
            <w:pPr>
              <w:pStyle w:val="MeasureTableDataRightAlignedwith2ptsspacing"/>
              <w:keepNext/>
            </w:pPr>
            <w:r w:rsidRPr="001C06E6">
              <w:t>1.2</w:t>
            </w:r>
          </w:p>
        </w:tc>
      </w:tr>
      <w:tr w:rsidR="0012790E" w:rsidRPr="001C06E6" w14:paraId="717981F8" w14:textId="77777777">
        <w:tc>
          <w:tcPr>
            <w:tcW w:w="2497" w:type="dxa"/>
            <w:tcBorders>
              <w:top w:val="single" w:sz="4" w:space="0" w:color="293F5B"/>
              <w:bottom w:val="single" w:sz="4" w:space="0" w:color="293F5B"/>
            </w:tcBorders>
            <w:shd w:val="clear" w:color="auto" w:fill="auto"/>
          </w:tcPr>
          <w:p w14:paraId="45B4087A" w14:textId="77777777" w:rsidR="0012790E" w:rsidRPr="001C06E6" w:rsidRDefault="0012790E">
            <w:pPr>
              <w:pStyle w:val="MeasureTableHeadingleftalignedwith2ptsspacing"/>
              <w:keepNext/>
            </w:pPr>
            <w:r>
              <w:t xml:space="preserve">Australian Prudential Regulation Authority </w:t>
            </w:r>
          </w:p>
        </w:tc>
        <w:tc>
          <w:tcPr>
            <w:tcW w:w="1045" w:type="dxa"/>
            <w:tcBorders>
              <w:top w:val="single" w:sz="4" w:space="0" w:color="293F5B"/>
              <w:bottom w:val="single" w:sz="4" w:space="0" w:color="293F5B"/>
            </w:tcBorders>
            <w:shd w:val="clear" w:color="auto" w:fill="auto"/>
          </w:tcPr>
          <w:p w14:paraId="26B6022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F7D0668" w14:textId="77777777" w:rsidR="0012790E" w:rsidRPr="001C06E6" w:rsidRDefault="0012790E">
            <w:pPr>
              <w:pStyle w:val="MeasureTableDataRightAlignedwith2ptsspacing"/>
              <w:keepNext/>
            </w:pPr>
            <w:r>
              <w:t xml:space="preserve">0.5 </w:t>
            </w:r>
          </w:p>
        </w:tc>
        <w:tc>
          <w:tcPr>
            <w:tcW w:w="1045" w:type="dxa"/>
            <w:tcBorders>
              <w:top w:val="single" w:sz="4" w:space="0" w:color="293F5B"/>
              <w:bottom w:val="single" w:sz="4" w:space="0" w:color="293F5B"/>
            </w:tcBorders>
            <w:shd w:val="clear" w:color="auto" w:fill="auto"/>
          </w:tcPr>
          <w:p w14:paraId="6A6B89C3"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A90F0B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56F14B0" w14:textId="77777777" w:rsidR="0012790E" w:rsidRPr="001C06E6" w:rsidRDefault="0012790E">
            <w:pPr>
              <w:pStyle w:val="MeasureTableDataRightAlignedwith2ptsspacing"/>
              <w:keepNext/>
            </w:pPr>
            <w:r>
              <w:t xml:space="preserve">- </w:t>
            </w:r>
          </w:p>
        </w:tc>
      </w:tr>
      <w:tr w:rsidR="0012790E" w:rsidRPr="001C06E6" w14:paraId="6C0AE1A4" w14:textId="77777777">
        <w:tc>
          <w:tcPr>
            <w:tcW w:w="2497" w:type="dxa"/>
            <w:tcBorders>
              <w:top w:val="single" w:sz="4" w:space="0" w:color="293F5B"/>
              <w:bottom w:val="single" w:sz="4" w:space="0" w:color="293F5B"/>
            </w:tcBorders>
            <w:shd w:val="clear" w:color="auto" w:fill="auto"/>
          </w:tcPr>
          <w:p w14:paraId="5D7C05B9"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79F46325"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2F8C7396" w14:textId="77777777" w:rsidR="0012790E" w:rsidRPr="001C06E6" w:rsidRDefault="0012790E">
            <w:pPr>
              <w:pStyle w:val="Totaldatarowrightaligned"/>
              <w:keepNext/>
            </w:pPr>
            <w:r w:rsidRPr="001C06E6">
              <w:t>5.8</w:t>
            </w:r>
          </w:p>
        </w:tc>
        <w:tc>
          <w:tcPr>
            <w:tcW w:w="1045" w:type="dxa"/>
            <w:tcBorders>
              <w:top w:val="single" w:sz="4" w:space="0" w:color="293F5B"/>
              <w:bottom w:val="single" w:sz="4" w:space="0" w:color="293F5B"/>
            </w:tcBorders>
            <w:shd w:val="clear" w:color="auto" w:fill="auto"/>
          </w:tcPr>
          <w:p w14:paraId="3A3AFFC2" w14:textId="77777777" w:rsidR="0012790E" w:rsidRPr="001C06E6" w:rsidRDefault="0012790E">
            <w:pPr>
              <w:pStyle w:val="Totaldatarowrightaligned"/>
              <w:keepNext/>
            </w:pPr>
            <w:r w:rsidRPr="001C06E6">
              <w:t>4.5</w:t>
            </w:r>
          </w:p>
        </w:tc>
        <w:tc>
          <w:tcPr>
            <w:tcW w:w="1045" w:type="dxa"/>
            <w:tcBorders>
              <w:top w:val="single" w:sz="4" w:space="0" w:color="293F5B"/>
              <w:bottom w:val="single" w:sz="4" w:space="0" w:color="293F5B"/>
            </w:tcBorders>
            <w:shd w:val="clear" w:color="auto" w:fill="auto"/>
          </w:tcPr>
          <w:p w14:paraId="04728D26" w14:textId="77777777" w:rsidR="0012790E" w:rsidRPr="001C06E6" w:rsidRDefault="0012790E">
            <w:pPr>
              <w:pStyle w:val="Totaldatarowrightaligned"/>
              <w:keepNext/>
            </w:pPr>
            <w:r w:rsidRPr="001C06E6">
              <w:t>3.6</w:t>
            </w:r>
          </w:p>
        </w:tc>
        <w:tc>
          <w:tcPr>
            <w:tcW w:w="1045" w:type="dxa"/>
            <w:tcBorders>
              <w:top w:val="single" w:sz="4" w:space="0" w:color="293F5B"/>
              <w:bottom w:val="single" w:sz="4" w:space="0" w:color="293F5B"/>
            </w:tcBorders>
            <w:shd w:val="clear" w:color="auto" w:fill="auto"/>
          </w:tcPr>
          <w:p w14:paraId="399D8BD9" w14:textId="77777777" w:rsidR="0012790E" w:rsidRPr="001C06E6" w:rsidRDefault="0012790E">
            <w:pPr>
              <w:pStyle w:val="Totaldatarowrightaligned"/>
              <w:keepNext/>
            </w:pPr>
            <w:r w:rsidRPr="001C06E6">
              <w:t>3.5</w:t>
            </w:r>
          </w:p>
        </w:tc>
      </w:tr>
      <w:tr w:rsidR="0012790E" w:rsidRPr="001C06E6" w14:paraId="4C8257B7" w14:textId="77777777">
        <w:tc>
          <w:tcPr>
            <w:tcW w:w="2497" w:type="dxa"/>
            <w:tcBorders>
              <w:top w:val="single" w:sz="4" w:space="0" w:color="293F5B"/>
            </w:tcBorders>
            <w:shd w:val="clear" w:color="auto" w:fill="auto"/>
          </w:tcPr>
          <w:p w14:paraId="787F3A4D"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43EC8133" w14:textId="77777777" w:rsidR="0012790E" w:rsidRPr="001C06E6" w:rsidRDefault="0012790E">
            <w:pPr>
              <w:pStyle w:val="AgencyName"/>
              <w:keepNext/>
            </w:pPr>
          </w:p>
        </w:tc>
        <w:tc>
          <w:tcPr>
            <w:tcW w:w="1045" w:type="dxa"/>
            <w:tcBorders>
              <w:top w:val="single" w:sz="4" w:space="0" w:color="293F5B"/>
            </w:tcBorders>
            <w:shd w:val="clear" w:color="auto" w:fill="auto"/>
          </w:tcPr>
          <w:p w14:paraId="63256AA6" w14:textId="77777777" w:rsidR="0012790E" w:rsidRPr="001C06E6" w:rsidRDefault="0012790E">
            <w:pPr>
              <w:pStyle w:val="AgencyName"/>
              <w:keepNext/>
            </w:pPr>
          </w:p>
        </w:tc>
        <w:tc>
          <w:tcPr>
            <w:tcW w:w="1045" w:type="dxa"/>
            <w:tcBorders>
              <w:top w:val="single" w:sz="4" w:space="0" w:color="293F5B"/>
            </w:tcBorders>
            <w:shd w:val="clear" w:color="auto" w:fill="auto"/>
          </w:tcPr>
          <w:p w14:paraId="2D795C70" w14:textId="77777777" w:rsidR="0012790E" w:rsidRPr="001C06E6" w:rsidRDefault="0012790E">
            <w:pPr>
              <w:pStyle w:val="AgencyName"/>
              <w:keepNext/>
            </w:pPr>
          </w:p>
        </w:tc>
        <w:tc>
          <w:tcPr>
            <w:tcW w:w="1045" w:type="dxa"/>
            <w:tcBorders>
              <w:top w:val="single" w:sz="4" w:space="0" w:color="293F5B"/>
            </w:tcBorders>
            <w:shd w:val="clear" w:color="auto" w:fill="auto"/>
          </w:tcPr>
          <w:p w14:paraId="23DC1160" w14:textId="77777777" w:rsidR="0012790E" w:rsidRPr="001C06E6" w:rsidRDefault="0012790E">
            <w:pPr>
              <w:pStyle w:val="AgencyName"/>
              <w:keepNext/>
            </w:pPr>
          </w:p>
        </w:tc>
        <w:tc>
          <w:tcPr>
            <w:tcW w:w="1045" w:type="dxa"/>
            <w:tcBorders>
              <w:top w:val="single" w:sz="4" w:space="0" w:color="293F5B"/>
            </w:tcBorders>
            <w:shd w:val="clear" w:color="auto" w:fill="auto"/>
          </w:tcPr>
          <w:p w14:paraId="4C935DCD" w14:textId="77777777" w:rsidR="0012790E" w:rsidRPr="001C06E6" w:rsidRDefault="0012790E">
            <w:pPr>
              <w:pStyle w:val="AgencyName"/>
              <w:keepNext/>
            </w:pPr>
          </w:p>
        </w:tc>
      </w:tr>
      <w:tr w:rsidR="0012790E" w:rsidRPr="001C06E6" w14:paraId="3FDEEEA9" w14:textId="77777777">
        <w:tc>
          <w:tcPr>
            <w:tcW w:w="2497" w:type="dxa"/>
            <w:tcBorders>
              <w:bottom w:val="single" w:sz="4" w:space="0" w:color="293F5B"/>
            </w:tcBorders>
            <w:shd w:val="clear" w:color="auto" w:fill="auto"/>
          </w:tcPr>
          <w:p w14:paraId="3F6BE3F1" w14:textId="77777777" w:rsidR="0012790E" w:rsidRPr="001C06E6" w:rsidRDefault="0012790E">
            <w:pPr>
              <w:pStyle w:val="AgencyNamewith2ptsspacing"/>
              <w:keepNext/>
            </w:pPr>
            <w:r>
              <w:t xml:space="preserve">Australian Prudential Regulation Authority </w:t>
            </w:r>
          </w:p>
        </w:tc>
        <w:tc>
          <w:tcPr>
            <w:tcW w:w="1045" w:type="dxa"/>
            <w:tcBorders>
              <w:bottom w:val="single" w:sz="4" w:space="0" w:color="293F5B"/>
            </w:tcBorders>
            <w:shd w:val="clear" w:color="auto" w:fill="auto"/>
          </w:tcPr>
          <w:p w14:paraId="291473F0"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10B07A6F" w14:textId="77777777" w:rsidR="0012790E" w:rsidRPr="001C06E6" w:rsidRDefault="0012790E">
            <w:pPr>
              <w:pStyle w:val="Measuretabledatarightaligneditalics"/>
              <w:keepNext/>
            </w:pPr>
            <w:r>
              <w:t xml:space="preserve">0.5 </w:t>
            </w:r>
          </w:p>
        </w:tc>
        <w:tc>
          <w:tcPr>
            <w:tcW w:w="1045" w:type="dxa"/>
            <w:tcBorders>
              <w:bottom w:val="single" w:sz="4" w:space="0" w:color="293F5B"/>
            </w:tcBorders>
            <w:shd w:val="clear" w:color="auto" w:fill="auto"/>
          </w:tcPr>
          <w:p w14:paraId="5D55A94C"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3A4CB28F"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2B6AEBA5" w14:textId="77777777" w:rsidR="0012790E" w:rsidRPr="001C06E6" w:rsidRDefault="0012790E">
            <w:pPr>
              <w:pStyle w:val="Measuretabledatarightaligneditalics"/>
              <w:keepNext/>
            </w:pPr>
            <w:r>
              <w:t xml:space="preserve">- </w:t>
            </w:r>
          </w:p>
        </w:tc>
      </w:tr>
      <w:tr w:rsidR="0012790E" w:rsidRPr="001C06E6" w14:paraId="3313F952" w14:textId="77777777">
        <w:tc>
          <w:tcPr>
            <w:tcW w:w="2497" w:type="dxa"/>
            <w:tcBorders>
              <w:top w:val="single" w:sz="4" w:space="0" w:color="293F5B"/>
              <w:bottom w:val="single" w:sz="4" w:space="0" w:color="293F5B"/>
            </w:tcBorders>
            <w:shd w:val="clear" w:color="auto" w:fill="auto"/>
          </w:tcPr>
          <w:p w14:paraId="66769B70" w14:textId="77777777" w:rsidR="0012790E" w:rsidRPr="001C06E6" w:rsidRDefault="0012790E">
            <w:pPr>
              <w:pStyle w:val="AgencyNamewith2ptsspacing"/>
              <w:keepNext/>
            </w:pPr>
            <w:r>
              <w:t xml:space="preserve">Australian Securities and Investments Commission </w:t>
            </w:r>
          </w:p>
        </w:tc>
        <w:tc>
          <w:tcPr>
            <w:tcW w:w="1045" w:type="dxa"/>
            <w:tcBorders>
              <w:top w:val="single" w:sz="4" w:space="0" w:color="293F5B"/>
              <w:bottom w:val="single" w:sz="4" w:space="0" w:color="293F5B"/>
            </w:tcBorders>
            <w:shd w:val="clear" w:color="auto" w:fill="auto"/>
          </w:tcPr>
          <w:p w14:paraId="6F3613EB"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08A6FE5C"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0978B6C3" w14:textId="77777777" w:rsidR="0012790E" w:rsidRPr="001C06E6" w:rsidRDefault="0012790E">
            <w:pPr>
              <w:pStyle w:val="Measuretabledatarightaligneditalics"/>
              <w:keepNext/>
            </w:pPr>
            <w:r>
              <w:t xml:space="preserve">3.0 </w:t>
            </w:r>
          </w:p>
        </w:tc>
        <w:tc>
          <w:tcPr>
            <w:tcW w:w="1045" w:type="dxa"/>
            <w:tcBorders>
              <w:top w:val="single" w:sz="4" w:space="0" w:color="293F5B"/>
              <w:bottom w:val="single" w:sz="4" w:space="0" w:color="293F5B"/>
            </w:tcBorders>
            <w:shd w:val="clear" w:color="auto" w:fill="auto"/>
          </w:tcPr>
          <w:p w14:paraId="7708182D" w14:textId="77777777" w:rsidR="0012790E" w:rsidRPr="001C06E6" w:rsidRDefault="0012790E">
            <w:pPr>
              <w:pStyle w:val="Measuretabledatarightaligneditalics"/>
              <w:keepNext/>
            </w:pPr>
            <w:r>
              <w:t xml:space="preserve">2.8 </w:t>
            </w:r>
          </w:p>
        </w:tc>
        <w:tc>
          <w:tcPr>
            <w:tcW w:w="1045" w:type="dxa"/>
            <w:tcBorders>
              <w:top w:val="single" w:sz="4" w:space="0" w:color="293F5B"/>
              <w:bottom w:val="single" w:sz="4" w:space="0" w:color="293F5B"/>
            </w:tcBorders>
            <w:shd w:val="clear" w:color="auto" w:fill="auto"/>
          </w:tcPr>
          <w:p w14:paraId="0C945F2D" w14:textId="77777777" w:rsidR="0012790E" w:rsidRPr="001C06E6" w:rsidRDefault="0012790E">
            <w:pPr>
              <w:pStyle w:val="Measuretabledatarightaligneditalics"/>
              <w:keepNext/>
            </w:pPr>
            <w:r>
              <w:t xml:space="preserve">2.4 </w:t>
            </w:r>
          </w:p>
        </w:tc>
      </w:tr>
      <w:tr w:rsidR="0012790E" w:rsidRPr="001C06E6" w14:paraId="7F4CE719" w14:textId="77777777">
        <w:tc>
          <w:tcPr>
            <w:tcW w:w="2497" w:type="dxa"/>
            <w:tcBorders>
              <w:top w:val="single" w:sz="4" w:space="0" w:color="293F5B"/>
              <w:bottom w:val="single" w:sz="4" w:space="0" w:color="293F5B"/>
            </w:tcBorders>
            <w:shd w:val="clear" w:color="auto" w:fill="auto"/>
          </w:tcPr>
          <w:p w14:paraId="20508C91" w14:textId="77777777" w:rsidR="0012790E" w:rsidRPr="001C06E6" w:rsidRDefault="0012790E">
            <w:pPr>
              <w:pStyle w:val="Totalrowitalicsleftaligned"/>
              <w:keepNext/>
            </w:pPr>
            <w:r w:rsidRPr="001C06E6">
              <w:t>Total – Receipts</w:t>
            </w:r>
          </w:p>
        </w:tc>
        <w:tc>
          <w:tcPr>
            <w:tcW w:w="1045" w:type="dxa"/>
            <w:tcBorders>
              <w:top w:val="single" w:sz="4" w:space="0" w:color="293F5B"/>
              <w:bottom w:val="single" w:sz="4" w:space="0" w:color="293F5B"/>
            </w:tcBorders>
            <w:shd w:val="clear" w:color="auto" w:fill="auto"/>
          </w:tcPr>
          <w:p w14:paraId="4D2D5EFB"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60A1A7E3" w14:textId="77777777" w:rsidR="0012790E" w:rsidRPr="001C06E6" w:rsidRDefault="0012790E">
            <w:pPr>
              <w:pStyle w:val="Totalrowitalicsrightaligned"/>
              <w:keepNext/>
            </w:pPr>
            <w:r w:rsidRPr="001C06E6">
              <w:t>0.5</w:t>
            </w:r>
          </w:p>
        </w:tc>
        <w:tc>
          <w:tcPr>
            <w:tcW w:w="1045" w:type="dxa"/>
            <w:tcBorders>
              <w:top w:val="single" w:sz="4" w:space="0" w:color="293F5B"/>
              <w:bottom w:val="single" w:sz="4" w:space="0" w:color="293F5B"/>
            </w:tcBorders>
            <w:shd w:val="clear" w:color="auto" w:fill="auto"/>
          </w:tcPr>
          <w:p w14:paraId="34B28E1A" w14:textId="77777777" w:rsidR="0012790E" w:rsidRPr="001C06E6" w:rsidRDefault="0012790E">
            <w:pPr>
              <w:pStyle w:val="Totalrowitalicsrightaligned"/>
              <w:keepNext/>
            </w:pPr>
            <w:r w:rsidRPr="001C06E6">
              <w:t>3.0</w:t>
            </w:r>
          </w:p>
        </w:tc>
        <w:tc>
          <w:tcPr>
            <w:tcW w:w="1045" w:type="dxa"/>
            <w:tcBorders>
              <w:top w:val="single" w:sz="4" w:space="0" w:color="293F5B"/>
              <w:bottom w:val="single" w:sz="4" w:space="0" w:color="293F5B"/>
            </w:tcBorders>
            <w:shd w:val="clear" w:color="auto" w:fill="auto"/>
          </w:tcPr>
          <w:p w14:paraId="41023EBB" w14:textId="77777777" w:rsidR="0012790E" w:rsidRPr="001C06E6" w:rsidRDefault="0012790E">
            <w:pPr>
              <w:pStyle w:val="Totalrowitalicsrightaligned"/>
              <w:keepNext/>
            </w:pPr>
            <w:r w:rsidRPr="001C06E6">
              <w:t>2.8</w:t>
            </w:r>
          </w:p>
        </w:tc>
        <w:tc>
          <w:tcPr>
            <w:tcW w:w="1045" w:type="dxa"/>
            <w:tcBorders>
              <w:top w:val="single" w:sz="4" w:space="0" w:color="293F5B"/>
              <w:bottom w:val="single" w:sz="4" w:space="0" w:color="293F5B"/>
            </w:tcBorders>
            <w:shd w:val="clear" w:color="auto" w:fill="auto"/>
          </w:tcPr>
          <w:p w14:paraId="0E2D6A1F" w14:textId="77777777" w:rsidR="0012790E" w:rsidRPr="001C06E6" w:rsidRDefault="0012790E">
            <w:pPr>
              <w:pStyle w:val="Totalrowitalicsrightaligned"/>
              <w:keepNext/>
            </w:pPr>
            <w:r w:rsidRPr="001C06E6">
              <w:t>2.4</w:t>
            </w:r>
          </w:p>
        </w:tc>
      </w:tr>
    </w:tbl>
    <w:p w14:paraId="444AA0FE" w14:textId="77777777" w:rsidR="0012790E" w:rsidRPr="001C06E6" w:rsidRDefault="0012790E">
      <w:pPr>
        <w:keepNext/>
        <w:widowControl w:val="0"/>
        <w:tabs>
          <w:tab w:val="right" w:pos="3536"/>
          <w:tab w:val="right" w:pos="4579"/>
          <w:tab w:val="right" w:pos="5622"/>
          <w:tab w:val="right" w:pos="6664"/>
          <w:tab w:val="right" w:pos="7707"/>
        </w:tabs>
        <w:spacing w:line="184" w:lineRule="exact"/>
        <w:rPr>
          <w:i/>
          <w:iCs/>
          <w:color w:val="000000"/>
          <w:sz w:val="16"/>
          <w:szCs w:val="16"/>
          <w:lang w:val="en-AU"/>
        </w:rPr>
      </w:pPr>
    </w:p>
    <w:p w14:paraId="7E0F144D" w14:textId="77777777" w:rsidR="0012790E" w:rsidRDefault="0012790E">
      <w:pPr>
        <w:pStyle w:val="Normal2"/>
        <w:rPr>
          <w:rFonts w:cs="Book Antiqua"/>
        </w:rPr>
      </w:pPr>
      <w:r w:rsidRPr="001C06E6">
        <w:rPr>
          <w:rFonts w:cs="Book Antiqua"/>
        </w:rPr>
        <w:t>The Government will provide $17.3</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(and $3.1</w:t>
      </w:r>
      <w:r>
        <w:rPr>
          <w:rFonts w:cs="Book Antiqua"/>
        </w:rPr>
        <w:t> </w:t>
      </w:r>
      <w:r w:rsidRPr="001C06E6">
        <w:rPr>
          <w:rFonts w:cs="Book Antiqua"/>
        </w:rPr>
        <w:t>million per year ongoing) to promote the development of sustainable finance markets</w:t>
      </w:r>
      <w:r>
        <w:rPr>
          <w:rFonts w:cs="Book Antiqua"/>
        </w:rPr>
        <w:t xml:space="preserve"> </w:t>
      </w:r>
      <w:r w:rsidRPr="001C06E6">
        <w:rPr>
          <w:rFonts w:cs="Book Antiqua"/>
        </w:rPr>
        <w:t>in Australia. Funding includes:</w:t>
      </w:r>
    </w:p>
    <w:p w14:paraId="238ABA9F" w14:textId="77777777" w:rsidR="0012790E" w:rsidRDefault="0012790E">
      <w:pPr>
        <w:pStyle w:val="Bullet"/>
      </w:pPr>
      <w:r w:rsidRPr="001C06E6">
        <w:t>$10.0</w:t>
      </w:r>
      <w:r>
        <w:t> </w:t>
      </w:r>
      <w:r w:rsidRPr="001C06E6">
        <w:t xml:space="preserve">million over four years from </w:t>
      </w:r>
      <w:r>
        <w:t>2024–25</w:t>
      </w:r>
      <w:r w:rsidRPr="001C06E6">
        <w:t xml:space="preserve"> (and $1.9</w:t>
      </w:r>
      <w:r>
        <w:t> </w:t>
      </w:r>
      <w:r w:rsidRPr="001C06E6">
        <w:t>million per year ongoing) for additional resourcing for the Australian Securities and Investments Commission (ASIC) to investigate and take enforcement action against market participants engaging in greenwashing and other sustainability</w:t>
      </w:r>
      <w:r>
        <w:noBreakHyphen/>
      </w:r>
      <w:r w:rsidRPr="001C06E6">
        <w:t>related financial misconduct</w:t>
      </w:r>
      <w:r>
        <w:t xml:space="preserve"> </w:t>
      </w:r>
    </w:p>
    <w:p w14:paraId="1C2627ED" w14:textId="77777777" w:rsidR="0012790E" w:rsidRDefault="0012790E">
      <w:pPr>
        <w:pStyle w:val="Bullet"/>
      </w:pPr>
      <w:r w:rsidRPr="001C06E6">
        <w:lastRenderedPageBreak/>
        <w:t>$5.3</w:t>
      </w:r>
      <w:r>
        <w:t> </w:t>
      </w:r>
      <w:r w:rsidRPr="001C06E6">
        <w:t xml:space="preserve">million over four years from </w:t>
      </w:r>
      <w:r>
        <w:t>2024–25</w:t>
      </w:r>
      <w:r w:rsidRPr="001C06E6">
        <w:t xml:space="preserve"> (and $1.2</w:t>
      </w:r>
      <w:r>
        <w:t> </w:t>
      </w:r>
      <w:r w:rsidRPr="001C06E6">
        <w:t>million per year ongoing) for the Treasury, ASIC and the Australian Prudential Regulation Authority (APRA) to deliver the sustainable finance framework, including issuing green bonds, improving data and engaging in the development of international regulatory regimes related to sustainable finance</w:t>
      </w:r>
      <w:r>
        <w:t xml:space="preserve"> </w:t>
      </w:r>
    </w:p>
    <w:p w14:paraId="7ED6717B" w14:textId="77777777" w:rsidR="0012790E" w:rsidRDefault="0012790E">
      <w:pPr>
        <w:pStyle w:val="Bullet"/>
      </w:pPr>
      <w:r w:rsidRPr="001C06E6">
        <w:t>$1.6</w:t>
      </w:r>
      <w:r>
        <w:t> </w:t>
      </w:r>
      <w:r w:rsidRPr="001C06E6">
        <w:t xml:space="preserve">million over two years from </w:t>
      </w:r>
      <w:r>
        <w:t>2024–25</w:t>
      </w:r>
      <w:r w:rsidRPr="001C06E6">
        <w:t xml:space="preserve"> for ASIC and the Treasury to consult on the design of a labelling regime to regulate the use of sustainability labels on retail investment products</w:t>
      </w:r>
      <w:r>
        <w:t xml:space="preserve"> </w:t>
      </w:r>
    </w:p>
    <w:p w14:paraId="03CC7958" w14:textId="77777777" w:rsidR="0012790E" w:rsidRDefault="0012790E">
      <w:pPr>
        <w:pStyle w:val="Bullet"/>
      </w:pPr>
      <w:r w:rsidRPr="001C06E6">
        <w:t>$0.5</w:t>
      </w:r>
      <w:r>
        <w:t> </w:t>
      </w:r>
      <w:r w:rsidRPr="001C06E6">
        <w:t xml:space="preserve">million in </w:t>
      </w:r>
      <w:r>
        <w:t>2024–25</w:t>
      </w:r>
      <w:r w:rsidRPr="001C06E6">
        <w:t xml:space="preserve"> to continue the development of Australia’s sustainable finance taxonomy, including expanding the taxonomy to cover the agricultural sector.</w:t>
      </w:r>
      <w:r>
        <w:t xml:space="preserve"> </w:t>
      </w:r>
    </w:p>
    <w:p w14:paraId="5657C99C" w14:textId="77777777" w:rsidR="0012790E" w:rsidRDefault="0012790E" w:rsidP="54937204">
      <w:pPr>
        <w:pStyle w:val="Normal2"/>
        <w:rPr>
          <w:rFonts w:cs="Book Antiqua"/>
          <w:lang w:val="en-US"/>
        </w:rPr>
      </w:pPr>
      <w:r w:rsidRPr="54937204">
        <w:rPr>
          <w:rFonts w:cs="Book Antiqua"/>
          <w:lang w:val="en-US"/>
        </w:rPr>
        <w:t>The cost of this measure will be partially met from cost</w:t>
      </w:r>
      <w:r>
        <w:rPr>
          <w:rFonts w:cs="Book Antiqua"/>
        </w:rPr>
        <w:noBreakHyphen/>
      </w:r>
      <w:r w:rsidRPr="54937204">
        <w:rPr>
          <w:rFonts w:cs="Book Antiqua"/>
          <w:lang w:val="en-US"/>
        </w:rPr>
        <w:t xml:space="preserve">recovery through ASIC and APRA industry levies. </w:t>
      </w:r>
    </w:p>
    <w:p w14:paraId="00DE38B2" w14:textId="7777777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 xml:space="preserve">Budget measure titled </w:t>
      </w:r>
      <w:r w:rsidRPr="001C06E6">
        <w:rPr>
          <w:rFonts w:cs="Book Antiqua"/>
          <w:i/>
          <w:iCs/>
        </w:rPr>
        <w:t>Comprehensive</w:t>
      </w:r>
      <w:r>
        <w:rPr>
          <w:rFonts w:cs="Book Antiqua"/>
          <w:i/>
          <w:iCs/>
        </w:rPr>
        <w:t xml:space="preserve"> </w:t>
      </w:r>
      <w:r w:rsidRPr="001C06E6">
        <w:rPr>
          <w:rFonts w:cs="Book Antiqua"/>
          <w:i/>
          <w:iCs/>
        </w:rPr>
        <w:t>Sustainable Finance Agenda</w:t>
      </w:r>
      <w:r w:rsidRPr="001C06E6">
        <w:rPr>
          <w:rFonts w:cs="Book Antiqua"/>
        </w:rPr>
        <w:t>.</w:t>
      </w:r>
      <w:r>
        <w:rPr>
          <w:rFonts w:cs="Book Antiqua"/>
        </w:rPr>
        <w:t xml:space="preserve"> </w:t>
      </w:r>
    </w:p>
    <w:p w14:paraId="6831C207" w14:textId="77777777" w:rsidR="0012790E" w:rsidRPr="001C06E6" w:rsidRDefault="0012790E">
      <w:pPr>
        <w:pStyle w:val="MeasureTitle"/>
        <w:rPr>
          <w:b w:val="0"/>
          <w:bCs/>
        </w:rPr>
      </w:pPr>
      <w:r w:rsidRPr="001C06E6">
        <w:rPr>
          <w:bCs/>
        </w:rPr>
        <w:t>Future Made in Australia – Strengthening Approvals Processes</w:t>
      </w:r>
    </w:p>
    <w:p w14:paraId="57ED7DAE"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6C891C5" w14:textId="77777777">
        <w:tc>
          <w:tcPr>
            <w:tcW w:w="2497" w:type="dxa"/>
            <w:tcBorders>
              <w:top w:val="single" w:sz="4" w:space="0" w:color="293F5B"/>
              <w:bottom w:val="single" w:sz="4" w:space="0" w:color="293F5B"/>
            </w:tcBorders>
            <w:shd w:val="clear" w:color="auto" w:fill="auto"/>
          </w:tcPr>
          <w:p w14:paraId="4CFB5A2C"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1BF1B48"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B867610"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06C4D01"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5D30FAF"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D0D6AD8" w14:textId="77777777" w:rsidR="0012790E" w:rsidRPr="001C06E6" w:rsidRDefault="0012790E">
            <w:pPr>
              <w:pStyle w:val="MeasureTableYearHeadings"/>
              <w:keepNext/>
            </w:pPr>
            <w:r w:rsidRPr="001C06E6">
              <w:t>2027</w:t>
            </w:r>
            <w:r>
              <w:noBreakHyphen/>
            </w:r>
            <w:r w:rsidRPr="001C06E6">
              <w:t>28</w:t>
            </w:r>
          </w:p>
        </w:tc>
      </w:tr>
      <w:tr w:rsidR="0012790E" w:rsidRPr="001C06E6" w14:paraId="1845677D" w14:textId="77777777">
        <w:tc>
          <w:tcPr>
            <w:tcW w:w="2497" w:type="dxa"/>
            <w:tcBorders>
              <w:top w:val="single" w:sz="4" w:space="0" w:color="293F5B"/>
              <w:bottom w:val="single" w:sz="4" w:space="0" w:color="293F5B"/>
            </w:tcBorders>
            <w:shd w:val="clear" w:color="auto" w:fill="auto"/>
          </w:tcPr>
          <w:p w14:paraId="678D2056"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2C1E610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47E1973" w14:textId="77777777" w:rsidR="0012790E" w:rsidRPr="001C06E6" w:rsidRDefault="0012790E">
            <w:pPr>
              <w:pStyle w:val="MeasureTableDataRightAlignedwith2ptsspacing"/>
              <w:keepNext/>
            </w:pPr>
            <w:r w:rsidRPr="001C06E6">
              <w:t>3.6</w:t>
            </w:r>
          </w:p>
        </w:tc>
        <w:tc>
          <w:tcPr>
            <w:tcW w:w="1045" w:type="dxa"/>
            <w:tcBorders>
              <w:top w:val="single" w:sz="4" w:space="0" w:color="293F5B"/>
              <w:bottom w:val="single" w:sz="4" w:space="0" w:color="293F5B"/>
            </w:tcBorders>
            <w:shd w:val="clear" w:color="auto" w:fill="auto"/>
          </w:tcPr>
          <w:p w14:paraId="14A30F92" w14:textId="77777777" w:rsidR="0012790E" w:rsidRPr="001C06E6" w:rsidRDefault="0012790E">
            <w:pPr>
              <w:pStyle w:val="MeasureTableDataRightAlignedwith2ptsspacing"/>
              <w:keepNext/>
            </w:pPr>
            <w:r w:rsidRPr="001C06E6">
              <w:t>4.0</w:t>
            </w:r>
          </w:p>
        </w:tc>
        <w:tc>
          <w:tcPr>
            <w:tcW w:w="1045" w:type="dxa"/>
            <w:tcBorders>
              <w:top w:val="single" w:sz="4" w:space="0" w:color="293F5B"/>
              <w:bottom w:val="single" w:sz="4" w:space="0" w:color="293F5B"/>
            </w:tcBorders>
            <w:shd w:val="clear" w:color="auto" w:fill="auto"/>
          </w:tcPr>
          <w:p w14:paraId="4E990FC2" w14:textId="77777777" w:rsidR="0012790E" w:rsidRPr="001C06E6" w:rsidRDefault="0012790E">
            <w:pPr>
              <w:pStyle w:val="MeasureTableDataRightAlignedwith2ptsspacing"/>
              <w:keepNext/>
            </w:pPr>
            <w:r w:rsidRPr="001C06E6">
              <w:t>4.0</w:t>
            </w:r>
          </w:p>
        </w:tc>
        <w:tc>
          <w:tcPr>
            <w:tcW w:w="1045" w:type="dxa"/>
            <w:tcBorders>
              <w:top w:val="single" w:sz="4" w:space="0" w:color="293F5B"/>
              <w:bottom w:val="single" w:sz="4" w:space="0" w:color="293F5B"/>
            </w:tcBorders>
            <w:shd w:val="clear" w:color="auto" w:fill="auto"/>
          </w:tcPr>
          <w:p w14:paraId="60FE5666" w14:textId="77777777" w:rsidR="0012790E" w:rsidRPr="001C06E6" w:rsidRDefault="0012790E">
            <w:pPr>
              <w:pStyle w:val="MeasureTableDataRightAlignedwith2ptsspacing"/>
              <w:keepNext/>
            </w:pPr>
            <w:r w:rsidRPr="001C06E6">
              <w:t>4.1</w:t>
            </w:r>
          </w:p>
        </w:tc>
      </w:tr>
      <w:tr w:rsidR="0012790E" w:rsidRPr="001C06E6" w14:paraId="2D6B3C6D" w14:textId="77777777">
        <w:tc>
          <w:tcPr>
            <w:tcW w:w="2497" w:type="dxa"/>
            <w:tcBorders>
              <w:top w:val="single" w:sz="4" w:space="0" w:color="293F5B"/>
              <w:bottom w:val="single" w:sz="4" w:space="0" w:color="293F5B"/>
            </w:tcBorders>
            <w:shd w:val="clear" w:color="auto" w:fill="auto"/>
          </w:tcPr>
          <w:p w14:paraId="399FF77C" w14:textId="77777777" w:rsidR="0012790E" w:rsidRPr="001C06E6" w:rsidRDefault="0012790E">
            <w:pPr>
              <w:pStyle w:val="MeasureTableHeadingleftalignedwith2ptsspacing"/>
              <w:keepNext/>
            </w:pPr>
            <w:r w:rsidRPr="001C06E6">
              <w:t>Clean Energy Regulator</w:t>
            </w:r>
          </w:p>
        </w:tc>
        <w:tc>
          <w:tcPr>
            <w:tcW w:w="1045" w:type="dxa"/>
            <w:tcBorders>
              <w:top w:val="single" w:sz="4" w:space="0" w:color="293F5B"/>
              <w:bottom w:val="single" w:sz="4" w:space="0" w:color="293F5B"/>
            </w:tcBorders>
            <w:shd w:val="clear" w:color="auto" w:fill="auto"/>
          </w:tcPr>
          <w:p w14:paraId="48E6180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E3599EB" w14:textId="77777777" w:rsidR="0012790E" w:rsidRPr="001C06E6" w:rsidRDefault="0012790E">
            <w:pPr>
              <w:pStyle w:val="MeasureTableDataRightAlignedwith2ptsspacing"/>
              <w:keepNext/>
            </w:pPr>
            <w:r w:rsidRPr="001C06E6">
              <w:t>1.2</w:t>
            </w:r>
          </w:p>
        </w:tc>
        <w:tc>
          <w:tcPr>
            <w:tcW w:w="1045" w:type="dxa"/>
            <w:tcBorders>
              <w:top w:val="single" w:sz="4" w:space="0" w:color="293F5B"/>
              <w:bottom w:val="single" w:sz="4" w:space="0" w:color="293F5B"/>
            </w:tcBorders>
            <w:shd w:val="clear" w:color="auto" w:fill="auto"/>
          </w:tcPr>
          <w:p w14:paraId="295E9521" w14:textId="77777777" w:rsidR="0012790E" w:rsidRPr="001C06E6" w:rsidRDefault="0012790E">
            <w:pPr>
              <w:pStyle w:val="MeasureTableDataRightAlignedwith2ptsspacing"/>
              <w:keepNext/>
            </w:pPr>
            <w:r w:rsidRPr="001C06E6">
              <w:t>0.5</w:t>
            </w:r>
          </w:p>
        </w:tc>
        <w:tc>
          <w:tcPr>
            <w:tcW w:w="1045" w:type="dxa"/>
            <w:tcBorders>
              <w:top w:val="single" w:sz="4" w:space="0" w:color="293F5B"/>
              <w:bottom w:val="single" w:sz="4" w:space="0" w:color="293F5B"/>
            </w:tcBorders>
            <w:shd w:val="clear" w:color="auto" w:fill="auto"/>
          </w:tcPr>
          <w:p w14:paraId="2C8BD4C7" w14:textId="77777777" w:rsidR="0012790E" w:rsidRPr="001C06E6" w:rsidRDefault="0012790E">
            <w:pPr>
              <w:pStyle w:val="MeasureTableDataRightAlignedwith2ptsspacing"/>
              <w:keepNext/>
            </w:pPr>
            <w:r w:rsidRPr="001C06E6">
              <w:t>0.4</w:t>
            </w:r>
          </w:p>
        </w:tc>
        <w:tc>
          <w:tcPr>
            <w:tcW w:w="1045" w:type="dxa"/>
            <w:tcBorders>
              <w:top w:val="single" w:sz="4" w:space="0" w:color="293F5B"/>
              <w:bottom w:val="single" w:sz="4" w:space="0" w:color="293F5B"/>
            </w:tcBorders>
            <w:shd w:val="clear" w:color="auto" w:fill="auto"/>
          </w:tcPr>
          <w:p w14:paraId="0B6E9C34" w14:textId="77777777" w:rsidR="0012790E" w:rsidRPr="001C06E6" w:rsidRDefault="0012790E">
            <w:pPr>
              <w:pStyle w:val="MeasureTableDataRightAlignedwith2ptsspacing"/>
              <w:keepNext/>
            </w:pPr>
            <w:r w:rsidRPr="001C06E6">
              <w:t>0.4</w:t>
            </w:r>
          </w:p>
        </w:tc>
      </w:tr>
      <w:tr w:rsidR="0012790E" w:rsidRPr="001C06E6" w14:paraId="0C8F73BD" w14:textId="77777777">
        <w:tc>
          <w:tcPr>
            <w:tcW w:w="2497" w:type="dxa"/>
            <w:tcBorders>
              <w:top w:val="single" w:sz="4" w:space="0" w:color="293F5B"/>
              <w:bottom w:val="single" w:sz="4" w:space="0" w:color="293F5B"/>
            </w:tcBorders>
            <w:shd w:val="clear" w:color="auto" w:fill="auto"/>
          </w:tcPr>
          <w:p w14:paraId="05F9EAA8"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5FABE654"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0B0004D" w14:textId="77777777" w:rsidR="0012790E" w:rsidRPr="001C06E6" w:rsidRDefault="0012790E">
            <w:pPr>
              <w:pStyle w:val="MeasureTableDataRightAlignedwith2ptsspacing"/>
              <w:keepNext/>
            </w:pPr>
            <w:r>
              <w:t xml:space="preserve">21.3   </w:t>
            </w:r>
          </w:p>
        </w:tc>
        <w:tc>
          <w:tcPr>
            <w:tcW w:w="1045" w:type="dxa"/>
            <w:tcBorders>
              <w:top w:val="single" w:sz="4" w:space="0" w:color="293F5B"/>
              <w:bottom w:val="single" w:sz="4" w:space="0" w:color="293F5B"/>
            </w:tcBorders>
            <w:shd w:val="clear" w:color="auto" w:fill="auto"/>
          </w:tcPr>
          <w:p w14:paraId="5B08775E" w14:textId="77777777" w:rsidR="0012790E" w:rsidRPr="001C06E6" w:rsidRDefault="0012790E">
            <w:pPr>
              <w:pStyle w:val="MeasureTableDataRightAlignedwith2ptsspacing"/>
              <w:keepNext/>
            </w:pPr>
            <w:r>
              <w:t xml:space="preserve">13.5   </w:t>
            </w:r>
          </w:p>
        </w:tc>
        <w:tc>
          <w:tcPr>
            <w:tcW w:w="1045" w:type="dxa"/>
            <w:tcBorders>
              <w:top w:val="single" w:sz="4" w:space="0" w:color="293F5B"/>
              <w:bottom w:val="single" w:sz="4" w:space="0" w:color="293F5B"/>
            </w:tcBorders>
            <w:shd w:val="clear" w:color="auto" w:fill="auto"/>
          </w:tcPr>
          <w:p w14:paraId="6ED8327A" w14:textId="77777777" w:rsidR="0012790E" w:rsidRPr="001C06E6" w:rsidRDefault="0012790E">
            <w:pPr>
              <w:pStyle w:val="MeasureTableDataRightAlignedwith2ptsspacing"/>
              <w:keepNext/>
            </w:pPr>
            <w:r>
              <w:t xml:space="preserve">11.7   </w:t>
            </w:r>
          </w:p>
        </w:tc>
        <w:tc>
          <w:tcPr>
            <w:tcW w:w="1045" w:type="dxa"/>
            <w:tcBorders>
              <w:top w:val="single" w:sz="4" w:space="0" w:color="293F5B"/>
              <w:bottom w:val="single" w:sz="4" w:space="0" w:color="293F5B"/>
            </w:tcBorders>
            <w:shd w:val="clear" w:color="auto" w:fill="auto"/>
          </w:tcPr>
          <w:p w14:paraId="771570A5" w14:textId="77777777" w:rsidR="0012790E" w:rsidRPr="001C06E6" w:rsidRDefault="0012790E">
            <w:pPr>
              <w:pStyle w:val="MeasureTableDataRightAlignedwith2ptsspacing"/>
              <w:keepNext/>
            </w:pPr>
            <w:r>
              <w:t xml:space="preserve">7.0   </w:t>
            </w:r>
          </w:p>
        </w:tc>
      </w:tr>
      <w:tr w:rsidR="0012790E" w:rsidRPr="001C06E6" w14:paraId="0FAF066D" w14:textId="77777777">
        <w:tc>
          <w:tcPr>
            <w:tcW w:w="2497" w:type="dxa"/>
            <w:tcBorders>
              <w:top w:val="single" w:sz="4" w:space="0" w:color="293F5B"/>
              <w:bottom w:val="single" w:sz="4" w:space="0" w:color="293F5B"/>
            </w:tcBorders>
            <w:shd w:val="clear" w:color="auto" w:fill="auto"/>
          </w:tcPr>
          <w:p w14:paraId="7657CEA2"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219F06CD"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6CD4BA51" w14:textId="77777777" w:rsidR="0012790E" w:rsidRPr="001C06E6" w:rsidRDefault="0012790E">
            <w:pPr>
              <w:pStyle w:val="Totaldatarowrightaligned"/>
              <w:keepNext/>
            </w:pPr>
            <w:r w:rsidRPr="001C06E6">
              <w:t>26.1</w:t>
            </w:r>
          </w:p>
        </w:tc>
        <w:tc>
          <w:tcPr>
            <w:tcW w:w="1045" w:type="dxa"/>
            <w:tcBorders>
              <w:top w:val="single" w:sz="4" w:space="0" w:color="293F5B"/>
              <w:bottom w:val="single" w:sz="4" w:space="0" w:color="293F5B"/>
            </w:tcBorders>
            <w:shd w:val="clear" w:color="auto" w:fill="auto"/>
          </w:tcPr>
          <w:p w14:paraId="37FC9915" w14:textId="77777777" w:rsidR="0012790E" w:rsidRPr="001C06E6" w:rsidRDefault="0012790E">
            <w:pPr>
              <w:pStyle w:val="Totaldatarowrightaligned"/>
              <w:keepNext/>
            </w:pPr>
            <w:r w:rsidRPr="001C06E6">
              <w:t>18.0</w:t>
            </w:r>
          </w:p>
        </w:tc>
        <w:tc>
          <w:tcPr>
            <w:tcW w:w="1045" w:type="dxa"/>
            <w:tcBorders>
              <w:top w:val="single" w:sz="4" w:space="0" w:color="293F5B"/>
              <w:bottom w:val="single" w:sz="4" w:space="0" w:color="293F5B"/>
            </w:tcBorders>
            <w:shd w:val="clear" w:color="auto" w:fill="auto"/>
          </w:tcPr>
          <w:p w14:paraId="70898495" w14:textId="77777777" w:rsidR="0012790E" w:rsidRPr="001C06E6" w:rsidRDefault="0012790E">
            <w:pPr>
              <w:pStyle w:val="Totaldatarowrightaligned"/>
              <w:keepNext/>
            </w:pPr>
            <w:r w:rsidRPr="001C06E6">
              <w:t>16.1</w:t>
            </w:r>
          </w:p>
        </w:tc>
        <w:tc>
          <w:tcPr>
            <w:tcW w:w="1045" w:type="dxa"/>
            <w:tcBorders>
              <w:top w:val="single" w:sz="4" w:space="0" w:color="293F5B"/>
              <w:bottom w:val="single" w:sz="4" w:space="0" w:color="293F5B"/>
            </w:tcBorders>
            <w:shd w:val="clear" w:color="auto" w:fill="auto"/>
          </w:tcPr>
          <w:p w14:paraId="66B02CAE" w14:textId="77777777" w:rsidR="0012790E" w:rsidRPr="001C06E6" w:rsidRDefault="0012790E">
            <w:pPr>
              <w:pStyle w:val="Totaldatarowrightaligned"/>
              <w:keepNext/>
            </w:pPr>
            <w:r w:rsidRPr="001C06E6">
              <w:t>11.4</w:t>
            </w:r>
          </w:p>
        </w:tc>
      </w:tr>
      <w:tr w:rsidR="0012790E" w:rsidRPr="001C06E6" w14:paraId="28B51855" w14:textId="77777777">
        <w:tc>
          <w:tcPr>
            <w:tcW w:w="2497" w:type="dxa"/>
            <w:tcBorders>
              <w:top w:val="single" w:sz="4" w:space="0" w:color="293F5B"/>
            </w:tcBorders>
            <w:shd w:val="clear" w:color="auto" w:fill="auto"/>
          </w:tcPr>
          <w:p w14:paraId="489636B3"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45BD4639" w14:textId="77777777" w:rsidR="0012790E" w:rsidRPr="001C06E6" w:rsidRDefault="0012790E">
            <w:pPr>
              <w:pStyle w:val="AgencyName"/>
              <w:keepNext/>
            </w:pPr>
          </w:p>
        </w:tc>
        <w:tc>
          <w:tcPr>
            <w:tcW w:w="1045" w:type="dxa"/>
            <w:tcBorders>
              <w:top w:val="single" w:sz="4" w:space="0" w:color="293F5B"/>
            </w:tcBorders>
            <w:shd w:val="clear" w:color="auto" w:fill="auto"/>
          </w:tcPr>
          <w:p w14:paraId="093BC058" w14:textId="77777777" w:rsidR="0012790E" w:rsidRPr="001C06E6" w:rsidRDefault="0012790E">
            <w:pPr>
              <w:pStyle w:val="AgencyName"/>
              <w:keepNext/>
            </w:pPr>
          </w:p>
        </w:tc>
        <w:tc>
          <w:tcPr>
            <w:tcW w:w="1045" w:type="dxa"/>
            <w:tcBorders>
              <w:top w:val="single" w:sz="4" w:space="0" w:color="293F5B"/>
            </w:tcBorders>
            <w:shd w:val="clear" w:color="auto" w:fill="auto"/>
          </w:tcPr>
          <w:p w14:paraId="544E95F5" w14:textId="77777777" w:rsidR="0012790E" w:rsidRPr="001C06E6" w:rsidRDefault="0012790E">
            <w:pPr>
              <w:pStyle w:val="AgencyName"/>
              <w:keepNext/>
            </w:pPr>
          </w:p>
        </w:tc>
        <w:tc>
          <w:tcPr>
            <w:tcW w:w="1045" w:type="dxa"/>
            <w:tcBorders>
              <w:top w:val="single" w:sz="4" w:space="0" w:color="293F5B"/>
            </w:tcBorders>
            <w:shd w:val="clear" w:color="auto" w:fill="auto"/>
          </w:tcPr>
          <w:p w14:paraId="65DBB55D" w14:textId="77777777" w:rsidR="0012790E" w:rsidRPr="001C06E6" w:rsidRDefault="0012790E">
            <w:pPr>
              <w:pStyle w:val="AgencyName"/>
              <w:keepNext/>
            </w:pPr>
          </w:p>
        </w:tc>
        <w:tc>
          <w:tcPr>
            <w:tcW w:w="1045" w:type="dxa"/>
            <w:tcBorders>
              <w:top w:val="single" w:sz="4" w:space="0" w:color="293F5B"/>
            </w:tcBorders>
            <w:shd w:val="clear" w:color="auto" w:fill="auto"/>
          </w:tcPr>
          <w:p w14:paraId="38C99710" w14:textId="77777777" w:rsidR="0012790E" w:rsidRPr="001C06E6" w:rsidRDefault="0012790E">
            <w:pPr>
              <w:pStyle w:val="AgencyName"/>
              <w:keepNext/>
            </w:pPr>
          </w:p>
        </w:tc>
      </w:tr>
      <w:tr w:rsidR="0012790E" w:rsidRPr="001C06E6" w14:paraId="0F9EF57E" w14:textId="77777777">
        <w:tc>
          <w:tcPr>
            <w:tcW w:w="2497" w:type="dxa"/>
            <w:tcBorders>
              <w:bottom w:val="single" w:sz="4" w:space="0" w:color="293F5B"/>
            </w:tcBorders>
            <w:shd w:val="clear" w:color="auto" w:fill="auto"/>
          </w:tcPr>
          <w:p w14:paraId="46732E59" w14:textId="77777777" w:rsidR="0012790E" w:rsidRPr="001C06E6" w:rsidRDefault="0012790E">
            <w:pPr>
              <w:pStyle w:val="AgencyNamewith2ptsspacing"/>
              <w:keepNext/>
            </w:pPr>
            <w:r w:rsidRPr="001C06E6">
              <w:t>Australian Taxation Office</w:t>
            </w:r>
          </w:p>
        </w:tc>
        <w:tc>
          <w:tcPr>
            <w:tcW w:w="1045" w:type="dxa"/>
            <w:tcBorders>
              <w:bottom w:val="single" w:sz="4" w:space="0" w:color="293F5B"/>
            </w:tcBorders>
            <w:shd w:val="clear" w:color="auto" w:fill="auto"/>
          </w:tcPr>
          <w:p w14:paraId="4BC5F262"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03F08295" w14:textId="1DE4AA63" w:rsidR="0012790E" w:rsidRPr="001C06E6" w:rsidRDefault="00ED3E53">
            <w:pPr>
              <w:pStyle w:val="Measuretabledatarightaligneditalics"/>
              <w:keepNext/>
            </w:pPr>
            <w:r>
              <w:t>*</w:t>
            </w:r>
          </w:p>
        </w:tc>
        <w:tc>
          <w:tcPr>
            <w:tcW w:w="1045" w:type="dxa"/>
            <w:tcBorders>
              <w:bottom w:val="single" w:sz="4" w:space="0" w:color="293F5B"/>
            </w:tcBorders>
            <w:shd w:val="clear" w:color="auto" w:fill="auto"/>
          </w:tcPr>
          <w:p w14:paraId="3CCE2D99" w14:textId="6869601E" w:rsidR="0012790E" w:rsidRPr="001C06E6" w:rsidRDefault="00ED3E53">
            <w:pPr>
              <w:pStyle w:val="Measuretabledatarightaligneditalics"/>
              <w:keepNext/>
            </w:pPr>
            <w:r>
              <w:t>*</w:t>
            </w:r>
          </w:p>
        </w:tc>
        <w:tc>
          <w:tcPr>
            <w:tcW w:w="1045" w:type="dxa"/>
            <w:tcBorders>
              <w:bottom w:val="single" w:sz="4" w:space="0" w:color="293F5B"/>
            </w:tcBorders>
            <w:shd w:val="clear" w:color="auto" w:fill="auto"/>
          </w:tcPr>
          <w:p w14:paraId="4CB82B83" w14:textId="2D995C08" w:rsidR="0012790E" w:rsidRPr="001C06E6" w:rsidRDefault="00ED3E53">
            <w:pPr>
              <w:pStyle w:val="Measuretabledatarightaligneditalics"/>
              <w:keepNext/>
            </w:pPr>
            <w:r>
              <w:t>*</w:t>
            </w:r>
          </w:p>
        </w:tc>
        <w:tc>
          <w:tcPr>
            <w:tcW w:w="1045" w:type="dxa"/>
            <w:tcBorders>
              <w:bottom w:val="single" w:sz="4" w:space="0" w:color="293F5B"/>
            </w:tcBorders>
            <w:shd w:val="clear" w:color="auto" w:fill="auto"/>
          </w:tcPr>
          <w:p w14:paraId="506A0DC4" w14:textId="6F6C5F6B" w:rsidR="0012790E" w:rsidRPr="001C06E6" w:rsidRDefault="00ED3E53">
            <w:pPr>
              <w:pStyle w:val="Measuretabledatarightaligneditalics"/>
              <w:keepNext/>
            </w:pPr>
            <w:r>
              <w:t>*</w:t>
            </w:r>
          </w:p>
        </w:tc>
      </w:tr>
      <w:tr w:rsidR="0012790E" w:rsidRPr="001C06E6" w14:paraId="6242E9A9" w14:textId="77777777">
        <w:tc>
          <w:tcPr>
            <w:tcW w:w="2497" w:type="dxa"/>
            <w:tcBorders>
              <w:top w:val="single" w:sz="4" w:space="0" w:color="293F5B"/>
              <w:bottom w:val="single" w:sz="4" w:space="0" w:color="293F5B"/>
            </w:tcBorders>
            <w:shd w:val="clear" w:color="auto" w:fill="auto"/>
          </w:tcPr>
          <w:p w14:paraId="603C9BB8" w14:textId="77777777" w:rsidR="0012790E" w:rsidRPr="001C06E6" w:rsidRDefault="0012790E">
            <w:pPr>
              <w:pStyle w:val="AgencyName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102EBD7C"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6C27F724"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544109A7"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5E1C22F5"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7876024B" w14:textId="77777777" w:rsidR="0012790E" w:rsidRPr="001C06E6" w:rsidRDefault="0012790E">
            <w:pPr>
              <w:pStyle w:val="Measuretabledatarightaligneditalics"/>
              <w:keepNext/>
            </w:pPr>
            <w:r>
              <w:t xml:space="preserve">-   </w:t>
            </w:r>
          </w:p>
        </w:tc>
      </w:tr>
      <w:tr w:rsidR="0012790E" w:rsidRPr="001C06E6" w14:paraId="401E4D04" w14:textId="77777777">
        <w:tc>
          <w:tcPr>
            <w:tcW w:w="2497" w:type="dxa"/>
            <w:tcBorders>
              <w:top w:val="single" w:sz="4" w:space="0" w:color="293F5B"/>
              <w:bottom w:val="single" w:sz="4" w:space="0" w:color="293F5B"/>
            </w:tcBorders>
            <w:shd w:val="clear" w:color="auto" w:fill="auto"/>
          </w:tcPr>
          <w:p w14:paraId="3C0AE052" w14:textId="77777777" w:rsidR="0012790E" w:rsidRPr="001C06E6" w:rsidRDefault="0012790E">
            <w:pPr>
              <w:pStyle w:val="Totalrowitalicsleftaligned"/>
              <w:keepNext/>
            </w:pPr>
            <w:r w:rsidRPr="001C06E6">
              <w:t>Total – Receipts</w:t>
            </w:r>
          </w:p>
        </w:tc>
        <w:tc>
          <w:tcPr>
            <w:tcW w:w="1045" w:type="dxa"/>
            <w:tcBorders>
              <w:top w:val="single" w:sz="4" w:space="0" w:color="293F5B"/>
              <w:bottom w:val="single" w:sz="4" w:space="0" w:color="293F5B"/>
            </w:tcBorders>
            <w:shd w:val="clear" w:color="auto" w:fill="auto"/>
          </w:tcPr>
          <w:p w14:paraId="084C8129"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7A03AD6D" w14:textId="2B9574C6" w:rsidR="0012790E" w:rsidRPr="001C06E6" w:rsidRDefault="00E23642">
            <w:pPr>
              <w:pStyle w:val="Totalrowitalicsrightaligned"/>
              <w:keepNext/>
            </w:pPr>
            <w:r>
              <w:t>*</w:t>
            </w:r>
          </w:p>
        </w:tc>
        <w:tc>
          <w:tcPr>
            <w:tcW w:w="1045" w:type="dxa"/>
            <w:tcBorders>
              <w:top w:val="single" w:sz="4" w:space="0" w:color="293F5B"/>
              <w:bottom w:val="single" w:sz="4" w:space="0" w:color="293F5B"/>
            </w:tcBorders>
            <w:shd w:val="clear" w:color="auto" w:fill="auto"/>
          </w:tcPr>
          <w:p w14:paraId="7A211CE4" w14:textId="1FAD8ECC" w:rsidR="0012790E" w:rsidRPr="001C06E6" w:rsidRDefault="00E23642">
            <w:pPr>
              <w:pStyle w:val="Totalrowitalicsrightaligned"/>
              <w:keepNext/>
            </w:pPr>
            <w:r>
              <w:t>*</w:t>
            </w:r>
          </w:p>
        </w:tc>
        <w:tc>
          <w:tcPr>
            <w:tcW w:w="1045" w:type="dxa"/>
            <w:tcBorders>
              <w:top w:val="single" w:sz="4" w:space="0" w:color="293F5B"/>
              <w:bottom w:val="single" w:sz="4" w:space="0" w:color="293F5B"/>
            </w:tcBorders>
            <w:shd w:val="clear" w:color="auto" w:fill="auto"/>
          </w:tcPr>
          <w:p w14:paraId="635E3F0D" w14:textId="604BEACB" w:rsidR="0012790E" w:rsidRPr="001C06E6" w:rsidRDefault="00E23642">
            <w:pPr>
              <w:pStyle w:val="Totalrowitalicsrightaligned"/>
              <w:keepNext/>
            </w:pPr>
            <w:r>
              <w:t>*</w:t>
            </w:r>
          </w:p>
        </w:tc>
        <w:tc>
          <w:tcPr>
            <w:tcW w:w="1045" w:type="dxa"/>
            <w:tcBorders>
              <w:top w:val="single" w:sz="4" w:space="0" w:color="293F5B"/>
              <w:bottom w:val="single" w:sz="4" w:space="0" w:color="293F5B"/>
            </w:tcBorders>
            <w:shd w:val="clear" w:color="auto" w:fill="auto"/>
          </w:tcPr>
          <w:p w14:paraId="31A5C90A" w14:textId="5B7B60E9" w:rsidR="0012790E" w:rsidRPr="001C06E6" w:rsidRDefault="00E23642">
            <w:pPr>
              <w:pStyle w:val="Totalrowitalicsrightaligned"/>
              <w:keepNext/>
            </w:pPr>
            <w:r>
              <w:t>*</w:t>
            </w:r>
          </w:p>
        </w:tc>
      </w:tr>
    </w:tbl>
    <w:p w14:paraId="657D57C3" w14:textId="77777777" w:rsidR="0012790E" w:rsidRPr="001C06E6" w:rsidRDefault="0012790E">
      <w:pPr>
        <w:keepNext/>
        <w:widowControl w:val="0"/>
        <w:tabs>
          <w:tab w:val="right" w:pos="3536"/>
          <w:tab w:val="right" w:pos="4579"/>
          <w:tab w:val="right" w:pos="5622"/>
          <w:tab w:val="right" w:pos="6664"/>
          <w:tab w:val="right" w:pos="7707"/>
        </w:tabs>
        <w:spacing w:line="184" w:lineRule="exact"/>
        <w:rPr>
          <w:i/>
          <w:iCs/>
          <w:color w:val="000000"/>
          <w:sz w:val="16"/>
          <w:szCs w:val="16"/>
          <w:lang w:val="en-AU"/>
        </w:rPr>
      </w:pPr>
    </w:p>
    <w:p w14:paraId="149CAE5B" w14:textId="77777777" w:rsidR="0012790E" w:rsidRDefault="0012790E">
      <w:pPr>
        <w:pStyle w:val="Normal2"/>
        <w:rPr>
          <w:rFonts w:cs="Book Antiqua"/>
        </w:rPr>
      </w:pPr>
      <w:r w:rsidRPr="001C06E6">
        <w:rPr>
          <w:rFonts w:cs="Book Antiqua"/>
        </w:rPr>
        <w:t>The Government will provide $182.7</w:t>
      </w:r>
      <w:r>
        <w:rPr>
          <w:rFonts w:cs="Book Antiqua"/>
        </w:rPr>
        <w:t> </w:t>
      </w:r>
      <w:r w:rsidRPr="001C06E6">
        <w:rPr>
          <w:rFonts w:cs="Book Antiqua"/>
        </w:rPr>
        <w:t xml:space="preserve">million over eight years from </w:t>
      </w:r>
      <w:r>
        <w:rPr>
          <w:rFonts w:cs="Book Antiqua"/>
        </w:rPr>
        <w:t>2023–24</w:t>
      </w:r>
      <w:r w:rsidRPr="001C06E6">
        <w:rPr>
          <w:rFonts w:cs="Book Antiqua"/>
        </w:rPr>
        <w:t xml:space="preserve"> (and $4.5</w:t>
      </w:r>
      <w:r>
        <w:rPr>
          <w:rFonts w:cs="Book Antiqua"/>
        </w:rPr>
        <w:t> </w:t>
      </w:r>
      <w:r w:rsidRPr="001C06E6">
        <w:rPr>
          <w:rFonts w:cs="Book Antiqua"/>
        </w:rPr>
        <w:t xml:space="preserve">million ongoing from </w:t>
      </w:r>
      <w:r>
        <w:rPr>
          <w:rFonts w:cs="Book Antiqua"/>
        </w:rPr>
        <w:t>2031–32</w:t>
      </w:r>
      <w:r w:rsidRPr="001C06E6">
        <w:rPr>
          <w:rFonts w:cs="Book Antiqua"/>
        </w:rPr>
        <w:t>) to strengthen approval processes to support the</w:t>
      </w:r>
      <w:r>
        <w:rPr>
          <w:rFonts w:cs="Book Antiqua"/>
        </w:rPr>
        <w:t xml:space="preserve"> </w:t>
      </w:r>
      <w:r w:rsidRPr="001C06E6">
        <w:rPr>
          <w:rFonts w:cs="Book Antiqua"/>
        </w:rPr>
        <w:t>delivery of the Government’s Future Made in Australia agenda, including Australia’s</w:t>
      </w:r>
      <w:r>
        <w:rPr>
          <w:rFonts w:cs="Book Antiqua"/>
        </w:rPr>
        <w:t xml:space="preserve"> </w:t>
      </w:r>
      <w:r w:rsidRPr="001C06E6">
        <w:rPr>
          <w:rFonts w:cs="Book Antiqua"/>
        </w:rPr>
        <w:t>transition to a net zero economy. Funding includes:</w:t>
      </w:r>
    </w:p>
    <w:p w14:paraId="59D99CB8" w14:textId="77777777" w:rsidR="0012790E" w:rsidRDefault="0012790E">
      <w:pPr>
        <w:pStyle w:val="Bullet"/>
      </w:pPr>
      <w:r w:rsidRPr="001C06E6">
        <w:t>$96.6</w:t>
      </w:r>
      <w:r>
        <w:t> </w:t>
      </w:r>
      <w:r w:rsidRPr="001C06E6">
        <w:t xml:space="preserve">million over four years from </w:t>
      </w:r>
      <w:r>
        <w:t>2023–24</w:t>
      </w:r>
      <w:r w:rsidRPr="001C06E6">
        <w:t xml:space="preserve"> for the Department of Climate Change, Energy, the Environment and Water to strengthen environmental approvals for renewable energy, transmission, and critical minerals projects, deliver additional regional plans, and undertake targeted scientific studies to improve the environmental data used in decision</w:t>
      </w:r>
      <w:r>
        <w:noBreakHyphen/>
      </w:r>
      <w:r w:rsidRPr="001C06E6">
        <w:t>making</w:t>
      </w:r>
      <w:r>
        <w:t xml:space="preserve"> </w:t>
      </w:r>
    </w:p>
    <w:p w14:paraId="0C5E1983" w14:textId="77777777" w:rsidR="0012790E" w:rsidRDefault="0012790E">
      <w:pPr>
        <w:pStyle w:val="Bullet"/>
      </w:pPr>
      <w:r w:rsidRPr="001C06E6">
        <w:lastRenderedPageBreak/>
        <w:t>$20.7</w:t>
      </w:r>
      <w:r>
        <w:t> </w:t>
      </w:r>
      <w:r w:rsidRPr="001C06E6">
        <w:t xml:space="preserve">million over seven years from </w:t>
      </w:r>
      <w:r>
        <w:t>2024–25</w:t>
      </w:r>
      <w:r w:rsidRPr="001C06E6">
        <w:t xml:space="preserve"> (and $0.4</w:t>
      </w:r>
      <w:r>
        <w:t> </w:t>
      </w:r>
      <w:r w:rsidRPr="001C06E6">
        <w:t xml:space="preserve">million per year ongoing from </w:t>
      </w:r>
      <w:r>
        <w:t>2031–32</w:t>
      </w:r>
      <w:r w:rsidRPr="001C06E6">
        <w:t>) to improve community engagement and social licence outcomes through permanent establishment of the Australian Energy Infrastructure Commissioner, development of voluntary national developer standards with the support of the Clean Energy Regulator, and the development of a regulatory reform package to realise community benefits in regional communities affected by the energy transition</w:t>
      </w:r>
      <w:r>
        <w:t xml:space="preserve"> </w:t>
      </w:r>
    </w:p>
    <w:p w14:paraId="110561D4" w14:textId="7DC9D4A9" w:rsidR="0012790E" w:rsidRDefault="0012790E">
      <w:pPr>
        <w:pStyle w:val="Bullet"/>
      </w:pPr>
      <w:r w:rsidRPr="001C06E6">
        <w:t>$19.9</w:t>
      </w:r>
      <w:r>
        <w:t> </w:t>
      </w:r>
      <w:r w:rsidRPr="001C06E6">
        <w:t xml:space="preserve">million over four years from </w:t>
      </w:r>
      <w:r>
        <w:t>2024–25</w:t>
      </w:r>
      <w:r w:rsidRPr="001C06E6">
        <w:t xml:space="preserve"> for the Department of Climate Change, Energy, the Environment and Water to develop, agree and maintain a national priority list of renewable energy related projects and process assessments for priority projects</w:t>
      </w:r>
      <w:r>
        <w:t xml:space="preserve"> </w:t>
      </w:r>
    </w:p>
    <w:p w14:paraId="1686AE14" w14:textId="77777777" w:rsidR="0012790E" w:rsidRDefault="0012790E">
      <w:pPr>
        <w:pStyle w:val="Bullet"/>
      </w:pPr>
      <w:r w:rsidRPr="001C06E6">
        <w:t>$17.7</w:t>
      </w:r>
      <w:r>
        <w:t> </w:t>
      </w:r>
      <w:r w:rsidRPr="001C06E6">
        <w:t xml:space="preserve">million over three years from </w:t>
      </w:r>
      <w:r>
        <w:t>2024–25</w:t>
      </w:r>
      <w:r w:rsidRPr="001C06E6">
        <w:t xml:space="preserve"> to reduce the backlog and support administration of complex cultural heritage applications under the </w:t>
      </w:r>
      <w:r w:rsidRPr="001C06E6">
        <w:rPr>
          <w:i/>
          <w:iCs/>
        </w:rPr>
        <w:t xml:space="preserve">Aboriginal and Torres Strait Islander Heritage Protection Act 1984 </w:t>
      </w:r>
      <w:r w:rsidRPr="001C06E6">
        <w:t>and progress the reform of Australia’s cultural heritage laws</w:t>
      </w:r>
      <w:r>
        <w:t xml:space="preserve"> </w:t>
      </w:r>
    </w:p>
    <w:p w14:paraId="47D0E140" w14:textId="6AE3E7BB" w:rsidR="0012790E" w:rsidRDefault="0012790E">
      <w:pPr>
        <w:pStyle w:val="Bullet"/>
      </w:pPr>
      <w:r w:rsidRPr="001C06E6">
        <w:t>$15.7</w:t>
      </w:r>
      <w:r>
        <w:t> </w:t>
      </w:r>
      <w:r w:rsidRPr="001C06E6">
        <w:t xml:space="preserve">million over four years from </w:t>
      </w:r>
      <w:r>
        <w:t>2024–25</w:t>
      </w:r>
      <w:r w:rsidRPr="001C06E6">
        <w:t xml:space="preserve"> (and $4.1</w:t>
      </w:r>
      <w:r>
        <w:t> </w:t>
      </w:r>
      <w:r w:rsidRPr="001C06E6">
        <w:t xml:space="preserve">million per year ongoing from </w:t>
      </w:r>
      <w:r>
        <w:t>2028–29</w:t>
      </w:r>
      <w:r w:rsidRPr="001C06E6">
        <w:t xml:space="preserve">) for Treasury to strengthen </w:t>
      </w:r>
      <w:r w:rsidR="00D362E0">
        <w:t>and streamline</w:t>
      </w:r>
      <w:r w:rsidRPr="001C06E6">
        <w:t xml:space="preserve"> Australia’s foreign investment framework, </w:t>
      </w:r>
      <w:r w:rsidR="00D362E0">
        <w:t xml:space="preserve">through more effective monitoring, enforcement of conditions and </w:t>
      </w:r>
      <w:r w:rsidRPr="001C06E6">
        <w:t>timely review of foreign investment applications</w:t>
      </w:r>
      <w:r w:rsidR="00422C36">
        <w:t>. This includes</w:t>
      </w:r>
      <w:r w:rsidRPr="001C06E6">
        <w:t xml:space="preserve"> refunding 75</w:t>
      </w:r>
      <w:r w:rsidR="004C68A8">
        <w:t> </w:t>
      </w:r>
      <w:r w:rsidRPr="001C06E6">
        <w:t>per cent of fees for foreign investment applications that do not proceed because the applicant was unsuccessful in a competitive bid process.</w:t>
      </w:r>
      <w:r>
        <w:t xml:space="preserve"> </w:t>
      </w:r>
    </w:p>
    <w:p w14:paraId="335E1FA1" w14:textId="77777777" w:rsidR="0012790E" w:rsidRDefault="0012790E">
      <w:pPr>
        <w:pStyle w:val="Normal2"/>
        <w:rPr>
          <w:rFonts w:cs="Book Antiqua"/>
        </w:rPr>
      </w:pPr>
      <w:r w:rsidRPr="001C06E6">
        <w:rPr>
          <w:rFonts w:cs="Book Antiqua"/>
        </w:rPr>
        <w:t>The Government has already provided partial funding for this measure.</w:t>
      </w:r>
      <w:r>
        <w:rPr>
          <w:rFonts w:cs="Book Antiqua"/>
        </w:rPr>
        <w:t xml:space="preserve"> </w:t>
      </w:r>
    </w:p>
    <w:p w14:paraId="3CF032FD" w14:textId="77777777" w:rsidR="0012790E" w:rsidRPr="001C06E6" w:rsidRDefault="0012790E">
      <w:pPr>
        <w:pStyle w:val="MeasureTitle"/>
        <w:rPr>
          <w:b w:val="0"/>
          <w:bCs/>
        </w:rPr>
      </w:pPr>
      <w:r w:rsidRPr="001C06E6">
        <w:rPr>
          <w:bCs/>
        </w:rPr>
        <w:t>Future Made in Australia – Workforce and Trade Partnerships for Renewable</w:t>
      </w:r>
      <w:r>
        <w:rPr>
          <w:bCs/>
        </w:rPr>
        <w:t xml:space="preserve"> </w:t>
      </w:r>
      <w:r w:rsidRPr="001C06E6">
        <w:rPr>
          <w:bCs/>
        </w:rPr>
        <w:t>Energy Superpower Industries</w:t>
      </w:r>
    </w:p>
    <w:p w14:paraId="65E0E308"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18E5517" w14:textId="77777777">
        <w:tc>
          <w:tcPr>
            <w:tcW w:w="2497" w:type="dxa"/>
            <w:tcBorders>
              <w:top w:val="single" w:sz="4" w:space="0" w:color="293F5B"/>
              <w:bottom w:val="single" w:sz="4" w:space="0" w:color="293F5B"/>
            </w:tcBorders>
            <w:shd w:val="clear" w:color="auto" w:fill="auto"/>
          </w:tcPr>
          <w:p w14:paraId="7F72A2E9"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BE0D242"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2AEF1382"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0CC1A80"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12163CA"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8FDF435" w14:textId="77777777" w:rsidR="0012790E" w:rsidRPr="001C06E6" w:rsidRDefault="0012790E">
            <w:pPr>
              <w:pStyle w:val="MeasureTableYearHeadings"/>
              <w:keepNext/>
            </w:pPr>
            <w:r w:rsidRPr="001C06E6">
              <w:t>2027</w:t>
            </w:r>
            <w:r>
              <w:noBreakHyphen/>
            </w:r>
            <w:r w:rsidRPr="001C06E6">
              <w:t>28</w:t>
            </w:r>
          </w:p>
        </w:tc>
      </w:tr>
      <w:tr w:rsidR="0012790E" w:rsidRPr="001C06E6" w14:paraId="77F49E42" w14:textId="77777777">
        <w:tc>
          <w:tcPr>
            <w:tcW w:w="2497" w:type="dxa"/>
            <w:tcBorders>
              <w:top w:val="single" w:sz="4" w:space="0" w:color="293F5B"/>
              <w:bottom w:val="single" w:sz="4" w:space="0" w:color="293F5B"/>
            </w:tcBorders>
            <w:shd w:val="clear" w:color="auto" w:fill="auto"/>
          </w:tcPr>
          <w:p w14:paraId="2C634A45" w14:textId="77777777" w:rsidR="0012790E" w:rsidRPr="001C06E6" w:rsidRDefault="0012790E">
            <w:pPr>
              <w:pStyle w:val="MeasureTableHeadingleftalignedwith2ptsspacing"/>
              <w:keepNext/>
            </w:pPr>
            <w:r>
              <w:t xml:space="preserve">Department of Industry, Science and Resources </w:t>
            </w:r>
          </w:p>
        </w:tc>
        <w:tc>
          <w:tcPr>
            <w:tcW w:w="1045" w:type="dxa"/>
            <w:tcBorders>
              <w:top w:val="single" w:sz="4" w:space="0" w:color="293F5B"/>
              <w:bottom w:val="single" w:sz="4" w:space="0" w:color="293F5B"/>
            </w:tcBorders>
            <w:shd w:val="clear" w:color="auto" w:fill="auto"/>
          </w:tcPr>
          <w:p w14:paraId="7824F6A8" w14:textId="77777777" w:rsidR="0012790E" w:rsidRPr="001C06E6" w:rsidRDefault="0012790E">
            <w:pPr>
              <w:pStyle w:val="MeasureTableDataRightAlignedwith2ptsspacing"/>
              <w:keepNext/>
            </w:pPr>
            <w:r>
              <w:t xml:space="preserve">0.3 </w:t>
            </w:r>
          </w:p>
        </w:tc>
        <w:tc>
          <w:tcPr>
            <w:tcW w:w="1045" w:type="dxa"/>
            <w:tcBorders>
              <w:top w:val="single" w:sz="4" w:space="0" w:color="293F5B"/>
              <w:bottom w:val="single" w:sz="4" w:space="0" w:color="293F5B"/>
            </w:tcBorders>
            <w:shd w:val="clear" w:color="auto" w:fill="auto"/>
          </w:tcPr>
          <w:p w14:paraId="3D1770B6" w14:textId="77777777" w:rsidR="0012790E" w:rsidRPr="001C06E6" w:rsidRDefault="0012790E">
            <w:pPr>
              <w:pStyle w:val="MeasureTableDataRightAlignedwith2ptsspacing"/>
              <w:keepNext/>
            </w:pPr>
            <w:r>
              <w:t xml:space="preserve">14.3 </w:t>
            </w:r>
          </w:p>
        </w:tc>
        <w:tc>
          <w:tcPr>
            <w:tcW w:w="1045" w:type="dxa"/>
            <w:tcBorders>
              <w:top w:val="single" w:sz="4" w:space="0" w:color="293F5B"/>
              <w:bottom w:val="single" w:sz="4" w:space="0" w:color="293F5B"/>
            </w:tcBorders>
            <w:shd w:val="clear" w:color="auto" w:fill="auto"/>
          </w:tcPr>
          <w:p w14:paraId="474BBC53" w14:textId="77777777" w:rsidR="0012790E" w:rsidRPr="001C06E6" w:rsidRDefault="0012790E">
            <w:pPr>
              <w:pStyle w:val="MeasureTableDataRightAlignedwith2ptsspacing"/>
              <w:keepNext/>
            </w:pPr>
            <w:r>
              <w:t xml:space="preserve">7.0 </w:t>
            </w:r>
          </w:p>
        </w:tc>
        <w:tc>
          <w:tcPr>
            <w:tcW w:w="1045" w:type="dxa"/>
            <w:tcBorders>
              <w:top w:val="single" w:sz="4" w:space="0" w:color="293F5B"/>
              <w:bottom w:val="single" w:sz="4" w:space="0" w:color="293F5B"/>
            </w:tcBorders>
            <w:shd w:val="clear" w:color="auto" w:fill="auto"/>
          </w:tcPr>
          <w:p w14:paraId="3F849D8F" w14:textId="77777777" w:rsidR="0012790E" w:rsidRPr="001C06E6" w:rsidRDefault="0012790E">
            <w:pPr>
              <w:pStyle w:val="MeasureTableDataRightAlignedwith2ptsspacing"/>
              <w:keepNext/>
            </w:pPr>
            <w:r>
              <w:t xml:space="preserve">3.8 </w:t>
            </w:r>
          </w:p>
        </w:tc>
        <w:tc>
          <w:tcPr>
            <w:tcW w:w="1045" w:type="dxa"/>
            <w:tcBorders>
              <w:top w:val="single" w:sz="4" w:space="0" w:color="293F5B"/>
              <w:bottom w:val="single" w:sz="4" w:space="0" w:color="293F5B"/>
            </w:tcBorders>
            <w:shd w:val="clear" w:color="auto" w:fill="auto"/>
          </w:tcPr>
          <w:p w14:paraId="5D9D55E2" w14:textId="77777777" w:rsidR="0012790E" w:rsidRPr="001C06E6" w:rsidRDefault="0012790E">
            <w:pPr>
              <w:pStyle w:val="MeasureTableDataRightAlignedwith2ptsspacing"/>
              <w:keepNext/>
            </w:pPr>
            <w:r>
              <w:t xml:space="preserve">7.3 </w:t>
            </w:r>
          </w:p>
        </w:tc>
      </w:tr>
      <w:tr w:rsidR="0012790E" w:rsidRPr="001C06E6" w14:paraId="051B91AF" w14:textId="77777777">
        <w:tc>
          <w:tcPr>
            <w:tcW w:w="2497" w:type="dxa"/>
            <w:tcBorders>
              <w:top w:val="single" w:sz="4" w:space="0" w:color="293F5B"/>
              <w:bottom w:val="single" w:sz="4" w:space="0" w:color="293F5B"/>
            </w:tcBorders>
            <w:shd w:val="clear" w:color="auto" w:fill="auto"/>
          </w:tcPr>
          <w:p w14:paraId="7E683E09"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0020ED6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A409EA7" w14:textId="77777777" w:rsidR="0012790E" w:rsidRPr="001C06E6" w:rsidRDefault="0012790E">
            <w:pPr>
              <w:pStyle w:val="MeasureTableDataRightAlignedwith2ptsspacing"/>
              <w:keepNext/>
            </w:pPr>
            <w:r>
              <w:t xml:space="preserve">14.6 </w:t>
            </w:r>
          </w:p>
        </w:tc>
        <w:tc>
          <w:tcPr>
            <w:tcW w:w="1045" w:type="dxa"/>
            <w:tcBorders>
              <w:top w:val="single" w:sz="4" w:space="0" w:color="293F5B"/>
              <w:bottom w:val="single" w:sz="4" w:space="0" w:color="293F5B"/>
            </w:tcBorders>
            <w:shd w:val="clear" w:color="auto" w:fill="auto"/>
          </w:tcPr>
          <w:p w14:paraId="6C132769" w14:textId="77777777" w:rsidR="0012790E" w:rsidRPr="001C06E6" w:rsidRDefault="0012790E">
            <w:pPr>
              <w:pStyle w:val="MeasureTableDataRightAlignedwith2ptsspacing"/>
              <w:keepNext/>
            </w:pPr>
            <w:r>
              <w:t xml:space="preserve">20.8 </w:t>
            </w:r>
          </w:p>
        </w:tc>
        <w:tc>
          <w:tcPr>
            <w:tcW w:w="1045" w:type="dxa"/>
            <w:tcBorders>
              <w:top w:val="single" w:sz="4" w:space="0" w:color="293F5B"/>
              <w:bottom w:val="single" w:sz="4" w:space="0" w:color="293F5B"/>
            </w:tcBorders>
            <w:shd w:val="clear" w:color="auto" w:fill="auto"/>
          </w:tcPr>
          <w:p w14:paraId="35DBDEF2" w14:textId="77777777" w:rsidR="0012790E" w:rsidRPr="001C06E6" w:rsidRDefault="0012790E">
            <w:pPr>
              <w:pStyle w:val="MeasureTableDataRightAlignedwith2ptsspacing"/>
              <w:keepNext/>
            </w:pPr>
            <w:r>
              <w:t xml:space="preserve">20.6 </w:t>
            </w:r>
          </w:p>
        </w:tc>
        <w:tc>
          <w:tcPr>
            <w:tcW w:w="1045" w:type="dxa"/>
            <w:tcBorders>
              <w:top w:val="single" w:sz="4" w:space="0" w:color="293F5B"/>
              <w:bottom w:val="single" w:sz="4" w:space="0" w:color="293F5B"/>
            </w:tcBorders>
            <w:shd w:val="clear" w:color="auto" w:fill="auto"/>
          </w:tcPr>
          <w:p w14:paraId="4F04C58D" w14:textId="77777777" w:rsidR="0012790E" w:rsidRPr="001C06E6" w:rsidRDefault="0012790E">
            <w:pPr>
              <w:pStyle w:val="MeasureTableDataRightAlignedwith2ptsspacing"/>
              <w:keepNext/>
            </w:pPr>
            <w:r>
              <w:t xml:space="preserve">10.7 </w:t>
            </w:r>
          </w:p>
        </w:tc>
      </w:tr>
      <w:tr w:rsidR="0012790E" w:rsidRPr="001C06E6" w14:paraId="5B0343F3" w14:textId="77777777">
        <w:tc>
          <w:tcPr>
            <w:tcW w:w="2497" w:type="dxa"/>
            <w:tcBorders>
              <w:top w:val="single" w:sz="4" w:space="0" w:color="293F5B"/>
              <w:bottom w:val="single" w:sz="4" w:space="0" w:color="293F5B"/>
            </w:tcBorders>
            <w:shd w:val="clear" w:color="auto" w:fill="auto"/>
          </w:tcPr>
          <w:p w14:paraId="0DB0A9CA"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4D6E5B3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DAEF71F" w14:textId="77777777" w:rsidR="0012790E" w:rsidRPr="001C06E6" w:rsidRDefault="0012790E">
            <w:pPr>
              <w:pStyle w:val="MeasureTableDataRightAlignedwith2ptsspacing"/>
              <w:keepNext/>
            </w:pPr>
            <w:r w:rsidRPr="001C06E6">
              <w:t>50.0</w:t>
            </w:r>
          </w:p>
        </w:tc>
        <w:tc>
          <w:tcPr>
            <w:tcW w:w="1045" w:type="dxa"/>
            <w:tcBorders>
              <w:top w:val="single" w:sz="4" w:space="0" w:color="293F5B"/>
              <w:bottom w:val="single" w:sz="4" w:space="0" w:color="293F5B"/>
            </w:tcBorders>
            <w:shd w:val="clear" w:color="auto" w:fill="auto"/>
          </w:tcPr>
          <w:p w14:paraId="5C4B306F" w14:textId="77777777" w:rsidR="0012790E" w:rsidRPr="001C06E6" w:rsidRDefault="0012790E">
            <w:pPr>
              <w:pStyle w:val="MeasureTableDataRightAlignedwith2ptsspacing"/>
              <w:keepNext/>
            </w:pPr>
            <w:r w:rsidRPr="001C06E6">
              <w:t>22.5</w:t>
            </w:r>
          </w:p>
        </w:tc>
        <w:tc>
          <w:tcPr>
            <w:tcW w:w="1045" w:type="dxa"/>
            <w:tcBorders>
              <w:top w:val="single" w:sz="4" w:space="0" w:color="293F5B"/>
              <w:bottom w:val="single" w:sz="4" w:space="0" w:color="293F5B"/>
            </w:tcBorders>
            <w:shd w:val="clear" w:color="auto" w:fill="auto"/>
          </w:tcPr>
          <w:p w14:paraId="4B8DF9CD" w14:textId="77777777" w:rsidR="0012790E" w:rsidRPr="001C06E6" w:rsidRDefault="0012790E">
            <w:pPr>
              <w:pStyle w:val="MeasureTableDataRightAlignedwith2ptsspacing"/>
              <w:keepNext/>
            </w:pPr>
            <w:r w:rsidRPr="001C06E6">
              <w:t>7.5</w:t>
            </w:r>
          </w:p>
        </w:tc>
        <w:tc>
          <w:tcPr>
            <w:tcW w:w="1045" w:type="dxa"/>
            <w:tcBorders>
              <w:top w:val="single" w:sz="4" w:space="0" w:color="293F5B"/>
              <w:bottom w:val="single" w:sz="4" w:space="0" w:color="293F5B"/>
            </w:tcBorders>
            <w:shd w:val="clear" w:color="auto" w:fill="auto"/>
          </w:tcPr>
          <w:p w14:paraId="20B50165" w14:textId="77777777" w:rsidR="0012790E" w:rsidRPr="001C06E6" w:rsidRDefault="0012790E">
            <w:pPr>
              <w:pStyle w:val="MeasureTableDataRightAlignedwith2ptsspacing"/>
              <w:keepNext/>
            </w:pPr>
            <w:r w:rsidRPr="001C06E6">
              <w:t>-</w:t>
            </w:r>
          </w:p>
        </w:tc>
      </w:tr>
      <w:tr w:rsidR="0012790E" w:rsidRPr="001C06E6" w14:paraId="7434F3B5" w14:textId="77777777">
        <w:tc>
          <w:tcPr>
            <w:tcW w:w="2497" w:type="dxa"/>
            <w:tcBorders>
              <w:top w:val="single" w:sz="4" w:space="0" w:color="293F5B"/>
              <w:bottom w:val="single" w:sz="4" w:space="0" w:color="293F5B"/>
            </w:tcBorders>
            <w:shd w:val="clear" w:color="auto" w:fill="auto"/>
          </w:tcPr>
          <w:p w14:paraId="2752AD53" w14:textId="77777777" w:rsidR="0012790E" w:rsidRPr="001C06E6" w:rsidRDefault="0012790E">
            <w:pPr>
              <w:pStyle w:val="MeasureTableHeadingleftalignedwith2ptsspacing"/>
              <w:keepNext/>
            </w:pPr>
            <w:r>
              <w:t xml:space="preserve">Department of Foreign Affairs and Trade </w:t>
            </w:r>
          </w:p>
        </w:tc>
        <w:tc>
          <w:tcPr>
            <w:tcW w:w="1045" w:type="dxa"/>
            <w:tcBorders>
              <w:top w:val="single" w:sz="4" w:space="0" w:color="293F5B"/>
              <w:bottom w:val="single" w:sz="4" w:space="0" w:color="293F5B"/>
            </w:tcBorders>
            <w:shd w:val="clear" w:color="auto" w:fill="auto"/>
          </w:tcPr>
          <w:p w14:paraId="29D0202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06E00DC" w14:textId="77777777" w:rsidR="0012790E" w:rsidRPr="001C06E6" w:rsidRDefault="0012790E">
            <w:pPr>
              <w:pStyle w:val="MeasureTableDataRightAlignedwith2ptsspacing"/>
              <w:keepNext/>
            </w:pPr>
            <w:r>
              <w:t xml:space="preserve">3.6 </w:t>
            </w:r>
          </w:p>
        </w:tc>
        <w:tc>
          <w:tcPr>
            <w:tcW w:w="1045" w:type="dxa"/>
            <w:tcBorders>
              <w:top w:val="single" w:sz="4" w:space="0" w:color="293F5B"/>
              <w:bottom w:val="single" w:sz="4" w:space="0" w:color="293F5B"/>
            </w:tcBorders>
            <w:shd w:val="clear" w:color="auto" w:fill="auto"/>
          </w:tcPr>
          <w:p w14:paraId="0723D476" w14:textId="77777777" w:rsidR="0012790E" w:rsidRPr="001C06E6" w:rsidRDefault="0012790E">
            <w:pPr>
              <w:pStyle w:val="MeasureTableDataRightAlignedwith2ptsspacing"/>
              <w:keepNext/>
            </w:pPr>
            <w:r>
              <w:t xml:space="preserve">3.1 </w:t>
            </w:r>
          </w:p>
        </w:tc>
        <w:tc>
          <w:tcPr>
            <w:tcW w:w="1045" w:type="dxa"/>
            <w:tcBorders>
              <w:top w:val="single" w:sz="4" w:space="0" w:color="293F5B"/>
              <w:bottom w:val="single" w:sz="4" w:space="0" w:color="293F5B"/>
            </w:tcBorders>
            <w:shd w:val="clear" w:color="auto" w:fill="auto"/>
          </w:tcPr>
          <w:p w14:paraId="049A72DC" w14:textId="77777777" w:rsidR="0012790E" w:rsidRPr="001C06E6" w:rsidRDefault="0012790E">
            <w:pPr>
              <w:pStyle w:val="MeasureTableDataRightAlignedwith2ptsspacing"/>
              <w:keepNext/>
            </w:pPr>
            <w:r>
              <w:t xml:space="preserve">2.9 </w:t>
            </w:r>
          </w:p>
        </w:tc>
        <w:tc>
          <w:tcPr>
            <w:tcW w:w="1045" w:type="dxa"/>
            <w:tcBorders>
              <w:top w:val="single" w:sz="4" w:space="0" w:color="293F5B"/>
              <w:bottom w:val="single" w:sz="4" w:space="0" w:color="293F5B"/>
            </w:tcBorders>
            <w:shd w:val="clear" w:color="auto" w:fill="auto"/>
          </w:tcPr>
          <w:p w14:paraId="34351A0B" w14:textId="77777777" w:rsidR="0012790E" w:rsidRPr="001C06E6" w:rsidRDefault="0012790E">
            <w:pPr>
              <w:pStyle w:val="MeasureTableDataRightAlignedwith2ptsspacing"/>
              <w:keepNext/>
            </w:pPr>
            <w:r>
              <w:t xml:space="preserve">1.3 </w:t>
            </w:r>
          </w:p>
        </w:tc>
      </w:tr>
      <w:tr w:rsidR="0012790E" w:rsidRPr="001C06E6" w14:paraId="06D733F3" w14:textId="77777777">
        <w:tc>
          <w:tcPr>
            <w:tcW w:w="2497" w:type="dxa"/>
            <w:tcBorders>
              <w:top w:val="single" w:sz="4" w:space="0" w:color="293F5B"/>
              <w:bottom w:val="single" w:sz="4" w:space="0" w:color="293F5B"/>
            </w:tcBorders>
            <w:shd w:val="clear" w:color="auto" w:fill="auto"/>
          </w:tcPr>
          <w:p w14:paraId="2E764D2F"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0B7BC33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5FDD9B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6964A87"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EB5D8F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1522160" w14:textId="77777777" w:rsidR="0012790E" w:rsidRPr="001C06E6" w:rsidRDefault="0012790E">
            <w:pPr>
              <w:pStyle w:val="MeasureTableDataRightAlignedwith2ptsspacing"/>
              <w:keepNext/>
            </w:pPr>
            <w:r>
              <w:t xml:space="preserve">-   </w:t>
            </w:r>
          </w:p>
        </w:tc>
      </w:tr>
      <w:tr w:rsidR="0012790E" w:rsidRPr="001C06E6" w14:paraId="6B305F56" w14:textId="77777777">
        <w:tc>
          <w:tcPr>
            <w:tcW w:w="2497" w:type="dxa"/>
            <w:tcBorders>
              <w:top w:val="single" w:sz="4" w:space="0" w:color="293F5B"/>
              <w:bottom w:val="single" w:sz="4" w:space="0" w:color="293F5B"/>
            </w:tcBorders>
            <w:shd w:val="clear" w:color="auto" w:fill="auto"/>
          </w:tcPr>
          <w:p w14:paraId="08F09D1D"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11C81EFB" w14:textId="77777777" w:rsidR="0012790E" w:rsidRPr="001C06E6" w:rsidRDefault="0012790E">
            <w:pPr>
              <w:pStyle w:val="Totaldatarowrightaligned"/>
              <w:keepNext/>
            </w:pPr>
            <w:r w:rsidRPr="001C06E6">
              <w:t>0.4</w:t>
            </w:r>
          </w:p>
        </w:tc>
        <w:tc>
          <w:tcPr>
            <w:tcW w:w="1045" w:type="dxa"/>
            <w:tcBorders>
              <w:top w:val="single" w:sz="4" w:space="0" w:color="293F5B"/>
              <w:bottom w:val="single" w:sz="4" w:space="0" w:color="293F5B"/>
            </w:tcBorders>
            <w:shd w:val="clear" w:color="auto" w:fill="auto"/>
          </w:tcPr>
          <w:p w14:paraId="45593490" w14:textId="77777777" w:rsidR="0012790E" w:rsidRPr="001C06E6" w:rsidRDefault="0012790E">
            <w:pPr>
              <w:pStyle w:val="Totaldatarowrightaligned"/>
              <w:keepNext/>
            </w:pPr>
            <w:r w:rsidRPr="001C06E6">
              <w:t>82.5</w:t>
            </w:r>
          </w:p>
        </w:tc>
        <w:tc>
          <w:tcPr>
            <w:tcW w:w="1045" w:type="dxa"/>
            <w:tcBorders>
              <w:top w:val="single" w:sz="4" w:space="0" w:color="293F5B"/>
              <w:bottom w:val="single" w:sz="4" w:space="0" w:color="293F5B"/>
            </w:tcBorders>
            <w:shd w:val="clear" w:color="auto" w:fill="auto"/>
          </w:tcPr>
          <w:p w14:paraId="0A4246B1" w14:textId="77777777" w:rsidR="0012790E" w:rsidRPr="001C06E6" w:rsidRDefault="0012790E">
            <w:pPr>
              <w:pStyle w:val="Totaldatarowrightaligned"/>
              <w:keepNext/>
            </w:pPr>
            <w:r w:rsidRPr="001C06E6">
              <w:t>53.3</w:t>
            </w:r>
          </w:p>
        </w:tc>
        <w:tc>
          <w:tcPr>
            <w:tcW w:w="1045" w:type="dxa"/>
            <w:tcBorders>
              <w:top w:val="single" w:sz="4" w:space="0" w:color="293F5B"/>
              <w:bottom w:val="single" w:sz="4" w:space="0" w:color="293F5B"/>
            </w:tcBorders>
            <w:shd w:val="clear" w:color="auto" w:fill="auto"/>
          </w:tcPr>
          <w:p w14:paraId="2B9EA7A1" w14:textId="77777777" w:rsidR="0012790E" w:rsidRPr="001C06E6" w:rsidRDefault="0012790E">
            <w:pPr>
              <w:pStyle w:val="Totaldatarowrightaligned"/>
              <w:keepNext/>
            </w:pPr>
            <w:r w:rsidRPr="001C06E6">
              <w:t>34.7</w:t>
            </w:r>
          </w:p>
        </w:tc>
        <w:tc>
          <w:tcPr>
            <w:tcW w:w="1045" w:type="dxa"/>
            <w:tcBorders>
              <w:top w:val="single" w:sz="4" w:space="0" w:color="293F5B"/>
              <w:bottom w:val="single" w:sz="4" w:space="0" w:color="293F5B"/>
            </w:tcBorders>
            <w:shd w:val="clear" w:color="auto" w:fill="auto"/>
          </w:tcPr>
          <w:p w14:paraId="00918F3A" w14:textId="77777777" w:rsidR="0012790E" w:rsidRPr="001C06E6" w:rsidRDefault="0012790E">
            <w:pPr>
              <w:pStyle w:val="Totaldatarowrightaligned"/>
              <w:keepNext/>
            </w:pPr>
            <w:r w:rsidRPr="001C06E6">
              <w:t>19.4</w:t>
            </w:r>
          </w:p>
        </w:tc>
      </w:tr>
    </w:tbl>
    <w:p w14:paraId="39C65A15"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4D18EE60" w14:textId="1BE7DE6E" w:rsidR="0050252C" w:rsidRPr="0050252C" w:rsidRDefault="0050252C" w:rsidP="00AC2FA9">
      <w:pPr>
        <w:pStyle w:val="Normal2"/>
        <w:rPr>
          <w:rFonts w:cs="Book Antiqua"/>
        </w:rPr>
      </w:pPr>
      <w:r w:rsidRPr="0050252C">
        <w:rPr>
          <w:rFonts w:cs="Book Antiqua"/>
        </w:rPr>
        <w:t>The Government will provide $218.4 million over eight years from 2023</w:t>
      </w:r>
      <w:r w:rsidR="004C68A8">
        <w:rPr>
          <w:rFonts w:cs="Book Antiqua"/>
        </w:rPr>
        <w:t>–</w:t>
      </w:r>
      <w:r w:rsidRPr="0050252C">
        <w:rPr>
          <w:rFonts w:cs="Book Antiqua"/>
        </w:rPr>
        <w:t>24 (and $1.3</w:t>
      </w:r>
      <w:r w:rsidR="004C68A8">
        <w:rPr>
          <w:rFonts w:cs="Book Antiqua"/>
        </w:rPr>
        <w:t> </w:t>
      </w:r>
      <w:r w:rsidRPr="0050252C">
        <w:rPr>
          <w:rFonts w:cs="Book Antiqua"/>
        </w:rPr>
        <w:t xml:space="preserve">million per year ongoing) to support a Future Made in Australia through the development of a skilled and diverse workforce and trade partnerships. Funding includes:  </w:t>
      </w:r>
    </w:p>
    <w:p w14:paraId="507DB257" w14:textId="027443AF" w:rsidR="0050252C" w:rsidRDefault="0050252C" w:rsidP="00AC2FA9">
      <w:pPr>
        <w:pStyle w:val="Bullet"/>
        <w:ind w:left="284" w:hanging="284"/>
      </w:pPr>
      <w:r>
        <w:lastRenderedPageBreak/>
        <w:tab/>
        <w:t>$91.0 million over five years from 2023</w:t>
      </w:r>
      <w:r w:rsidR="004C68A8">
        <w:t>–</w:t>
      </w:r>
      <w:r>
        <w:t>24 (and an additional $0.6 million over three years from 2028</w:t>
      </w:r>
      <w:r w:rsidR="004C68A8">
        <w:t>–</w:t>
      </w:r>
      <w:r>
        <w:t>29) to support the development of the clean energy workforce, including through addressing vocational education and training sector trainer workforce shortages, and funding new and existing training facility upgrades across a</w:t>
      </w:r>
      <w:r w:rsidR="00C1440A">
        <w:t> </w:t>
      </w:r>
      <w:r>
        <w:t xml:space="preserve">range of clean energy occupations </w:t>
      </w:r>
    </w:p>
    <w:p w14:paraId="012F88CE" w14:textId="569C07A0" w:rsidR="0050252C" w:rsidRDefault="0050252C" w:rsidP="00AC2FA9">
      <w:pPr>
        <w:pStyle w:val="Bullet"/>
        <w:ind w:left="284" w:hanging="284"/>
      </w:pPr>
      <w:r>
        <w:tab/>
        <w:t>$55.6 million over four years from 2024</w:t>
      </w:r>
      <w:r w:rsidR="004C68A8">
        <w:t>–</w:t>
      </w:r>
      <w:r>
        <w:t>25 to establish the Building Women’s Careers program to drive structural and systemic change in work and training environments. The program will fund partnerships between training providers, community organisations, employers, and unions to improve women’s access to flexible, safe and inclusive work and training opportunities in traditionally male-dominated industries of</w:t>
      </w:r>
      <w:r w:rsidR="00C1440A">
        <w:t> </w:t>
      </w:r>
      <w:r>
        <w:t xml:space="preserve">national priority, including clean energy sectors  </w:t>
      </w:r>
    </w:p>
    <w:p w14:paraId="179FE81B" w14:textId="4B135C86" w:rsidR="0050252C" w:rsidRDefault="0050252C" w:rsidP="00AC2FA9">
      <w:pPr>
        <w:pStyle w:val="Bullet"/>
        <w:ind w:left="284" w:hanging="284"/>
      </w:pPr>
      <w:r>
        <w:t>$38.2 million over eight years from 2023</w:t>
      </w:r>
      <w:r w:rsidR="004C68A8">
        <w:t>–</w:t>
      </w:r>
      <w:r>
        <w:t>24 (and $1.3 million per year ongoing) to provide funding for a range of Science, Technology, Engineering and Mathematics (STEM) programs to increase diversity in STEM education and industries</w:t>
      </w:r>
    </w:p>
    <w:p w14:paraId="6C982029" w14:textId="125B3A49" w:rsidR="0050252C" w:rsidRDefault="0050252C" w:rsidP="00AC2FA9">
      <w:pPr>
        <w:pStyle w:val="Bullet"/>
        <w:ind w:left="284" w:hanging="284"/>
      </w:pPr>
      <w:r>
        <w:tab/>
        <w:t>$14.3 million over four years from 2024</w:t>
      </w:r>
      <w:r w:rsidR="004C68A8">
        <w:t>–</w:t>
      </w:r>
      <w:r>
        <w:t xml:space="preserve">25 to improve the competitiveness of the Australian economy by working with trade partners to support global rules on unfair trade practices and to negotiate benchmarks for trade in high quality critical minerals  </w:t>
      </w:r>
    </w:p>
    <w:p w14:paraId="2316ADC2" w14:textId="2662814C" w:rsidR="0050252C" w:rsidRDefault="0050252C" w:rsidP="00AC2FA9">
      <w:pPr>
        <w:pStyle w:val="Bullet"/>
        <w:ind w:left="284" w:hanging="284"/>
      </w:pPr>
      <w:r>
        <w:t>$10.0 million in 2025</w:t>
      </w:r>
      <w:r w:rsidR="004C68A8">
        <w:t>–</w:t>
      </w:r>
      <w:r>
        <w:t xml:space="preserve">26 to establish a National Hydrogen Technology Skills Training Centre, in partnership with the Victorian Government, to promote hydrogen workforce development to support the skilled workforce needs of the growing domestic hydrogen industry </w:t>
      </w:r>
    </w:p>
    <w:p w14:paraId="3814BA14" w14:textId="2586A87A" w:rsidR="0050252C" w:rsidRDefault="0050252C" w:rsidP="00AC2FA9">
      <w:pPr>
        <w:pStyle w:val="Bullet"/>
        <w:ind w:left="284" w:hanging="284"/>
      </w:pPr>
      <w:r>
        <w:tab/>
        <w:t>$8.7 million in 2024</w:t>
      </w:r>
      <w:r w:rsidR="004C68A8">
        <w:t>–</w:t>
      </w:r>
      <w:r>
        <w:t xml:space="preserve">25 to continue to provide analysis, oversight and implementation support to deliver on Australia’s renewable energy superpower opportunities, and review Australia’s critical minerals trade policy settings. </w:t>
      </w:r>
    </w:p>
    <w:p w14:paraId="0E335980" w14:textId="5796626B" w:rsidR="0050252C" w:rsidRDefault="0050252C" w:rsidP="00781475">
      <w:pPr>
        <w:pStyle w:val="Normal2"/>
      </w:pPr>
      <w:r>
        <w:t>The Government has already provided partial funding for this measure. The cost of this measure will be partially met through funding from the Strategic International Partnerships</w:t>
      </w:r>
      <w:r w:rsidR="00C1440A">
        <w:t> </w:t>
      </w:r>
      <w:r>
        <w:t>Investment Stream and savings identified in the Department of Industry, Science and Resources.</w:t>
      </w:r>
    </w:p>
    <w:p w14:paraId="4D0ECB7A" w14:textId="2D62D9EB" w:rsidR="0050252C" w:rsidRDefault="0050252C" w:rsidP="00781475">
      <w:pPr>
        <w:pStyle w:val="Normal2"/>
      </w:pPr>
      <w:r>
        <w:t xml:space="preserve">Partial funding for this measure will be held in the Contingency Reserve pending the finalisation of a selection process for a delivery partner for the National Hydrogen Technology Skills Training Centre. </w:t>
      </w:r>
    </w:p>
    <w:p w14:paraId="097AB5F8" w14:textId="7958271E" w:rsidR="0012790E" w:rsidRPr="001C06E6" w:rsidRDefault="0050252C" w:rsidP="00781475">
      <w:pPr>
        <w:pStyle w:val="Normal2"/>
      </w:pPr>
      <w:r>
        <w:t>This measure builds on the 2023</w:t>
      </w:r>
      <w:r w:rsidR="004C68A8">
        <w:t>–</w:t>
      </w:r>
      <w:r>
        <w:t xml:space="preserve">24 Budget measure titled </w:t>
      </w:r>
      <w:r w:rsidRPr="00AC2FA9">
        <w:rPr>
          <w:i/>
          <w:iCs/>
        </w:rPr>
        <w:t>Strengthening Australia’s Science, Technology, Engineering and Mathematics Capabilities</w:t>
      </w:r>
      <w:r>
        <w:t>, and on the Employment White Paper.</w:t>
      </w:r>
    </w:p>
    <w:p w14:paraId="43A39282" w14:textId="77777777" w:rsidR="0012790E" w:rsidRPr="001C06E6" w:rsidRDefault="0012790E">
      <w:pPr>
        <w:pStyle w:val="MeasureTitle"/>
        <w:rPr>
          <w:b w:val="0"/>
          <w:bCs/>
        </w:rPr>
      </w:pPr>
      <w:r w:rsidRPr="001C06E6">
        <w:rPr>
          <w:bCs/>
        </w:rPr>
        <w:lastRenderedPageBreak/>
        <w:t>Housing Support</w:t>
      </w:r>
    </w:p>
    <w:p w14:paraId="75384D88"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8B088F2" w14:textId="77777777">
        <w:tc>
          <w:tcPr>
            <w:tcW w:w="2497" w:type="dxa"/>
            <w:tcBorders>
              <w:top w:val="single" w:sz="4" w:space="0" w:color="293F5B"/>
              <w:bottom w:val="single" w:sz="4" w:space="0" w:color="293F5B"/>
            </w:tcBorders>
            <w:shd w:val="clear" w:color="auto" w:fill="auto"/>
          </w:tcPr>
          <w:p w14:paraId="0C033F1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398F3CE"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DCE0F7C"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534E661"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9770B61"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6FC50B2" w14:textId="77777777" w:rsidR="0012790E" w:rsidRPr="001C06E6" w:rsidRDefault="0012790E">
            <w:pPr>
              <w:pStyle w:val="MeasureTableYearHeadings"/>
              <w:keepNext/>
            </w:pPr>
            <w:r w:rsidRPr="001C06E6">
              <w:t>2027</w:t>
            </w:r>
            <w:r>
              <w:noBreakHyphen/>
            </w:r>
            <w:r w:rsidRPr="001C06E6">
              <w:t>28</w:t>
            </w:r>
          </w:p>
        </w:tc>
      </w:tr>
      <w:tr w:rsidR="0012790E" w:rsidRPr="001C06E6" w14:paraId="664911E7" w14:textId="77777777">
        <w:tc>
          <w:tcPr>
            <w:tcW w:w="2497" w:type="dxa"/>
            <w:tcBorders>
              <w:top w:val="single" w:sz="4" w:space="0" w:color="293F5B"/>
              <w:bottom w:val="single" w:sz="4" w:space="0" w:color="293F5B"/>
            </w:tcBorders>
            <w:shd w:val="clear" w:color="auto" w:fill="auto"/>
          </w:tcPr>
          <w:p w14:paraId="77825BF1"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5F0E16F3" w14:textId="77777777" w:rsidR="0012790E" w:rsidRPr="001C06E6" w:rsidRDefault="0012790E">
            <w:pPr>
              <w:pStyle w:val="MeasureTableDataRightAlignedwith2ptsspacing"/>
              <w:keepNext/>
            </w:pPr>
            <w:r w:rsidRPr="001C06E6">
              <w:t>1,000.0</w:t>
            </w:r>
          </w:p>
        </w:tc>
        <w:tc>
          <w:tcPr>
            <w:tcW w:w="1045" w:type="dxa"/>
            <w:tcBorders>
              <w:top w:val="single" w:sz="4" w:space="0" w:color="293F5B"/>
              <w:bottom w:val="single" w:sz="4" w:space="0" w:color="293F5B"/>
            </w:tcBorders>
            <w:shd w:val="clear" w:color="auto" w:fill="auto"/>
          </w:tcPr>
          <w:p w14:paraId="3A933F6B" w14:textId="2741AB74" w:rsidR="0012790E" w:rsidRPr="001C06E6" w:rsidRDefault="00E41461">
            <w:pPr>
              <w:pStyle w:val="MeasureTableDataRightAlignedwith2ptsspacing"/>
              <w:keepNext/>
            </w:pPr>
            <w:r>
              <w:t>133.5</w:t>
            </w:r>
          </w:p>
        </w:tc>
        <w:tc>
          <w:tcPr>
            <w:tcW w:w="1045" w:type="dxa"/>
            <w:tcBorders>
              <w:top w:val="single" w:sz="4" w:space="0" w:color="293F5B"/>
              <w:bottom w:val="single" w:sz="4" w:space="0" w:color="293F5B"/>
            </w:tcBorders>
            <w:shd w:val="clear" w:color="auto" w:fill="auto"/>
          </w:tcPr>
          <w:p w14:paraId="3DF4CF3A" w14:textId="1D5B4EB2" w:rsidR="0012790E" w:rsidRPr="001C06E6" w:rsidRDefault="00E41461">
            <w:pPr>
              <w:pStyle w:val="MeasureTableDataRightAlignedwith2ptsspacing"/>
              <w:keepNext/>
            </w:pPr>
            <w:r>
              <w:t>152.0</w:t>
            </w:r>
          </w:p>
        </w:tc>
        <w:tc>
          <w:tcPr>
            <w:tcW w:w="1045" w:type="dxa"/>
            <w:tcBorders>
              <w:top w:val="single" w:sz="4" w:space="0" w:color="293F5B"/>
              <w:bottom w:val="single" w:sz="4" w:space="0" w:color="293F5B"/>
            </w:tcBorders>
            <w:shd w:val="clear" w:color="auto" w:fill="auto"/>
          </w:tcPr>
          <w:p w14:paraId="73BEB85D" w14:textId="77777777" w:rsidR="0012790E" w:rsidRPr="001C06E6" w:rsidRDefault="0012790E">
            <w:pPr>
              <w:pStyle w:val="MeasureTableDataRightAlignedwith2ptsspacing"/>
              <w:keepNext/>
            </w:pPr>
            <w:r w:rsidRPr="001C06E6">
              <w:t>111.2</w:t>
            </w:r>
          </w:p>
        </w:tc>
        <w:tc>
          <w:tcPr>
            <w:tcW w:w="1045" w:type="dxa"/>
            <w:tcBorders>
              <w:top w:val="single" w:sz="4" w:space="0" w:color="293F5B"/>
              <w:bottom w:val="single" w:sz="4" w:space="0" w:color="293F5B"/>
            </w:tcBorders>
            <w:shd w:val="clear" w:color="auto" w:fill="auto"/>
          </w:tcPr>
          <w:p w14:paraId="76B3AEE2" w14:textId="77777777" w:rsidR="0012790E" w:rsidRPr="001C06E6" w:rsidRDefault="0012790E">
            <w:pPr>
              <w:pStyle w:val="MeasureTableDataRightAlignedwith2ptsspacing"/>
              <w:keepNext/>
            </w:pPr>
            <w:r w:rsidRPr="001C06E6">
              <w:t>85.5</w:t>
            </w:r>
          </w:p>
        </w:tc>
      </w:tr>
      <w:tr w:rsidR="0012790E" w:rsidRPr="001C06E6" w14:paraId="0C9E5CA0" w14:textId="77777777">
        <w:tc>
          <w:tcPr>
            <w:tcW w:w="2497" w:type="dxa"/>
            <w:tcBorders>
              <w:top w:val="single" w:sz="4" w:space="0" w:color="293F5B"/>
              <w:bottom w:val="single" w:sz="4" w:space="0" w:color="293F5B"/>
            </w:tcBorders>
            <w:shd w:val="clear" w:color="auto" w:fill="auto"/>
          </w:tcPr>
          <w:p w14:paraId="1C40CA39"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7C9AB77B" w14:textId="77777777" w:rsidR="0012790E" w:rsidRPr="001C06E6" w:rsidRDefault="0012790E">
            <w:pPr>
              <w:pStyle w:val="MeasureTableDataRightAlignedwith2ptsspacing"/>
              <w:keepNext/>
            </w:pPr>
            <w:r>
              <w:t xml:space="preserve">0.2 </w:t>
            </w:r>
          </w:p>
        </w:tc>
        <w:tc>
          <w:tcPr>
            <w:tcW w:w="1045" w:type="dxa"/>
            <w:tcBorders>
              <w:top w:val="single" w:sz="4" w:space="0" w:color="293F5B"/>
              <w:bottom w:val="single" w:sz="4" w:space="0" w:color="293F5B"/>
            </w:tcBorders>
            <w:shd w:val="clear" w:color="auto" w:fill="auto"/>
          </w:tcPr>
          <w:p w14:paraId="567DF486" w14:textId="77777777" w:rsidR="0012790E" w:rsidRPr="001C06E6" w:rsidRDefault="0012790E">
            <w:pPr>
              <w:pStyle w:val="MeasureTableDataRightAlignedwith2ptsspacing"/>
              <w:keepNext/>
            </w:pPr>
            <w:r>
              <w:t xml:space="preserve">9.0 </w:t>
            </w:r>
          </w:p>
        </w:tc>
        <w:tc>
          <w:tcPr>
            <w:tcW w:w="1045" w:type="dxa"/>
            <w:tcBorders>
              <w:top w:val="single" w:sz="4" w:space="0" w:color="293F5B"/>
              <w:bottom w:val="single" w:sz="4" w:space="0" w:color="293F5B"/>
            </w:tcBorders>
            <w:shd w:val="clear" w:color="auto" w:fill="auto"/>
          </w:tcPr>
          <w:p w14:paraId="391AA8D9" w14:textId="77777777" w:rsidR="0012790E" w:rsidRPr="001C06E6" w:rsidRDefault="0012790E">
            <w:pPr>
              <w:pStyle w:val="MeasureTableDataRightAlignedwith2ptsspacing"/>
              <w:keepNext/>
            </w:pPr>
            <w:r>
              <w:t xml:space="preserve">2.8 </w:t>
            </w:r>
          </w:p>
        </w:tc>
        <w:tc>
          <w:tcPr>
            <w:tcW w:w="1045" w:type="dxa"/>
            <w:tcBorders>
              <w:top w:val="single" w:sz="4" w:space="0" w:color="293F5B"/>
              <w:bottom w:val="single" w:sz="4" w:space="0" w:color="293F5B"/>
            </w:tcBorders>
            <w:shd w:val="clear" w:color="auto" w:fill="auto"/>
          </w:tcPr>
          <w:p w14:paraId="4ECC6373" w14:textId="77777777" w:rsidR="0012790E" w:rsidRPr="001C06E6" w:rsidRDefault="0012790E">
            <w:pPr>
              <w:pStyle w:val="MeasureTableDataRightAlignedwith2ptsspacing"/>
              <w:keepNext/>
            </w:pPr>
            <w:r>
              <w:t xml:space="preserve">0.5 </w:t>
            </w:r>
          </w:p>
        </w:tc>
        <w:tc>
          <w:tcPr>
            <w:tcW w:w="1045" w:type="dxa"/>
            <w:tcBorders>
              <w:top w:val="single" w:sz="4" w:space="0" w:color="293F5B"/>
              <w:bottom w:val="single" w:sz="4" w:space="0" w:color="293F5B"/>
            </w:tcBorders>
            <w:shd w:val="clear" w:color="auto" w:fill="auto"/>
          </w:tcPr>
          <w:p w14:paraId="12100BB8" w14:textId="77777777" w:rsidR="0012790E" w:rsidRPr="001C06E6" w:rsidRDefault="0012790E">
            <w:pPr>
              <w:pStyle w:val="MeasureTableDataRightAlignedwith2ptsspacing"/>
              <w:keepNext/>
            </w:pPr>
            <w:r>
              <w:t xml:space="preserve">- </w:t>
            </w:r>
          </w:p>
        </w:tc>
      </w:tr>
      <w:tr w:rsidR="0012790E" w:rsidRPr="001C06E6" w14:paraId="7668880A" w14:textId="77777777">
        <w:tc>
          <w:tcPr>
            <w:tcW w:w="2497" w:type="dxa"/>
            <w:tcBorders>
              <w:top w:val="single" w:sz="4" w:space="0" w:color="293F5B"/>
              <w:bottom w:val="single" w:sz="4" w:space="0" w:color="293F5B"/>
            </w:tcBorders>
            <w:shd w:val="clear" w:color="auto" w:fill="auto"/>
          </w:tcPr>
          <w:p w14:paraId="086EB81F" w14:textId="77777777" w:rsidR="0012790E" w:rsidRPr="001C06E6" w:rsidRDefault="0012790E">
            <w:pPr>
              <w:pStyle w:val="MeasureTableHeadingleftalignedwith2ptsspacing"/>
              <w:keepNext/>
            </w:pPr>
            <w:r w:rsidRPr="001C06E6">
              <w:t>Housing Australia</w:t>
            </w:r>
          </w:p>
        </w:tc>
        <w:tc>
          <w:tcPr>
            <w:tcW w:w="1045" w:type="dxa"/>
            <w:tcBorders>
              <w:top w:val="single" w:sz="4" w:space="0" w:color="293F5B"/>
              <w:bottom w:val="single" w:sz="4" w:space="0" w:color="293F5B"/>
            </w:tcBorders>
            <w:shd w:val="clear" w:color="auto" w:fill="auto"/>
          </w:tcPr>
          <w:p w14:paraId="1A9A459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B6BB062" w14:textId="77777777" w:rsidR="0012790E" w:rsidRPr="001C06E6" w:rsidRDefault="0012790E">
            <w:pPr>
              <w:pStyle w:val="MeasureTableDataRightAlignedwith2ptsspacing"/>
              <w:keepNext/>
            </w:pPr>
            <w:r w:rsidRPr="001C06E6">
              <w:t>0.5</w:t>
            </w:r>
          </w:p>
        </w:tc>
        <w:tc>
          <w:tcPr>
            <w:tcW w:w="1045" w:type="dxa"/>
            <w:tcBorders>
              <w:top w:val="single" w:sz="4" w:space="0" w:color="293F5B"/>
              <w:bottom w:val="single" w:sz="4" w:space="0" w:color="293F5B"/>
            </w:tcBorders>
            <w:shd w:val="clear" w:color="auto" w:fill="auto"/>
          </w:tcPr>
          <w:p w14:paraId="5D5A57DF" w14:textId="77777777" w:rsidR="0012790E" w:rsidRPr="001C06E6" w:rsidRDefault="0012790E">
            <w:pPr>
              <w:pStyle w:val="MeasureTableDataRightAlignedwith2ptsspacing"/>
              <w:keepNext/>
            </w:pPr>
            <w:r w:rsidRPr="001C06E6">
              <w:t>0.5</w:t>
            </w:r>
          </w:p>
        </w:tc>
        <w:tc>
          <w:tcPr>
            <w:tcW w:w="1045" w:type="dxa"/>
            <w:tcBorders>
              <w:top w:val="single" w:sz="4" w:space="0" w:color="293F5B"/>
              <w:bottom w:val="single" w:sz="4" w:space="0" w:color="293F5B"/>
            </w:tcBorders>
            <w:shd w:val="clear" w:color="auto" w:fill="auto"/>
          </w:tcPr>
          <w:p w14:paraId="6DE9EFA8" w14:textId="77777777" w:rsidR="0012790E" w:rsidRPr="001C06E6" w:rsidRDefault="0012790E">
            <w:pPr>
              <w:pStyle w:val="MeasureTableDataRightAlignedwith2ptsspacing"/>
              <w:keepNext/>
            </w:pPr>
            <w:r w:rsidRPr="001C06E6">
              <w:t>0.5</w:t>
            </w:r>
          </w:p>
        </w:tc>
        <w:tc>
          <w:tcPr>
            <w:tcW w:w="1045" w:type="dxa"/>
            <w:tcBorders>
              <w:top w:val="single" w:sz="4" w:space="0" w:color="293F5B"/>
              <w:bottom w:val="single" w:sz="4" w:space="0" w:color="293F5B"/>
            </w:tcBorders>
            <w:shd w:val="clear" w:color="auto" w:fill="auto"/>
          </w:tcPr>
          <w:p w14:paraId="429C0494" w14:textId="77777777" w:rsidR="0012790E" w:rsidRPr="001C06E6" w:rsidRDefault="0012790E">
            <w:pPr>
              <w:pStyle w:val="MeasureTableDataRightAlignedwith2ptsspacing"/>
              <w:keepNext/>
            </w:pPr>
            <w:r w:rsidRPr="001C06E6">
              <w:t>-</w:t>
            </w:r>
          </w:p>
        </w:tc>
      </w:tr>
      <w:tr w:rsidR="0012790E" w:rsidRPr="001C06E6" w14:paraId="1B51475C" w14:textId="77777777">
        <w:tc>
          <w:tcPr>
            <w:tcW w:w="2497" w:type="dxa"/>
            <w:tcBorders>
              <w:top w:val="single" w:sz="4" w:space="0" w:color="293F5B"/>
              <w:bottom w:val="single" w:sz="4" w:space="0" w:color="293F5B"/>
            </w:tcBorders>
            <w:shd w:val="clear" w:color="auto" w:fill="auto"/>
          </w:tcPr>
          <w:p w14:paraId="2337E584"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326CB26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F05BF4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A883C7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78599F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B70A406" w14:textId="77777777" w:rsidR="0012790E" w:rsidRPr="001C06E6" w:rsidRDefault="0012790E">
            <w:pPr>
              <w:pStyle w:val="MeasureTableDataRightAlignedwith2ptsspacing"/>
              <w:keepNext/>
            </w:pPr>
            <w:r w:rsidRPr="001C06E6">
              <w:t>-</w:t>
            </w:r>
          </w:p>
        </w:tc>
      </w:tr>
      <w:tr w:rsidR="0012790E" w:rsidRPr="001C06E6" w14:paraId="72B074CF" w14:textId="77777777">
        <w:tc>
          <w:tcPr>
            <w:tcW w:w="2497" w:type="dxa"/>
            <w:tcBorders>
              <w:top w:val="single" w:sz="4" w:space="0" w:color="293F5B"/>
              <w:bottom w:val="single" w:sz="4" w:space="0" w:color="293F5B"/>
            </w:tcBorders>
            <w:shd w:val="clear" w:color="auto" w:fill="auto"/>
          </w:tcPr>
          <w:p w14:paraId="182B4B59"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4FF64E47" w14:textId="77777777" w:rsidR="0012790E" w:rsidRPr="001C06E6" w:rsidRDefault="0012790E">
            <w:pPr>
              <w:pStyle w:val="Totaldatarowrightaligned"/>
              <w:keepNext/>
            </w:pPr>
            <w:r w:rsidRPr="001C06E6">
              <w:t>1,000.2</w:t>
            </w:r>
          </w:p>
        </w:tc>
        <w:tc>
          <w:tcPr>
            <w:tcW w:w="1045" w:type="dxa"/>
            <w:tcBorders>
              <w:top w:val="single" w:sz="4" w:space="0" w:color="293F5B"/>
              <w:bottom w:val="single" w:sz="4" w:space="0" w:color="293F5B"/>
            </w:tcBorders>
            <w:shd w:val="clear" w:color="auto" w:fill="auto"/>
          </w:tcPr>
          <w:p w14:paraId="3725D56E" w14:textId="77777777" w:rsidR="0012790E" w:rsidRPr="001C06E6" w:rsidRDefault="0012790E">
            <w:pPr>
              <w:pStyle w:val="Totaldatarowrightaligned"/>
              <w:keepNext/>
            </w:pPr>
            <w:r w:rsidRPr="001C06E6">
              <w:t>142.9</w:t>
            </w:r>
          </w:p>
        </w:tc>
        <w:tc>
          <w:tcPr>
            <w:tcW w:w="1045" w:type="dxa"/>
            <w:tcBorders>
              <w:top w:val="single" w:sz="4" w:space="0" w:color="293F5B"/>
              <w:bottom w:val="single" w:sz="4" w:space="0" w:color="293F5B"/>
            </w:tcBorders>
            <w:shd w:val="clear" w:color="auto" w:fill="auto"/>
          </w:tcPr>
          <w:p w14:paraId="4179BC6B" w14:textId="77777777" w:rsidR="0012790E" w:rsidRPr="001C06E6" w:rsidRDefault="0012790E">
            <w:pPr>
              <w:pStyle w:val="Totaldatarowrightaligned"/>
              <w:keepNext/>
            </w:pPr>
            <w:r w:rsidRPr="001C06E6">
              <w:t>155.3</w:t>
            </w:r>
          </w:p>
        </w:tc>
        <w:tc>
          <w:tcPr>
            <w:tcW w:w="1045" w:type="dxa"/>
            <w:tcBorders>
              <w:top w:val="single" w:sz="4" w:space="0" w:color="293F5B"/>
              <w:bottom w:val="single" w:sz="4" w:space="0" w:color="293F5B"/>
            </w:tcBorders>
            <w:shd w:val="clear" w:color="auto" w:fill="auto"/>
          </w:tcPr>
          <w:p w14:paraId="763E3E71" w14:textId="77777777" w:rsidR="0012790E" w:rsidRPr="001C06E6" w:rsidRDefault="0012790E">
            <w:pPr>
              <w:pStyle w:val="Totaldatarowrightaligned"/>
              <w:keepNext/>
            </w:pPr>
            <w:r w:rsidRPr="001C06E6">
              <w:t>112.2</w:t>
            </w:r>
          </w:p>
        </w:tc>
        <w:tc>
          <w:tcPr>
            <w:tcW w:w="1045" w:type="dxa"/>
            <w:tcBorders>
              <w:top w:val="single" w:sz="4" w:space="0" w:color="293F5B"/>
              <w:bottom w:val="single" w:sz="4" w:space="0" w:color="293F5B"/>
            </w:tcBorders>
            <w:shd w:val="clear" w:color="auto" w:fill="auto"/>
          </w:tcPr>
          <w:p w14:paraId="4CEE72A1" w14:textId="77777777" w:rsidR="0012790E" w:rsidRPr="001C06E6" w:rsidRDefault="0012790E">
            <w:pPr>
              <w:pStyle w:val="Totaldatarowrightaligned"/>
              <w:keepNext/>
            </w:pPr>
            <w:r w:rsidRPr="001C06E6">
              <w:t>85.5</w:t>
            </w:r>
          </w:p>
        </w:tc>
      </w:tr>
      <w:tr w:rsidR="0012790E" w:rsidRPr="001C06E6" w14:paraId="68444C8F" w14:textId="77777777">
        <w:tc>
          <w:tcPr>
            <w:tcW w:w="2497" w:type="dxa"/>
            <w:tcBorders>
              <w:top w:val="single" w:sz="4" w:space="0" w:color="293F5B"/>
            </w:tcBorders>
            <w:shd w:val="clear" w:color="auto" w:fill="auto"/>
          </w:tcPr>
          <w:p w14:paraId="767E1FBC"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5F9456EC" w14:textId="77777777" w:rsidR="0012790E" w:rsidRPr="001C06E6" w:rsidRDefault="0012790E">
            <w:pPr>
              <w:pStyle w:val="AgencyName"/>
              <w:keepNext/>
            </w:pPr>
          </w:p>
        </w:tc>
        <w:tc>
          <w:tcPr>
            <w:tcW w:w="1045" w:type="dxa"/>
            <w:tcBorders>
              <w:top w:val="single" w:sz="4" w:space="0" w:color="293F5B"/>
            </w:tcBorders>
            <w:shd w:val="clear" w:color="auto" w:fill="auto"/>
          </w:tcPr>
          <w:p w14:paraId="58D77DAA" w14:textId="77777777" w:rsidR="0012790E" w:rsidRPr="001C06E6" w:rsidRDefault="0012790E">
            <w:pPr>
              <w:pStyle w:val="AgencyName"/>
              <w:keepNext/>
            </w:pPr>
          </w:p>
        </w:tc>
        <w:tc>
          <w:tcPr>
            <w:tcW w:w="1045" w:type="dxa"/>
            <w:tcBorders>
              <w:top w:val="single" w:sz="4" w:space="0" w:color="293F5B"/>
            </w:tcBorders>
            <w:shd w:val="clear" w:color="auto" w:fill="auto"/>
          </w:tcPr>
          <w:p w14:paraId="5DFCCC1B" w14:textId="77777777" w:rsidR="0012790E" w:rsidRPr="001C06E6" w:rsidRDefault="0012790E">
            <w:pPr>
              <w:pStyle w:val="AgencyName"/>
              <w:keepNext/>
            </w:pPr>
          </w:p>
        </w:tc>
        <w:tc>
          <w:tcPr>
            <w:tcW w:w="1045" w:type="dxa"/>
            <w:tcBorders>
              <w:top w:val="single" w:sz="4" w:space="0" w:color="293F5B"/>
            </w:tcBorders>
            <w:shd w:val="clear" w:color="auto" w:fill="auto"/>
          </w:tcPr>
          <w:p w14:paraId="462F107C" w14:textId="77777777" w:rsidR="0012790E" w:rsidRPr="001C06E6" w:rsidRDefault="0012790E">
            <w:pPr>
              <w:pStyle w:val="AgencyName"/>
              <w:keepNext/>
            </w:pPr>
          </w:p>
        </w:tc>
        <w:tc>
          <w:tcPr>
            <w:tcW w:w="1045" w:type="dxa"/>
            <w:tcBorders>
              <w:top w:val="single" w:sz="4" w:space="0" w:color="293F5B"/>
            </w:tcBorders>
            <w:shd w:val="clear" w:color="auto" w:fill="auto"/>
          </w:tcPr>
          <w:p w14:paraId="1698355F" w14:textId="77777777" w:rsidR="0012790E" w:rsidRPr="001C06E6" w:rsidRDefault="0012790E">
            <w:pPr>
              <w:pStyle w:val="AgencyName"/>
              <w:keepNext/>
            </w:pPr>
          </w:p>
        </w:tc>
      </w:tr>
      <w:tr w:rsidR="0012790E" w:rsidRPr="001C06E6" w14:paraId="5CAED8DC" w14:textId="77777777">
        <w:tc>
          <w:tcPr>
            <w:tcW w:w="2497" w:type="dxa"/>
            <w:tcBorders>
              <w:bottom w:val="single" w:sz="4" w:space="0" w:color="293F5B"/>
            </w:tcBorders>
            <w:shd w:val="clear" w:color="auto" w:fill="auto"/>
          </w:tcPr>
          <w:p w14:paraId="1F39FBFE" w14:textId="77777777" w:rsidR="0012790E" w:rsidRPr="001C06E6" w:rsidRDefault="0012790E">
            <w:pPr>
              <w:pStyle w:val="AgencyNamewith2ptsspacing"/>
              <w:keepNext/>
            </w:pPr>
            <w:r w:rsidRPr="001C06E6">
              <w:t>Department of the Treasury</w:t>
            </w:r>
          </w:p>
        </w:tc>
        <w:tc>
          <w:tcPr>
            <w:tcW w:w="1045" w:type="dxa"/>
            <w:tcBorders>
              <w:bottom w:val="single" w:sz="4" w:space="0" w:color="293F5B"/>
            </w:tcBorders>
            <w:shd w:val="clear" w:color="auto" w:fill="auto"/>
          </w:tcPr>
          <w:p w14:paraId="0E850449"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20022329" w14:textId="77777777" w:rsidR="0012790E" w:rsidRPr="001C06E6" w:rsidRDefault="0012790E">
            <w:pPr>
              <w:pStyle w:val="Measuretabledatarightaligneditalics"/>
              <w:keepNext/>
            </w:pPr>
            <w:r w:rsidRPr="001C06E6">
              <w:t>8.0</w:t>
            </w:r>
          </w:p>
        </w:tc>
        <w:tc>
          <w:tcPr>
            <w:tcW w:w="1045" w:type="dxa"/>
            <w:tcBorders>
              <w:bottom w:val="single" w:sz="4" w:space="0" w:color="293F5B"/>
            </w:tcBorders>
            <w:shd w:val="clear" w:color="auto" w:fill="auto"/>
          </w:tcPr>
          <w:p w14:paraId="0D0BB00B" w14:textId="77777777" w:rsidR="0012790E" w:rsidRPr="001C06E6" w:rsidRDefault="0012790E">
            <w:pPr>
              <w:pStyle w:val="Measuretabledatarightaligneditalics"/>
              <w:keepNext/>
            </w:pPr>
            <w:r w:rsidRPr="001C06E6">
              <w:t>12.9</w:t>
            </w:r>
          </w:p>
        </w:tc>
        <w:tc>
          <w:tcPr>
            <w:tcW w:w="1045" w:type="dxa"/>
            <w:tcBorders>
              <w:bottom w:val="single" w:sz="4" w:space="0" w:color="293F5B"/>
            </w:tcBorders>
            <w:shd w:val="clear" w:color="auto" w:fill="auto"/>
          </w:tcPr>
          <w:p w14:paraId="146D48CD" w14:textId="77777777" w:rsidR="0012790E" w:rsidRPr="001C06E6" w:rsidRDefault="0012790E">
            <w:pPr>
              <w:pStyle w:val="Measuretabledatarightaligneditalics"/>
              <w:keepNext/>
            </w:pPr>
            <w:r w:rsidRPr="001C06E6">
              <w:t>146.2</w:t>
            </w:r>
          </w:p>
        </w:tc>
        <w:tc>
          <w:tcPr>
            <w:tcW w:w="1045" w:type="dxa"/>
            <w:tcBorders>
              <w:bottom w:val="single" w:sz="4" w:space="0" w:color="293F5B"/>
            </w:tcBorders>
            <w:shd w:val="clear" w:color="auto" w:fill="auto"/>
          </w:tcPr>
          <w:p w14:paraId="3F8E99CB" w14:textId="77777777" w:rsidR="0012790E" w:rsidRPr="001C06E6" w:rsidRDefault="0012790E">
            <w:pPr>
              <w:pStyle w:val="Measuretabledatarightaligneditalics"/>
              <w:keepNext/>
            </w:pPr>
            <w:r w:rsidRPr="001C06E6">
              <w:t>96.2</w:t>
            </w:r>
          </w:p>
        </w:tc>
      </w:tr>
      <w:tr w:rsidR="0012790E" w:rsidRPr="001C06E6" w14:paraId="7C53DC7A" w14:textId="77777777">
        <w:tc>
          <w:tcPr>
            <w:tcW w:w="2497" w:type="dxa"/>
            <w:tcBorders>
              <w:top w:val="single" w:sz="4" w:space="0" w:color="293F5B"/>
              <w:bottom w:val="single" w:sz="4" w:space="0" w:color="293F5B"/>
            </w:tcBorders>
            <w:shd w:val="clear" w:color="auto" w:fill="auto"/>
          </w:tcPr>
          <w:p w14:paraId="3AC26124" w14:textId="77777777" w:rsidR="0012790E" w:rsidRPr="001C06E6" w:rsidRDefault="0012790E">
            <w:pPr>
              <w:pStyle w:val="AgencyName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4E156729" w14:textId="42F041F1" w:rsidR="0012790E" w:rsidRPr="001C06E6" w:rsidRDefault="00FC3029">
            <w:pPr>
              <w:pStyle w:val="Measuretabledatarightaligneditalics"/>
              <w:keepNext/>
            </w:pPr>
            <w:r>
              <w:t>..</w:t>
            </w:r>
          </w:p>
        </w:tc>
        <w:tc>
          <w:tcPr>
            <w:tcW w:w="1045" w:type="dxa"/>
            <w:tcBorders>
              <w:top w:val="single" w:sz="4" w:space="0" w:color="293F5B"/>
              <w:bottom w:val="single" w:sz="4" w:space="0" w:color="293F5B"/>
            </w:tcBorders>
            <w:shd w:val="clear" w:color="auto" w:fill="auto"/>
          </w:tcPr>
          <w:p w14:paraId="26237BDE" w14:textId="161E9FC8" w:rsidR="0012790E" w:rsidRPr="001C06E6" w:rsidRDefault="00FC3029">
            <w:pPr>
              <w:pStyle w:val="Measuretabledatarightaligneditalics"/>
              <w:keepNext/>
            </w:pPr>
            <w:r>
              <w:t>..</w:t>
            </w:r>
          </w:p>
        </w:tc>
        <w:tc>
          <w:tcPr>
            <w:tcW w:w="1045" w:type="dxa"/>
            <w:tcBorders>
              <w:top w:val="single" w:sz="4" w:space="0" w:color="293F5B"/>
              <w:bottom w:val="single" w:sz="4" w:space="0" w:color="293F5B"/>
            </w:tcBorders>
            <w:shd w:val="clear" w:color="auto" w:fill="auto"/>
          </w:tcPr>
          <w:p w14:paraId="3A53C3AC" w14:textId="2FE47E58" w:rsidR="0012790E" w:rsidRPr="001C06E6" w:rsidRDefault="00FC3029">
            <w:pPr>
              <w:pStyle w:val="Measuretabledatarightaligneditalics"/>
              <w:keepNext/>
            </w:pPr>
            <w:r>
              <w:t>..</w:t>
            </w:r>
          </w:p>
        </w:tc>
        <w:tc>
          <w:tcPr>
            <w:tcW w:w="1045" w:type="dxa"/>
            <w:tcBorders>
              <w:top w:val="single" w:sz="4" w:space="0" w:color="293F5B"/>
              <w:bottom w:val="single" w:sz="4" w:space="0" w:color="293F5B"/>
            </w:tcBorders>
            <w:shd w:val="clear" w:color="auto" w:fill="auto"/>
          </w:tcPr>
          <w:p w14:paraId="3A867706" w14:textId="6BCFC2C5" w:rsidR="0012790E" w:rsidRPr="001C06E6" w:rsidRDefault="00FC3029">
            <w:pPr>
              <w:pStyle w:val="Measuretabledatarightaligneditalics"/>
              <w:keepNext/>
            </w:pPr>
            <w:r>
              <w:t>..</w:t>
            </w:r>
          </w:p>
        </w:tc>
        <w:tc>
          <w:tcPr>
            <w:tcW w:w="1045" w:type="dxa"/>
            <w:tcBorders>
              <w:top w:val="single" w:sz="4" w:space="0" w:color="293F5B"/>
              <w:bottom w:val="single" w:sz="4" w:space="0" w:color="293F5B"/>
            </w:tcBorders>
            <w:shd w:val="clear" w:color="auto" w:fill="auto"/>
          </w:tcPr>
          <w:p w14:paraId="5390FD57" w14:textId="1C6FE060" w:rsidR="0012790E" w:rsidRPr="001C06E6" w:rsidRDefault="00FC3029">
            <w:pPr>
              <w:pStyle w:val="Measuretabledatarightaligneditalics"/>
              <w:keepNext/>
            </w:pPr>
            <w:r>
              <w:t>..</w:t>
            </w:r>
          </w:p>
        </w:tc>
      </w:tr>
      <w:tr w:rsidR="0012790E" w:rsidRPr="001C06E6" w14:paraId="2301AE61" w14:textId="77777777">
        <w:tc>
          <w:tcPr>
            <w:tcW w:w="2497" w:type="dxa"/>
            <w:tcBorders>
              <w:top w:val="single" w:sz="4" w:space="0" w:color="293F5B"/>
              <w:bottom w:val="single" w:sz="4" w:space="0" w:color="293F5B"/>
            </w:tcBorders>
            <w:shd w:val="clear" w:color="auto" w:fill="auto"/>
          </w:tcPr>
          <w:p w14:paraId="383E2769" w14:textId="77777777" w:rsidR="0012790E" w:rsidRPr="001C06E6" w:rsidRDefault="0012790E">
            <w:pPr>
              <w:pStyle w:val="Totalrowitalicsleftaligned"/>
              <w:keepNext/>
            </w:pPr>
            <w:r w:rsidRPr="001C06E6">
              <w:t>Total – Receipts</w:t>
            </w:r>
          </w:p>
        </w:tc>
        <w:tc>
          <w:tcPr>
            <w:tcW w:w="1045" w:type="dxa"/>
            <w:tcBorders>
              <w:top w:val="single" w:sz="4" w:space="0" w:color="293F5B"/>
              <w:bottom w:val="single" w:sz="4" w:space="0" w:color="293F5B"/>
            </w:tcBorders>
            <w:shd w:val="clear" w:color="auto" w:fill="auto"/>
          </w:tcPr>
          <w:p w14:paraId="437AC0FC"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574A5538" w14:textId="77777777" w:rsidR="0012790E" w:rsidRPr="001C06E6" w:rsidRDefault="0012790E">
            <w:pPr>
              <w:pStyle w:val="Totalrowitalicsrightaligned"/>
              <w:keepNext/>
            </w:pPr>
            <w:r w:rsidRPr="001C06E6">
              <w:t>8.0</w:t>
            </w:r>
          </w:p>
        </w:tc>
        <w:tc>
          <w:tcPr>
            <w:tcW w:w="1045" w:type="dxa"/>
            <w:tcBorders>
              <w:top w:val="single" w:sz="4" w:space="0" w:color="293F5B"/>
              <w:bottom w:val="single" w:sz="4" w:space="0" w:color="293F5B"/>
            </w:tcBorders>
            <w:shd w:val="clear" w:color="auto" w:fill="auto"/>
          </w:tcPr>
          <w:p w14:paraId="59B41EBB" w14:textId="77777777" w:rsidR="0012790E" w:rsidRPr="001C06E6" w:rsidRDefault="0012790E">
            <w:pPr>
              <w:pStyle w:val="Totalrowitalicsrightaligned"/>
              <w:keepNext/>
            </w:pPr>
            <w:r w:rsidRPr="001C06E6">
              <w:t>12.9</w:t>
            </w:r>
          </w:p>
        </w:tc>
        <w:tc>
          <w:tcPr>
            <w:tcW w:w="1045" w:type="dxa"/>
            <w:tcBorders>
              <w:top w:val="single" w:sz="4" w:space="0" w:color="293F5B"/>
              <w:bottom w:val="single" w:sz="4" w:space="0" w:color="293F5B"/>
            </w:tcBorders>
            <w:shd w:val="clear" w:color="auto" w:fill="auto"/>
          </w:tcPr>
          <w:p w14:paraId="6E0BE085" w14:textId="77777777" w:rsidR="0012790E" w:rsidRPr="001C06E6" w:rsidRDefault="0012790E">
            <w:pPr>
              <w:pStyle w:val="Totalrowitalicsrightaligned"/>
              <w:keepNext/>
            </w:pPr>
            <w:r w:rsidRPr="001C06E6">
              <w:t>146.2</w:t>
            </w:r>
          </w:p>
        </w:tc>
        <w:tc>
          <w:tcPr>
            <w:tcW w:w="1045" w:type="dxa"/>
            <w:tcBorders>
              <w:top w:val="single" w:sz="4" w:space="0" w:color="293F5B"/>
              <w:bottom w:val="single" w:sz="4" w:space="0" w:color="293F5B"/>
            </w:tcBorders>
            <w:shd w:val="clear" w:color="auto" w:fill="auto"/>
          </w:tcPr>
          <w:p w14:paraId="58B1406E" w14:textId="77777777" w:rsidR="0012790E" w:rsidRPr="001C06E6" w:rsidRDefault="0012790E">
            <w:pPr>
              <w:pStyle w:val="Totalrowitalicsrightaligned"/>
              <w:keepNext/>
            </w:pPr>
            <w:r w:rsidRPr="001C06E6">
              <w:t>96.2</w:t>
            </w:r>
          </w:p>
        </w:tc>
      </w:tr>
    </w:tbl>
    <w:p w14:paraId="128B80BB" w14:textId="77777777" w:rsidR="0012790E" w:rsidRPr="001C06E6" w:rsidRDefault="0012790E">
      <w:pPr>
        <w:keepNext/>
        <w:widowControl w:val="0"/>
        <w:tabs>
          <w:tab w:val="right" w:pos="3536"/>
          <w:tab w:val="right" w:pos="4579"/>
          <w:tab w:val="right" w:pos="5622"/>
          <w:tab w:val="right" w:pos="6664"/>
          <w:tab w:val="right" w:pos="7707"/>
        </w:tabs>
        <w:spacing w:line="226" w:lineRule="exact"/>
        <w:rPr>
          <w:i/>
          <w:iCs/>
          <w:color w:val="000000"/>
          <w:sz w:val="16"/>
          <w:szCs w:val="16"/>
          <w:lang w:val="en-AU"/>
        </w:rPr>
      </w:pPr>
    </w:p>
    <w:p w14:paraId="0CD62FF9" w14:textId="4E66E896" w:rsidR="0012790E" w:rsidRDefault="0012790E" w:rsidP="54937204">
      <w:pPr>
        <w:pStyle w:val="Normal2"/>
        <w:rPr>
          <w:rFonts w:cs="Book Antiqua"/>
          <w:lang w:val="en-US"/>
        </w:rPr>
      </w:pPr>
      <w:r w:rsidRPr="54937204">
        <w:rPr>
          <w:rFonts w:cs="Book Antiqua"/>
          <w:lang w:val="en-US"/>
        </w:rPr>
        <w:t xml:space="preserve">The Government will provide </w:t>
      </w:r>
      <w:r w:rsidR="00142BD9">
        <w:rPr>
          <w:rFonts w:cs="Book Antiqua"/>
          <w:lang w:val="en-US"/>
        </w:rPr>
        <w:t xml:space="preserve">additional funding </w:t>
      </w:r>
      <w:r w:rsidRPr="54937204">
        <w:rPr>
          <w:rFonts w:cs="Book Antiqua"/>
          <w:lang w:val="en-US"/>
        </w:rPr>
        <w:t xml:space="preserve">to build more homes </w:t>
      </w:r>
      <w:r w:rsidR="00A72159">
        <w:rPr>
          <w:rFonts w:cs="Book Antiqua"/>
          <w:lang w:val="en-US"/>
        </w:rPr>
        <w:t>for Australians</w:t>
      </w:r>
      <w:r w:rsidRPr="54937204">
        <w:rPr>
          <w:rFonts w:cs="Book Antiqua"/>
          <w:lang w:val="en-US"/>
        </w:rPr>
        <w:t xml:space="preserve"> sooner</w:t>
      </w:r>
      <w:r w:rsidR="00A72159">
        <w:rPr>
          <w:rFonts w:cs="Book Antiqua"/>
          <w:lang w:val="en-US"/>
        </w:rPr>
        <w:t>, invest in more housing enabling infrastructure, train more construction workers</w:t>
      </w:r>
      <w:r w:rsidR="00FB5475">
        <w:rPr>
          <w:rFonts w:cs="Book Antiqua"/>
          <w:lang w:val="en-US"/>
        </w:rPr>
        <w:t xml:space="preserve"> and</w:t>
      </w:r>
      <w:r w:rsidR="00A72159">
        <w:rPr>
          <w:rFonts w:cs="Book Antiqua"/>
          <w:lang w:val="en-US"/>
        </w:rPr>
        <w:t xml:space="preserve"> </w:t>
      </w:r>
      <w:r w:rsidRPr="54937204">
        <w:rPr>
          <w:rFonts w:cs="Book Antiqua"/>
          <w:lang w:val="en-US"/>
        </w:rPr>
        <w:t>support social and affordable housing and homelessness services</w:t>
      </w:r>
      <w:r w:rsidR="00A72159">
        <w:rPr>
          <w:rFonts w:cs="Book Antiqua"/>
          <w:lang w:val="en-US"/>
        </w:rPr>
        <w:t>.</w:t>
      </w:r>
      <w:r w:rsidRPr="54937204">
        <w:rPr>
          <w:rFonts w:cs="Book Antiqua"/>
          <w:lang w:val="en-US"/>
        </w:rPr>
        <w:t xml:space="preserve"> Funding includes:</w:t>
      </w:r>
    </w:p>
    <w:p w14:paraId="0FFB131D" w14:textId="3CB25A2A" w:rsidR="0012790E" w:rsidRDefault="0012790E">
      <w:pPr>
        <w:pStyle w:val="Bullet"/>
      </w:pPr>
      <w:r w:rsidRPr="001C06E6">
        <w:t xml:space="preserve">subject to states and territories signing the new </w:t>
      </w:r>
      <w:r w:rsidRPr="001C06E6">
        <w:rPr>
          <w:i/>
          <w:iCs/>
        </w:rPr>
        <w:t>National Agreement on Social Housing and</w:t>
      </w:r>
      <w:r w:rsidR="00C1440A">
        <w:rPr>
          <w:i/>
          <w:iCs/>
        </w:rPr>
        <w:t> </w:t>
      </w:r>
      <w:r w:rsidRPr="001C06E6">
        <w:rPr>
          <w:i/>
          <w:iCs/>
        </w:rPr>
        <w:t>Homelessness:</w:t>
      </w:r>
      <w:r>
        <w:t xml:space="preserve"> </w:t>
      </w:r>
    </w:p>
    <w:p w14:paraId="2E190718" w14:textId="79087B9F" w:rsidR="0012790E" w:rsidRDefault="0012790E">
      <w:pPr>
        <w:pStyle w:val="Dash"/>
      </w:pPr>
      <w:r w:rsidRPr="001C06E6">
        <w:t>$423.1</w:t>
      </w:r>
      <w:r>
        <w:t> </w:t>
      </w:r>
      <w:r w:rsidRPr="001C06E6">
        <w:t xml:space="preserve">million over five years from </w:t>
      </w:r>
      <w:r>
        <w:t>2024–25</w:t>
      </w:r>
      <w:r w:rsidRPr="001C06E6">
        <w:t xml:space="preserve"> in additional funding to support the provision of social housing and homelessness services by states and territories under a new </w:t>
      </w:r>
      <w:r w:rsidRPr="001C06E6">
        <w:rPr>
          <w:i/>
          <w:iCs/>
        </w:rPr>
        <w:t xml:space="preserve">National Agreement on Social Housing and Homelessness. </w:t>
      </w:r>
      <w:r w:rsidRPr="001C06E6">
        <w:t xml:space="preserve">The additional funding will increase annual funding under the new agreement to $1.8 billion per year from </w:t>
      </w:r>
      <w:r>
        <w:t>2024–25</w:t>
      </w:r>
      <w:r w:rsidRPr="001C06E6">
        <w:t>, with over $9.28 billion provided to states and territories over the life of the</w:t>
      </w:r>
      <w:r w:rsidR="00C1440A">
        <w:t> </w:t>
      </w:r>
      <w:r w:rsidRPr="001C06E6">
        <w:t>agreement</w:t>
      </w:r>
      <w:r>
        <w:t xml:space="preserve"> </w:t>
      </w:r>
    </w:p>
    <w:p w14:paraId="1131E91B" w14:textId="77777777" w:rsidR="0012790E" w:rsidRDefault="0012790E">
      <w:pPr>
        <w:pStyle w:val="Dash"/>
      </w:pPr>
      <w:r w:rsidRPr="001C06E6">
        <w:t xml:space="preserve">$1.0 billion in </w:t>
      </w:r>
      <w:r>
        <w:t>2023–24</w:t>
      </w:r>
      <w:r w:rsidRPr="001C06E6">
        <w:t xml:space="preserve"> for states and territories to support enabling infrastructure for new housing through a new Housing Support Program – Priority Works Stream</w:t>
      </w:r>
      <w:r>
        <w:t xml:space="preserve"> </w:t>
      </w:r>
    </w:p>
    <w:p w14:paraId="42C86BED" w14:textId="74920051" w:rsidR="0012790E" w:rsidRDefault="0012790E">
      <w:pPr>
        <w:pStyle w:val="Bullet"/>
      </w:pPr>
      <w:r w:rsidRPr="001C06E6">
        <w:t>supporting more community housing providers to access finance through the Affordable Housing Bond Aggregator by increasing the cap on the Government’s guarantee of Housing Australia’s liabilities by $2.5 billion to $10</w:t>
      </w:r>
      <w:r w:rsidR="0049323E">
        <w:t>.0</w:t>
      </w:r>
      <w:r w:rsidRPr="001C06E6">
        <w:t xml:space="preserve"> billion, with an associated increase in the line of credit that supports the Affordable Housing Bond Aggregator of $3.0 billion to $4.0 billion</w:t>
      </w:r>
      <w:r>
        <w:t xml:space="preserve"> </w:t>
      </w:r>
    </w:p>
    <w:p w14:paraId="1DE14901" w14:textId="6EDF65A5" w:rsidR="0012790E" w:rsidRDefault="0012790E">
      <w:pPr>
        <w:pStyle w:val="Bullet"/>
      </w:pPr>
      <w:r w:rsidRPr="001C06E6">
        <w:t>$88.8</w:t>
      </w:r>
      <w:r>
        <w:t> </w:t>
      </w:r>
      <w:r w:rsidRPr="001C06E6">
        <w:t xml:space="preserve">million over three years from </w:t>
      </w:r>
      <w:r>
        <w:t>2024–25</w:t>
      </w:r>
      <w:r w:rsidRPr="001C06E6">
        <w:t xml:space="preserve"> to support 20,000 new fee</w:t>
      </w:r>
      <w:r>
        <w:noBreakHyphen/>
      </w:r>
      <w:r w:rsidRPr="001C06E6">
        <w:t xml:space="preserve">free </w:t>
      </w:r>
      <w:r w:rsidR="00641C25">
        <w:t xml:space="preserve">training </w:t>
      </w:r>
      <w:r w:rsidRPr="001C06E6">
        <w:t>places, including increased access to pre</w:t>
      </w:r>
      <w:r>
        <w:noBreakHyphen/>
      </w:r>
      <w:r w:rsidRPr="001C06E6">
        <w:t>apprenticeship programs, in courses relevant to the construction sector and delivered through TAFEs and industry registered training</w:t>
      </w:r>
      <w:r w:rsidR="00C1440A">
        <w:t> </w:t>
      </w:r>
      <w:r w:rsidRPr="001C06E6">
        <w:t>organisations</w:t>
      </w:r>
      <w:r>
        <w:t xml:space="preserve"> </w:t>
      </w:r>
    </w:p>
    <w:p w14:paraId="66BA6009" w14:textId="77777777" w:rsidR="0012790E" w:rsidRDefault="0012790E">
      <w:pPr>
        <w:pStyle w:val="Bullet"/>
      </w:pPr>
      <w:r w:rsidRPr="001C06E6">
        <w:t>$19.7</w:t>
      </w:r>
      <w:r>
        <w:t> </w:t>
      </w:r>
      <w:r w:rsidRPr="001C06E6">
        <w:t xml:space="preserve">million over six years from </w:t>
      </w:r>
      <w:r>
        <w:t>2024–25</w:t>
      </w:r>
      <w:r w:rsidRPr="001C06E6">
        <w:t xml:space="preserve"> to support housing research, fast</w:t>
      </w:r>
      <w:r>
        <w:noBreakHyphen/>
      </w:r>
      <w:r w:rsidRPr="001C06E6">
        <w:t>track feasibility studies on the release of Commonwealth land to support social and affordable housing and maintain Treasury’s capability to develop, advise on and implement housing policy and programs</w:t>
      </w:r>
      <w:r>
        <w:t xml:space="preserve"> </w:t>
      </w:r>
    </w:p>
    <w:p w14:paraId="17032DB6" w14:textId="4D1CD08A" w:rsidR="0012790E" w:rsidRDefault="0012790E">
      <w:pPr>
        <w:pStyle w:val="Bullet"/>
        <w:rPr>
          <w:iCs/>
        </w:rPr>
      </w:pPr>
      <w:r w:rsidRPr="001C06E6">
        <w:lastRenderedPageBreak/>
        <w:t>$7.0</w:t>
      </w:r>
      <w:r>
        <w:t> </w:t>
      </w:r>
      <w:r w:rsidRPr="001C06E6">
        <w:t xml:space="preserve">million over three years from </w:t>
      </w:r>
      <w:r>
        <w:t>2023–24</w:t>
      </w:r>
      <w:r w:rsidRPr="001C06E6">
        <w:t xml:space="preserve"> to provide targeted assistance to residential</w:t>
      </w:r>
      <w:r w:rsidR="00C1440A">
        <w:t> </w:t>
      </w:r>
      <w:r w:rsidRPr="001C06E6">
        <w:t xml:space="preserve">builders seeking to obtain accreditation under the </w:t>
      </w:r>
      <w:r w:rsidRPr="001C06E6">
        <w:rPr>
          <w:i/>
          <w:iCs/>
        </w:rPr>
        <w:t>Work Health and Safety Accreditation Scheme</w:t>
      </w:r>
      <w:r>
        <w:rPr>
          <w:iCs/>
        </w:rPr>
        <w:t xml:space="preserve"> </w:t>
      </w:r>
    </w:p>
    <w:p w14:paraId="6FFD5CEE" w14:textId="77777777" w:rsidR="0012790E" w:rsidRDefault="0012790E">
      <w:pPr>
        <w:pStyle w:val="Bullet"/>
        <w:rPr>
          <w:iCs/>
        </w:rPr>
      </w:pPr>
      <w:r w:rsidRPr="001C06E6">
        <w:t>$6.2</w:t>
      </w:r>
      <w:r>
        <w:t> </w:t>
      </w:r>
      <w:r w:rsidRPr="001C06E6">
        <w:t xml:space="preserve">million over two years from </w:t>
      </w:r>
      <w:r>
        <w:t>2024–25</w:t>
      </w:r>
      <w:r w:rsidRPr="001C06E6">
        <w:t xml:space="preserve"> to support building industry peak employer associations to assist residential builders in obtaining accreditation under the </w:t>
      </w:r>
      <w:r w:rsidRPr="001C06E6">
        <w:rPr>
          <w:i/>
          <w:iCs/>
        </w:rPr>
        <w:t>Work Health and Safety Accreditation Scheme</w:t>
      </w:r>
      <w:r>
        <w:rPr>
          <w:iCs/>
        </w:rPr>
        <w:t xml:space="preserve"> </w:t>
      </w:r>
    </w:p>
    <w:p w14:paraId="65E3110B" w14:textId="77777777" w:rsidR="0012790E" w:rsidRDefault="0012790E">
      <w:pPr>
        <w:pStyle w:val="Bullet"/>
      </w:pPr>
      <w:r w:rsidRPr="001C06E6">
        <w:t>$2.0</w:t>
      </w:r>
      <w:r>
        <w:t> </w:t>
      </w:r>
      <w:r w:rsidRPr="001C06E6">
        <w:t xml:space="preserve">million over three years from </w:t>
      </w:r>
      <w:r>
        <w:t>2024–25</w:t>
      </w:r>
      <w:r w:rsidRPr="001C06E6">
        <w:t xml:space="preserve"> to build the financial capability of community housing providers and Aboriginal and Torres Strait Islander community controlled housing organisations</w:t>
      </w:r>
      <w:r>
        <w:t xml:space="preserve"> </w:t>
      </w:r>
    </w:p>
    <w:p w14:paraId="5311B321" w14:textId="77777777" w:rsidR="0012790E" w:rsidRDefault="0012790E">
      <w:pPr>
        <w:pStyle w:val="Bullet"/>
      </w:pPr>
      <w:r w:rsidRPr="001C06E6">
        <w:t>$1.8</w:t>
      </w:r>
      <w:r>
        <w:t> </w:t>
      </w:r>
      <w:r w:rsidRPr="001C06E6">
        <w:t xml:space="preserve">million over two years from </w:t>
      </w:r>
      <w:r>
        <w:t>2024–25</w:t>
      </w:r>
      <w:r w:rsidRPr="001C06E6">
        <w:t xml:space="preserve"> for the Department of Employment and Workplace Relations to deliver streamlined skills assessments for migrants from comparable countries who wish to work in Australia’s housing construction industry</w:t>
      </w:r>
      <w:r>
        <w:t xml:space="preserve"> </w:t>
      </w:r>
    </w:p>
    <w:p w14:paraId="6911D48C" w14:textId="77777777" w:rsidR="0012790E" w:rsidRDefault="0012790E">
      <w:pPr>
        <w:pStyle w:val="Bullet"/>
      </w:pPr>
      <w:r w:rsidRPr="001C06E6">
        <w:t>support to increase available rental housing by allowing foreign investors to purchase established Build to Rent properties with a lower foreign investment fee, conditional on the property continuing to be operated as a build to rent development.</w:t>
      </w:r>
      <w:r>
        <w:t xml:space="preserve"> </w:t>
      </w:r>
    </w:p>
    <w:p w14:paraId="0324087E" w14:textId="77777777" w:rsidR="0077053C" w:rsidRDefault="0012790E" w:rsidP="54937204">
      <w:pPr>
        <w:pStyle w:val="Normal2"/>
        <w:rPr>
          <w:rFonts w:cs="Book Antiqua"/>
          <w:lang w:val="en-US"/>
        </w:rPr>
      </w:pPr>
      <w:r w:rsidRPr="54937204">
        <w:rPr>
          <w:rFonts w:cs="Book Antiqua"/>
          <w:lang w:val="en-US"/>
        </w:rPr>
        <w:t>In addition, the Government will</w:t>
      </w:r>
      <w:r w:rsidR="0077053C">
        <w:rPr>
          <w:rFonts w:cs="Book Antiqua"/>
          <w:lang w:val="en-US"/>
        </w:rPr>
        <w:t>:</w:t>
      </w:r>
    </w:p>
    <w:p w14:paraId="0AE1EA52" w14:textId="5CF591C4" w:rsidR="00630F95" w:rsidRDefault="0012790E" w:rsidP="004C4F59">
      <w:pPr>
        <w:pStyle w:val="Bullet"/>
      </w:pPr>
      <w:r w:rsidRPr="00F319D9">
        <w:t>target the $1</w:t>
      </w:r>
      <w:r w:rsidR="003B286F">
        <w:t>.0</w:t>
      </w:r>
      <w:r w:rsidRPr="00F319D9">
        <w:t xml:space="preserve"> billion for social housing under the National Housing Infrastructure Facility in the 2023–24 MYEFO towards crisis and transitional accommodation for women and children fleeing domestic violence, and youth, including redistributing the mix of concessional loans and grants to increase the proportion of grants to $700</w:t>
      </w:r>
      <w:r w:rsidR="00630F95">
        <w:t>.0</w:t>
      </w:r>
      <w:r w:rsidRPr="00F319D9">
        <w:t> million</w:t>
      </w:r>
    </w:p>
    <w:p w14:paraId="6C13FDB6" w14:textId="53E5ECC9" w:rsidR="0012790E" w:rsidRPr="00F319D9" w:rsidRDefault="00F662C6" w:rsidP="00F319D9">
      <w:pPr>
        <w:pStyle w:val="Bullet"/>
      </w:pPr>
      <w:r>
        <w:t>p</w:t>
      </w:r>
      <w:r w:rsidR="00D53C97">
        <w:t xml:space="preserve">rovide $1.9 billion in concessional finance to support community housing providers to deliver social and affordable housing under the Housing Australia Future Fund and the </w:t>
      </w:r>
      <w:r w:rsidR="004B6029">
        <w:t>National Housing Accord.</w:t>
      </w:r>
      <w:r w:rsidR="0012790E" w:rsidRPr="00F319D9">
        <w:t xml:space="preserve"> </w:t>
      </w:r>
    </w:p>
    <w:p w14:paraId="55F91CD0"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savings identified in the Employment and Workplace Relations Portfolio. The Government has already provided partial funding for this measure. </w:t>
      </w:r>
    </w:p>
    <w:p w14:paraId="50D32E67" w14:textId="77777777" w:rsidR="0012790E" w:rsidRDefault="0012790E">
      <w:pPr>
        <w:pStyle w:val="Normal2"/>
        <w:rPr>
          <w:rFonts w:cs="Book Antiqua"/>
        </w:rPr>
      </w:pPr>
      <w:r w:rsidRPr="001C06E6">
        <w:rPr>
          <w:rFonts w:cs="Book Antiqua"/>
        </w:rPr>
        <w:t>The Treasury manages Commonwealth payments to the states and territories.</w:t>
      </w:r>
      <w:r>
        <w:rPr>
          <w:rFonts w:cs="Book Antiqua"/>
        </w:rPr>
        <w:t xml:space="preserve"> </w:t>
      </w:r>
    </w:p>
    <w:p w14:paraId="50A81343" w14:textId="7777777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 xml:space="preserve">Budget measures titled </w:t>
      </w:r>
      <w:r w:rsidRPr="001C06E6">
        <w:rPr>
          <w:rFonts w:cs="Book Antiqua"/>
          <w:i/>
          <w:iCs/>
        </w:rPr>
        <w:t>National Housing and</w:t>
      </w:r>
      <w:r>
        <w:rPr>
          <w:rFonts w:cs="Book Antiqua"/>
          <w:i/>
          <w:iCs/>
        </w:rPr>
        <w:t xml:space="preserve"> </w:t>
      </w:r>
      <w:r w:rsidRPr="001C06E6">
        <w:rPr>
          <w:rFonts w:cs="Book Antiqua"/>
          <w:i/>
          <w:iCs/>
        </w:rPr>
        <w:t>Homelessness Agreement Transitional Funding</w:t>
      </w:r>
      <w:r w:rsidRPr="001C06E6">
        <w:rPr>
          <w:rFonts w:cs="Book Antiqua"/>
        </w:rPr>
        <w:t xml:space="preserve"> and </w:t>
      </w:r>
      <w:r w:rsidRPr="001C06E6">
        <w:rPr>
          <w:rFonts w:cs="Book Antiqua"/>
          <w:i/>
          <w:iCs/>
        </w:rPr>
        <w:t>Increasing the Supply of Social</w:t>
      </w:r>
      <w:r>
        <w:rPr>
          <w:rFonts w:cs="Book Antiqua"/>
          <w:i/>
          <w:iCs/>
        </w:rPr>
        <w:t xml:space="preserve"> </w:t>
      </w:r>
      <w:r w:rsidRPr="001C06E6">
        <w:rPr>
          <w:rFonts w:cs="Book Antiqua"/>
          <w:i/>
          <w:iCs/>
        </w:rPr>
        <w:t>and Affordable Housing and Making it Easier to Buy a Home</w:t>
      </w:r>
      <w:r w:rsidRPr="001C06E6">
        <w:rPr>
          <w:rFonts w:cs="Book Antiqua"/>
        </w:rPr>
        <w:t>.</w:t>
      </w:r>
      <w:r>
        <w:rPr>
          <w:rFonts w:cs="Book Antiqua"/>
        </w:rPr>
        <w:t xml:space="preserve"> </w:t>
      </w:r>
    </w:p>
    <w:p w14:paraId="5CB85051" w14:textId="77777777" w:rsidR="00B97A1C" w:rsidRPr="001C06E6" w:rsidRDefault="00B97A1C" w:rsidP="00B97A1C">
      <w:pPr>
        <w:pStyle w:val="MeasureTitle"/>
        <w:rPr>
          <w:b w:val="0"/>
          <w:bCs/>
        </w:rPr>
      </w:pPr>
      <w:r w:rsidRPr="001C06E6">
        <w:rPr>
          <w:bCs/>
        </w:rPr>
        <w:lastRenderedPageBreak/>
        <w:t>Savings from External Labour – extension</w:t>
      </w:r>
    </w:p>
    <w:p w14:paraId="25EE14AF" w14:textId="77777777" w:rsidR="00B97A1C" w:rsidRPr="001C06E6" w:rsidRDefault="00B97A1C" w:rsidP="00B97A1C">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B97A1C" w:rsidRPr="001C06E6" w14:paraId="562BF327" w14:textId="77777777" w:rsidTr="006A4B04">
        <w:tc>
          <w:tcPr>
            <w:tcW w:w="2497" w:type="dxa"/>
            <w:tcBorders>
              <w:top w:val="single" w:sz="4" w:space="0" w:color="293F5B"/>
              <w:bottom w:val="single" w:sz="4" w:space="0" w:color="293F5B"/>
            </w:tcBorders>
            <w:shd w:val="clear" w:color="auto" w:fill="auto"/>
          </w:tcPr>
          <w:p w14:paraId="399C4E93" w14:textId="77777777" w:rsidR="00B97A1C" w:rsidRPr="001C06E6" w:rsidRDefault="00B97A1C" w:rsidP="006A4B04">
            <w:pPr>
              <w:pStyle w:val="MeasureTableYearHeadings"/>
              <w:keepNext/>
            </w:pPr>
          </w:p>
        </w:tc>
        <w:tc>
          <w:tcPr>
            <w:tcW w:w="1045" w:type="dxa"/>
            <w:tcBorders>
              <w:top w:val="single" w:sz="4" w:space="0" w:color="293F5B"/>
              <w:bottom w:val="single" w:sz="4" w:space="0" w:color="293F5B"/>
            </w:tcBorders>
            <w:shd w:val="clear" w:color="auto" w:fill="auto"/>
          </w:tcPr>
          <w:p w14:paraId="3C7F1E71" w14:textId="77777777" w:rsidR="00B97A1C" w:rsidRPr="001C06E6" w:rsidRDefault="00B97A1C" w:rsidP="006A4B04">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3BFA200" w14:textId="77777777" w:rsidR="00B97A1C" w:rsidRPr="001C06E6" w:rsidRDefault="00B97A1C" w:rsidP="006A4B04">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9B6C8BF" w14:textId="77777777" w:rsidR="00B97A1C" w:rsidRPr="001C06E6" w:rsidRDefault="00B97A1C" w:rsidP="006A4B04">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4400CD9" w14:textId="77777777" w:rsidR="00B97A1C" w:rsidRPr="001C06E6" w:rsidRDefault="00B97A1C" w:rsidP="006A4B04">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839A2EA" w14:textId="77777777" w:rsidR="00B97A1C" w:rsidRPr="001C06E6" w:rsidRDefault="00B97A1C" w:rsidP="006A4B04">
            <w:pPr>
              <w:pStyle w:val="MeasureTableYearHeadings"/>
              <w:keepNext/>
            </w:pPr>
            <w:r w:rsidRPr="001C06E6">
              <w:t>2027</w:t>
            </w:r>
            <w:r>
              <w:noBreakHyphen/>
            </w:r>
            <w:r w:rsidRPr="001C06E6">
              <w:t>28</w:t>
            </w:r>
          </w:p>
        </w:tc>
      </w:tr>
      <w:tr w:rsidR="00B97A1C" w:rsidRPr="001C06E6" w14:paraId="49B55CC9" w14:textId="77777777" w:rsidTr="006A4B04">
        <w:tc>
          <w:tcPr>
            <w:tcW w:w="2497" w:type="dxa"/>
            <w:tcBorders>
              <w:top w:val="single" w:sz="4" w:space="0" w:color="293F5B"/>
              <w:bottom w:val="single" w:sz="4" w:space="0" w:color="293F5B"/>
            </w:tcBorders>
            <w:shd w:val="clear" w:color="auto" w:fill="auto"/>
          </w:tcPr>
          <w:p w14:paraId="6F1BFAA7" w14:textId="77777777" w:rsidR="00B97A1C" w:rsidRPr="001C06E6" w:rsidRDefault="00B97A1C" w:rsidP="006A4B04">
            <w:pPr>
              <w:pStyle w:val="MeasureTableHeadingleftalignedwith2ptsspacing"/>
              <w:keepNext/>
            </w:pPr>
            <w:r w:rsidRPr="001C06E6">
              <w:t>Various Agencies</w:t>
            </w:r>
          </w:p>
        </w:tc>
        <w:tc>
          <w:tcPr>
            <w:tcW w:w="1045" w:type="dxa"/>
            <w:tcBorders>
              <w:top w:val="single" w:sz="4" w:space="0" w:color="293F5B"/>
              <w:bottom w:val="single" w:sz="4" w:space="0" w:color="293F5B"/>
            </w:tcBorders>
            <w:shd w:val="clear" w:color="auto" w:fill="auto"/>
          </w:tcPr>
          <w:p w14:paraId="1F6BD08E" w14:textId="77777777" w:rsidR="00B97A1C" w:rsidRPr="001C06E6" w:rsidRDefault="00B97A1C" w:rsidP="006A4B04">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62CA30B" w14:textId="77777777" w:rsidR="00B97A1C" w:rsidRPr="001C06E6" w:rsidRDefault="00B97A1C" w:rsidP="006A4B04">
            <w:pPr>
              <w:pStyle w:val="MeasureTableDataRightAlignedwith2ptsspacing"/>
              <w:keepNext/>
            </w:pPr>
            <w:r w:rsidRPr="001C06E6">
              <w:t>-93.8</w:t>
            </w:r>
          </w:p>
        </w:tc>
        <w:tc>
          <w:tcPr>
            <w:tcW w:w="1045" w:type="dxa"/>
            <w:tcBorders>
              <w:top w:val="single" w:sz="4" w:space="0" w:color="293F5B"/>
              <w:bottom w:val="single" w:sz="4" w:space="0" w:color="293F5B"/>
            </w:tcBorders>
            <w:shd w:val="clear" w:color="auto" w:fill="auto"/>
          </w:tcPr>
          <w:p w14:paraId="79778D19" w14:textId="77777777" w:rsidR="00B97A1C" w:rsidRPr="001C06E6" w:rsidRDefault="00B97A1C" w:rsidP="006A4B04">
            <w:pPr>
              <w:pStyle w:val="MeasureTableDataRightAlignedwith2ptsspacing"/>
              <w:keepNext/>
            </w:pPr>
            <w:r w:rsidRPr="001C06E6">
              <w:t>-93.8</w:t>
            </w:r>
          </w:p>
        </w:tc>
        <w:tc>
          <w:tcPr>
            <w:tcW w:w="1045" w:type="dxa"/>
            <w:tcBorders>
              <w:top w:val="single" w:sz="4" w:space="0" w:color="293F5B"/>
              <w:bottom w:val="single" w:sz="4" w:space="0" w:color="293F5B"/>
            </w:tcBorders>
            <w:shd w:val="clear" w:color="auto" w:fill="auto"/>
          </w:tcPr>
          <w:p w14:paraId="7A6CE972" w14:textId="77777777" w:rsidR="00B97A1C" w:rsidRPr="001C06E6" w:rsidRDefault="00B97A1C" w:rsidP="006A4B04">
            <w:pPr>
              <w:pStyle w:val="MeasureTableDataRightAlignedwith2ptsspacing"/>
              <w:keepNext/>
            </w:pPr>
            <w:r w:rsidRPr="001C06E6">
              <w:t>-93.8</w:t>
            </w:r>
          </w:p>
        </w:tc>
        <w:tc>
          <w:tcPr>
            <w:tcW w:w="1045" w:type="dxa"/>
            <w:tcBorders>
              <w:top w:val="single" w:sz="4" w:space="0" w:color="293F5B"/>
              <w:bottom w:val="single" w:sz="4" w:space="0" w:color="293F5B"/>
            </w:tcBorders>
            <w:shd w:val="clear" w:color="auto" w:fill="auto"/>
          </w:tcPr>
          <w:p w14:paraId="3F44B3E0" w14:textId="77777777" w:rsidR="00B97A1C" w:rsidRPr="001C06E6" w:rsidRDefault="00B97A1C" w:rsidP="006A4B04">
            <w:pPr>
              <w:pStyle w:val="MeasureTableDataRightAlignedwith2ptsspacing"/>
              <w:keepNext/>
            </w:pPr>
            <w:r w:rsidRPr="001C06E6">
              <w:t>-718.8</w:t>
            </w:r>
          </w:p>
        </w:tc>
      </w:tr>
    </w:tbl>
    <w:p w14:paraId="4DB55EA4" w14:textId="77777777" w:rsidR="00B97A1C" w:rsidRPr="001C06E6" w:rsidRDefault="00B97A1C" w:rsidP="00B97A1C">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41FC8854" w14:textId="77777777" w:rsidR="00B97A1C" w:rsidRDefault="00B97A1C" w:rsidP="00B97A1C">
      <w:pPr>
        <w:pStyle w:val="Normal2"/>
        <w:rPr>
          <w:rFonts w:cs="Book Antiqua"/>
          <w:lang w:val="en-US"/>
        </w:rPr>
      </w:pPr>
      <w:r w:rsidRPr="54937204">
        <w:rPr>
          <w:rFonts w:cs="Book Antiqua"/>
          <w:lang w:val="en-US"/>
        </w:rPr>
        <w:t xml:space="preserve">The Government will achieve savings of $1.0 billion over four years from 2024–25 by further reducing spending on consultants, contractors and labour hire, bringing the total savings from reducing reliance on external labour to $4.0 billion since 2022–23. </w:t>
      </w:r>
    </w:p>
    <w:p w14:paraId="1006D4B0" w14:textId="77777777" w:rsidR="00B97A1C" w:rsidRDefault="00B97A1C" w:rsidP="00B97A1C">
      <w:pPr>
        <w:pStyle w:val="Normal2"/>
        <w:rPr>
          <w:rFonts w:cs="Book Antiqua"/>
          <w:lang w:val="en-US"/>
        </w:rPr>
      </w:pPr>
      <w:r w:rsidRPr="54937204">
        <w:rPr>
          <w:rFonts w:cs="Book Antiqua"/>
          <w:lang w:val="en-US"/>
        </w:rPr>
        <w:t xml:space="preserve">The Government will also commission a second Audit of Employment to measure how the public service is delivering on the Government’s commitment to reduce spending on external labour. </w:t>
      </w:r>
    </w:p>
    <w:p w14:paraId="711A1311" w14:textId="77777777" w:rsidR="00B97A1C" w:rsidRDefault="00B97A1C" w:rsidP="00B97A1C">
      <w:pPr>
        <w:pStyle w:val="Normal2"/>
        <w:rPr>
          <w:rFonts w:cs="Book Antiqua"/>
        </w:rPr>
      </w:pPr>
      <w:r w:rsidRPr="001C06E6">
        <w:rPr>
          <w:rFonts w:cs="Book Antiqua"/>
        </w:rPr>
        <w:t xml:space="preserve">This measure extends the </w:t>
      </w:r>
      <w:r>
        <w:rPr>
          <w:rFonts w:cs="Book Antiqua"/>
        </w:rPr>
        <w:t>2022–23</w:t>
      </w:r>
      <w:r w:rsidRPr="001C06E6">
        <w:rPr>
          <w:rFonts w:cs="Book Antiqua"/>
        </w:rPr>
        <w:t xml:space="preserve"> October Budget measure, </w:t>
      </w:r>
      <w:r w:rsidRPr="001C06E6">
        <w:rPr>
          <w:rFonts w:cs="Book Antiqua"/>
          <w:i/>
          <w:iCs/>
        </w:rPr>
        <w:t>Savings from External</w:t>
      </w:r>
      <w:r>
        <w:rPr>
          <w:rFonts w:cs="Book Antiqua"/>
          <w:i/>
          <w:iCs/>
        </w:rPr>
        <w:t xml:space="preserve"> </w:t>
      </w:r>
      <w:r w:rsidRPr="001C06E6">
        <w:rPr>
          <w:rFonts w:cs="Book Antiqua"/>
          <w:i/>
          <w:iCs/>
        </w:rPr>
        <w:t>Labour, and Savings from Advertising, Travel and Legal Expenses</w:t>
      </w:r>
      <w:r w:rsidRPr="001C06E6">
        <w:rPr>
          <w:rFonts w:cs="Book Antiqua"/>
        </w:rPr>
        <w:t>.</w:t>
      </w:r>
      <w:r>
        <w:rPr>
          <w:rFonts w:cs="Book Antiqua"/>
        </w:rPr>
        <w:t xml:space="preserve"> </w:t>
      </w:r>
    </w:p>
    <w:p w14:paraId="70DE2280" w14:textId="77777777" w:rsidR="0012790E" w:rsidRPr="001C06E6" w:rsidRDefault="0012790E" w:rsidP="00AC2FA9">
      <w:pPr>
        <w:pStyle w:val="PortfolioName"/>
        <w:pageBreakBefore/>
      </w:pPr>
      <w:r w:rsidRPr="54937204">
        <w:rPr>
          <w:lang w:val="en-US"/>
        </w:rPr>
        <w:lastRenderedPageBreak/>
        <w:t>Defence</w:t>
      </w:r>
    </w:p>
    <w:p w14:paraId="14DE6E08" w14:textId="77777777" w:rsidR="0012790E" w:rsidRPr="001C06E6" w:rsidRDefault="0012790E">
      <w:pPr>
        <w:pStyle w:val="MeasureTitle"/>
      </w:pPr>
      <w:r w:rsidRPr="001C06E6">
        <w:rPr>
          <w:bCs/>
        </w:rPr>
        <w:t>Australian War Memorial – financial sustainability</w:t>
      </w:r>
    </w:p>
    <w:p w14:paraId="342FE12E"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DCABA87" w14:textId="77777777">
        <w:tc>
          <w:tcPr>
            <w:tcW w:w="2497" w:type="dxa"/>
            <w:tcBorders>
              <w:top w:val="single" w:sz="4" w:space="0" w:color="293F5B"/>
              <w:bottom w:val="single" w:sz="4" w:space="0" w:color="293F5B"/>
            </w:tcBorders>
            <w:shd w:val="clear" w:color="auto" w:fill="auto"/>
          </w:tcPr>
          <w:p w14:paraId="2BDE6500"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DD568D3"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F23267E"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2888053"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9AFADBF"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3A937B5" w14:textId="77777777" w:rsidR="0012790E" w:rsidRPr="001C06E6" w:rsidRDefault="0012790E">
            <w:pPr>
              <w:pStyle w:val="MeasureTableYearHeadings"/>
              <w:keepNext/>
            </w:pPr>
            <w:r w:rsidRPr="001C06E6">
              <w:t>2027</w:t>
            </w:r>
            <w:r>
              <w:noBreakHyphen/>
            </w:r>
            <w:r w:rsidRPr="001C06E6">
              <w:t>28</w:t>
            </w:r>
          </w:p>
        </w:tc>
      </w:tr>
      <w:tr w:rsidR="0012790E" w:rsidRPr="001C06E6" w14:paraId="049CA679" w14:textId="77777777">
        <w:tc>
          <w:tcPr>
            <w:tcW w:w="2497" w:type="dxa"/>
            <w:tcBorders>
              <w:top w:val="single" w:sz="4" w:space="0" w:color="293F5B"/>
              <w:bottom w:val="single" w:sz="4" w:space="0" w:color="293F5B"/>
            </w:tcBorders>
            <w:shd w:val="clear" w:color="auto" w:fill="auto"/>
          </w:tcPr>
          <w:p w14:paraId="3562811E" w14:textId="77777777" w:rsidR="0012790E" w:rsidRPr="001C06E6" w:rsidRDefault="0012790E">
            <w:pPr>
              <w:pStyle w:val="MeasureTableHeadingleftalignedwith2ptsspacing"/>
              <w:keepNext/>
            </w:pPr>
            <w:r w:rsidRPr="001C06E6">
              <w:t>Australian War Memorial</w:t>
            </w:r>
          </w:p>
        </w:tc>
        <w:tc>
          <w:tcPr>
            <w:tcW w:w="1045" w:type="dxa"/>
            <w:tcBorders>
              <w:top w:val="single" w:sz="4" w:space="0" w:color="293F5B"/>
              <w:bottom w:val="single" w:sz="4" w:space="0" w:color="293F5B"/>
            </w:tcBorders>
            <w:shd w:val="clear" w:color="auto" w:fill="auto"/>
          </w:tcPr>
          <w:p w14:paraId="1F003EF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77BF56C" w14:textId="77777777" w:rsidR="0012790E" w:rsidRPr="001C06E6" w:rsidRDefault="0012790E">
            <w:pPr>
              <w:pStyle w:val="MeasureTableDataRightAlignedwith2ptsspacing"/>
              <w:keepNext/>
            </w:pPr>
            <w:r w:rsidRPr="001C06E6">
              <w:t>8.0</w:t>
            </w:r>
          </w:p>
        </w:tc>
        <w:tc>
          <w:tcPr>
            <w:tcW w:w="1045" w:type="dxa"/>
            <w:tcBorders>
              <w:top w:val="single" w:sz="4" w:space="0" w:color="293F5B"/>
              <w:bottom w:val="single" w:sz="4" w:space="0" w:color="293F5B"/>
            </w:tcBorders>
            <w:shd w:val="clear" w:color="auto" w:fill="auto"/>
          </w:tcPr>
          <w:p w14:paraId="198327D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79B793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286B364" w14:textId="77777777" w:rsidR="0012790E" w:rsidRPr="001C06E6" w:rsidRDefault="0012790E">
            <w:pPr>
              <w:pStyle w:val="MeasureTableDataRightAlignedwith2ptsspacing"/>
              <w:keepNext/>
            </w:pPr>
            <w:r w:rsidRPr="001C06E6">
              <w:t>-</w:t>
            </w:r>
          </w:p>
        </w:tc>
      </w:tr>
    </w:tbl>
    <w:p w14:paraId="08AB2AB5"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29921572" w14:textId="77777777" w:rsidR="0012790E" w:rsidRDefault="0012790E">
      <w:pPr>
        <w:pStyle w:val="Normal2"/>
        <w:rPr>
          <w:rFonts w:cs="Book Antiqua"/>
        </w:rPr>
      </w:pPr>
      <w:r w:rsidRPr="001C06E6">
        <w:rPr>
          <w:rFonts w:cs="Book Antiqua"/>
        </w:rPr>
        <w:t>The Government will provide $8.0</w:t>
      </w:r>
      <w:r>
        <w:rPr>
          <w:rFonts w:cs="Book Antiqua"/>
        </w:rPr>
        <w:t> </w:t>
      </w:r>
      <w:r w:rsidRPr="001C06E6">
        <w:rPr>
          <w:rFonts w:cs="Book Antiqua"/>
        </w:rPr>
        <w:t xml:space="preserve">million in </w:t>
      </w:r>
      <w:r>
        <w:rPr>
          <w:rFonts w:cs="Book Antiqua"/>
        </w:rPr>
        <w:t>2024–25</w:t>
      </w:r>
      <w:r w:rsidRPr="001C06E6">
        <w:rPr>
          <w:rFonts w:cs="Book Antiqua"/>
        </w:rPr>
        <w:t xml:space="preserve"> to support the financial</w:t>
      </w:r>
      <w:r>
        <w:rPr>
          <w:rFonts w:cs="Book Antiqua"/>
        </w:rPr>
        <w:t xml:space="preserve"> </w:t>
      </w:r>
      <w:r w:rsidRPr="001C06E6">
        <w:rPr>
          <w:rFonts w:cs="Book Antiqua"/>
        </w:rPr>
        <w:t>sustainability of the Australian War Memorial.</w:t>
      </w:r>
      <w:r>
        <w:rPr>
          <w:rFonts w:cs="Book Antiqua"/>
        </w:rPr>
        <w:t xml:space="preserve"> </w:t>
      </w:r>
    </w:p>
    <w:p w14:paraId="644D8DBB" w14:textId="77777777" w:rsidR="0012790E" w:rsidRPr="001C06E6" w:rsidRDefault="0012790E" w:rsidP="54937204">
      <w:pPr>
        <w:pStyle w:val="MeasureTitle"/>
        <w:rPr>
          <w:b w:val="0"/>
          <w:lang w:val="en-US"/>
        </w:rPr>
      </w:pPr>
      <w:r w:rsidRPr="54937204">
        <w:rPr>
          <w:lang w:val="en-US"/>
        </w:rPr>
        <w:t>Commonwealth War Graves Commission – additional funding</w:t>
      </w:r>
    </w:p>
    <w:p w14:paraId="0E4337A5"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0565BC9" w14:textId="77777777">
        <w:tc>
          <w:tcPr>
            <w:tcW w:w="2497" w:type="dxa"/>
            <w:tcBorders>
              <w:top w:val="single" w:sz="4" w:space="0" w:color="293F5B"/>
              <w:bottom w:val="single" w:sz="4" w:space="0" w:color="293F5B"/>
            </w:tcBorders>
            <w:shd w:val="clear" w:color="auto" w:fill="auto"/>
          </w:tcPr>
          <w:p w14:paraId="43BA8052"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4D99949"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0ADA7B03"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AADCE5F"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8D2F9C3"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0C4935E" w14:textId="77777777" w:rsidR="0012790E" w:rsidRPr="001C06E6" w:rsidRDefault="0012790E">
            <w:pPr>
              <w:pStyle w:val="MeasureTableYearHeadings"/>
              <w:keepNext/>
            </w:pPr>
            <w:r w:rsidRPr="001C06E6">
              <w:t>2027</w:t>
            </w:r>
            <w:r>
              <w:noBreakHyphen/>
            </w:r>
            <w:r w:rsidRPr="001C06E6">
              <w:t>28</w:t>
            </w:r>
          </w:p>
        </w:tc>
      </w:tr>
      <w:tr w:rsidR="0012790E" w:rsidRPr="001C06E6" w14:paraId="6D48B53D" w14:textId="77777777">
        <w:tc>
          <w:tcPr>
            <w:tcW w:w="2497" w:type="dxa"/>
            <w:tcBorders>
              <w:top w:val="single" w:sz="4" w:space="0" w:color="293F5B"/>
              <w:bottom w:val="single" w:sz="4" w:space="0" w:color="293F5B"/>
            </w:tcBorders>
            <w:shd w:val="clear" w:color="auto" w:fill="auto"/>
          </w:tcPr>
          <w:p w14:paraId="2C0BF14F" w14:textId="77777777" w:rsidR="0012790E" w:rsidRPr="001C06E6" w:rsidRDefault="0012790E">
            <w:pPr>
              <w:pStyle w:val="MeasureTableHeadingleftalignedwith2ptsspacing"/>
              <w:keepNext/>
            </w:pPr>
            <w:r w:rsidRPr="001C06E6">
              <w:t>Department of Veterans' Affairs</w:t>
            </w:r>
          </w:p>
        </w:tc>
        <w:tc>
          <w:tcPr>
            <w:tcW w:w="1045" w:type="dxa"/>
            <w:tcBorders>
              <w:top w:val="single" w:sz="4" w:space="0" w:color="293F5B"/>
              <w:bottom w:val="single" w:sz="4" w:space="0" w:color="293F5B"/>
            </w:tcBorders>
            <w:shd w:val="clear" w:color="auto" w:fill="auto"/>
          </w:tcPr>
          <w:p w14:paraId="61351B8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D6DA385" w14:textId="77777777" w:rsidR="0012790E" w:rsidRPr="001C06E6" w:rsidRDefault="0012790E">
            <w:pPr>
              <w:pStyle w:val="MeasureTableDataRightAlignedwith2ptsspacing"/>
              <w:keepNext/>
            </w:pPr>
            <w:r w:rsidRPr="001C06E6">
              <w:t>0.4</w:t>
            </w:r>
          </w:p>
        </w:tc>
        <w:tc>
          <w:tcPr>
            <w:tcW w:w="1045" w:type="dxa"/>
            <w:tcBorders>
              <w:top w:val="single" w:sz="4" w:space="0" w:color="293F5B"/>
              <w:bottom w:val="single" w:sz="4" w:space="0" w:color="293F5B"/>
            </w:tcBorders>
            <w:shd w:val="clear" w:color="auto" w:fill="auto"/>
          </w:tcPr>
          <w:p w14:paraId="0226F5DE" w14:textId="77777777" w:rsidR="0012790E" w:rsidRPr="001C06E6" w:rsidRDefault="0012790E">
            <w:pPr>
              <w:pStyle w:val="MeasureTableDataRightAlignedwith2ptsspacing"/>
              <w:keepNext/>
            </w:pPr>
            <w:r w:rsidRPr="001C06E6">
              <w:t>0.4</w:t>
            </w:r>
          </w:p>
        </w:tc>
        <w:tc>
          <w:tcPr>
            <w:tcW w:w="1045" w:type="dxa"/>
            <w:tcBorders>
              <w:top w:val="single" w:sz="4" w:space="0" w:color="293F5B"/>
              <w:bottom w:val="single" w:sz="4" w:space="0" w:color="293F5B"/>
            </w:tcBorders>
            <w:shd w:val="clear" w:color="auto" w:fill="auto"/>
          </w:tcPr>
          <w:p w14:paraId="2BB3033E" w14:textId="77777777" w:rsidR="0012790E" w:rsidRPr="001C06E6" w:rsidRDefault="0012790E">
            <w:pPr>
              <w:pStyle w:val="MeasureTableDataRightAlignedwith2ptsspacing"/>
              <w:keepNext/>
            </w:pPr>
            <w:r w:rsidRPr="001C06E6">
              <w:t>0.4</w:t>
            </w:r>
          </w:p>
        </w:tc>
        <w:tc>
          <w:tcPr>
            <w:tcW w:w="1045" w:type="dxa"/>
            <w:tcBorders>
              <w:top w:val="single" w:sz="4" w:space="0" w:color="293F5B"/>
              <w:bottom w:val="single" w:sz="4" w:space="0" w:color="293F5B"/>
            </w:tcBorders>
            <w:shd w:val="clear" w:color="auto" w:fill="auto"/>
          </w:tcPr>
          <w:p w14:paraId="0D9020D8" w14:textId="77777777" w:rsidR="0012790E" w:rsidRPr="001C06E6" w:rsidRDefault="0012790E">
            <w:pPr>
              <w:pStyle w:val="MeasureTableDataRightAlignedwith2ptsspacing"/>
              <w:keepNext/>
            </w:pPr>
            <w:r w:rsidRPr="001C06E6">
              <w:t>-</w:t>
            </w:r>
          </w:p>
        </w:tc>
      </w:tr>
    </w:tbl>
    <w:p w14:paraId="195DDCE6"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40F02139" w14:textId="77777777" w:rsidR="0012790E" w:rsidRDefault="0012790E" w:rsidP="54937204">
      <w:pPr>
        <w:pStyle w:val="Normal2"/>
        <w:rPr>
          <w:rFonts w:cs="Book Antiqua"/>
          <w:lang w:val="en-US"/>
        </w:rPr>
      </w:pPr>
      <w:r w:rsidRPr="54937204">
        <w:rPr>
          <w:rFonts w:cs="Book Antiqua"/>
          <w:lang w:val="en-US"/>
        </w:rPr>
        <w:t xml:space="preserve">The Government will provide $1.2 million over three years from 2024–25 to maintain Australia’s membership to the Commonwealth War Graves Commission. </w:t>
      </w:r>
    </w:p>
    <w:p w14:paraId="57374DFD" w14:textId="77777777" w:rsidR="0012790E" w:rsidRPr="001C06E6" w:rsidRDefault="0012790E">
      <w:pPr>
        <w:pStyle w:val="MeasureTitle"/>
        <w:rPr>
          <w:b w:val="0"/>
          <w:bCs/>
        </w:rPr>
      </w:pPr>
      <w:r w:rsidRPr="001C06E6">
        <w:rPr>
          <w:bCs/>
        </w:rPr>
        <w:t>Continuing Veterans' Access to Health and Support Programs</w:t>
      </w:r>
    </w:p>
    <w:p w14:paraId="7FB7CB48"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7695E20" w14:textId="77777777">
        <w:tc>
          <w:tcPr>
            <w:tcW w:w="2497" w:type="dxa"/>
            <w:tcBorders>
              <w:top w:val="single" w:sz="4" w:space="0" w:color="293F5B"/>
              <w:bottom w:val="single" w:sz="4" w:space="0" w:color="293F5B"/>
            </w:tcBorders>
            <w:shd w:val="clear" w:color="auto" w:fill="auto"/>
          </w:tcPr>
          <w:p w14:paraId="48FE8A55"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80DBE69"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24EB2AF"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029DD08"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11166AD"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39CF4D5" w14:textId="77777777" w:rsidR="0012790E" w:rsidRPr="001C06E6" w:rsidRDefault="0012790E">
            <w:pPr>
              <w:pStyle w:val="MeasureTableYearHeadings"/>
              <w:keepNext/>
            </w:pPr>
            <w:r w:rsidRPr="001C06E6">
              <w:t>2027</w:t>
            </w:r>
            <w:r>
              <w:noBreakHyphen/>
            </w:r>
            <w:r w:rsidRPr="001C06E6">
              <w:t>28</w:t>
            </w:r>
          </w:p>
        </w:tc>
      </w:tr>
      <w:tr w:rsidR="0012790E" w:rsidRPr="001C06E6" w14:paraId="5B110E15" w14:textId="77777777">
        <w:tc>
          <w:tcPr>
            <w:tcW w:w="2497" w:type="dxa"/>
            <w:tcBorders>
              <w:top w:val="single" w:sz="4" w:space="0" w:color="293F5B"/>
              <w:bottom w:val="single" w:sz="4" w:space="0" w:color="293F5B"/>
            </w:tcBorders>
            <w:shd w:val="clear" w:color="auto" w:fill="auto"/>
          </w:tcPr>
          <w:p w14:paraId="204CEE28" w14:textId="77777777" w:rsidR="0012790E" w:rsidRPr="001C06E6" w:rsidRDefault="0012790E">
            <w:pPr>
              <w:pStyle w:val="MeasureTableHeadingleftalignedwith2ptsspacing"/>
              <w:keepNext/>
            </w:pPr>
            <w:r w:rsidRPr="001C06E6">
              <w:t>Department of Veterans' Affairs</w:t>
            </w:r>
          </w:p>
        </w:tc>
        <w:tc>
          <w:tcPr>
            <w:tcW w:w="1045" w:type="dxa"/>
            <w:tcBorders>
              <w:top w:val="single" w:sz="4" w:space="0" w:color="293F5B"/>
              <w:bottom w:val="single" w:sz="4" w:space="0" w:color="293F5B"/>
            </w:tcBorders>
            <w:shd w:val="clear" w:color="auto" w:fill="auto"/>
          </w:tcPr>
          <w:p w14:paraId="42594A2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67F6B6C" w14:textId="77777777" w:rsidR="0012790E" w:rsidRPr="001C06E6" w:rsidRDefault="0012790E">
            <w:pPr>
              <w:pStyle w:val="MeasureTableDataRightAlignedwith2ptsspacing"/>
              <w:keepNext/>
            </w:pPr>
            <w:r w:rsidRPr="001C06E6">
              <w:t>28.5</w:t>
            </w:r>
          </w:p>
        </w:tc>
        <w:tc>
          <w:tcPr>
            <w:tcW w:w="1045" w:type="dxa"/>
            <w:tcBorders>
              <w:top w:val="single" w:sz="4" w:space="0" w:color="293F5B"/>
              <w:bottom w:val="single" w:sz="4" w:space="0" w:color="293F5B"/>
            </w:tcBorders>
            <w:shd w:val="clear" w:color="auto" w:fill="auto"/>
          </w:tcPr>
          <w:p w14:paraId="11490E97" w14:textId="77777777" w:rsidR="0012790E" w:rsidRPr="001C06E6" w:rsidRDefault="0012790E">
            <w:pPr>
              <w:pStyle w:val="MeasureTableDataRightAlignedwith2ptsspacing"/>
              <w:keepNext/>
            </w:pPr>
            <w:r w:rsidRPr="001C06E6">
              <w:t>27.7</w:t>
            </w:r>
          </w:p>
        </w:tc>
        <w:tc>
          <w:tcPr>
            <w:tcW w:w="1045" w:type="dxa"/>
            <w:tcBorders>
              <w:top w:val="single" w:sz="4" w:space="0" w:color="293F5B"/>
              <w:bottom w:val="single" w:sz="4" w:space="0" w:color="293F5B"/>
            </w:tcBorders>
            <w:shd w:val="clear" w:color="auto" w:fill="auto"/>
          </w:tcPr>
          <w:p w14:paraId="3AC1702D" w14:textId="77777777" w:rsidR="0012790E" w:rsidRPr="001C06E6" w:rsidRDefault="0012790E">
            <w:pPr>
              <w:pStyle w:val="MeasureTableDataRightAlignedwith2ptsspacing"/>
              <w:keepNext/>
            </w:pPr>
            <w:r w:rsidRPr="001C06E6">
              <w:t>2.4</w:t>
            </w:r>
          </w:p>
        </w:tc>
        <w:tc>
          <w:tcPr>
            <w:tcW w:w="1045" w:type="dxa"/>
            <w:tcBorders>
              <w:top w:val="single" w:sz="4" w:space="0" w:color="293F5B"/>
              <w:bottom w:val="single" w:sz="4" w:space="0" w:color="293F5B"/>
            </w:tcBorders>
            <w:shd w:val="clear" w:color="auto" w:fill="auto"/>
          </w:tcPr>
          <w:p w14:paraId="29F94677" w14:textId="77777777" w:rsidR="0012790E" w:rsidRPr="001C06E6" w:rsidRDefault="0012790E">
            <w:pPr>
              <w:pStyle w:val="MeasureTableDataRightAlignedwith2ptsspacing"/>
              <w:keepNext/>
            </w:pPr>
            <w:r w:rsidRPr="001C06E6">
              <w:t>-</w:t>
            </w:r>
          </w:p>
        </w:tc>
      </w:tr>
      <w:tr w:rsidR="0012790E" w:rsidRPr="001C06E6" w14:paraId="61110543" w14:textId="77777777">
        <w:tc>
          <w:tcPr>
            <w:tcW w:w="2497" w:type="dxa"/>
            <w:tcBorders>
              <w:top w:val="single" w:sz="4" w:space="0" w:color="293F5B"/>
              <w:bottom w:val="single" w:sz="4" w:space="0" w:color="293F5B"/>
            </w:tcBorders>
            <w:shd w:val="clear" w:color="auto" w:fill="auto"/>
          </w:tcPr>
          <w:p w14:paraId="38562714"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5C25EFDF"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6703466" w14:textId="77777777" w:rsidR="0012790E" w:rsidRPr="001C06E6" w:rsidRDefault="0012790E">
            <w:pPr>
              <w:pStyle w:val="MeasureTableDataRightAlignedwith2ptsspacing"/>
              <w:keepNext/>
            </w:pPr>
            <w:r>
              <w:t xml:space="preserve">-0.5 </w:t>
            </w:r>
          </w:p>
        </w:tc>
        <w:tc>
          <w:tcPr>
            <w:tcW w:w="1045" w:type="dxa"/>
            <w:tcBorders>
              <w:top w:val="single" w:sz="4" w:space="0" w:color="293F5B"/>
              <w:bottom w:val="single" w:sz="4" w:space="0" w:color="293F5B"/>
            </w:tcBorders>
            <w:shd w:val="clear" w:color="auto" w:fill="auto"/>
          </w:tcPr>
          <w:p w14:paraId="09970699" w14:textId="77777777" w:rsidR="0012790E" w:rsidRPr="001C06E6" w:rsidRDefault="0012790E">
            <w:pPr>
              <w:pStyle w:val="MeasureTableDataRightAlignedwith2ptsspacing"/>
              <w:keepNext/>
            </w:pPr>
            <w:r>
              <w:t xml:space="preserve">-0.5 </w:t>
            </w:r>
          </w:p>
        </w:tc>
        <w:tc>
          <w:tcPr>
            <w:tcW w:w="1045" w:type="dxa"/>
            <w:tcBorders>
              <w:top w:val="single" w:sz="4" w:space="0" w:color="293F5B"/>
              <w:bottom w:val="single" w:sz="4" w:space="0" w:color="293F5B"/>
            </w:tcBorders>
            <w:shd w:val="clear" w:color="auto" w:fill="auto"/>
          </w:tcPr>
          <w:p w14:paraId="01E4D162" w14:textId="77777777" w:rsidR="0012790E" w:rsidRPr="001C06E6" w:rsidRDefault="0012790E">
            <w:pPr>
              <w:pStyle w:val="MeasureTableDataRightAlignedwith2ptsspacing"/>
              <w:keepNext/>
            </w:pPr>
            <w:r>
              <w:t xml:space="preserve">-0.3 </w:t>
            </w:r>
          </w:p>
        </w:tc>
        <w:tc>
          <w:tcPr>
            <w:tcW w:w="1045" w:type="dxa"/>
            <w:tcBorders>
              <w:top w:val="single" w:sz="4" w:space="0" w:color="293F5B"/>
              <w:bottom w:val="single" w:sz="4" w:space="0" w:color="293F5B"/>
            </w:tcBorders>
            <w:shd w:val="clear" w:color="auto" w:fill="auto"/>
          </w:tcPr>
          <w:p w14:paraId="4241601D" w14:textId="77777777" w:rsidR="0012790E" w:rsidRPr="001C06E6" w:rsidRDefault="0012790E">
            <w:pPr>
              <w:pStyle w:val="MeasureTableDataRightAlignedwith2ptsspacing"/>
              <w:keepNext/>
            </w:pPr>
            <w:r>
              <w:t xml:space="preserve">- </w:t>
            </w:r>
          </w:p>
        </w:tc>
      </w:tr>
      <w:tr w:rsidR="0012790E" w:rsidRPr="001C06E6" w14:paraId="6F2D8927" w14:textId="77777777">
        <w:tc>
          <w:tcPr>
            <w:tcW w:w="2497" w:type="dxa"/>
            <w:tcBorders>
              <w:top w:val="single" w:sz="4" w:space="0" w:color="293F5B"/>
              <w:bottom w:val="single" w:sz="4" w:space="0" w:color="293F5B"/>
            </w:tcBorders>
            <w:shd w:val="clear" w:color="auto" w:fill="auto"/>
          </w:tcPr>
          <w:p w14:paraId="6503CC2E" w14:textId="77777777" w:rsidR="0012790E" w:rsidRPr="001C06E6" w:rsidRDefault="0012790E">
            <w:pPr>
              <w:pStyle w:val="MeasureTableHeadingleftalignedwith2ptsspacing"/>
              <w:keepNext/>
            </w:pPr>
            <w:r w:rsidRPr="001C06E6">
              <w:t>Department of Defence</w:t>
            </w:r>
          </w:p>
        </w:tc>
        <w:tc>
          <w:tcPr>
            <w:tcW w:w="1045" w:type="dxa"/>
            <w:tcBorders>
              <w:top w:val="single" w:sz="4" w:space="0" w:color="293F5B"/>
              <w:bottom w:val="single" w:sz="4" w:space="0" w:color="293F5B"/>
            </w:tcBorders>
            <w:shd w:val="clear" w:color="auto" w:fill="auto"/>
          </w:tcPr>
          <w:p w14:paraId="5DBCEFA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443C06D" w14:textId="77777777" w:rsidR="0012790E" w:rsidRPr="001C06E6" w:rsidRDefault="0012790E">
            <w:pPr>
              <w:pStyle w:val="MeasureTableDataRightAlignedwith2ptsspacing"/>
              <w:keepNext/>
            </w:pPr>
            <w:r w:rsidRPr="001C06E6">
              <w:t>-3.2</w:t>
            </w:r>
          </w:p>
        </w:tc>
        <w:tc>
          <w:tcPr>
            <w:tcW w:w="1045" w:type="dxa"/>
            <w:tcBorders>
              <w:top w:val="single" w:sz="4" w:space="0" w:color="293F5B"/>
              <w:bottom w:val="single" w:sz="4" w:space="0" w:color="293F5B"/>
            </w:tcBorders>
            <w:shd w:val="clear" w:color="auto" w:fill="auto"/>
          </w:tcPr>
          <w:p w14:paraId="2639E3C0" w14:textId="77777777" w:rsidR="0012790E" w:rsidRPr="001C06E6" w:rsidRDefault="0012790E">
            <w:pPr>
              <w:pStyle w:val="MeasureTableDataRightAlignedwith2ptsspacing"/>
              <w:keepNext/>
            </w:pPr>
            <w:r w:rsidRPr="001C06E6">
              <w:t>-3.6</w:t>
            </w:r>
          </w:p>
        </w:tc>
        <w:tc>
          <w:tcPr>
            <w:tcW w:w="1045" w:type="dxa"/>
            <w:tcBorders>
              <w:top w:val="single" w:sz="4" w:space="0" w:color="293F5B"/>
              <w:bottom w:val="single" w:sz="4" w:space="0" w:color="293F5B"/>
            </w:tcBorders>
            <w:shd w:val="clear" w:color="auto" w:fill="auto"/>
          </w:tcPr>
          <w:p w14:paraId="15E30189" w14:textId="77777777" w:rsidR="0012790E" w:rsidRPr="001C06E6" w:rsidRDefault="0012790E">
            <w:pPr>
              <w:pStyle w:val="MeasureTableDataRightAlignedwith2ptsspacing"/>
              <w:keepNext/>
            </w:pPr>
            <w:r w:rsidRPr="001C06E6">
              <w:t>-2.1</w:t>
            </w:r>
          </w:p>
        </w:tc>
        <w:tc>
          <w:tcPr>
            <w:tcW w:w="1045" w:type="dxa"/>
            <w:tcBorders>
              <w:top w:val="single" w:sz="4" w:space="0" w:color="293F5B"/>
              <w:bottom w:val="single" w:sz="4" w:space="0" w:color="293F5B"/>
            </w:tcBorders>
            <w:shd w:val="clear" w:color="auto" w:fill="auto"/>
          </w:tcPr>
          <w:p w14:paraId="40BEB4DE" w14:textId="77777777" w:rsidR="0012790E" w:rsidRPr="001C06E6" w:rsidRDefault="0012790E">
            <w:pPr>
              <w:pStyle w:val="MeasureTableDataRightAlignedwith2ptsspacing"/>
              <w:keepNext/>
            </w:pPr>
            <w:r w:rsidRPr="001C06E6">
              <w:t>-</w:t>
            </w:r>
          </w:p>
        </w:tc>
      </w:tr>
      <w:tr w:rsidR="0012790E" w:rsidRPr="001C06E6" w14:paraId="2849D5B9" w14:textId="77777777">
        <w:tc>
          <w:tcPr>
            <w:tcW w:w="2497" w:type="dxa"/>
            <w:tcBorders>
              <w:top w:val="single" w:sz="4" w:space="0" w:color="293F5B"/>
              <w:bottom w:val="single" w:sz="4" w:space="0" w:color="293F5B"/>
            </w:tcBorders>
            <w:shd w:val="clear" w:color="auto" w:fill="auto"/>
          </w:tcPr>
          <w:p w14:paraId="40F39B93"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CA41A5C"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1E9431F6" w14:textId="77777777" w:rsidR="0012790E" w:rsidRPr="001C06E6" w:rsidRDefault="0012790E">
            <w:pPr>
              <w:pStyle w:val="Totaldatarowrightaligned"/>
              <w:keepNext/>
            </w:pPr>
            <w:r w:rsidRPr="001C06E6">
              <w:t>24.8</w:t>
            </w:r>
          </w:p>
        </w:tc>
        <w:tc>
          <w:tcPr>
            <w:tcW w:w="1045" w:type="dxa"/>
            <w:tcBorders>
              <w:top w:val="single" w:sz="4" w:space="0" w:color="293F5B"/>
              <w:bottom w:val="single" w:sz="4" w:space="0" w:color="293F5B"/>
            </w:tcBorders>
            <w:shd w:val="clear" w:color="auto" w:fill="auto"/>
          </w:tcPr>
          <w:p w14:paraId="364D6B7B" w14:textId="77777777" w:rsidR="0012790E" w:rsidRPr="001C06E6" w:rsidRDefault="0012790E">
            <w:pPr>
              <w:pStyle w:val="Totaldatarowrightaligned"/>
              <w:keepNext/>
            </w:pPr>
            <w:r w:rsidRPr="001C06E6">
              <w:t>23.6</w:t>
            </w:r>
          </w:p>
        </w:tc>
        <w:tc>
          <w:tcPr>
            <w:tcW w:w="1045" w:type="dxa"/>
            <w:tcBorders>
              <w:top w:val="single" w:sz="4" w:space="0" w:color="293F5B"/>
              <w:bottom w:val="single" w:sz="4" w:space="0" w:color="293F5B"/>
            </w:tcBorders>
            <w:shd w:val="clear" w:color="auto" w:fill="auto"/>
          </w:tcPr>
          <w:p w14:paraId="5321219A"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912FB92" w14:textId="77777777" w:rsidR="0012790E" w:rsidRPr="001C06E6" w:rsidRDefault="0012790E">
            <w:pPr>
              <w:pStyle w:val="Totaldatarowrightaligned"/>
              <w:keepNext/>
            </w:pPr>
            <w:r w:rsidRPr="001C06E6">
              <w:t>-</w:t>
            </w:r>
          </w:p>
        </w:tc>
      </w:tr>
    </w:tbl>
    <w:p w14:paraId="3398F133"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0D6A06F3" w14:textId="77777777" w:rsidR="0012790E" w:rsidRDefault="0012790E">
      <w:pPr>
        <w:pStyle w:val="Normal2"/>
        <w:rPr>
          <w:rFonts w:cs="Book Antiqua"/>
        </w:rPr>
      </w:pPr>
      <w:r w:rsidRPr="001C06E6">
        <w:rPr>
          <w:rFonts w:cs="Book Antiqua"/>
        </w:rPr>
        <w:t>The Government will provide $59.6</w:t>
      </w:r>
      <w:r>
        <w:rPr>
          <w:rFonts w:cs="Book Antiqua"/>
        </w:rPr>
        <w:t> </w:t>
      </w:r>
      <w:r w:rsidRPr="001C06E6">
        <w:rPr>
          <w:rFonts w:cs="Book Antiqua"/>
        </w:rPr>
        <w:t xml:space="preserve">million over three years from </w:t>
      </w:r>
      <w:r>
        <w:rPr>
          <w:rFonts w:cs="Book Antiqua"/>
        </w:rPr>
        <w:t>2024–25</w:t>
      </w:r>
      <w:r w:rsidRPr="001C06E6">
        <w:rPr>
          <w:rFonts w:cs="Book Antiqua"/>
        </w:rPr>
        <w:t xml:space="preserve"> to continue</w:t>
      </w:r>
      <w:r>
        <w:rPr>
          <w:rFonts w:cs="Book Antiqua"/>
        </w:rPr>
        <w:t xml:space="preserve"> </w:t>
      </w:r>
      <w:r w:rsidRPr="001C06E6">
        <w:rPr>
          <w:rFonts w:cs="Book Antiqua"/>
        </w:rPr>
        <w:t>access to health and support services for veterans and their families. Funding</w:t>
      </w:r>
      <w:r>
        <w:rPr>
          <w:rFonts w:cs="Book Antiqua"/>
        </w:rPr>
        <w:t xml:space="preserve"> </w:t>
      </w:r>
      <w:r w:rsidRPr="001C06E6">
        <w:rPr>
          <w:rFonts w:cs="Book Antiqua"/>
        </w:rPr>
        <w:t>includes:</w:t>
      </w:r>
    </w:p>
    <w:p w14:paraId="37994E74" w14:textId="549F5325" w:rsidR="0012790E" w:rsidRDefault="0012790E">
      <w:pPr>
        <w:pStyle w:val="Bullet"/>
      </w:pPr>
      <w:r w:rsidRPr="001C06E6">
        <w:t>$48.4</w:t>
      </w:r>
      <w:r>
        <w:t> </w:t>
      </w:r>
      <w:r w:rsidRPr="001C06E6">
        <w:t xml:space="preserve">million over two years from </w:t>
      </w:r>
      <w:r>
        <w:t>2024–25</w:t>
      </w:r>
      <w:r w:rsidRPr="001C06E6">
        <w:t xml:space="preserve"> to provide viability payments to providers</w:t>
      </w:r>
      <w:r w:rsidR="00971137">
        <w:t> </w:t>
      </w:r>
      <w:r w:rsidRPr="001C06E6">
        <w:t>to</w:t>
      </w:r>
      <w:r w:rsidR="00971137">
        <w:t> </w:t>
      </w:r>
      <w:r w:rsidRPr="001C06E6">
        <w:t>maintain the short</w:t>
      </w:r>
      <w:r>
        <w:noBreakHyphen/>
      </w:r>
      <w:r w:rsidRPr="001C06E6">
        <w:t xml:space="preserve">term viability of </w:t>
      </w:r>
      <w:r w:rsidRPr="001C06E6">
        <w:rPr>
          <w:i/>
          <w:iCs/>
        </w:rPr>
        <w:t>Veterans’ Home Care</w:t>
      </w:r>
      <w:r w:rsidRPr="001C06E6">
        <w:t xml:space="preserve"> and </w:t>
      </w:r>
      <w:r w:rsidRPr="001C06E6">
        <w:rPr>
          <w:i/>
          <w:iCs/>
        </w:rPr>
        <w:t>Community Nursing</w:t>
      </w:r>
      <w:r w:rsidRPr="001C06E6">
        <w:t xml:space="preserve"> programs</w:t>
      </w:r>
      <w:r>
        <w:t xml:space="preserve"> </w:t>
      </w:r>
    </w:p>
    <w:p w14:paraId="0F637822" w14:textId="6252492F" w:rsidR="0012790E" w:rsidRDefault="0012790E">
      <w:pPr>
        <w:pStyle w:val="Bullet"/>
      </w:pPr>
      <w:r w:rsidRPr="001C06E6">
        <w:t>$10.2</w:t>
      </w:r>
      <w:r>
        <w:t> </w:t>
      </w:r>
      <w:r w:rsidRPr="001C06E6">
        <w:t xml:space="preserve">million over three years from </w:t>
      </w:r>
      <w:r>
        <w:t>2024–25</w:t>
      </w:r>
      <w:r w:rsidRPr="001C06E6">
        <w:t xml:space="preserve"> to extend access to the </w:t>
      </w:r>
      <w:r w:rsidRPr="001C06E6">
        <w:rPr>
          <w:i/>
          <w:iCs/>
        </w:rPr>
        <w:t>Provisional Access to</w:t>
      </w:r>
      <w:r w:rsidR="00971137">
        <w:rPr>
          <w:i/>
          <w:iCs/>
        </w:rPr>
        <w:t> </w:t>
      </w:r>
      <w:r w:rsidRPr="001C06E6">
        <w:rPr>
          <w:i/>
          <w:iCs/>
        </w:rPr>
        <w:t>Medical Treatment</w:t>
      </w:r>
      <w:r w:rsidRPr="001C06E6">
        <w:t xml:space="preserve"> program, which provides access to funded medical treatment for ill</w:t>
      </w:r>
      <w:r w:rsidR="00971137">
        <w:t> </w:t>
      </w:r>
      <w:r w:rsidRPr="001C06E6">
        <w:t>and injured veterans who are awaiting a liability determination on the claim they have submitted</w:t>
      </w:r>
      <w:r>
        <w:t xml:space="preserve"> </w:t>
      </w:r>
    </w:p>
    <w:p w14:paraId="76046878" w14:textId="77777777" w:rsidR="0012790E" w:rsidRDefault="0012790E">
      <w:pPr>
        <w:pStyle w:val="Bullet"/>
      </w:pPr>
      <w:r w:rsidRPr="001C06E6">
        <w:t>$1.0</w:t>
      </w:r>
      <w:r>
        <w:t> </w:t>
      </w:r>
      <w:r w:rsidRPr="001C06E6">
        <w:t xml:space="preserve">million in </w:t>
      </w:r>
      <w:r>
        <w:t>2024–25</w:t>
      </w:r>
      <w:r w:rsidRPr="001C06E6">
        <w:t xml:space="preserve"> to extend the</w:t>
      </w:r>
      <w:r w:rsidRPr="001C06E6">
        <w:rPr>
          <w:i/>
          <w:iCs/>
        </w:rPr>
        <w:t xml:space="preserve"> Veterans’ Chaplaincy Pilot Program</w:t>
      </w:r>
      <w:r w:rsidRPr="001C06E6">
        <w:t xml:space="preserve"> for one year, which will provide additional time to complete the evaluation of the program.</w:t>
      </w:r>
      <w:r>
        <w:t xml:space="preserve"> </w:t>
      </w:r>
    </w:p>
    <w:p w14:paraId="2228C5AC" w14:textId="77777777" w:rsidR="0012790E" w:rsidRDefault="0012790E" w:rsidP="54937204">
      <w:pPr>
        <w:pStyle w:val="Normal2"/>
        <w:rPr>
          <w:rFonts w:cs="Book Antiqua"/>
          <w:lang w:val="en-US"/>
        </w:rPr>
      </w:pPr>
      <w:r w:rsidRPr="54937204">
        <w:rPr>
          <w:rFonts w:cs="Book Antiqua"/>
          <w:lang w:val="en-US"/>
        </w:rPr>
        <w:lastRenderedPageBreak/>
        <w:t xml:space="preserve">This measure also includes an extension to the </w:t>
      </w:r>
      <w:r w:rsidRPr="54937204">
        <w:rPr>
          <w:rFonts w:cs="Book Antiqua"/>
          <w:i/>
          <w:iCs/>
          <w:lang w:val="en-US"/>
        </w:rPr>
        <w:t>Military and Veteran Psychiatry Training Program</w:t>
      </w:r>
      <w:r w:rsidRPr="54937204">
        <w:rPr>
          <w:rFonts w:cs="Book Antiqua"/>
          <w:lang w:val="en-US"/>
        </w:rPr>
        <w:t xml:space="preserve"> for one year to support placement and development opportunities for trainee psychiatrists in veteran and trauma</w:t>
      </w:r>
      <w:r>
        <w:rPr>
          <w:rFonts w:cs="Book Antiqua"/>
        </w:rPr>
        <w:noBreakHyphen/>
      </w:r>
      <w:r w:rsidRPr="54937204">
        <w:rPr>
          <w:rFonts w:cs="Book Antiqua"/>
          <w:lang w:val="en-US"/>
        </w:rPr>
        <w:t xml:space="preserve">focused care. The cost of this extension will be met from within the existing resourcing of the current funding agreement. </w:t>
      </w:r>
    </w:p>
    <w:p w14:paraId="1134178D"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within the existing resourcing of the Department of Veterans’ Affairs, the Department of Health and Aged Care, and the Department of Defence. </w:t>
      </w:r>
    </w:p>
    <w:p w14:paraId="16783B51" w14:textId="77777777" w:rsidR="0012790E" w:rsidRPr="001C06E6" w:rsidRDefault="0012790E" w:rsidP="54937204">
      <w:pPr>
        <w:pStyle w:val="MeasureTitle"/>
        <w:rPr>
          <w:b w:val="0"/>
          <w:lang w:val="en-US"/>
        </w:rPr>
      </w:pPr>
      <w:r w:rsidRPr="54937204">
        <w:rPr>
          <w:lang w:val="en-US"/>
        </w:rPr>
        <w:t>Defence Assistance – regional and global support</w:t>
      </w:r>
    </w:p>
    <w:p w14:paraId="1D8843A8"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8A0588D" w14:textId="77777777">
        <w:tc>
          <w:tcPr>
            <w:tcW w:w="2497" w:type="dxa"/>
            <w:tcBorders>
              <w:top w:val="single" w:sz="4" w:space="0" w:color="293F5B"/>
              <w:bottom w:val="single" w:sz="4" w:space="0" w:color="293F5B"/>
            </w:tcBorders>
            <w:shd w:val="clear" w:color="auto" w:fill="auto"/>
          </w:tcPr>
          <w:p w14:paraId="0F984479"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F879186"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EE6AB07"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223C1438"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5E078BD"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F84E70B" w14:textId="77777777" w:rsidR="0012790E" w:rsidRPr="001C06E6" w:rsidRDefault="0012790E">
            <w:pPr>
              <w:pStyle w:val="MeasureTableYearHeadings"/>
              <w:keepNext/>
            </w:pPr>
            <w:r w:rsidRPr="001C06E6">
              <w:t>2027</w:t>
            </w:r>
            <w:r>
              <w:noBreakHyphen/>
            </w:r>
            <w:r w:rsidRPr="001C06E6">
              <w:t>28</w:t>
            </w:r>
          </w:p>
        </w:tc>
      </w:tr>
      <w:tr w:rsidR="0012790E" w:rsidRPr="001C06E6" w14:paraId="162029CD" w14:textId="77777777">
        <w:tc>
          <w:tcPr>
            <w:tcW w:w="2497" w:type="dxa"/>
            <w:tcBorders>
              <w:top w:val="single" w:sz="4" w:space="0" w:color="293F5B"/>
              <w:bottom w:val="single" w:sz="4" w:space="0" w:color="293F5B"/>
            </w:tcBorders>
            <w:shd w:val="clear" w:color="auto" w:fill="auto"/>
          </w:tcPr>
          <w:p w14:paraId="6A7204F8" w14:textId="77777777" w:rsidR="0012790E" w:rsidRPr="001C06E6" w:rsidRDefault="0012790E">
            <w:pPr>
              <w:pStyle w:val="MeasureTableHeadingleftalignedwith2ptsspacing"/>
              <w:keepNext/>
            </w:pPr>
            <w:r w:rsidRPr="001C06E6">
              <w:t>Department of Defence</w:t>
            </w:r>
          </w:p>
        </w:tc>
        <w:tc>
          <w:tcPr>
            <w:tcW w:w="1045" w:type="dxa"/>
            <w:tcBorders>
              <w:top w:val="single" w:sz="4" w:space="0" w:color="293F5B"/>
              <w:bottom w:val="single" w:sz="4" w:space="0" w:color="293F5B"/>
            </w:tcBorders>
            <w:shd w:val="clear" w:color="auto" w:fill="auto"/>
          </w:tcPr>
          <w:p w14:paraId="33357F94" w14:textId="77777777" w:rsidR="0012790E" w:rsidRPr="001C06E6" w:rsidRDefault="0012790E">
            <w:pPr>
              <w:pStyle w:val="MeasureTableDataRightAlignedwith2ptsspacing"/>
              <w:keepNext/>
            </w:pPr>
            <w:r w:rsidRPr="001C06E6">
              <w:t>12.2</w:t>
            </w:r>
          </w:p>
        </w:tc>
        <w:tc>
          <w:tcPr>
            <w:tcW w:w="1045" w:type="dxa"/>
            <w:tcBorders>
              <w:top w:val="single" w:sz="4" w:space="0" w:color="293F5B"/>
              <w:bottom w:val="single" w:sz="4" w:space="0" w:color="293F5B"/>
            </w:tcBorders>
            <w:shd w:val="clear" w:color="auto" w:fill="auto"/>
          </w:tcPr>
          <w:p w14:paraId="266C104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ABA5B6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A503FF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3B23174" w14:textId="77777777" w:rsidR="0012790E" w:rsidRPr="001C06E6" w:rsidRDefault="0012790E">
            <w:pPr>
              <w:pStyle w:val="MeasureTableDataRightAlignedwith2ptsspacing"/>
              <w:keepNext/>
            </w:pPr>
            <w:r w:rsidRPr="001C06E6">
              <w:t>-</w:t>
            </w:r>
          </w:p>
        </w:tc>
      </w:tr>
    </w:tbl>
    <w:p w14:paraId="6AF05E49"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225DF4EE" w14:textId="77777777" w:rsidR="0012790E" w:rsidRDefault="0012790E" w:rsidP="54937204">
      <w:pPr>
        <w:pStyle w:val="Normal2"/>
        <w:rPr>
          <w:rFonts w:cs="Book Antiqua"/>
          <w:lang w:val="en-US"/>
        </w:rPr>
      </w:pPr>
      <w:r w:rsidRPr="54937204">
        <w:rPr>
          <w:rFonts w:cs="Book Antiqua"/>
          <w:lang w:val="en-US"/>
        </w:rPr>
        <w:t>The Government has provided $232.2 million over three years from 2023–24 to provide regional and global assistance and support peacekeeping activities. Funding includes:</w:t>
      </w:r>
    </w:p>
    <w:p w14:paraId="098A2335" w14:textId="77777777" w:rsidR="0012790E" w:rsidRDefault="0012790E">
      <w:pPr>
        <w:pStyle w:val="Bullet"/>
      </w:pPr>
      <w:r w:rsidRPr="001C06E6">
        <w:t>$144.3</w:t>
      </w:r>
      <w:r>
        <w:t> </w:t>
      </w:r>
      <w:r w:rsidRPr="001C06E6">
        <w:t xml:space="preserve">million over two years from </w:t>
      </w:r>
      <w:r>
        <w:t>2023–24</w:t>
      </w:r>
      <w:r w:rsidRPr="001C06E6">
        <w:t xml:space="preserve"> to provide additional military support in response to requests from the Government of Ukraine, including:</w:t>
      </w:r>
      <w:r>
        <w:t xml:space="preserve"> </w:t>
      </w:r>
    </w:p>
    <w:p w14:paraId="13756C71" w14:textId="77777777" w:rsidR="0012790E" w:rsidRDefault="0012790E">
      <w:pPr>
        <w:pStyle w:val="Dash"/>
      </w:pPr>
      <w:r w:rsidRPr="001C06E6">
        <w:t>$100.0</w:t>
      </w:r>
      <w:r>
        <w:t> </w:t>
      </w:r>
      <w:r w:rsidRPr="001C06E6">
        <w:t xml:space="preserve">million in </w:t>
      </w:r>
      <w:r>
        <w:t>2023–24</w:t>
      </w:r>
      <w:r w:rsidRPr="001C06E6">
        <w:t xml:space="preserve"> to support the procurement of priority military equipment through the </w:t>
      </w:r>
      <w:r w:rsidRPr="001C06E6">
        <w:rPr>
          <w:i/>
          <w:iCs/>
        </w:rPr>
        <w:t>International Fund for Ukraine</w:t>
      </w:r>
      <w:r w:rsidRPr="001C06E6">
        <w:t xml:space="preserve"> and to provide uncrewed aerial systems, generators, inflatable boats and other military equipment, with the support of Australian industry</w:t>
      </w:r>
      <w:r>
        <w:t xml:space="preserve"> </w:t>
      </w:r>
    </w:p>
    <w:p w14:paraId="1ACDE9C5" w14:textId="77777777" w:rsidR="0012790E" w:rsidRDefault="0012790E">
      <w:pPr>
        <w:pStyle w:val="Dash"/>
      </w:pPr>
      <w:r w:rsidRPr="001C06E6">
        <w:t>$43.5</w:t>
      </w:r>
      <w:r>
        <w:t> </w:t>
      </w:r>
      <w:r w:rsidRPr="001C06E6">
        <w:t xml:space="preserve">million over two years from </w:t>
      </w:r>
      <w:r>
        <w:t>2023–24</w:t>
      </w:r>
      <w:r w:rsidRPr="001C06E6">
        <w:t xml:space="preserve"> to provide Ukraine with short range air defence systems</w:t>
      </w:r>
      <w:r>
        <w:t xml:space="preserve"> </w:t>
      </w:r>
    </w:p>
    <w:p w14:paraId="688DDF50" w14:textId="77777777" w:rsidR="0012790E" w:rsidRDefault="0012790E">
      <w:pPr>
        <w:pStyle w:val="Dash"/>
      </w:pPr>
      <w:r w:rsidRPr="001C06E6">
        <w:t>$0.8</w:t>
      </w:r>
      <w:r>
        <w:t> </w:t>
      </w:r>
      <w:r w:rsidRPr="001C06E6">
        <w:t xml:space="preserve">million in </w:t>
      </w:r>
      <w:r>
        <w:t>2023–24</w:t>
      </w:r>
      <w:r w:rsidRPr="001C06E6">
        <w:t xml:space="preserve"> to provide Ukraine with three medically</w:t>
      </w:r>
      <w:r>
        <w:noBreakHyphen/>
      </w:r>
      <w:r w:rsidRPr="001C06E6">
        <w:t>rated oxygen generators.</w:t>
      </w:r>
      <w:r>
        <w:t xml:space="preserve"> </w:t>
      </w:r>
    </w:p>
    <w:p w14:paraId="25BCFB79" w14:textId="77777777" w:rsidR="0012790E" w:rsidRDefault="0012790E">
      <w:pPr>
        <w:pStyle w:val="Bullet"/>
      </w:pPr>
      <w:r w:rsidRPr="001C06E6">
        <w:t>$60.8</w:t>
      </w:r>
      <w:r>
        <w:t> </w:t>
      </w:r>
      <w:r w:rsidRPr="001C06E6">
        <w:t xml:space="preserve">million in </w:t>
      </w:r>
      <w:r>
        <w:t>2023–24</w:t>
      </w:r>
      <w:r w:rsidRPr="001C06E6">
        <w:t xml:space="preserve"> to expand </w:t>
      </w:r>
      <w:r w:rsidRPr="001C06E6">
        <w:rPr>
          <w:i/>
          <w:iCs/>
        </w:rPr>
        <w:t>Operation LILIA</w:t>
      </w:r>
      <w:r w:rsidRPr="001C06E6">
        <w:t xml:space="preserve"> to provide Australian Defence Force logistics, security and enabling support for the 2023 Pacific Games and the 2024 Solomon Islands Joint Elections, at the invitation of the Solomon Islands</w:t>
      </w:r>
      <w:r>
        <w:t xml:space="preserve"> </w:t>
      </w:r>
    </w:p>
    <w:p w14:paraId="5E080AA6" w14:textId="77777777" w:rsidR="0012790E" w:rsidRDefault="0012790E">
      <w:pPr>
        <w:pStyle w:val="Bullet"/>
      </w:pPr>
      <w:r w:rsidRPr="001C06E6">
        <w:t>$14.0</w:t>
      </w:r>
      <w:r>
        <w:t> </w:t>
      </w:r>
      <w:r w:rsidRPr="001C06E6">
        <w:t xml:space="preserve">million over two years from </w:t>
      </w:r>
      <w:r>
        <w:t>2024–25</w:t>
      </w:r>
      <w:r w:rsidRPr="001C06E6">
        <w:t xml:space="preserve"> to establish a new grant program to support peacebuilding and peacekeeping activities by the United Nations and related institutions</w:t>
      </w:r>
      <w:r>
        <w:t xml:space="preserve"> </w:t>
      </w:r>
    </w:p>
    <w:p w14:paraId="758D7D42" w14:textId="77777777" w:rsidR="0012790E" w:rsidRDefault="0012790E">
      <w:pPr>
        <w:pStyle w:val="Bullet"/>
      </w:pPr>
      <w:r w:rsidRPr="001C06E6">
        <w:t>$13.2</w:t>
      </w:r>
      <w:r>
        <w:t> </w:t>
      </w:r>
      <w:r w:rsidRPr="001C06E6">
        <w:t xml:space="preserve">million in </w:t>
      </w:r>
      <w:r>
        <w:t>2023–24</w:t>
      </w:r>
      <w:r w:rsidRPr="001C06E6">
        <w:t xml:space="preserve"> to support the Government’s response to the Hamas</w:t>
      </w:r>
      <w:r>
        <w:noBreakHyphen/>
      </w:r>
      <w:r w:rsidRPr="001C06E6">
        <w:t>Israel conflict, including:</w:t>
      </w:r>
      <w:r>
        <w:t xml:space="preserve"> </w:t>
      </w:r>
    </w:p>
    <w:p w14:paraId="500B4FF3" w14:textId="77777777" w:rsidR="0012790E" w:rsidRDefault="0012790E">
      <w:pPr>
        <w:pStyle w:val="Dash"/>
      </w:pPr>
      <w:r w:rsidRPr="001C06E6">
        <w:t>$12.2</w:t>
      </w:r>
      <w:r>
        <w:t> </w:t>
      </w:r>
      <w:r w:rsidRPr="001C06E6">
        <w:t xml:space="preserve">million in </w:t>
      </w:r>
      <w:r>
        <w:t>2023–24</w:t>
      </w:r>
      <w:r w:rsidRPr="001C06E6">
        <w:t xml:space="preserve"> for </w:t>
      </w:r>
      <w:r w:rsidRPr="001C06E6">
        <w:rPr>
          <w:i/>
          <w:iCs/>
        </w:rPr>
        <w:t>Operation BEECH</w:t>
      </w:r>
      <w:r w:rsidRPr="001C06E6">
        <w:t xml:space="preserve"> to deploy Australian Defence Force personnel to support Australian citizens and foreign nationals in the region, including through airlifting personnel</w:t>
      </w:r>
      <w:r>
        <w:t xml:space="preserve"> </w:t>
      </w:r>
    </w:p>
    <w:p w14:paraId="5D070A99" w14:textId="77777777" w:rsidR="0012790E" w:rsidRDefault="0012790E">
      <w:pPr>
        <w:pStyle w:val="Dash"/>
      </w:pPr>
      <w:r w:rsidRPr="001C06E6">
        <w:lastRenderedPageBreak/>
        <w:t>$1.0</w:t>
      </w:r>
      <w:r>
        <w:t> </w:t>
      </w:r>
      <w:r w:rsidRPr="001C06E6">
        <w:t xml:space="preserve">million in </w:t>
      </w:r>
      <w:r>
        <w:t>2023–24</w:t>
      </w:r>
      <w:r w:rsidRPr="001C06E6">
        <w:t xml:space="preserve"> for 140 aerial delivery parachutes to Jordan and the United Arab Emirates to assist with the delivery of humanitarian aid to civilians in Gaza.</w:t>
      </w:r>
      <w:r>
        <w:t xml:space="preserve"> </w:t>
      </w:r>
    </w:p>
    <w:p w14:paraId="722E69F1"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within the existing resourcing of the Department of Defence and funding already provided by the Government. </w:t>
      </w:r>
    </w:p>
    <w:p w14:paraId="79A344FF" w14:textId="77777777" w:rsidR="0012790E" w:rsidRPr="001C06E6" w:rsidRDefault="0012790E">
      <w:pPr>
        <w:pStyle w:val="Normal2"/>
        <w:rPr>
          <w:rFonts w:cs="Book Antiqua"/>
          <w:iCs/>
        </w:rPr>
      </w:pPr>
      <w:r w:rsidRPr="001C06E6">
        <w:rPr>
          <w:rFonts w:cs="Book Antiqua"/>
        </w:rPr>
        <w:t xml:space="preserve">This measure builds on the </w:t>
      </w:r>
      <w:r>
        <w:rPr>
          <w:rFonts w:cs="Book Antiqua"/>
        </w:rPr>
        <w:t>2023–24 </w:t>
      </w:r>
      <w:r w:rsidRPr="001C06E6">
        <w:rPr>
          <w:rFonts w:cs="Book Antiqua"/>
        </w:rPr>
        <w:t xml:space="preserve">MYEFO measure titled </w:t>
      </w:r>
      <w:r w:rsidRPr="001C06E6">
        <w:rPr>
          <w:rFonts w:cs="Book Antiqua"/>
          <w:i/>
          <w:iCs/>
        </w:rPr>
        <w:t>Additional Support for</w:t>
      </w:r>
      <w:r>
        <w:rPr>
          <w:rFonts w:cs="Book Antiqua"/>
          <w:i/>
          <w:iCs/>
        </w:rPr>
        <w:t xml:space="preserve"> </w:t>
      </w:r>
      <w:r w:rsidRPr="001C06E6">
        <w:rPr>
          <w:rFonts w:cs="Book Antiqua"/>
          <w:i/>
          <w:iCs/>
        </w:rPr>
        <w:t>Ukraine.</w:t>
      </w:r>
      <w:r>
        <w:rPr>
          <w:rFonts w:cs="Book Antiqua"/>
          <w:i/>
          <w:iCs/>
        </w:rPr>
        <w:t xml:space="preserve"> </w:t>
      </w:r>
    </w:p>
    <w:p w14:paraId="079AF3FC" w14:textId="77777777" w:rsidR="0012790E" w:rsidRPr="001C06E6" w:rsidRDefault="0012790E" w:rsidP="54937204">
      <w:pPr>
        <w:pStyle w:val="MeasureTitle"/>
        <w:rPr>
          <w:b w:val="0"/>
          <w:lang w:val="en-US"/>
        </w:rPr>
      </w:pPr>
      <w:r w:rsidRPr="54937204">
        <w:rPr>
          <w:lang w:val="en-US"/>
        </w:rPr>
        <w:t>Defence Export – Boxer Heavy Weapons Carrier for Germany</w:t>
      </w:r>
    </w:p>
    <w:p w14:paraId="5E8EBC13"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1B20DE7" w14:textId="77777777">
        <w:tc>
          <w:tcPr>
            <w:tcW w:w="2497" w:type="dxa"/>
            <w:tcBorders>
              <w:top w:val="single" w:sz="4" w:space="0" w:color="293F5B"/>
              <w:bottom w:val="single" w:sz="4" w:space="0" w:color="293F5B"/>
            </w:tcBorders>
            <w:shd w:val="clear" w:color="auto" w:fill="auto"/>
          </w:tcPr>
          <w:p w14:paraId="24D20137"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7856C6E"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49D7C72"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8BBFC00"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EBF7CFF"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32AF2D0" w14:textId="77777777" w:rsidR="0012790E" w:rsidRPr="001C06E6" w:rsidRDefault="0012790E">
            <w:pPr>
              <w:pStyle w:val="MeasureTableYearHeadings"/>
              <w:keepNext/>
            </w:pPr>
            <w:r w:rsidRPr="001C06E6">
              <w:t>2027</w:t>
            </w:r>
            <w:r>
              <w:noBreakHyphen/>
            </w:r>
            <w:r w:rsidRPr="001C06E6">
              <w:t>28</w:t>
            </w:r>
          </w:p>
        </w:tc>
      </w:tr>
      <w:tr w:rsidR="0012790E" w:rsidRPr="001C06E6" w14:paraId="68562BFC" w14:textId="77777777">
        <w:tc>
          <w:tcPr>
            <w:tcW w:w="2497" w:type="dxa"/>
            <w:tcBorders>
              <w:top w:val="single" w:sz="4" w:space="0" w:color="293F5B"/>
              <w:bottom w:val="single" w:sz="4" w:space="0" w:color="293F5B"/>
            </w:tcBorders>
            <w:shd w:val="clear" w:color="auto" w:fill="auto"/>
          </w:tcPr>
          <w:p w14:paraId="26CBFF75" w14:textId="77777777" w:rsidR="0012790E" w:rsidRPr="001C06E6" w:rsidRDefault="0012790E">
            <w:pPr>
              <w:pStyle w:val="MeasureTableHeadingleftalignedwith2ptsspacing"/>
              <w:keepNext/>
            </w:pPr>
            <w:r w:rsidRPr="001C06E6">
              <w:t>Department of Defence</w:t>
            </w:r>
          </w:p>
        </w:tc>
        <w:tc>
          <w:tcPr>
            <w:tcW w:w="1045" w:type="dxa"/>
            <w:tcBorders>
              <w:top w:val="single" w:sz="4" w:space="0" w:color="293F5B"/>
              <w:bottom w:val="single" w:sz="4" w:space="0" w:color="293F5B"/>
            </w:tcBorders>
            <w:shd w:val="clear" w:color="auto" w:fill="auto"/>
          </w:tcPr>
          <w:p w14:paraId="7B13E93E" w14:textId="77777777" w:rsidR="0012790E" w:rsidRPr="001C06E6" w:rsidRDefault="0012790E">
            <w:pPr>
              <w:pStyle w:val="MeasureTableDataRightAlignedwith2ptsspacing"/>
              <w:keepNext/>
            </w:pPr>
            <w:r w:rsidRPr="001C06E6">
              <w:t>3.3</w:t>
            </w:r>
          </w:p>
        </w:tc>
        <w:tc>
          <w:tcPr>
            <w:tcW w:w="1045" w:type="dxa"/>
            <w:tcBorders>
              <w:top w:val="single" w:sz="4" w:space="0" w:color="293F5B"/>
              <w:bottom w:val="single" w:sz="4" w:space="0" w:color="293F5B"/>
            </w:tcBorders>
            <w:shd w:val="clear" w:color="auto" w:fill="auto"/>
          </w:tcPr>
          <w:p w14:paraId="45E7FA24" w14:textId="77777777" w:rsidR="0012790E" w:rsidRPr="001C06E6" w:rsidRDefault="0012790E">
            <w:pPr>
              <w:pStyle w:val="MeasureTableDataRightAlignedwith2ptsspacing"/>
              <w:keepNext/>
            </w:pPr>
            <w:r w:rsidRPr="001C06E6">
              <w:t>2.0</w:t>
            </w:r>
          </w:p>
        </w:tc>
        <w:tc>
          <w:tcPr>
            <w:tcW w:w="1045" w:type="dxa"/>
            <w:tcBorders>
              <w:top w:val="single" w:sz="4" w:space="0" w:color="293F5B"/>
              <w:bottom w:val="single" w:sz="4" w:space="0" w:color="293F5B"/>
            </w:tcBorders>
            <w:shd w:val="clear" w:color="auto" w:fill="auto"/>
          </w:tcPr>
          <w:p w14:paraId="6F74126A" w14:textId="77777777" w:rsidR="0012790E" w:rsidRPr="001C06E6" w:rsidRDefault="0012790E">
            <w:pPr>
              <w:pStyle w:val="MeasureTableDataRightAlignedwith2ptsspacing"/>
              <w:keepNext/>
            </w:pPr>
            <w:r w:rsidRPr="001C06E6">
              <w:t>2.0</w:t>
            </w:r>
          </w:p>
        </w:tc>
        <w:tc>
          <w:tcPr>
            <w:tcW w:w="1045" w:type="dxa"/>
            <w:tcBorders>
              <w:top w:val="single" w:sz="4" w:space="0" w:color="293F5B"/>
              <w:bottom w:val="single" w:sz="4" w:space="0" w:color="293F5B"/>
            </w:tcBorders>
            <w:shd w:val="clear" w:color="auto" w:fill="auto"/>
          </w:tcPr>
          <w:p w14:paraId="52F35675" w14:textId="77777777" w:rsidR="0012790E" w:rsidRPr="001C06E6" w:rsidRDefault="0012790E">
            <w:pPr>
              <w:pStyle w:val="MeasureTableDataRightAlignedwith2ptsspacing"/>
              <w:keepNext/>
            </w:pPr>
            <w:r w:rsidRPr="001C06E6">
              <w:t>2.0</w:t>
            </w:r>
          </w:p>
        </w:tc>
        <w:tc>
          <w:tcPr>
            <w:tcW w:w="1045" w:type="dxa"/>
            <w:tcBorders>
              <w:top w:val="single" w:sz="4" w:space="0" w:color="293F5B"/>
              <w:bottom w:val="single" w:sz="4" w:space="0" w:color="293F5B"/>
            </w:tcBorders>
            <w:shd w:val="clear" w:color="auto" w:fill="auto"/>
          </w:tcPr>
          <w:p w14:paraId="5C489A59" w14:textId="77777777" w:rsidR="0012790E" w:rsidRPr="001C06E6" w:rsidRDefault="0012790E">
            <w:pPr>
              <w:pStyle w:val="MeasureTableDataRightAlignedwith2ptsspacing"/>
              <w:keepNext/>
            </w:pPr>
            <w:r w:rsidRPr="001C06E6">
              <w:t>2.0</w:t>
            </w:r>
          </w:p>
        </w:tc>
      </w:tr>
      <w:tr w:rsidR="0012790E" w:rsidRPr="001C06E6" w14:paraId="08920BF2" w14:textId="77777777">
        <w:tc>
          <w:tcPr>
            <w:tcW w:w="2497" w:type="dxa"/>
            <w:tcBorders>
              <w:top w:val="single" w:sz="4" w:space="0" w:color="293F5B"/>
            </w:tcBorders>
            <w:shd w:val="clear" w:color="auto" w:fill="auto"/>
          </w:tcPr>
          <w:p w14:paraId="4CE252B7"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218C0D1A" w14:textId="77777777" w:rsidR="0012790E" w:rsidRPr="001C06E6" w:rsidRDefault="0012790E">
            <w:pPr>
              <w:pStyle w:val="AgencyName"/>
              <w:keepNext/>
            </w:pPr>
          </w:p>
        </w:tc>
        <w:tc>
          <w:tcPr>
            <w:tcW w:w="1045" w:type="dxa"/>
            <w:tcBorders>
              <w:top w:val="single" w:sz="4" w:space="0" w:color="293F5B"/>
            </w:tcBorders>
            <w:shd w:val="clear" w:color="auto" w:fill="auto"/>
          </w:tcPr>
          <w:p w14:paraId="14DF5106" w14:textId="77777777" w:rsidR="0012790E" w:rsidRPr="001C06E6" w:rsidRDefault="0012790E">
            <w:pPr>
              <w:pStyle w:val="AgencyName"/>
              <w:keepNext/>
            </w:pPr>
          </w:p>
        </w:tc>
        <w:tc>
          <w:tcPr>
            <w:tcW w:w="1045" w:type="dxa"/>
            <w:tcBorders>
              <w:top w:val="single" w:sz="4" w:space="0" w:color="293F5B"/>
            </w:tcBorders>
            <w:shd w:val="clear" w:color="auto" w:fill="auto"/>
          </w:tcPr>
          <w:p w14:paraId="56341DF5" w14:textId="77777777" w:rsidR="0012790E" w:rsidRPr="001C06E6" w:rsidRDefault="0012790E">
            <w:pPr>
              <w:pStyle w:val="AgencyName"/>
              <w:keepNext/>
            </w:pPr>
          </w:p>
        </w:tc>
        <w:tc>
          <w:tcPr>
            <w:tcW w:w="1045" w:type="dxa"/>
            <w:tcBorders>
              <w:top w:val="single" w:sz="4" w:space="0" w:color="293F5B"/>
            </w:tcBorders>
            <w:shd w:val="clear" w:color="auto" w:fill="auto"/>
          </w:tcPr>
          <w:p w14:paraId="286E247C" w14:textId="77777777" w:rsidR="0012790E" w:rsidRPr="001C06E6" w:rsidRDefault="0012790E">
            <w:pPr>
              <w:pStyle w:val="AgencyName"/>
              <w:keepNext/>
            </w:pPr>
          </w:p>
        </w:tc>
        <w:tc>
          <w:tcPr>
            <w:tcW w:w="1045" w:type="dxa"/>
            <w:tcBorders>
              <w:top w:val="single" w:sz="4" w:space="0" w:color="293F5B"/>
            </w:tcBorders>
            <w:shd w:val="clear" w:color="auto" w:fill="auto"/>
          </w:tcPr>
          <w:p w14:paraId="247A72C7" w14:textId="77777777" w:rsidR="0012790E" w:rsidRPr="001C06E6" w:rsidRDefault="0012790E">
            <w:pPr>
              <w:pStyle w:val="AgencyName"/>
              <w:keepNext/>
            </w:pPr>
          </w:p>
        </w:tc>
      </w:tr>
      <w:tr w:rsidR="0012790E" w:rsidRPr="001C06E6" w14:paraId="03DD9B17" w14:textId="77777777">
        <w:tc>
          <w:tcPr>
            <w:tcW w:w="2497" w:type="dxa"/>
            <w:tcBorders>
              <w:bottom w:val="single" w:sz="4" w:space="0" w:color="293F5B"/>
            </w:tcBorders>
            <w:shd w:val="clear" w:color="auto" w:fill="auto"/>
          </w:tcPr>
          <w:p w14:paraId="65E0F99C" w14:textId="77777777" w:rsidR="0012790E" w:rsidRPr="001C06E6" w:rsidRDefault="0012790E">
            <w:pPr>
              <w:pStyle w:val="AgencyNamewith2ptsspacing"/>
              <w:keepNext/>
            </w:pPr>
            <w:r w:rsidRPr="001C06E6">
              <w:t>Department of Defence</w:t>
            </w:r>
          </w:p>
        </w:tc>
        <w:tc>
          <w:tcPr>
            <w:tcW w:w="1045" w:type="dxa"/>
            <w:tcBorders>
              <w:bottom w:val="single" w:sz="4" w:space="0" w:color="293F5B"/>
            </w:tcBorders>
            <w:shd w:val="clear" w:color="auto" w:fill="auto"/>
          </w:tcPr>
          <w:p w14:paraId="02D4C671" w14:textId="77777777" w:rsidR="0012790E" w:rsidRPr="001C06E6" w:rsidRDefault="0012790E">
            <w:pPr>
              <w:pStyle w:val="Measuretabledatarightaligneditalics"/>
              <w:keepNext/>
            </w:pPr>
            <w:r w:rsidRPr="001C06E6">
              <w:t>3.3</w:t>
            </w:r>
          </w:p>
        </w:tc>
        <w:tc>
          <w:tcPr>
            <w:tcW w:w="1045" w:type="dxa"/>
            <w:tcBorders>
              <w:bottom w:val="single" w:sz="4" w:space="0" w:color="293F5B"/>
            </w:tcBorders>
            <w:shd w:val="clear" w:color="auto" w:fill="auto"/>
          </w:tcPr>
          <w:p w14:paraId="37CD9EB0" w14:textId="77777777" w:rsidR="0012790E" w:rsidRPr="001C06E6" w:rsidRDefault="0012790E">
            <w:pPr>
              <w:pStyle w:val="Measuretabledatarightaligneditalics"/>
              <w:keepNext/>
            </w:pPr>
            <w:r w:rsidRPr="001C06E6">
              <w:t>2.0</w:t>
            </w:r>
          </w:p>
        </w:tc>
        <w:tc>
          <w:tcPr>
            <w:tcW w:w="1045" w:type="dxa"/>
            <w:tcBorders>
              <w:bottom w:val="single" w:sz="4" w:space="0" w:color="293F5B"/>
            </w:tcBorders>
            <w:shd w:val="clear" w:color="auto" w:fill="auto"/>
          </w:tcPr>
          <w:p w14:paraId="664DA446" w14:textId="77777777" w:rsidR="0012790E" w:rsidRPr="001C06E6" w:rsidRDefault="0012790E">
            <w:pPr>
              <w:pStyle w:val="Measuretabledatarightaligneditalics"/>
              <w:keepNext/>
            </w:pPr>
            <w:r w:rsidRPr="001C06E6">
              <w:t>2.0</w:t>
            </w:r>
          </w:p>
        </w:tc>
        <w:tc>
          <w:tcPr>
            <w:tcW w:w="1045" w:type="dxa"/>
            <w:tcBorders>
              <w:bottom w:val="single" w:sz="4" w:space="0" w:color="293F5B"/>
            </w:tcBorders>
            <w:shd w:val="clear" w:color="auto" w:fill="auto"/>
          </w:tcPr>
          <w:p w14:paraId="4BA3F635" w14:textId="77777777" w:rsidR="0012790E" w:rsidRPr="001C06E6" w:rsidRDefault="0012790E">
            <w:pPr>
              <w:pStyle w:val="Measuretabledatarightaligneditalics"/>
              <w:keepNext/>
            </w:pPr>
            <w:r w:rsidRPr="001C06E6">
              <w:t>2.0</w:t>
            </w:r>
          </w:p>
        </w:tc>
        <w:tc>
          <w:tcPr>
            <w:tcW w:w="1045" w:type="dxa"/>
            <w:tcBorders>
              <w:bottom w:val="single" w:sz="4" w:space="0" w:color="293F5B"/>
            </w:tcBorders>
            <w:shd w:val="clear" w:color="auto" w:fill="auto"/>
          </w:tcPr>
          <w:p w14:paraId="6C2934DB" w14:textId="77777777" w:rsidR="0012790E" w:rsidRPr="001C06E6" w:rsidRDefault="0012790E">
            <w:pPr>
              <w:pStyle w:val="Measuretabledatarightaligneditalics"/>
              <w:keepNext/>
            </w:pPr>
            <w:r w:rsidRPr="001C06E6">
              <w:t>2.0</w:t>
            </w:r>
          </w:p>
        </w:tc>
      </w:tr>
    </w:tbl>
    <w:p w14:paraId="679379A0" w14:textId="77777777" w:rsidR="0012790E" w:rsidRPr="001C06E6" w:rsidRDefault="0012790E">
      <w:pPr>
        <w:keepNext/>
        <w:widowControl w:val="0"/>
        <w:tabs>
          <w:tab w:val="right" w:pos="3536"/>
          <w:tab w:val="right" w:pos="4579"/>
          <w:tab w:val="right" w:pos="5622"/>
          <w:tab w:val="right" w:pos="6664"/>
          <w:tab w:val="right" w:pos="7707"/>
        </w:tabs>
        <w:spacing w:line="240" w:lineRule="exact"/>
        <w:rPr>
          <w:i/>
          <w:iCs/>
          <w:color w:val="000000"/>
          <w:sz w:val="16"/>
          <w:szCs w:val="16"/>
          <w:lang w:val="en-AU"/>
        </w:rPr>
      </w:pPr>
    </w:p>
    <w:p w14:paraId="1FADD8C7" w14:textId="77777777" w:rsidR="0012790E" w:rsidRDefault="0012790E">
      <w:pPr>
        <w:pStyle w:val="Normal2"/>
        <w:rPr>
          <w:rFonts w:cs="Book Antiqua"/>
        </w:rPr>
      </w:pPr>
      <w:r w:rsidRPr="001C06E6">
        <w:rPr>
          <w:rFonts w:cs="Book Antiqua"/>
        </w:rPr>
        <w:t xml:space="preserve">The Government will provide $15.3 million over seven years from </w:t>
      </w:r>
      <w:r>
        <w:rPr>
          <w:rFonts w:cs="Book Antiqua"/>
        </w:rPr>
        <w:t>2023–24</w:t>
      </w:r>
      <w:r w:rsidRPr="001C06E6">
        <w:rPr>
          <w:rFonts w:cs="Book Antiqua"/>
        </w:rPr>
        <w:t xml:space="preserve"> to support</w:t>
      </w:r>
      <w:r>
        <w:rPr>
          <w:rFonts w:cs="Book Antiqua"/>
        </w:rPr>
        <w:t xml:space="preserve"> </w:t>
      </w:r>
      <w:r w:rsidRPr="001C06E6">
        <w:rPr>
          <w:rFonts w:cs="Book Antiqua"/>
        </w:rPr>
        <w:t>the manufacture and export of more than 100 Boxer Heavy Weapon Carrier vehicles</w:t>
      </w:r>
      <w:r>
        <w:rPr>
          <w:rFonts w:cs="Book Antiqua"/>
        </w:rPr>
        <w:t xml:space="preserve"> </w:t>
      </w:r>
      <w:r w:rsidRPr="001C06E6">
        <w:rPr>
          <w:rFonts w:cs="Book Antiqua"/>
        </w:rPr>
        <w:t>to the Federal Republic of Germany.</w:t>
      </w:r>
      <w:r>
        <w:rPr>
          <w:rFonts w:cs="Book Antiqua"/>
        </w:rPr>
        <w:t xml:space="preserve"> </w:t>
      </w:r>
    </w:p>
    <w:p w14:paraId="6B62021D" w14:textId="77777777" w:rsidR="0012790E" w:rsidRDefault="0012790E" w:rsidP="54937204">
      <w:pPr>
        <w:pStyle w:val="Normal2"/>
        <w:rPr>
          <w:rFonts w:cs="Book Antiqua"/>
          <w:lang w:val="en-US"/>
        </w:rPr>
      </w:pPr>
      <w:r w:rsidRPr="54937204">
        <w:rPr>
          <w:rFonts w:cs="Book Antiqua"/>
          <w:lang w:val="en-US"/>
        </w:rPr>
        <w:t xml:space="preserve">Manufacturing for the vehicles by Rheinmetall Defence Australia will occur in Redbank, Queensland under a contract valued at €1.9 billion. </w:t>
      </w:r>
    </w:p>
    <w:p w14:paraId="29F7F8BD" w14:textId="77777777" w:rsidR="0012790E" w:rsidRDefault="0012790E">
      <w:pPr>
        <w:pStyle w:val="Normal2"/>
        <w:rPr>
          <w:rFonts w:cs="Book Antiqua"/>
        </w:rPr>
      </w:pPr>
      <w:r w:rsidRPr="001C06E6">
        <w:rPr>
          <w:rFonts w:cs="Book Antiqua"/>
        </w:rPr>
        <w:t>The cost of this measure will be fully met by the Federal Republic of Germany.</w:t>
      </w:r>
      <w:r>
        <w:rPr>
          <w:rFonts w:cs="Book Antiqua"/>
        </w:rPr>
        <w:t xml:space="preserve"> </w:t>
      </w:r>
    </w:p>
    <w:p w14:paraId="290E3B36" w14:textId="77777777" w:rsidR="0012790E" w:rsidRPr="001C06E6" w:rsidRDefault="0012790E" w:rsidP="54937204">
      <w:pPr>
        <w:pStyle w:val="MeasureTitle"/>
        <w:rPr>
          <w:b w:val="0"/>
          <w:lang w:val="en-US"/>
        </w:rPr>
      </w:pPr>
      <w:r w:rsidRPr="54937204">
        <w:rPr>
          <w:lang w:val="en-US"/>
        </w:rPr>
        <w:t>Defence Industry Development Strategy</w:t>
      </w:r>
    </w:p>
    <w:p w14:paraId="22024436"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9DD5DC7" w14:textId="77777777">
        <w:tc>
          <w:tcPr>
            <w:tcW w:w="2497" w:type="dxa"/>
            <w:tcBorders>
              <w:top w:val="single" w:sz="4" w:space="0" w:color="293F5B"/>
              <w:bottom w:val="single" w:sz="4" w:space="0" w:color="293F5B"/>
            </w:tcBorders>
            <w:shd w:val="clear" w:color="auto" w:fill="auto"/>
          </w:tcPr>
          <w:p w14:paraId="4BFF8AEE"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581B8F6"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CA16970"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756F71B"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E52A5BE"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3AD4930" w14:textId="77777777" w:rsidR="0012790E" w:rsidRPr="001C06E6" w:rsidRDefault="0012790E">
            <w:pPr>
              <w:pStyle w:val="MeasureTableYearHeadings"/>
              <w:keepNext/>
            </w:pPr>
            <w:r w:rsidRPr="001C06E6">
              <w:t>2027</w:t>
            </w:r>
            <w:r>
              <w:noBreakHyphen/>
            </w:r>
            <w:r w:rsidRPr="001C06E6">
              <w:t>28</w:t>
            </w:r>
          </w:p>
        </w:tc>
      </w:tr>
      <w:tr w:rsidR="0012790E" w:rsidRPr="001C06E6" w14:paraId="12764678" w14:textId="77777777">
        <w:tc>
          <w:tcPr>
            <w:tcW w:w="2497" w:type="dxa"/>
            <w:tcBorders>
              <w:top w:val="single" w:sz="4" w:space="0" w:color="293F5B"/>
              <w:bottom w:val="single" w:sz="4" w:space="0" w:color="293F5B"/>
            </w:tcBorders>
            <w:shd w:val="clear" w:color="auto" w:fill="auto"/>
          </w:tcPr>
          <w:p w14:paraId="2C635CA2" w14:textId="77777777" w:rsidR="0012790E" w:rsidRPr="001C06E6" w:rsidRDefault="0012790E">
            <w:pPr>
              <w:pStyle w:val="MeasureTableHeadingleftalignedwith2ptsspacing"/>
              <w:keepNext/>
            </w:pPr>
            <w:r w:rsidRPr="001C06E6">
              <w:t>Department of Defence</w:t>
            </w:r>
          </w:p>
        </w:tc>
        <w:tc>
          <w:tcPr>
            <w:tcW w:w="1045" w:type="dxa"/>
            <w:tcBorders>
              <w:top w:val="single" w:sz="4" w:space="0" w:color="293F5B"/>
              <w:bottom w:val="single" w:sz="4" w:space="0" w:color="293F5B"/>
            </w:tcBorders>
            <w:shd w:val="clear" w:color="auto" w:fill="auto"/>
          </w:tcPr>
          <w:p w14:paraId="7AE5754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FD25C5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42CA31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F7A438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07DBADC" w14:textId="77777777" w:rsidR="0012790E" w:rsidRPr="001C06E6" w:rsidRDefault="0012790E">
            <w:pPr>
              <w:pStyle w:val="MeasureTableDataRightAlignedwith2ptsspacing"/>
              <w:keepNext/>
            </w:pPr>
            <w:r w:rsidRPr="001C06E6">
              <w:t>-</w:t>
            </w:r>
          </w:p>
        </w:tc>
      </w:tr>
    </w:tbl>
    <w:p w14:paraId="5E7A1414"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0C611CBC" w14:textId="77777777" w:rsidR="0012790E" w:rsidRDefault="0012790E" w:rsidP="54937204">
      <w:pPr>
        <w:pStyle w:val="Normal2"/>
        <w:rPr>
          <w:rFonts w:cs="Book Antiqua"/>
          <w:lang w:val="en-US"/>
        </w:rPr>
      </w:pPr>
      <w:r w:rsidRPr="54937204">
        <w:rPr>
          <w:rFonts w:cs="Book Antiqua"/>
          <w:lang w:val="en-US"/>
        </w:rPr>
        <w:t>The Government will provide $166.2 million over five years from 2023–24 to support the implementation of the Defence Industry Development Strategy. Funding includes:</w:t>
      </w:r>
    </w:p>
    <w:p w14:paraId="04980722" w14:textId="77777777" w:rsidR="0012790E" w:rsidRDefault="0012790E">
      <w:pPr>
        <w:pStyle w:val="Bullet"/>
      </w:pPr>
      <w:r w:rsidRPr="001C06E6">
        <w:t>$165.7</w:t>
      </w:r>
      <w:r>
        <w:t> </w:t>
      </w:r>
      <w:r w:rsidRPr="001C06E6">
        <w:t xml:space="preserve">million over five years from </w:t>
      </w:r>
      <w:r>
        <w:t>2023–24</w:t>
      </w:r>
      <w:r w:rsidRPr="001C06E6">
        <w:t xml:space="preserve"> to establish the Defence Industry Development Grant program for Australian defence industry, supporting Australian businesses to increase their scale and competitiveness and respond to Defence’s capability requirements</w:t>
      </w:r>
      <w:r>
        <w:t xml:space="preserve"> </w:t>
      </w:r>
    </w:p>
    <w:p w14:paraId="5756449E" w14:textId="77777777" w:rsidR="0012790E" w:rsidRDefault="0012790E">
      <w:pPr>
        <w:pStyle w:val="Bullet"/>
      </w:pPr>
      <w:r w:rsidRPr="001C06E6">
        <w:t>$0.6</w:t>
      </w:r>
      <w:r>
        <w:t> </w:t>
      </w:r>
      <w:r w:rsidRPr="001C06E6">
        <w:t xml:space="preserve">million over three years from </w:t>
      </w:r>
      <w:r>
        <w:t>2023–24</w:t>
      </w:r>
      <w:r w:rsidRPr="001C06E6">
        <w:t xml:space="preserve"> to extend the School Pathways Program, promoting career pathways and opportunities within defence industry.</w:t>
      </w:r>
      <w:r>
        <w:t xml:space="preserve"> </w:t>
      </w:r>
    </w:p>
    <w:p w14:paraId="2393541E" w14:textId="77777777" w:rsidR="0012790E" w:rsidRDefault="0012790E" w:rsidP="54937204">
      <w:pPr>
        <w:pStyle w:val="Normal2"/>
        <w:rPr>
          <w:rFonts w:cs="Book Antiqua"/>
          <w:lang w:val="en-US"/>
        </w:rPr>
      </w:pPr>
      <w:r w:rsidRPr="54937204">
        <w:rPr>
          <w:rFonts w:cs="Book Antiqua"/>
          <w:lang w:val="en-US"/>
        </w:rPr>
        <w:t xml:space="preserve">The Defence Industry Development Strategy identifies Sovereign Defence Industrial Priorities to support the development of the sovereign defence industrial base required to deliver and sustain Defence capabilities. </w:t>
      </w:r>
    </w:p>
    <w:p w14:paraId="660EB9E5" w14:textId="77777777" w:rsidR="0012790E" w:rsidRDefault="0012790E" w:rsidP="54937204">
      <w:pPr>
        <w:pStyle w:val="Normal2"/>
        <w:rPr>
          <w:rFonts w:cs="Book Antiqua"/>
          <w:lang w:val="en-US"/>
        </w:rPr>
      </w:pPr>
      <w:r w:rsidRPr="54937204">
        <w:rPr>
          <w:rFonts w:cs="Book Antiqua"/>
          <w:lang w:val="en-US"/>
        </w:rPr>
        <w:lastRenderedPageBreak/>
        <w:t xml:space="preserve">The cost of this measure will be met from within the existing resourcing of the Department of Defence. </w:t>
      </w:r>
    </w:p>
    <w:p w14:paraId="5DFE6C78" w14:textId="77777777" w:rsidR="0012790E" w:rsidRPr="001C06E6" w:rsidRDefault="0012790E" w:rsidP="54937204">
      <w:pPr>
        <w:pStyle w:val="MeasureTitle"/>
        <w:rPr>
          <w:b w:val="0"/>
          <w:lang w:val="en-US"/>
        </w:rPr>
      </w:pPr>
      <w:r w:rsidRPr="54937204">
        <w:rPr>
          <w:lang w:val="en-US"/>
        </w:rPr>
        <w:t>Defence Oversight – Parliamentary Joint Committee on Defence</w:t>
      </w:r>
    </w:p>
    <w:p w14:paraId="04940F1D"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313CBC4" w14:textId="77777777">
        <w:tc>
          <w:tcPr>
            <w:tcW w:w="2497" w:type="dxa"/>
            <w:tcBorders>
              <w:top w:val="single" w:sz="4" w:space="0" w:color="293F5B"/>
              <w:bottom w:val="single" w:sz="4" w:space="0" w:color="293F5B"/>
            </w:tcBorders>
            <w:shd w:val="clear" w:color="auto" w:fill="auto"/>
          </w:tcPr>
          <w:p w14:paraId="3F148501"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13F5D6B"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6EF947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0201EE1"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B4D82AB"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79AA760" w14:textId="77777777" w:rsidR="0012790E" w:rsidRPr="001C06E6" w:rsidRDefault="0012790E">
            <w:pPr>
              <w:pStyle w:val="MeasureTableYearHeadings"/>
              <w:keepNext/>
            </w:pPr>
            <w:r w:rsidRPr="001C06E6">
              <w:t>2027</w:t>
            </w:r>
            <w:r>
              <w:noBreakHyphen/>
            </w:r>
            <w:r w:rsidRPr="001C06E6">
              <w:t>28</w:t>
            </w:r>
          </w:p>
        </w:tc>
      </w:tr>
      <w:tr w:rsidR="0012790E" w:rsidRPr="001C06E6" w14:paraId="1BBCB41A" w14:textId="77777777">
        <w:tc>
          <w:tcPr>
            <w:tcW w:w="2497" w:type="dxa"/>
            <w:tcBorders>
              <w:top w:val="single" w:sz="4" w:space="0" w:color="293F5B"/>
              <w:bottom w:val="single" w:sz="4" w:space="0" w:color="293F5B"/>
            </w:tcBorders>
            <w:shd w:val="clear" w:color="auto" w:fill="auto"/>
          </w:tcPr>
          <w:p w14:paraId="397CF964" w14:textId="77777777" w:rsidR="0012790E" w:rsidRPr="001C06E6" w:rsidRDefault="0012790E">
            <w:pPr>
              <w:pStyle w:val="MeasureTableHeadingleftalignedwith2ptsspacing"/>
              <w:keepNext/>
            </w:pPr>
            <w:r w:rsidRPr="001C06E6">
              <w:t>Department of Defence</w:t>
            </w:r>
          </w:p>
        </w:tc>
        <w:tc>
          <w:tcPr>
            <w:tcW w:w="1045" w:type="dxa"/>
            <w:tcBorders>
              <w:top w:val="single" w:sz="4" w:space="0" w:color="293F5B"/>
              <w:bottom w:val="single" w:sz="4" w:space="0" w:color="293F5B"/>
            </w:tcBorders>
            <w:shd w:val="clear" w:color="auto" w:fill="auto"/>
          </w:tcPr>
          <w:p w14:paraId="0A784D5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43BDE8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7D54F7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D56615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5E05F81" w14:textId="77777777" w:rsidR="0012790E" w:rsidRPr="001C06E6" w:rsidRDefault="0012790E">
            <w:pPr>
              <w:pStyle w:val="MeasureTableDataRightAlignedwith2ptsspacing"/>
              <w:keepNext/>
            </w:pPr>
            <w:r w:rsidRPr="001C06E6">
              <w:t>-</w:t>
            </w:r>
          </w:p>
        </w:tc>
      </w:tr>
    </w:tbl>
    <w:p w14:paraId="315613ED"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4E4733B4" w14:textId="4E9C9CCA" w:rsidR="0012790E" w:rsidRDefault="0012790E" w:rsidP="54937204">
      <w:pPr>
        <w:pStyle w:val="Normal2"/>
        <w:rPr>
          <w:rFonts w:cs="Book Antiqua"/>
          <w:lang w:val="en-US"/>
        </w:rPr>
      </w:pPr>
      <w:r w:rsidRPr="54937204">
        <w:rPr>
          <w:rFonts w:cs="Book Antiqua"/>
          <w:lang w:val="en-US"/>
        </w:rPr>
        <w:t xml:space="preserve">The Government will provide $17.5 million over </w:t>
      </w:r>
      <w:r w:rsidR="00E61209">
        <w:rPr>
          <w:rFonts w:cs="Book Antiqua"/>
          <w:lang w:val="en-US"/>
        </w:rPr>
        <w:t>ten</w:t>
      </w:r>
      <w:r w:rsidR="00E61209" w:rsidRPr="54937204">
        <w:rPr>
          <w:rFonts w:cs="Book Antiqua"/>
          <w:lang w:val="en-US"/>
        </w:rPr>
        <w:t> </w:t>
      </w:r>
      <w:r w:rsidRPr="54937204">
        <w:rPr>
          <w:rFonts w:cs="Book Antiqua"/>
          <w:lang w:val="en-US"/>
        </w:rPr>
        <w:t xml:space="preserve">years from 2024–25 (and $1.8 million per year ongoing) to establish a new Parliamentary Joint Committee on Defence. </w:t>
      </w:r>
    </w:p>
    <w:p w14:paraId="1C975A9B" w14:textId="77777777" w:rsidR="0012790E" w:rsidRPr="001C06E6" w:rsidRDefault="0012790E" w:rsidP="54937204">
      <w:pPr>
        <w:pStyle w:val="Normal2"/>
        <w:rPr>
          <w:rFonts w:cs="Book Antiqua"/>
          <w:lang w:val="en-US"/>
        </w:rPr>
      </w:pPr>
      <w:r w:rsidRPr="54937204">
        <w:rPr>
          <w:rFonts w:cs="Book Antiqua"/>
          <w:lang w:val="en-US"/>
        </w:rPr>
        <w:t xml:space="preserve">The new Parliamentary Committee will support increased oversight, transparency and accountability of the Defence portfolio and streamline existing parliamentary oversight arrangements. The Committee will also implement the Government’s response to the Joint Standing Committee on Foreign Affairs, Defence and Trade’s </w:t>
      </w:r>
      <w:r w:rsidRPr="54937204">
        <w:rPr>
          <w:rFonts w:cs="Book Antiqua"/>
          <w:i/>
          <w:iCs/>
          <w:lang w:val="en-US"/>
        </w:rPr>
        <w:t xml:space="preserve">Inquiry into international armed conflict decision making. </w:t>
      </w:r>
    </w:p>
    <w:p w14:paraId="757BBA75" w14:textId="77777777" w:rsidR="0012790E" w:rsidRDefault="0012790E" w:rsidP="54937204">
      <w:pPr>
        <w:pStyle w:val="Normal2"/>
        <w:rPr>
          <w:rFonts w:cs="Book Antiqua"/>
          <w:lang w:val="en-US"/>
        </w:rPr>
      </w:pPr>
      <w:r w:rsidRPr="54937204">
        <w:rPr>
          <w:rFonts w:cs="Book Antiqua"/>
          <w:lang w:val="en-US"/>
        </w:rPr>
        <w:t xml:space="preserve">Funding for this measure will be held in the Contingency Reserve until the passage of legislation to establish the new committee. </w:t>
      </w:r>
    </w:p>
    <w:p w14:paraId="26AD05A7" w14:textId="77777777" w:rsidR="0012790E" w:rsidRDefault="0012790E" w:rsidP="54937204">
      <w:pPr>
        <w:pStyle w:val="Normal2"/>
        <w:rPr>
          <w:rFonts w:cs="Book Antiqua"/>
          <w:lang w:val="en-US"/>
        </w:rPr>
      </w:pPr>
      <w:r w:rsidRPr="54937204">
        <w:rPr>
          <w:rFonts w:cs="Book Antiqua"/>
          <w:lang w:val="en-US"/>
        </w:rPr>
        <w:t xml:space="preserve">The cost of this measure will be met from within the existing resourcing of the Department of Defence. </w:t>
      </w:r>
    </w:p>
    <w:p w14:paraId="56BEA7EA" w14:textId="77777777" w:rsidR="0012790E" w:rsidRPr="001C06E6" w:rsidRDefault="0012790E" w:rsidP="54937204">
      <w:pPr>
        <w:pStyle w:val="MeasureTitle"/>
        <w:rPr>
          <w:b w:val="0"/>
          <w:lang w:val="en-US"/>
        </w:rPr>
      </w:pPr>
      <w:r w:rsidRPr="54937204">
        <w:rPr>
          <w:lang w:val="en-US"/>
        </w:rPr>
        <w:t>Defence Service Homes Insurance Scheme Review</w:t>
      </w:r>
    </w:p>
    <w:p w14:paraId="6B3CAA73"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E29DDDB" w14:textId="77777777">
        <w:tc>
          <w:tcPr>
            <w:tcW w:w="2497" w:type="dxa"/>
            <w:tcBorders>
              <w:top w:val="single" w:sz="4" w:space="0" w:color="293F5B"/>
              <w:bottom w:val="single" w:sz="4" w:space="0" w:color="293F5B"/>
            </w:tcBorders>
            <w:shd w:val="clear" w:color="auto" w:fill="auto"/>
          </w:tcPr>
          <w:p w14:paraId="1163F3F1"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2922943"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C45B877"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9C2B83A"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5E223A72"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2291C27" w14:textId="77777777" w:rsidR="0012790E" w:rsidRPr="001C06E6" w:rsidRDefault="0012790E">
            <w:pPr>
              <w:pStyle w:val="MeasureTableYearHeadings"/>
              <w:keepNext/>
            </w:pPr>
            <w:r w:rsidRPr="001C06E6">
              <w:t>2027</w:t>
            </w:r>
            <w:r>
              <w:noBreakHyphen/>
            </w:r>
            <w:r w:rsidRPr="001C06E6">
              <w:t>28</w:t>
            </w:r>
          </w:p>
        </w:tc>
      </w:tr>
      <w:tr w:rsidR="0012790E" w:rsidRPr="001C06E6" w14:paraId="30A1B205" w14:textId="77777777">
        <w:tc>
          <w:tcPr>
            <w:tcW w:w="2497" w:type="dxa"/>
            <w:tcBorders>
              <w:top w:val="single" w:sz="4" w:space="0" w:color="293F5B"/>
              <w:bottom w:val="single" w:sz="4" w:space="0" w:color="293F5B"/>
            </w:tcBorders>
            <w:shd w:val="clear" w:color="auto" w:fill="auto"/>
          </w:tcPr>
          <w:p w14:paraId="073104A9" w14:textId="77777777" w:rsidR="0012790E" w:rsidRPr="001C06E6" w:rsidRDefault="0012790E">
            <w:pPr>
              <w:pStyle w:val="MeasureTableHeadingleftalignedwith2ptsspacing"/>
              <w:keepNext/>
            </w:pPr>
            <w:r w:rsidRPr="001C06E6">
              <w:t>Department of Veterans' Affairs</w:t>
            </w:r>
          </w:p>
        </w:tc>
        <w:tc>
          <w:tcPr>
            <w:tcW w:w="1045" w:type="dxa"/>
            <w:tcBorders>
              <w:top w:val="single" w:sz="4" w:space="0" w:color="293F5B"/>
              <w:bottom w:val="single" w:sz="4" w:space="0" w:color="293F5B"/>
            </w:tcBorders>
            <w:shd w:val="clear" w:color="auto" w:fill="auto"/>
          </w:tcPr>
          <w:p w14:paraId="7E8C82A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F7D813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CD3ADB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FBD2ED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7BB89C9" w14:textId="77777777" w:rsidR="0012790E" w:rsidRPr="001C06E6" w:rsidRDefault="0012790E">
            <w:pPr>
              <w:pStyle w:val="MeasureTableDataRightAlignedwith2ptsspacing"/>
              <w:keepNext/>
            </w:pPr>
            <w:r w:rsidRPr="001C06E6">
              <w:t>-</w:t>
            </w:r>
          </w:p>
        </w:tc>
      </w:tr>
    </w:tbl>
    <w:p w14:paraId="46374707"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51ACAFE2" w14:textId="77777777" w:rsidR="0012790E" w:rsidRDefault="0012790E" w:rsidP="54937204">
      <w:pPr>
        <w:pStyle w:val="Normal2"/>
        <w:rPr>
          <w:rFonts w:cs="Book Antiqua"/>
          <w:lang w:val="en-US"/>
        </w:rPr>
      </w:pPr>
      <w:r w:rsidRPr="54937204">
        <w:rPr>
          <w:rFonts w:cs="Book Antiqua"/>
          <w:lang w:val="en-US"/>
        </w:rPr>
        <w:t xml:space="preserve">The Government will provide $0.7 million in 2024–25 to undertake a review on options for the future of the </w:t>
      </w:r>
      <w:r w:rsidRPr="54937204">
        <w:rPr>
          <w:rFonts w:cs="Book Antiqua"/>
          <w:i/>
          <w:iCs/>
          <w:lang w:val="en-US"/>
        </w:rPr>
        <w:t>Defence Service Homes Insurance Scheme</w:t>
      </w:r>
      <w:r w:rsidRPr="54937204">
        <w:rPr>
          <w:rFonts w:cs="Book Antiqua"/>
          <w:lang w:val="en-US"/>
        </w:rPr>
        <w:t xml:space="preserve">. </w:t>
      </w:r>
    </w:p>
    <w:p w14:paraId="68E450DC" w14:textId="77777777" w:rsidR="0012790E" w:rsidRDefault="0012790E" w:rsidP="54937204">
      <w:pPr>
        <w:pStyle w:val="Normal2"/>
        <w:rPr>
          <w:rFonts w:cs="Book Antiqua"/>
          <w:lang w:val="en-US"/>
        </w:rPr>
      </w:pPr>
      <w:r w:rsidRPr="54937204">
        <w:rPr>
          <w:rFonts w:cs="Book Antiqua"/>
          <w:lang w:val="en-US"/>
        </w:rPr>
        <w:t xml:space="preserve">The cost of this measure will be met from within the existing resourcing of the Department of Veterans’ Affairs. </w:t>
      </w:r>
    </w:p>
    <w:p w14:paraId="19FEE702" w14:textId="77777777" w:rsidR="0012790E" w:rsidRPr="001C06E6" w:rsidRDefault="0012790E" w:rsidP="54937204">
      <w:pPr>
        <w:pStyle w:val="MeasureTitle"/>
        <w:rPr>
          <w:b w:val="0"/>
          <w:lang w:val="en-US"/>
        </w:rPr>
      </w:pPr>
      <w:r w:rsidRPr="54937204">
        <w:rPr>
          <w:lang w:val="en-US"/>
        </w:rPr>
        <w:lastRenderedPageBreak/>
        <w:t>Department of Veterans' Affairs – additional resourcing to support service delivery</w:t>
      </w:r>
    </w:p>
    <w:p w14:paraId="62F0FE75"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9051DE9" w14:textId="77777777">
        <w:tc>
          <w:tcPr>
            <w:tcW w:w="2497" w:type="dxa"/>
            <w:tcBorders>
              <w:top w:val="single" w:sz="4" w:space="0" w:color="293F5B"/>
              <w:bottom w:val="single" w:sz="4" w:space="0" w:color="293F5B"/>
            </w:tcBorders>
            <w:shd w:val="clear" w:color="auto" w:fill="auto"/>
          </w:tcPr>
          <w:p w14:paraId="525EBA53"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71EEA9B"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81AF7B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D9E75FB"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3210F1A"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64D2805" w14:textId="77777777" w:rsidR="0012790E" w:rsidRPr="001C06E6" w:rsidRDefault="0012790E">
            <w:pPr>
              <w:pStyle w:val="MeasureTableYearHeadings"/>
              <w:keepNext/>
            </w:pPr>
            <w:r w:rsidRPr="001C06E6">
              <w:t>2027</w:t>
            </w:r>
            <w:r>
              <w:noBreakHyphen/>
            </w:r>
            <w:r w:rsidRPr="001C06E6">
              <w:t>28</w:t>
            </w:r>
          </w:p>
        </w:tc>
      </w:tr>
      <w:tr w:rsidR="0012790E" w:rsidRPr="001C06E6" w14:paraId="164FD967" w14:textId="77777777">
        <w:tc>
          <w:tcPr>
            <w:tcW w:w="2497" w:type="dxa"/>
            <w:tcBorders>
              <w:top w:val="single" w:sz="4" w:space="0" w:color="293F5B"/>
              <w:bottom w:val="single" w:sz="4" w:space="0" w:color="293F5B"/>
            </w:tcBorders>
            <w:shd w:val="clear" w:color="auto" w:fill="auto"/>
          </w:tcPr>
          <w:p w14:paraId="7459422B" w14:textId="77777777" w:rsidR="0012790E" w:rsidRPr="001C06E6" w:rsidRDefault="0012790E">
            <w:pPr>
              <w:pStyle w:val="MeasureTableHeadingleftalignedwith2ptsspacing"/>
              <w:keepNext/>
            </w:pPr>
            <w:r w:rsidRPr="001C06E6">
              <w:t>Department of Veterans' Affairs</w:t>
            </w:r>
          </w:p>
        </w:tc>
        <w:tc>
          <w:tcPr>
            <w:tcW w:w="1045" w:type="dxa"/>
            <w:tcBorders>
              <w:top w:val="single" w:sz="4" w:space="0" w:color="293F5B"/>
              <w:bottom w:val="single" w:sz="4" w:space="0" w:color="293F5B"/>
            </w:tcBorders>
            <w:shd w:val="clear" w:color="auto" w:fill="auto"/>
          </w:tcPr>
          <w:p w14:paraId="1F4C534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E2279D1" w14:textId="77777777" w:rsidR="0012790E" w:rsidRPr="001C06E6" w:rsidRDefault="0012790E">
            <w:pPr>
              <w:pStyle w:val="MeasureTableDataRightAlignedwith2ptsspacing"/>
              <w:keepNext/>
            </w:pPr>
            <w:r w:rsidRPr="001C06E6">
              <w:t>94.0</w:t>
            </w:r>
          </w:p>
        </w:tc>
        <w:tc>
          <w:tcPr>
            <w:tcW w:w="1045" w:type="dxa"/>
            <w:tcBorders>
              <w:top w:val="single" w:sz="4" w:space="0" w:color="293F5B"/>
              <w:bottom w:val="single" w:sz="4" w:space="0" w:color="293F5B"/>
            </w:tcBorders>
            <w:shd w:val="clear" w:color="auto" w:fill="auto"/>
          </w:tcPr>
          <w:p w14:paraId="1BA83047" w14:textId="77777777" w:rsidR="0012790E" w:rsidRPr="001C06E6" w:rsidRDefault="0012790E">
            <w:pPr>
              <w:pStyle w:val="MeasureTableDataRightAlignedwith2ptsspacing"/>
              <w:keepNext/>
            </w:pPr>
            <w:r w:rsidRPr="001C06E6">
              <w:t>59.9</w:t>
            </w:r>
          </w:p>
        </w:tc>
        <w:tc>
          <w:tcPr>
            <w:tcW w:w="1045" w:type="dxa"/>
            <w:tcBorders>
              <w:top w:val="single" w:sz="4" w:space="0" w:color="293F5B"/>
              <w:bottom w:val="single" w:sz="4" w:space="0" w:color="293F5B"/>
            </w:tcBorders>
            <w:shd w:val="clear" w:color="auto" w:fill="auto"/>
          </w:tcPr>
          <w:p w14:paraId="1E50D61B" w14:textId="77777777" w:rsidR="0012790E" w:rsidRPr="001C06E6" w:rsidRDefault="0012790E">
            <w:pPr>
              <w:pStyle w:val="MeasureTableDataRightAlignedwith2ptsspacing"/>
              <w:keepNext/>
            </w:pPr>
            <w:r w:rsidRPr="001C06E6">
              <w:t>20.1</w:t>
            </w:r>
          </w:p>
        </w:tc>
        <w:tc>
          <w:tcPr>
            <w:tcW w:w="1045" w:type="dxa"/>
            <w:tcBorders>
              <w:top w:val="single" w:sz="4" w:space="0" w:color="293F5B"/>
              <w:bottom w:val="single" w:sz="4" w:space="0" w:color="293F5B"/>
            </w:tcBorders>
            <w:shd w:val="clear" w:color="auto" w:fill="auto"/>
          </w:tcPr>
          <w:p w14:paraId="1E329A22" w14:textId="77777777" w:rsidR="0012790E" w:rsidRPr="001C06E6" w:rsidRDefault="0012790E">
            <w:pPr>
              <w:pStyle w:val="MeasureTableDataRightAlignedwith2ptsspacing"/>
              <w:keepNext/>
            </w:pPr>
            <w:r w:rsidRPr="001C06E6">
              <w:t>20.3</w:t>
            </w:r>
          </w:p>
        </w:tc>
      </w:tr>
    </w:tbl>
    <w:p w14:paraId="10541019"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03FA5418" w14:textId="77777777" w:rsidR="0012790E" w:rsidRDefault="0012790E" w:rsidP="54937204">
      <w:pPr>
        <w:pStyle w:val="Normal2"/>
        <w:rPr>
          <w:rFonts w:cs="Book Antiqua"/>
          <w:lang w:val="en-US"/>
        </w:rPr>
      </w:pPr>
      <w:r w:rsidRPr="54937204">
        <w:rPr>
          <w:rFonts w:cs="Book Antiqua"/>
          <w:lang w:val="en-US"/>
        </w:rPr>
        <w:t>The Government will provide $194.4 million over four years from 2024–25 (and $20.6 million per year ongoing) to provide additional resourcing to meet increased service delivery pressures including claims processing, and modernise the digital capability of the Department of Veterans’ Affairs. Funding includes:</w:t>
      </w:r>
    </w:p>
    <w:p w14:paraId="3578DB5C" w14:textId="77777777" w:rsidR="0012790E" w:rsidRDefault="0012790E">
      <w:pPr>
        <w:pStyle w:val="Bullet"/>
      </w:pPr>
      <w:r w:rsidRPr="001C06E6">
        <w:t>$186.0</w:t>
      </w:r>
      <w:r>
        <w:t> </w:t>
      </w:r>
      <w:r w:rsidRPr="001C06E6">
        <w:t xml:space="preserve">million over four years from </w:t>
      </w:r>
      <w:r>
        <w:t>2024–25</w:t>
      </w:r>
      <w:r w:rsidRPr="001C06E6">
        <w:t xml:space="preserve"> (and $20.6</w:t>
      </w:r>
      <w:r>
        <w:t> </w:t>
      </w:r>
      <w:r w:rsidRPr="001C06E6">
        <w:t>million per year ongoing) to reduce the time taken to process claims, and respond to increased demand for downstream services, particularly the Veteran Access Network, Veteran Support Officers, complex case management, account processing, information access and mental health support</w:t>
      </w:r>
      <w:r>
        <w:t xml:space="preserve"> </w:t>
      </w:r>
    </w:p>
    <w:p w14:paraId="78842C90" w14:textId="7926324B" w:rsidR="0012790E" w:rsidRDefault="0012790E">
      <w:pPr>
        <w:pStyle w:val="Bullet"/>
      </w:pPr>
      <w:r w:rsidRPr="001C06E6">
        <w:t>$8.4</w:t>
      </w:r>
      <w:r>
        <w:t> </w:t>
      </w:r>
      <w:r w:rsidRPr="001C06E6">
        <w:t xml:space="preserve">million over two years from </w:t>
      </w:r>
      <w:r>
        <w:t>2024–25</w:t>
      </w:r>
      <w:r w:rsidRPr="001C06E6">
        <w:t xml:space="preserve"> to pilot an ICT solution to improve case management and workflow management capabilities in the Department of Veterans’</w:t>
      </w:r>
      <w:r w:rsidR="008F7E48">
        <w:t> </w:t>
      </w:r>
      <w:r w:rsidRPr="001C06E6">
        <w:t>Affairs.</w:t>
      </w:r>
      <w:r>
        <w:t xml:space="preserve"> </w:t>
      </w:r>
    </w:p>
    <w:p w14:paraId="01AE8FD8" w14:textId="77777777" w:rsidR="0012790E" w:rsidRPr="001C06E6" w:rsidRDefault="0012790E" w:rsidP="54937204">
      <w:pPr>
        <w:pStyle w:val="Normal2"/>
        <w:rPr>
          <w:rFonts w:cs="Book Antiqua"/>
          <w:lang w:val="en-US"/>
        </w:rPr>
      </w:pPr>
      <w:r w:rsidRPr="54937204">
        <w:rPr>
          <w:rFonts w:cs="Book Antiqua"/>
          <w:lang w:val="en-US"/>
        </w:rPr>
        <w:t xml:space="preserve">This measure builds on the 2023–24 Budget measure titled </w:t>
      </w:r>
      <w:r w:rsidRPr="54937204">
        <w:rPr>
          <w:rFonts w:cs="Book Antiqua"/>
          <w:i/>
          <w:iCs/>
          <w:lang w:val="en-US"/>
        </w:rPr>
        <w:t>Department of Veterans’ Affairs Claims Processing – additional funding</w:t>
      </w:r>
      <w:r w:rsidRPr="54937204">
        <w:rPr>
          <w:rFonts w:cs="Book Antiqua"/>
          <w:lang w:val="en-US"/>
        </w:rPr>
        <w:t xml:space="preserve"> and the 2023–24 MYEFO measure titled </w:t>
      </w:r>
      <w:r w:rsidRPr="54937204">
        <w:rPr>
          <w:rFonts w:cs="Book Antiqua"/>
          <w:i/>
          <w:iCs/>
          <w:lang w:val="en-US"/>
        </w:rPr>
        <w:t xml:space="preserve">Department of Veterans’ Affairs – additional resourcing. </w:t>
      </w:r>
    </w:p>
    <w:p w14:paraId="20D10AF1" w14:textId="77777777" w:rsidR="0012790E" w:rsidRPr="001C06E6" w:rsidRDefault="0012790E" w:rsidP="54937204">
      <w:pPr>
        <w:pStyle w:val="MeasureTitle"/>
        <w:rPr>
          <w:b w:val="0"/>
          <w:lang w:val="en-US"/>
        </w:rPr>
      </w:pPr>
      <w:r w:rsidRPr="54937204">
        <w:rPr>
          <w:lang w:val="en-US"/>
        </w:rPr>
        <w:t>Implementation of the Defence Trade Controls Amendment Act 2024</w:t>
      </w:r>
    </w:p>
    <w:p w14:paraId="0E9D7F3F"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AB74FDE" w14:textId="77777777">
        <w:tc>
          <w:tcPr>
            <w:tcW w:w="2497" w:type="dxa"/>
            <w:tcBorders>
              <w:top w:val="single" w:sz="4" w:space="0" w:color="293F5B"/>
              <w:bottom w:val="single" w:sz="4" w:space="0" w:color="293F5B"/>
            </w:tcBorders>
            <w:shd w:val="clear" w:color="auto" w:fill="auto"/>
          </w:tcPr>
          <w:p w14:paraId="4B274723"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3CE0ECD8"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BEB0039"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217457CF"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7597685"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E248963" w14:textId="77777777" w:rsidR="0012790E" w:rsidRPr="001C06E6" w:rsidRDefault="0012790E">
            <w:pPr>
              <w:pStyle w:val="MeasureTableYearHeadings"/>
              <w:keepNext/>
            </w:pPr>
            <w:r w:rsidRPr="001C06E6">
              <w:t>2027</w:t>
            </w:r>
            <w:r>
              <w:noBreakHyphen/>
            </w:r>
            <w:r w:rsidRPr="001C06E6">
              <w:t>28</w:t>
            </w:r>
          </w:p>
        </w:tc>
      </w:tr>
      <w:tr w:rsidR="0012790E" w:rsidRPr="001C06E6" w14:paraId="4FD85137" w14:textId="77777777">
        <w:tc>
          <w:tcPr>
            <w:tcW w:w="2497" w:type="dxa"/>
            <w:tcBorders>
              <w:top w:val="single" w:sz="4" w:space="0" w:color="293F5B"/>
              <w:bottom w:val="single" w:sz="4" w:space="0" w:color="293F5B"/>
            </w:tcBorders>
            <w:shd w:val="clear" w:color="auto" w:fill="auto"/>
          </w:tcPr>
          <w:p w14:paraId="557FB444" w14:textId="77777777" w:rsidR="0012790E" w:rsidRPr="001C06E6" w:rsidRDefault="0012790E">
            <w:pPr>
              <w:pStyle w:val="MeasureTableHeadingleftalignedwith2ptsspacing"/>
              <w:keepNext/>
            </w:pPr>
            <w:r w:rsidRPr="001C06E6">
              <w:t>Department of Defence</w:t>
            </w:r>
          </w:p>
        </w:tc>
        <w:tc>
          <w:tcPr>
            <w:tcW w:w="1045" w:type="dxa"/>
            <w:tcBorders>
              <w:top w:val="single" w:sz="4" w:space="0" w:color="293F5B"/>
              <w:bottom w:val="single" w:sz="4" w:space="0" w:color="293F5B"/>
            </w:tcBorders>
            <w:shd w:val="clear" w:color="auto" w:fill="auto"/>
          </w:tcPr>
          <w:p w14:paraId="1F336C8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2D6FFA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D1ACBF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80F86D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6B4C437" w14:textId="77777777" w:rsidR="0012790E" w:rsidRPr="001C06E6" w:rsidRDefault="0012790E">
            <w:pPr>
              <w:pStyle w:val="MeasureTableDataRightAlignedwith2ptsspacing"/>
              <w:keepNext/>
            </w:pPr>
            <w:r w:rsidRPr="001C06E6">
              <w:t>-</w:t>
            </w:r>
          </w:p>
        </w:tc>
      </w:tr>
    </w:tbl>
    <w:p w14:paraId="38B07FA6"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661DE6E2" w14:textId="77777777" w:rsidR="0012790E" w:rsidRDefault="0012790E" w:rsidP="54937204">
      <w:pPr>
        <w:pStyle w:val="Normal2"/>
        <w:rPr>
          <w:rFonts w:cs="Book Antiqua"/>
          <w:lang w:val="en-US"/>
        </w:rPr>
      </w:pPr>
      <w:r w:rsidRPr="54937204">
        <w:rPr>
          <w:rFonts w:cs="Book Antiqua"/>
          <w:lang w:val="en-US"/>
        </w:rPr>
        <w:t xml:space="preserve">The Government will provide $28.0 million over four years from 2024–25 (and $1.2 million per year ongoing) to support the implementation of the </w:t>
      </w:r>
      <w:r w:rsidRPr="54937204">
        <w:rPr>
          <w:rFonts w:cs="Book Antiqua"/>
          <w:i/>
          <w:iCs/>
          <w:lang w:val="en-US"/>
        </w:rPr>
        <w:t>Defence Trade Controls Amendment Act 2024</w:t>
      </w:r>
      <w:r w:rsidRPr="54937204">
        <w:rPr>
          <w:rFonts w:cs="Book Antiqua"/>
          <w:lang w:val="en-US"/>
        </w:rPr>
        <w:t xml:space="preserve">, including through upgrades to Defence’s export permit ICT system and education and engagement activities for Australian industry and academia to support compliance with new requirements. </w:t>
      </w:r>
    </w:p>
    <w:p w14:paraId="242F554E" w14:textId="77777777" w:rsidR="0012790E" w:rsidRDefault="0012790E" w:rsidP="54937204">
      <w:pPr>
        <w:pStyle w:val="Normal2"/>
        <w:rPr>
          <w:rFonts w:cs="Book Antiqua"/>
          <w:lang w:val="en-US"/>
        </w:rPr>
      </w:pPr>
      <w:r w:rsidRPr="54937204">
        <w:rPr>
          <w:rFonts w:cs="Book Antiqua"/>
          <w:lang w:val="en-US"/>
        </w:rPr>
        <w:t xml:space="preserve">The </w:t>
      </w:r>
      <w:r w:rsidRPr="54937204">
        <w:rPr>
          <w:rFonts w:cs="Book Antiqua"/>
          <w:i/>
          <w:iCs/>
          <w:lang w:val="en-US"/>
        </w:rPr>
        <w:t xml:space="preserve">Defence Trade Controls Amendment Act 2024 </w:t>
      </w:r>
      <w:r w:rsidRPr="54937204">
        <w:rPr>
          <w:rFonts w:cs="Book Antiqua"/>
          <w:lang w:val="en-US"/>
        </w:rPr>
        <w:t xml:space="preserve">strengthens the Defence export control regime to protect Australia’s military technologies, streamline defence trade and collaboration with AUKUS partners, and accelerate the delivery of Defence capabilities.   </w:t>
      </w:r>
    </w:p>
    <w:p w14:paraId="46E845B6" w14:textId="77777777" w:rsidR="0012790E" w:rsidRDefault="0012790E" w:rsidP="54937204">
      <w:pPr>
        <w:pStyle w:val="Normal2"/>
        <w:rPr>
          <w:rFonts w:cs="Book Antiqua"/>
          <w:lang w:val="en-US"/>
        </w:rPr>
      </w:pPr>
      <w:r w:rsidRPr="54937204">
        <w:rPr>
          <w:rFonts w:cs="Book Antiqua"/>
          <w:lang w:val="en-US"/>
        </w:rPr>
        <w:t xml:space="preserve">The cost of this measure will be met from within the existing resourcing of the Department of Defence. </w:t>
      </w:r>
    </w:p>
    <w:p w14:paraId="57C72FAE" w14:textId="081DE5FB" w:rsidR="0012790E" w:rsidRPr="001C06E6" w:rsidRDefault="00615408" w:rsidP="54937204">
      <w:pPr>
        <w:pStyle w:val="MeasureTitle"/>
        <w:rPr>
          <w:b w:val="0"/>
          <w:lang w:val="en-US"/>
        </w:rPr>
      </w:pPr>
      <w:r>
        <w:rPr>
          <w:lang w:val="en-US"/>
        </w:rPr>
        <w:lastRenderedPageBreak/>
        <w:t xml:space="preserve">2024 </w:t>
      </w:r>
      <w:r w:rsidR="0012790E" w:rsidRPr="54937204">
        <w:rPr>
          <w:lang w:val="en-US"/>
        </w:rPr>
        <w:t>National Defence Strategy</w:t>
      </w:r>
      <w:r>
        <w:rPr>
          <w:lang w:val="en-US"/>
        </w:rPr>
        <w:t xml:space="preserve"> and Integrated Investment Program</w:t>
      </w:r>
    </w:p>
    <w:p w14:paraId="0F7D1AE1"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45A103F1" w14:textId="77777777">
        <w:tc>
          <w:tcPr>
            <w:tcW w:w="2497" w:type="dxa"/>
            <w:tcBorders>
              <w:top w:val="single" w:sz="4" w:space="0" w:color="293F5B"/>
              <w:bottom w:val="single" w:sz="4" w:space="0" w:color="293F5B"/>
            </w:tcBorders>
            <w:shd w:val="clear" w:color="auto" w:fill="auto"/>
          </w:tcPr>
          <w:p w14:paraId="4D7CD618"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92E44F0"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0F178C73"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573C26A"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4F61D8C"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0D850D0" w14:textId="77777777" w:rsidR="0012790E" w:rsidRPr="001C06E6" w:rsidRDefault="0012790E">
            <w:pPr>
              <w:pStyle w:val="MeasureTableYearHeadings"/>
              <w:keepNext/>
            </w:pPr>
            <w:r w:rsidRPr="001C06E6">
              <w:t>2027</w:t>
            </w:r>
            <w:r>
              <w:noBreakHyphen/>
            </w:r>
            <w:r w:rsidRPr="001C06E6">
              <w:t>28</w:t>
            </w:r>
          </w:p>
        </w:tc>
      </w:tr>
      <w:tr w:rsidR="0012790E" w:rsidRPr="001C06E6" w14:paraId="2A6FCD25" w14:textId="77777777">
        <w:tc>
          <w:tcPr>
            <w:tcW w:w="2497" w:type="dxa"/>
            <w:tcBorders>
              <w:top w:val="single" w:sz="4" w:space="0" w:color="293F5B"/>
              <w:bottom w:val="single" w:sz="4" w:space="0" w:color="293F5B"/>
            </w:tcBorders>
            <w:shd w:val="clear" w:color="auto" w:fill="auto"/>
          </w:tcPr>
          <w:p w14:paraId="4D212039" w14:textId="77777777" w:rsidR="0012790E" w:rsidRPr="001C06E6" w:rsidRDefault="0012790E">
            <w:pPr>
              <w:pStyle w:val="MeasureTableHeadingleftalignedwith2ptsspacing"/>
              <w:keepNext/>
            </w:pPr>
            <w:r w:rsidRPr="001C06E6">
              <w:t>Department of Defence</w:t>
            </w:r>
          </w:p>
        </w:tc>
        <w:tc>
          <w:tcPr>
            <w:tcW w:w="1045" w:type="dxa"/>
            <w:tcBorders>
              <w:top w:val="single" w:sz="4" w:space="0" w:color="293F5B"/>
              <w:bottom w:val="single" w:sz="4" w:space="0" w:color="293F5B"/>
            </w:tcBorders>
            <w:shd w:val="clear" w:color="auto" w:fill="auto"/>
          </w:tcPr>
          <w:p w14:paraId="0ADE053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27B1F5F" w14:textId="77777777" w:rsidR="0012790E" w:rsidRPr="001C06E6" w:rsidRDefault="0012790E">
            <w:pPr>
              <w:pStyle w:val="MeasureTableDataRightAlignedwith2ptsspacing"/>
              <w:keepNext/>
            </w:pPr>
            <w:r w:rsidRPr="001C06E6">
              <w:t>400.0</w:t>
            </w:r>
          </w:p>
        </w:tc>
        <w:tc>
          <w:tcPr>
            <w:tcW w:w="1045" w:type="dxa"/>
            <w:tcBorders>
              <w:top w:val="single" w:sz="4" w:space="0" w:color="293F5B"/>
              <w:bottom w:val="single" w:sz="4" w:space="0" w:color="293F5B"/>
            </w:tcBorders>
            <w:shd w:val="clear" w:color="auto" w:fill="auto"/>
          </w:tcPr>
          <w:p w14:paraId="486F33D0" w14:textId="77777777" w:rsidR="0012790E" w:rsidRPr="001C06E6" w:rsidRDefault="0012790E">
            <w:pPr>
              <w:pStyle w:val="MeasureTableDataRightAlignedwith2ptsspacing"/>
              <w:keepNext/>
            </w:pPr>
            <w:r w:rsidRPr="001C06E6">
              <w:t>770.0</w:t>
            </w:r>
          </w:p>
        </w:tc>
        <w:tc>
          <w:tcPr>
            <w:tcW w:w="1045" w:type="dxa"/>
            <w:tcBorders>
              <w:top w:val="single" w:sz="4" w:space="0" w:color="293F5B"/>
              <w:bottom w:val="single" w:sz="4" w:space="0" w:color="293F5B"/>
            </w:tcBorders>
            <w:shd w:val="clear" w:color="auto" w:fill="auto"/>
          </w:tcPr>
          <w:p w14:paraId="6D238429" w14:textId="77777777" w:rsidR="0012790E" w:rsidRPr="001C06E6" w:rsidRDefault="0012790E">
            <w:pPr>
              <w:pStyle w:val="MeasureTableDataRightAlignedwith2ptsspacing"/>
              <w:keepNext/>
            </w:pPr>
            <w:r w:rsidRPr="001C06E6">
              <w:t>730.0</w:t>
            </w:r>
          </w:p>
        </w:tc>
        <w:tc>
          <w:tcPr>
            <w:tcW w:w="1045" w:type="dxa"/>
            <w:tcBorders>
              <w:top w:val="single" w:sz="4" w:space="0" w:color="293F5B"/>
              <w:bottom w:val="single" w:sz="4" w:space="0" w:color="293F5B"/>
            </w:tcBorders>
            <w:shd w:val="clear" w:color="auto" w:fill="auto"/>
          </w:tcPr>
          <w:p w14:paraId="06920253" w14:textId="77777777" w:rsidR="0012790E" w:rsidRPr="001C06E6" w:rsidRDefault="0012790E">
            <w:pPr>
              <w:pStyle w:val="MeasureTableDataRightAlignedwith2ptsspacing"/>
              <w:keepNext/>
            </w:pPr>
            <w:r w:rsidRPr="001C06E6">
              <w:t>3,800.0</w:t>
            </w:r>
          </w:p>
        </w:tc>
      </w:tr>
    </w:tbl>
    <w:p w14:paraId="1E1DD79D"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79E56D56" w14:textId="2F120447" w:rsidR="0012790E" w:rsidRDefault="0012790E" w:rsidP="54937204">
      <w:pPr>
        <w:pStyle w:val="Normal2"/>
        <w:rPr>
          <w:rFonts w:cs="Book Antiqua"/>
          <w:lang w:val="en-US"/>
        </w:rPr>
      </w:pPr>
      <w:r w:rsidRPr="54937204">
        <w:rPr>
          <w:rFonts w:cs="Book Antiqua"/>
          <w:lang w:val="en-US"/>
        </w:rPr>
        <w:t xml:space="preserve">The Government will provide an additional $50.3 billion over </w:t>
      </w:r>
      <w:r w:rsidR="00247381">
        <w:rPr>
          <w:rFonts w:cs="Book Antiqua"/>
          <w:lang w:val="en-US"/>
        </w:rPr>
        <w:t>ten</w:t>
      </w:r>
      <w:r w:rsidR="00247381" w:rsidRPr="54937204">
        <w:rPr>
          <w:rFonts w:cs="Book Antiqua"/>
          <w:lang w:val="en-US"/>
        </w:rPr>
        <w:t> </w:t>
      </w:r>
      <w:r w:rsidRPr="54937204">
        <w:rPr>
          <w:rFonts w:cs="Book Antiqua"/>
          <w:lang w:val="en-US"/>
        </w:rPr>
        <w:t>years from 2024–25 (and</w:t>
      </w:r>
      <w:r w:rsidR="008F7E48">
        <w:rPr>
          <w:rFonts w:cs="Book Antiqua"/>
          <w:lang w:val="en-US"/>
        </w:rPr>
        <w:t> </w:t>
      </w:r>
      <w:r w:rsidRPr="54937204">
        <w:rPr>
          <w:rFonts w:cs="Book Antiqua"/>
          <w:lang w:val="en-US"/>
        </w:rPr>
        <w:t xml:space="preserve">$7.7 billion per year ongoing) to deliver the </w:t>
      </w:r>
      <w:r w:rsidRPr="54937204">
        <w:rPr>
          <w:rFonts w:cs="Book Antiqua"/>
          <w:i/>
          <w:iCs/>
          <w:lang w:val="en-US"/>
        </w:rPr>
        <w:t>2024 National Defence Strategy</w:t>
      </w:r>
      <w:r w:rsidRPr="54937204">
        <w:rPr>
          <w:rFonts w:cs="Book Antiqua"/>
          <w:lang w:val="en-US"/>
        </w:rPr>
        <w:t xml:space="preserve"> and </w:t>
      </w:r>
      <w:r w:rsidRPr="54937204">
        <w:rPr>
          <w:rFonts w:cs="Book Antiqua"/>
          <w:i/>
          <w:iCs/>
          <w:lang w:val="en-US"/>
        </w:rPr>
        <w:t xml:space="preserve">Integrated Investment Program </w:t>
      </w:r>
      <w:r w:rsidRPr="54937204">
        <w:rPr>
          <w:rFonts w:cs="Book Antiqua"/>
          <w:lang w:val="en-US"/>
        </w:rPr>
        <w:t>and support a shift in Defence’s force posture, structure and capability priorities. Funding includes:</w:t>
      </w:r>
    </w:p>
    <w:p w14:paraId="71A06B22" w14:textId="77777777" w:rsidR="0012790E" w:rsidRDefault="0012790E">
      <w:pPr>
        <w:pStyle w:val="Bullet"/>
      </w:pPr>
      <w:r w:rsidRPr="001C06E6">
        <w:t xml:space="preserve">$1.0 billion over three years from </w:t>
      </w:r>
      <w:r>
        <w:t>2024–25</w:t>
      </w:r>
      <w:r w:rsidRPr="001C06E6">
        <w:t xml:space="preserve"> to accelerate priority investments in the targeting enterprise, long</w:t>
      </w:r>
      <w:r>
        <w:noBreakHyphen/>
      </w:r>
      <w:r w:rsidRPr="001C06E6">
        <w:t>range fires, theatre logistics, fuel resilience and robotic and autonomous systems</w:t>
      </w:r>
      <w:r>
        <w:t xml:space="preserve"> </w:t>
      </w:r>
    </w:p>
    <w:p w14:paraId="323AF0F6" w14:textId="5D488410" w:rsidR="0012790E" w:rsidRDefault="0012790E">
      <w:pPr>
        <w:pStyle w:val="Bullet"/>
        <w:rPr>
          <w:iCs/>
        </w:rPr>
      </w:pPr>
      <w:r w:rsidRPr="001C06E6">
        <w:t xml:space="preserve">$11.1 billion over </w:t>
      </w:r>
      <w:r w:rsidR="00247381">
        <w:t>ten</w:t>
      </w:r>
      <w:r>
        <w:t> </w:t>
      </w:r>
      <w:r w:rsidRPr="001C06E6">
        <w:t xml:space="preserve">years from </w:t>
      </w:r>
      <w:r>
        <w:t>2024–25</w:t>
      </w:r>
      <w:r w:rsidRPr="001C06E6">
        <w:t xml:space="preserve"> to deliver the Government’s response to the </w:t>
      </w:r>
      <w:r w:rsidRPr="001C06E6">
        <w:rPr>
          <w:i/>
          <w:iCs/>
        </w:rPr>
        <w:t>Independent Analysis of Navy’s Surface Combatant Fleet</w:t>
      </w:r>
      <w:r>
        <w:rPr>
          <w:iCs/>
        </w:rPr>
        <w:t xml:space="preserve"> </w:t>
      </w:r>
    </w:p>
    <w:p w14:paraId="1A3ADFB7" w14:textId="77777777" w:rsidR="0012790E" w:rsidRDefault="0012790E">
      <w:pPr>
        <w:pStyle w:val="Bullet"/>
      </w:pPr>
      <w:r w:rsidRPr="001C06E6">
        <w:t xml:space="preserve">$38.2 billion over seven years from </w:t>
      </w:r>
      <w:r>
        <w:t>2027–28</w:t>
      </w:r>
      <w:r w:rsidRPr="001C06E6">
        <w:t xml:space="preserve"> (and $7.7 billion per year ongoing) to support the next generation capabilities within the </w:t>
      </w:r>
      <w:r w:rsidRPr="001C06E6">
        <w:rPr>
          <w:i/>
          <w:iCs/>
        </w:rPr>
        <w:t>Integrated Investment Program</w:t>
      </w:r>
      <w:r w:rsidRPr="001C06E6">
        <w:t>.</w:t>
      </w:r>
      <w:r>
        <w:t xml:space="preserve"> </w:t>
      </w:r>
    </w:p>
    <w:p w14:paraId="5FA53ADB" w14:textId="49C594DE" w:rsidR="0012790E" w:rsidRDefault="0012790E" w:rsidP="54937204">
      <w:pPr>
        <w:pStyle w:val="Normal2"/>
        <w:rPr>
          <w:rFonts w:cs="Book Antiqua"/>
          <w:lang w:val="en-US"/>
        </w:rPr>
      </w:pPr>
      <w:r w:rsidRPr="54937204">
        <w:rPr>
          <w:rFonts w:cs="Book Antiqua"/>
          <w:lang w:val="en-US"/>
        </w:rPr>
        <w:t xml:space="preserve">The </w:t>
      </w:r>
      <w:r w:rsidRPr="54937204">
        <w:rPr>
          <w:rFonts w:cs="Book Antiqua"/>
          <w:i/>
          <w:iCs/>
          <w:lang w:val="en-US"/>
        </w:rPr>
        <w:t>2024 National Defence Strategy</w:t>
      </w:r>
      <w:r w:rsidRPr="54937204">
        <w:rPr>
          <w:rFonts w:cs="Book Antiqua"/>
          <w:lang w:val="en-US"/>
        </w:rPr>
        <w:t xml:space="preserve"> is a coordinated, whole</w:t>
      </w:r>
      <w:r>
        <w:rPr>
          <w:rFonts w:cs="Book Antiqua"/>
        </w:rPr>
        <w:noBreakHyphen/>
      </w:r>
      <w:r w:rsidRPr="54937204">
        <w:rPr>
          <w:rFonts w:cs="Book Antiqua"/>
          <w:lang w:val="en-US"/>
        </w:rPr>
        <w:t>of</w:t>
      </w:r>
      <w:r>
        <w:rPr>
          <w:rFonts w:cs="Book Antiqua"/>
        </w:rPr>
        <w:noBreakHyphen/>
      </w:r>
      <w:r w:rsidRPr="54937204">
        <w:rPr>
          <w:rFonts w:cs="Book Antiqua"/>
          <w:lang w:val="en-US"/>
        </w:rPr>
        <w:t>government and whole</w:t>
      </w:r>
      <w:r>
        <w:rPr>
          <w:rFonts w:cs="Book Antiqua"/>
        </w:rPr>
        <w:noBreakHyphen/>
      </w:r>
      <w:r w:rsidRPr="54937204">
        <w:rPr>
          <w:rFonts w:cs="Book Antiqua"/>
          <w:lang w:val="en-US"/>
        </w:rPr>
        <w:t>of</w:t>
      </w:r>
      <w:r>
        <w:rPr>
          <w:rFonts w:cs="Book Antiqua"/>
        </w:rPr>
        <w:noBreakHyphen/>
      </w:r>
      <w:r w:rsidRPr="54937204">
        <w:rPr>
          <w:rFonts w:cs="Book Antiqua"/>
          <w:lang w:val="en-US"/>
        </w:rPr>
        <w:t xml:space="preserve">nation approach to Australia’s defence. This approach is founded on the concept of </w:t>
      </w:r>
      <w:r w:rsidRPr="54937204">
        <w:rPr>
          <w:rFonts w:cs="Book Antiqua"/>
          <w:i/>
          <w:iCs/>
          <w:lang w:val="en-US"/>
        </w:rPr>
        <w:t xml:space="preserve">National Defence </w:t>
      </w:r>
      <w:r w:rsidRPr="54937204">
        <w:rPr>
          <w:rFonts w:cs="Book Antiqua"/>
          <w:lang w:val="en-US"/>
        </w:rPr>
        <w:t>and sees a Strategy of Denial become the cornerstone of Defence planning, spanning all domains – maritime, land, air, space and cyber. The strategy focuses</w:t>
      </w:r>
      <w:r w:rsidR="008F7E48">
        <w:rPr>
          <w:rFonts w:cs="Book Antiqua"/>
          <w:lang w:val="en-US"/>
        </w:rPr>
        <w:t> </w:t>
      </w:r>
      <w:r w:rsidRPr="54937204">
        <w:rPr>
          <w:rFonts w:cs="Book Antiqua"/>
          <w:lang w:val="en-US"/>
        </w:rPr>
        <w:t>on positioning Defence to defend Australia and our immediate region, deter an adversary’s</w:t>
      </w:r>
      <w:r w:rsidR="008F7E48">
        <w:rPr>
          <w:rFonts w:cs="Book Antiqua"/>
          <w:lang w:val="en-US"/>
        </w:rPr>
        <w:t> </w:t>
      </w:r>
      <w:r w:rsidRPr="54937204">
        <w:rPr>
          <w:rFonts w:cs="Book Antiqua"/>
          <w:lang w:val="en-US"/>
        </w:rPr>
        <w:t>attempt to project power against Australia protect our economic connection to</w:t>
      </w:r>
      <w:r w:rsidR="008F7E48">
        <w:rPr>
          <w:rFonts w:cs="Book Antiqua"/>
          <w:lang w:val="en-US"/>
        </w:rPr>
        <w:t> </w:t>
      </w:r>
      <w:r w:rsidRPr="54937204">
        <w:rPr>
          <w:rFonts w:cs="Book Antiqua"/>
          <w:lang w:val="en-US"/>
        </w:rPr>
        <w:t>the world and contribute to the collective security of the Indo</w:t>
      </w:r>
      <w:r>
        <w:rPr>
          <w:rFonts w:cs="Book Antiqua"/>
        </w:rPr>
        <w:noBreakHyphen/>
      </w:r>
      <w:r w:rsidRPr="54937204">
        <w:rPr>
          <w:rFonts w:cs="Book Antiqua"/>
          <w:lang w:val="en-US"/>
        </w:rPr>
        <w:t>Pacific and the global rules</w:t>
      </w:r>
      <w:r>
        <w:rPr>
          <w:rFonts w:cs="Book Antiqua"/>
        </w:rPr>
        <w:noBreakHyphen/>
      </w:r>
      <w:r w:rsidRPr="54937204">
        <w:rPr>
          <w:rFonts w:cs="Book Antiqua"/>
          <w:lang w:val="en-US"/>
        </w:rPr>
        <w:t>based</w:t>
      </w:r>
      <w:r w:rsidR="008F7E48">
        <w:rPr>
          <w:rFonts w:cs="Book Antiqua"/>
          <w:lang w:val="en-US"/>
        </w:rPr>
        <w:t> </w:t>
      </w:r>
      <w:r w:rsidRPr="54937204">
        <w:rPr>
          <w:rFonts w:cs="Book Antiqua"/>
          <w:lang w:val="en-US"/>
        </w:rPr>
        <w:t xml:space="preserve">system. </w:t>
      </w:r>
    </w:p>
    <w:p w14:paraId="60CFD96B" w14:textId="77777777" w:rsidR="0012790E" w:rsidRDefault="0012790E" w:rsidP="54937204">
      <w:pPr>
        <w:pStyle w:val="Normal2"/>
        <w:rPr>
          <w:rFonts w:cs="Book Antiqua"/>
          <w:lang w:val="en-US"/>
        </w:rPr>
      </w:pPr>
      <w:r w:rsidRPr="54937204">
        <w:rPr>
          <w:rFonts w:ascii="Times New Roman" w:hAnsi="Times New Roman"/>
          <w:lang w:val="en-US"/>
        </w:rPr>
        <w:t>​</w:t>
      </w:r>
      <w:r w:rsidRPr="54937204">
        <w:rPr>
          <w:rFonts w:cs="Book Antiqua"/>
          <w:lang w:val="en-US"/>
        </w:rPr>
        <w:t xml:space="preserve">The </w:t>
      </w:r>
      <w:r w:rsidRPr="54937204">
        <w:rPr>
          <w:rFonts w:cs="Book Antiqua"/>
          <w:i/>
          <w:iCs/>
          <w:lang w:val="en-US"/>
        </w:rPr>
        <w:t>2024 National Defence Strategy</w:t>
      </w:r>
      <w:r w:rsidRPr="54937204">
        <w:rPr>
          <w:rFonts w:cs="Book Antiqua"/>
          <w:lang w:val="en-US"/>
        </w:rPr>
        <w:t xml:space="preserve"> is supported by a reprioritised </w:t>
      </w:r>
      <w:r w:rsidRPr="54937204">
        <w:rPr>
          <w:rFonts w:cs="Book Antiqua"/>
          <w:i/>
          <w:iCs/>
          <w:lang w:val="en-US"/>
        </w:rPr>
        <w:t>Integrated Investment Program</w:t>
      </w:r>
      <w:r w:rsidRPr="54937204">
        <w:rPr>
          <w:rFonts w:cs="Book Antiqua"/>
          <w:lang w:val="en-US"/>
        </w:rPr>
        <w:t xml:space="preserve"> to develop a focused, integrated force and next generation capabilities. </w:t>
      </w:r>
    </w:p>
    <w:p w14:paraId="20D4D35C" w14:textId="77777777" w:rsidR="0012790E" w:rsidRPr="001C06E6" w:rsidRDefault="0012790E" w:rsidP="54937204">
      <w:pPr>
        <w:pStyle w:val="MeasureTitle"/>
        <w:rPr>
          <w:b w:val="0"/>
          <w:lang w:val="en-US"/>
        </w:rPr>
      </w:pPr>
      <w:r w:rsidRPr="54937204">
        <w:rPr>
          <w:lang w:val="en-US"/>
        </w:rPr>
        <w:t>Nuclear</w:t>
      </w:r>
      <w:r>
        <w:rPr>
          <w:bCs/>
        </w:rPr>
        <w:noBreakHyphen/>
      </w:r>
      <w:r w:rsidRPr="54937204">
        <w:rPr>
          <w:lang w:val="en-US"/>
        </w:rPr>
        <w:t>Powered Submarine Program – workforce and supply chain investments</w:t>
      </w:r>
    </w:p>
    <w:p w14:paraId="1FBD4312"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347832E" w14:textId="77777777">
        <w:tc>
          <w:tcPr>
            <w:tcW w:w="2497" w:type="dxa"/>
            <w:tcBorders>
              <w:top w:val="single" w:sz="4" w:space="0" w:color="293F5B"/>
              <w:bottom w:val="single" w:sz="4" w:space="0" w:color="293F5B"/>
            </w:tcBorders>
            <w:shd w:val="clear" w:color="auto" w:fill="auto"/>
          </w:tcPr>
          <w:p w14:paraId="3AC2CA6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DDC9CF9"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37EF371"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84E20F9"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853D217"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2AF89D4" w14:textId="77777777" w:rsidR="0012790E" w:rsidRPr="001C06E6" w:rsidRDefault="0012790E">
            <w:pPr>
              <w:pStyle w:val="MeasureTableYearHeadings"/>
              <w:keepNext/>
            </w:pPr>
            <w:r w:rsidRPr="001C06E6">
              <w:t>2027</w:t>
            </w:r>
            <w:r>
              <w:noBreakHyphen/>
            </w:r>
            <w:r w:rsidRPr="001C06E6">
              <w:t>28</w:t>
            </w:r>
          </w:p>
        </w:tc>
      </w:tr>
      <w:tr w:rsidR="0012790E" w:rsidRPr="001C06E6" w14:paraId="2CE2E3B7" w14:textId="77777777">
        <w:tc>
          <w:tcPr>
            <w:tcW w:w="2497" w:type="dxa"/>
            <w:tcBorders>
              <w:top w:val="single" w:sz="4" w:space="0" w:color="293F5B"/>
              <w:bottom w:val="single" w:sz="4" w:space="0" w:color="293F5B"/>
            </w:tcBorders>
            <w:shd w:val="clear" w:color="auto" w:fill="auto"/>
          </w:tcPr>
          <w:p w14:paraId="6980242C" w14:textId="77777777" w:rsidR="0012790E" w:rsidRPr="001C06E6" w:rsidRDefault="0012790E">
            <w:pPr>
              <w:pStyle w:val="MeasureTableHeadingleftalignedwith2ptsspacing"/>
              <w:keepNext/>
            </w:pPr>
            <w:r w:rsidRPr="001C06E6">
              <w:t>Australian Submarine Agency</w:t>
            </w:r>
          </w:p>
        </w:tc>
        <w:tc>
          <w:tcPr>
            <w:tcW w:w="1045" w:type="dxa"/>
            <w:tcBorders>
              <w:top w:val="single" w:sz="4" w:space="0" w:color="293F5B"/>
              <w:bottom w:val="single" w:sz="4" w:space="0" w:color="293F5B"/>
            </w:tcBorders>
            <w:shd w:val="clear" w:color="auto" w:fill="auto"/>
          </w:tcPr>
          <w:p w14:paraId="73F8891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0B152A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DBC121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30F55F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E611156" w14:textId="77777777" w:rsidR="0012790E" w:rsidRPr="001C06E6" w:rsidRDefault="0012790E">
            <w:pPr>
              <w:pStyle w:val="MeasureTableDataRightAlignedwith2ptsspacing"/>
              <w:keepNext/>
            </w:pPr>
            <w:r w:rsidRPr="001C06E6">
              <w:t>-</w:t>
            </w:r>
          </w:p>
        </w:tc>
      </w:tr>
      <w:tr w:rsidR="0012790E" w:rsidRPr="001C06E6" w14:paraId="0A1571AB" w14:textId="77777777">
        <w:tc>
          <w:tcPr>
            <w:tcW w:w="2497" w:type="dxa"/>
            <w:tcBorders>
              <w:top w:val="single" w:sz="4" w:space="0" w:color="293F5B"/>
              <w:bottom w:val="single" w:sz="4" w:space="0" w:color="293F5B"/>
            </w:tcBorders>
            <w:shd w:val="clear" w:color="auto" w:fill="auto"/>
          </w:tcPr>
          <w:p w14:paraId="1746A44C" w14:textId="77777777" w:rsidR="0012790E" w:rsidRPr="001C06E6" w:rsidRDefault="0012790E">
            <w:pPr>
              <w:pStyle w:val="MeasureTableHeadingleftalignedwith2ptsspacing"/>
              <w:keepNext/>
            </w:pPr>
            <w:r w:rsidRPr="001C06E6">
              <w:t>Department of Defence</w:t>
            </w:r>
          </w:p>
        </w:tc>
        <w:tc>
          <w:tcPr>
            <w:tcW w:w="1045" w:type="dxa"/>
            <w:tcBorders>
              <w:top w:val="single" w:sz="4" w:space="0" w:color="293F5B"/>
              <w:bottom w:val="single" w:sz="4" w:space="0" w:color="293F5B"/>
            </w:tcBorders>
            <w:shd w:val="clear" w:color="auto" w:fill="auto"/>
          </w:tcPr>
          <w:p w14:paraId="0C19AFA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07494C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37C5A7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4A7DF6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732272A" w14:textId="77777777" w:rsidR="0012790E" w:rsidRPr="001C06E6" w:rsidRDefault="0012790E">
            <w:pPr>
              <w:pStyle w:val="MeasureTableDataRightAlignedwith2ptsspacing"/>
              <w:keepNext/>
            </w:pPr>
            <w:r w:rsidRPr="001C06E6">
              <w:t>-</w:t>
            </w:r>
          </w:p>
        </w:tc>
      </w:tr>
      <w:tr w:rsidR="0012790E" w:rsidRPr="001C06E6" w14:paraId="30F9CB3F" w14:textId="77777777">
        <w:tc>
          <w:tcPr>
            <w:tcW w:w="2497" w:type="dxa"/>
            <w:tcBorders>
              <w:top w:val="single" w:sz="4" w:space="0" w:color="293F5B"/>
              <w:bottom w:val="single" w:sz="4" w:space="0" w:color="293F5B"/>
            </w:tcBorders>
            <w:shd w:val="clear" w:color="auto" w:fill="auto"/>
          </w:tcPr>
          <w:p w14:paraId="73B666D0"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37933485"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2552AF01"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70108749"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4522F820"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6995C029" w14:textId="77777777" w:rsidR="0012790E" w:rsidRPr="001C06E6" w:rsidRDefault="0012790E">
            <w:pPr>
              <w:pStyle w:val="Totaldatarowrightaligned"/>
              <w:keepNext/>
            </w:pPr>
            <w:r w:rsidRPr="001C06E6">
              <w:t>-</w:t>
            </w:r>
          </w:p>
        </w:tc>
      </w:tr>
    </w:tbl>
    <w:p w14:paraId="79F70E5E"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15EF2E3A" w14:textId="77777777" w:rsidR="0012790E" w:rsidRDefault="0012790E" w:rsidP="54937204">
      <w:pPr>
        <w:pStyle w:val="Normal2"/>
        <w:rPr>
          <w:rFonts w:cs="Book Antiqua"/>
          <w:lang w:val="en-US"/>
        </w:rPr>
      </w:pPr>
      <w:r w:rsidRPr="54937204">
        <w:rPr>
          <w:rFonts w:cs="Book Antiqua"/>
          <w:lang w:val="en-US"/>
        </w:rPr>
        <w:t>The Government will provide $101.8 million over seven years from 2024–25 to continue to build the Australian industrial workforce required to support the delivery of Australia’s conventionally</w:t>
      </w:r>
      <w:r>
        <w:rPr>
          <w:rFonts w:cs="Book Antiqua"/>
        </w:rPr>
        <w:noBreakHyphen/>
      </w:r>
      <w:r w:rsidRPr="54937204">
        <w:rPr>
          <w:rFonts w:cs="Book Antiqua"/>
          <w:lang w:val="en-US"/>
        </w:rPr>
        <w:t>armed, nuclear</w:t>
      </w:r>
      <w:r>
        <w:rPr>
          <w:rFonts w:cs="Book Antiqua"/>
        </w:rPr>
        <w:noBreakHyphen/>
      </w:r>
      <w:r w:rsidRPr="54937204">
        <w:rPr>
          <w:rFonts w:cs="Book Antiqua"/>
          <w:lang w:val="en-US"/>
        </w:rPr>
        <w:t>powered submarines. Funding includes:</w:t>
      </w:r>
    </w:p>
    <w:p w14:paraId="13CD2723" w14:textId="77777777" w:rsidR="0012790E" w:rsidRDefault="0012790E">
      <w:pPr>
        <w:pStyle w:val="Bullet"/>
      </w:pPr>
      <w:r w:rsidRPr="001C06E6">
        <w:lastRenderedPageBreak/>
        <w:t>$68.4</w:t>
      </w:r>
      <w:r>
        <w:t> </w:t>
      </w:r>
      <w:r w:rsidRPr="001C06E6">
        <w:t xml:space="preserve">million over seven years from </w:t>
      </w:r>
      <w:r>
        <w:t>2024–25</w:t>
      </w:r>
      <w:r w:rsidRPr="001C06E6">
        <w:t xml:space="preserve"> for initiatives delivered through the new Skills and Training Academy:</w:t>
      </w:r>
      <w:r>
        <w:t xml:space="preserve"> </w:t>
      </w:r>
    </w:p>
    <w:p w14:paraId="406328CE" w14:textId="77777777" w:rsidR="0012790E" w:rsidRDefault="0012790E">
      <w:pPr>
        <w:pStyle w:val="Dash"/>
      </w:pPr>
      <w:r w:rsidRPr="001C06E6">
        <w:t>$34.7</w:t>
      </w:r>
      <w:r>
        <w:t> </w:t>
      </w:r>
      <w:r w:rsidRPr="001C06E6">
        <w:t xml:space="preserve">million over six years from </w:t>
      </w:r>
      <w:r>
        <w:t>2024–25</w:t>
      </w:r>
      <w:r w:rsidRPr="001C06E6">
        <w:t xml:space="preserve"> for the Shipbuilding Employment Pathways initiative to deliver a pilot apprenticeship program in trades required to support the nuclear</w:t>
      </w:r>
      <w:r>
        <w:noBreakHyphen/>
      </w:r>
      <w:r w:rsidRPr="001C06E6">
        <w:t>powered submarine enterprise</w:t>
      </w:r>
      <w:r>
        <w:t xml:space="preserve"> </w:t>
      </w:r>
    </w:p>
    <w:p w14:paraId="37213E6E" w14:textId="77777777" w:rsidR="0012790E" w:rsidRDefault="0012790E">
      <w:pPr>
        <w:pStyle w:val="Dash"/>
      </w:pPr>
      <w:r w:rsidRPr="001C06E6">
        <w:t>$24.4</w:t>
      </w:r>
      <w:r>
        <w:t> </w:t>
      </w:r>
      <w:r w:rsidRPr="001C06E6">
        <w:t xml:space="preserve">million over seven years from </w:t>
      </w:r>
      <w:r>
        <w:t>2024–25</w:t>
      </w:r>
      <w:r w:rsidRPr="001C06E6">
        <w:t xml:space="preserve"> to deliver a training program on material testing</w:t>
      </w:r>
      <w:r>
        <w:t xml:space="preserve"> </w:t>
      </w:r>
    </w:p>
    <w:p w14:paraId="1164C267" w14:textId="77777777" w:rsidR="0012790E" w:rsidRDefault="0012790E">
      <w:pPr>
        <w:pStyle w:val="Dash"/>
      </w:pPr>
      <w:r w:rsidRPr="001C06E6">
        <w:t>$4.7</w:t>
      </w:r>
      <w:r>
        <w:t> </w:t>
      </w:r>
      <w:r w:rsidRPr="001C06E6">
        <w:t xml:space="preserve">million over four years from </w:t>
      </w:r>
      <w:r>
        <w:t>2024–25</w:t>
      </w:r>
      <w:r w:rsidRPr="001C06E6">
        <w:t xml:space="preserve"> for customised bridging and aptitude testing programs for welders, to support the transition of new and existing workers into the nuclear</w:t>
      </w:r>
      <w:r>
        <w:noBreakHyphen/>
      </w:r>
      <w:r w:rsidRPr="001C06E6">
        <w:t>powered submarine enterprise</w:t>
      </w:r>
      <w:r>
        <w:t xml:space="preserve"> </w:t>
      </w:r>
    </w:p>
    <w:p w14:paraId="6182A4FC" w14:textId="77777777" w:rsidR="0012790E" w:rsidRDefault="0012790E">
      <w:pPr>
        <w:pStyle w:val="Dash"/>
      </w:pPr>
      <w:r w:rsidRPr="001C06E6">
        <w:t>$3.9</w:t>
      </w:r>
      <w:r>
        <w:t> </w:t>
      </w:r>
      <w:r w:rsidRPr="001C06E6">
        <w:t xml:space="preserve">million over four years from </w:t>
      </w:r>
      <w:r>
        <w:t>2024–25</w:t>
      </w:r>
      <w:r w:rsidRPr="001C06E6">
        <w:t xml:space="preserve"> to train TAFE teachers to deliver courses relevant to key professions within the nuclear</w:t>
      </w:r>
      <w:r>
        <w:noBreakHyphen/>
      </w:r>
      <w:r w:rsidRPr="001C06E6">
        <w:t>powered submarine enterprise</w:t>
      </w:r>
      <w:r>
        <w:t xml:space="preserve"> </w:t>
      </w:r>
    </w:p>
    <w:p w14:paraId="6C0040E5" w14:textId="77777777" w:rsidR="0012790E" w:rsidRDefault="0012790E">
      <w:pPr>
        <w:pStyle w:val="Dash"/>
      </w:pPr>
      <w:r w:rsidRPr="001C06E6">
        <w:t>$0.7</w:t>
      </w:r>
      <w:r>
        <w:t> </w:t>
      </w:r>
      <w:r w:rsidRPr="001C06E6">
        <w:t xml:space="preserve">million over four years from </w:t>
      </w:r>
      <w:r>
        <w:t>2024–25</w:t>
      </w:r>
      <w:r w:rsidRPr="001C06E6">
        <w:t xml:space="preserve"> to co</w:t>
      </w:r>
      <w:r>
        <w:noBreakHyphen/>
      </w:r>
      <w:r w:rsidRPr="001C06E6">
        <w:t>design training programs with industry relevant to the nuclear</w:t>
      </w:r>
      <w:r>
        <w:noBreakHyphen/>
      </w:r>
      <w:r w:rsidRPr="001C06E6">
        <w:t>powered submarine enterprise.</w:t>
      </w:r>
      <w:r>
        <w:t xml:space="preserve"> </w:t>
      </w:r>
    </w:p>
    <w:p w14:paraId="60C679DD" w14:textId="77777777" w:rsidR="0012790E" w:rsidRDefault="0012790E">
      <w:pPr>
        <w:pStyle w:val="Bullet"/>
      </w:pPr>
      <w:r w:rsidRPr="001C06E6">
        <w:t>$33.5</w:t>
      </w:r>
      <w:r>
        <w:t> </w:t>
      </w:r>
      <w:r w:rsidRPr="001C06E6">
        <w:t xml:space="preserve">million over six years from </w:t>
      </w:r>
      <w:r>
        <w:t>2024–25</w:t>
      </w:r>
      <w:r w:rsidRPr="001C06E6">
        <w:t xml:space="preserve"> for initiatives to enhance domestic industry and workforce capacity:</w:t>
      </w:r>
      <w:r>
        <w:t xml:space="preserve"> </w:t>
      </w:r>
    </w:p>
    <w:p w14:paraId="393E0A0C" w14:textId="77777777" w:rsidR="0012790E" w:rsidRDefault="0012790E">
      <w:pPr>
        <w:pStyle w:val="Dash"/>
      </w:pPr>
      <w:r w:rsidRPr="001C06E6">
        <w:t>$17.2</w:t>
      </w:r>
      <w:r>
        <w:t> </w:t>
      </w:r>
      <w:r w:rsidRPr="001C06E6">
        <w:t xml:space="preserve">million in </w:t>
      </w:r>
      <w:r>
        <w:t>2024–25</w:t>
      </w:r>
      <w:r w:rsidRPr="001C06E6">
        <w:t xml:space="preserve"> to expand Australian industry participation in the nuclear</w:t>
      </w:r>
      <w:r>
        <w:noBreakHyphen/>
      </w:r>
      <w:r w:rsidRPr="001C06E6">
        <w:t>powered submarine supply chain</w:t>
      </w:r>
      <w:r>
        <w:t xml:space="preserve"> </w:t>
      </w:r>
    </w:p>
    <w:p w14:paraId="1C144461" w14:textId="77777777" w:rsidR="0012790E" w:rsidRDefault="0012790E">
      <w:pPr>
        <w:pStyle w:val="Dash"/>
      </w:pPr>
      <w:r w:rsidRPr="001C06E6">
        <w:t>$16.3</w:t>
      </w:r>
      <w:r>
        <w:t> </w:t>
      </w:r>
      <w:r w:rsidRPr="001C06E6">
        <w:t xml:space="preserve">million over six years from </w:t>
      </w:r>
      <w:r>
        <w:t>2024–25</w:t>
      </w:r>
      <w:r w:rsidRPr="001C06E6">
        <w:t xml:space="preserve"> for 3,000 scholarships for students studying undergraduate STEM courses relevant to the nuclear</w:t>
      </w:r>
      <w:r>
        <w:noBreakHyphen/>
      </w:r>
      <w:r w:rsidRPr="001C06E6">
        <w:t>powered submarine enterprise.</w:t>
      </w:r>
      <w:r>
        <w:t xml:space="preserve"> </w:t>
      </w:r>
    </w:p>
    <w:p w14:paraId="509004CB" w14:textId="77777777" w:rsidR="0012790E" w:rsidRDefault="0012790E" w:rsidP="54937204">
      <w:pPr>
        <w:pStyle w:val="Normal2"/>
        <w:rPr>
          <w:rFonts w:cs="Book Antiqua"/>
          <w:lang w:val="en-US"/>
        </w:rPr>
      </w:pPr>
      <w:r w:rsidRPr="54937204">
        <w:rPr>
          <w:rFonts w:cs="Book Antiqua"/>
          <w:lang w:val="en-US"/>
        </w:rPr>
        <w:t xml:space="preserve">The cost of this measure will be met from within the existing resourcing of the Department of Defence and the Australian Submarine Agency. </w:t>
      </w:r>
    </w:p>
    <w:p w14:paraId="4014CB7E" w14:textId="77777777" w:rsidR="0012790E" w:rsidRDefault="0012790E" w:rsidP="54937204">
      <w:pPr>
        <w:pStyle w:val="Normal2"/>
        <w:rPr>
          <w:rFonts w:cs="Book Antiqua"/>
          <w:lang w:val="en-US"/>
        </w:rPr>
      </w:pPr>
      <w:r w:rsidRPr="54937204">
        <w:rPr>
          <w:rFonts w:cs="Book Antiqua"/>
          <w:lang w:val="en-US"/>
        </w:rPr>
        <w:t xml:space="preserve">This measure builds on the 2023–24 Budget measure titled </w:t>
      </w:r>
      <w:r w:rsidRPr="54937204">
        <w:rPr>
          <w:rFonts w:cs="Book Antiqua"/>
          <w:i/>
          <w:iCs/>
          <w:lang w:val="en-US"/>
        </w:rPr>
        <w:t>Nuclear</w:t>
      </w:r>
      <w:r>
        <w:rPr>
          <w:rFonts w:cs="Book Antiqua"/>
          <w:i/>
          <w:iCs/>
        </w:rPr>
        <w:noBreakHyphen/>
      </w:r>
      <w:r w:rsidRPr="54937204">
        <w:rPr>
          <w:rFonts w:cs="Book Antiqua"/>
          <w:i/>
          <w:iCs/>
          <w:lang w:val="en-US"/>
        </w:rPr>
        <w:t xml:space="preserve">Powered Submarine Program – initial implementation </w:t>
      </w:r>
      <w:r w:rsidRPr="54937204">
        <w:rPr>
          <w:rFonts w:cs="Book Antiqua"/>
          <w:lang w:val="en-US"/>
        </w:rPr>
        <w:t xml:space="preserve">and the 2023–24 MYEFO measure titled </w:t>
      </w:r>
      <w:r w:rsidRPr="54937204">
        <w:rPr>
          <w:rFonts w:cs="Book Antiqua"/>
          <w:i/>
          <w:iCs/>
          <w:lang w:val="en-US"/>
        </w:rPr>
        <w:t>Nuclear</w:t>
      </w:r>
      <w:r>
        <w:rPr>
          <w:rFonts w:cs="Book Antiqua"/>
          <w:i/>
          <w:iCs/>
        </w:rPr>
        <w:noBreakHyphen/>
      </w:r>
      <w:r w:rsidRPr="54937204">
        <w:rPr>
          <w:rFonts w:cs="Book Antiqua"/>
          <w:i/>
          <w:iCs/>
          <w:lang w:val="en-US"/>
        </w:rPr>
        <w:t>Powered Submarine Program – further implementation</w:t>
      </w:r>
      <w:r w:rsidRPr="54937204">
        <w:rPr>
          <w:rFonts w:cs="Book Antiqua"/>
          <w:lang w:val="en-US"/>
        </w:rPr>
        <w:t xml:space="preserve">. </w:t>
      </w:r>
    </w:p>
    <w:p w14:paraId="78CF8241" w14:textId="77777777" w:rsidR="0012790E" w:rsidRPr="001C06E6" w:rsidRDefault="0012790E">
      <w:pPr>
        <w:pStyle w:val="MeasureTitle"/>
        <w:rPr>
          <w:b w:val="0"/>
          <w:bCs/>
        </w:rPr>
      </w:pPr>
      <w:r w:rsidRPr="001C06E6">
        <w:rPr>
          <w:bCs/>
        </w:rPr>
        <w:lastRenderedPageBreak/>
        <w:t>Reform of Veterans' Compensation Legislation</w:t>
      </w:r>
    </w:p>
    <w:p w14:paraId="4BC4DD84"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093E88A" w14:textId="77777777">
        <w:tc>
          <w:tcPr>
            <w:tcW w:w="2497" w:type="dxa"/>
            <w:tcBorders>
              <w:top w:val="single" w:sz="4" w:space="0" w:color="293F5B"/>
              <w:bottom w:val="single" w:sz="4" w:space="0" w:color="293F5B"/>
            </w:tcBorders>
            <w:shd w:val="clear" w:color="auto" w:fill="auto"/>
          </w:tcPr>
          <w:p w14:paraId="5A72EBF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5D43D5A"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A426383"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FF06CD0"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58B2155"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58A9571" w14:textId="77777777" w:rsidR="0012790E" w:rsidRPr="001C06E6" w:rsidRDefault="0012790E">
            <w:pPr>
              <w:pStyle w:val="MeasureTableYearHeadings"/>
              <w:keepNext/>
            </w:pPr>
            <w:r w:rsidRPr="001C06E6">
              <w:t>2027</w:t>
            </w:r>
            <w:r>
              <w:noBreakHyphen/>
            </w:r>
            <w:r w:rsidRPr="001C06E6">
              <w:t>28</w:t>
            </w:r>
          </w:p>
        </w:tc>
      </w:tr>
      <w:tr w:rsidR="0012790E" w:rsidRPr="001C06E6" w14:paraId="560C5F0F" w14:textId="77777777">
        <w:tc>
          <w:tcPr>
            <w:tcW w:w="2497" w:type="dxa"/>
            <w:tcBorders>
              <w:top w:val="single" w:sz="4" w:space="0" w:color="293F5B"/>
              <w:bottom w:val="single" w:sz="4" w:space="0" w:color="293F5B"/>
            </w:tcBorders>
            <w:shd w:val="clear" w:color="auto" w:fill="auto"/>
          </w:tcPr>
          <w:p w14:paraId="12A942B5"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0270CEB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CB79F8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B6F8503"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04EB0D0" w14:textId="12ABF8B3" w:rsidR="0012790E" w:rsidRPr="001C06E6" w:rsidRDefault="00C22066">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5E1E49E" w14:textId="6A70AAF0" w:rsidR="0012790E" w:rsidRPr="001C06E6" w:rsidRDefault="00C22066">
            <w:pPr>
              <w:pStyle w:val="MeasureTableDataRightAlignedwith2ptsspacing"/>
              <w:keepNext/>
            </w:pPr>
            <w:r>
              <w:t>-</w:t>
            </w:r>
          </w:p>
        </w:tc>
      </w:tr>
      <w:tr w:rsidR="0012790E" w:rsidRPr="001C06E6" w14:paraId="10BAEF7E" w14:textId="77777777">
        <w:tc>
          <w:tcPr>
            <w:tcW w:w="2497" w:type="dxa"/>
            <w:tcBorders>
              <w:top w:val="single" w:sz="4" w:space="0" w:color="293F5B"/>
              <w:bottom w:val="single" w:sz="4" w:space="0" w:color="293F5B"/>
            </w:tcBorders>
            <w:shd w:val="clear" w:color="auto" w:fill="auto"/>
          </w:tcPr>
          <w:p w14:paraId="33A79E3D"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406E513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32DA62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94B3E5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6A28CB6" w14:textId="7F5AB710" w:rsidR="0012790E" w:rsidRPr="001C06E6" w:rsidRDefault="00C22066">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24FCC915" w14:textId="562DE702" w:rsidR="0012790E" w:rsidRPr="001C06E6" w:rsidRDefault="00C22066">
            <w:pPr>
              <w:pStyle w:val="MeasureTableDataRightAlignedwith2ptsspacing"/>
              <w:keepNext/>
            </w:pPr>
            <w:r>
              <w:t>-</w:t>
            </w:r>
          </w:p>
        </w:tc>
      </w:tr>
      <w:tr w:rsidR="0012790E" w:rsidRPr="001C06E6" w14:paraId="5124484C" w14:textId="77777777">
        <w:tc>
          <w:tcPr>
            <w:tcW w:w="2497" w:type="dxa"/>
            <w:tcBorders>
              <w:top w:val="single" w:sz="4" w:space="0" w:color="293F5B"/>
              <w:bottom w:val="single" w:sz="4" w:space="0" w:color="293F5B"/>
            </w:tcBorders>
            <w:shd w:val="clear" w:color="auto" w:fill="auto"/>
          </w:tcPr>
          <w:p w14:paraId="6E826579" w14:textId="77777777" w:rsidR="0012790E" w:rsidRPr="001C06E6" w:rsidRDefault="0012790E">
            <w:pPr>
              <w:pStyle w:val="MeasureTableHeadingleftalignedwith2ptsspacing"/>
              <w:keepNext/>
            </w:pPr>
            <w:r w:rsidRPr="001C06E6">
              <w:t>Department of Veterans' Affairs</w:t>
            </w:r>
          </w:p>
        </w:tc>
        <w:tc>
          <w:tcPr>
            <w:tcW w:w="1045" w:type="dxa"/>
            <w:tcBorders>
              <w:top w:val="single" w:sz="4" w:space="0" w:color="293F5B"/>
              <w:bottom w:val="single" w:sz="4" w:space="0" w:color="293F5B"/>
            </w:tcBorders>
            <w:shd w:val="clear" w:color="auto" w:fill="auto"/>
          </w:tcPr>
          <w:p w14:paraId="1B7BD5B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8C2593E" w14:textId="3A041DDB" w:rsidR="0012790E" w:rsidRPr="001C06E6" w:rsidRDefault="002E026E">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52E68D38" w14:textId="4AFA2423" w:rsidR="0012790E" w:rsidRPr="001C06E6" w:rsidRDefault="002E026E">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71C4742F" w14:textId="79493AC9" w:rsidR="0012790E" w:rsidRPr="001C06E6" w:rsidRDefault="00741687">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18AA1CEC" w14:textId="09613CB1" w:rsidR="0012790E" w:rsidRPr="001C06E6" w:rsidRDefault="00741687">
            <w:pPr>
              <w:pStyle w:val="MeasureTableDataRightAlignedwith2ptsspacing"/>
              <w:keepNext/>
            </w:pPr>
            <w:r>
              <w:t>-</w:t>
            </w:r>
          </w:p>
        </w:tc>
      </w:tr>
      <w:tr w:rsidR="0012790E" w:rsidRPr="001C06E6" w14:paraId="5D7DACD3" w14:textId="77777777">
        <w:tc>
          <w:tcPr>
            <w:tcW w:w="2497" w:type="dxa"/>
            <w:tcBorders>
              <w:top w:val="single" w:sz="4" w:space="0" w:color="293F5B"/>
              <w:bottom w:val="single" w:sz="4" w:space="0" w:color="293F5B"/>
            </w:tcBorders>
            <w:shd w:val="clear" w:color="auto" w:fill="auto"/>
          </w:tcPr>
          <w:p w14:paraId="77F67F25"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4678B217"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1F54FBBE"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1A4A6445"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2F5600B" w14:textId="7261F597" w:rsidR="0012790E" w:rsidRPr="001C06E6" w:rsidRDefault="00C22066">
            <w:pPr>
              <w:pStyle w:val="Totaldatarowrightaligned"/>
              <w:keepNext/>
            </w:pPr>
            <w:r>
              <w:t>-</w:t>
            </w:r>
          </w:p>
        </w:tc>
        <w:tc>
          <w:tcPr>
            <w:tcW w:w="1045" w:type="dxa"/>
            <w:tcBorders>
              <w:top w:val="single" w:sz="4" w:space="0" w:color="293F5B"/>
              <w:bottom w:val="single" w:sz="4" w:space="0" w:color="293F5B"/>
            </w:tcBorders>
            <w:shd w:val="clear" w:color="auto" w:fill="auto"/>
          </w:tcPr>
          <w:p w14:paraId="0A724996" w14:textId="331790E6" w:rsidR="0012790E" w:rsidRPr="001C06E6" w:rsidRDefault="00C22066">
            <w:pPr>
              <w:pStyle w:val="Totaldatarowrightaligned"/>
              <w:keepNext/>
            </w:pPr>
            <w:r>
              <w:t>-</w:t>
            </w:r>
          </w:p>
        </w:tc>
      </w:tr>
    </w:tbl>
    <w:p w14:paraId="395BF05F"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17213E90" w14:textId="77777777" w:rsidR="0012790E" w:rsidRDefault="0012790E">
      <w:pPr>
        <w:pStyle w:val="Normal2"/>
        <w:rPr>
          <w:rFonts w:cs="Book Antiqua"/>
        </w:rPr>
      </w:pPr>
      <w:r w:rsidRPr="001C06E6">
        <w:rPr>
          <w:rFonts w:cs="Book Antiqua"/>
        </w:rPr>
        <w:t>The Government will provide $222.0</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(and $83.4</w:t>
      </w:r>
      <w:r>
        <w:rPr>
          <w:rFonts w:cs="Book Antiqua"/>
        </w:rPr>
        <w:t> </w:t>
      </w:r>
      <w:r w:rsidRPr="001C06E6">
        <w:rPr>
          <w:rFonts w:cs="Book Antiqua"/>
        </w:rPr>
        <w:t>million per year ongoing) to reform the legislation framework for veterans’</w:t>
      </w:r>
      <w:r>
        <w:rPr>
          <w:rFonts w:cs="Book Antiqua"/>
        </w:rPr>
        <w:t xml:space="preserve"> </w:t>
      </w:r>
      <w:r w:rsidRPr="001C06E6">
        <w:rPr>
          <w:rFonts w:cs="Book Antiqua"/>
        </w:rPr>
        <w:t>compensation and rehabilitation by moving to a single ongoing Act from 1</w:t>
      </w:r>
      <w:r>
        <w:rPr>
          <w:rFonts w:cs="Book Antiqua"/>
        </w:rPr>
        <w:t> </w:t>
      </w:r>
      <w:r w:rsidRPr="001C06E6">
        <w:rPr>
          <w:rFonts w:cs="Book Antiqua"/>
        </w:rPr>
        <w:t>July</w:t>
      </w:r>
      <w:r>
        <w:rPr>
          <w:rFonts w:cs="Book Antiqua"/>
        </w:rPr>
        <w:t> </w:t>
      </w:r>
      <w:r w:rsidRPr="001C06E6">
        <w:rPr>
          <w:rFonts w:cs="Book Antiqua"/>
        </w:rPr>
        <w:t>2026.</w:t>
      </w:r>
      <w:r>
        <w:rPr>
          <w:rFonts w:cs="Book Antiqua"/>
        </w:rPr>
        <w:t xml:space="preserve"> </w:t>
      </w:r>
    </w:p>
    <w:p w14:paraId="7169C9D0" w14:textId="41FF41E3" w:rsidR="0012790E" w:rsidRDefault="0012790E" w:rsidP="54937204">
      <w:pPr>
        <w:pStyle w:val="Normal2"/>
        <w:rPr>
          <w:rFonts w:cs="Book Antiqua"/>
          <w:lang w:val="en-US"/>
        </w:rPr>
      </w:pPr>
      <w:r w:rsidRPr="54937204">
        <w:rPr>
          <w:rFonts w:cs="Book Antiqua"/>
          <w:lang w:val="en-US"/>
        </w:rPr>
        <w:t xml:space="preserve">The Government will simplify and harmonise veterans’ compensation and rehabilitation legislation with all new compensation claims assessed under an improved </w:t>
      </w:r>
      <w:r w:rsidRPr="54937204">
        <w:rPr>
          <w:rFonts w:cs="Book Antiqua"/>
          <w:i/>
          <w:iCs/>
          <w:lang w:val="en-US"/>
        </w:rPr>
        <w:t>Military Rehabilitation and Compensation Act 2004</w:t>
      </w:r>
      <w:r w:rsidRPr="54937204">
        <w:rPr>
          <w:rFonts w:cs="Book Antiqua"/>
          <w:lang w:val="en-US"/>
        </w:rPr>
        <w:t xml:space="preserve">. Under the single ongoing Act, eligible veterans and their families will receive more generous benefits, such as increased death compensation, travel for treatment, Gold Card eligibility and additional payments for eligible young persons. </w:t>
      </w:r>
    </w:p>
    <w:p w14:paraId="027036EA" w14:textId="77777777" w:rsidR="0012790E" w:rsidRDefault="0012790E">
      <w:pPr>
        <w:pStyle w:val="Normal2"/>
        <w:rPr>
          <w:rFonts w:cs="Book Antiqua"/>
        </w:rPr>
      </w:pPr>
      <w:r w:rsidRPr="001C06E6">
        <w:rPr>
          <w:rFonts w:cs="Book Antiqua"/>
        </w:rPr>
        <w:t>Other reforms in this measure include:</w:t>
      </w:r>
    </w:p>
    <w:p w14:paraId="25F75659" w14:textId="77777777" w:rsidR="0012790E" w:rsidRDefault="0012790E">
      <w:pPr>
        <w:pStyle w:val="Bullet"/>
      </w:pPr>
      <w:r w:rsidRPr="001C06E6">
        <w:t>standardising the review pathway for veterans seeking review of decisions related to compensation claims</w:t>
      </w:r>
      <w:r>
        <w:t xml:space="preserve"> </w:t>
      </w:r>
    </w:p>
    <w:p w14:paraId="1CB855AD" w14:textId="77777777" w:rsidR="0012790E" w:rsidRDefault="0012790E">
      <w:pPr>
        <w:pStyle w:val="Bullet"/>
      </w:pPr>
      <w:r w:rsidRPr="001C06E6">
        <w:t>introducing presumptive liability where the Repatriation Commission would be able to specify injuries and diseases that can be determined on a presumptive basis where they are known to have a common causal connection with Australian Defence Force service</w:t>
      </w:r>
      <w:r>
        <w:t xml:space="preserve"> </w:t>
      </w:r>
    </w:p>
    <w:p w14:paraId="66BB80F2" w14:textId="77777777" w:rsidR="0012790E" w:rsidRDefault="0012790E">
      <w:pPr>
        <w:pStyle w:val="Bullet"/>
      </w:pPr>
      <w:r w:rsidRPr="001C06E6">
        <w:t>merging the Military Rehabilitation and Compensation Commission into the Repatriation Commission to deliver administrative and decision</w:t>
      </w:r>
      <w:r>
        <w:noBreakHyphen/>
      </w:r>
      <w:r w:rsidRPr="001C06E6">
        <w:t>making efficiencies</w:t>
      </w:r>
      <w:r>
        <w:t xml:space="preserve"> </w:t>
      </w:r>
    </w:p>
    <w:p w14:paraId="424EBF79" w14:textId="77777777" w:rsidR="0012790E" w:rsidRDefault="0012790E">
      <w:pPr>
        <w:pStyle w:val="Bullet"/>
      </w:pPr>
      <w:r w:rsidRPr="001C06E6">
        <w:t>establishing the Ministerial Advisory Council for advice on matters impacting the veteran community</w:t>
      </w:r>
      <w:r>
        <w:t xml:space="preserve"> </w:t>
      </w:r>
    </w:p>
    <w:p w14:paraId="62144C96" w14:textId="77777777" w:rsidR="0012790E" w:rsidRDefault="0012790E">
      <w:pPr>
        <w:pStyle w:val="Bullet"/>
      </w:pPr>
      <w:r w:rsidRPr="001C06E6">
        <w:t>introducing the Additional Disablement Amount (for veterans with high levels of impairment due to service</w:t>
      </w:r>
      <w:r>
        <w:noBreakHyphen/>
      </w:r>
      <w:r w:rsidRPr="001C06E6">
        <w:t>related conditions when specified conditions are met)</w:t>
      </w:r>
      <w:r>
        <w:t xml:space="preserve"> </w:t>
      </w:r>
    </w:p>
    <w:p w14:paraId="3FCB0935" w14:textId="77777777" w:rsidR="0012790E" w:rsidRDefault="0012790E">
      <w:pPr>
        <w:pStyle w:val="Bullet"/>
      </w:pPr>
      <w:r w:rsidRPr="001C06E6">
        <w:t>simplifying the requirements for determining the date of effect for permanent impairment claims</w:t>
      </w:r>
      <w:r>
        <w:t xml:space="preserve"> </w:t>
      </w:r>
    </w:p>
    <w:p w14:paraId="6B2D139D" w14:textId="77777777" w:rsidR="0012790E" w:rsidRDefault="0012790E">
      <w:pPr>
        <w:pStyle w:val="Bullet"/>
      </w:pPr>
      <w:r w:rsidRPr="001C06E6">
        <w:t>amending the cessation date of the Disability Compensation Payment to the recipient’s date of death.</w:t>
      </w:r>
      <w:r>
        <w:t xml:space="preserve"> </w:t>
      </w:r>
    </w:p>
    <w:p w14:paraId="3B565450" w14:textId="77777777" w:rsidR="0012790E" w:rsidRDefault="0012790E">
      <w:pPr>
        <w:pStyle w:val="Normal2"/>
        <w:rPr>
          <w:rFonts w:cs="Book Antiqua"/>
        </w:rPr>
      </w:pPr>
      <w:r w:rsidRPr="001C06E6">
        <w:rPr>
          <w:rFonts w:cs="Book Antiqua"/>
        </w:rPr>
        <w:t>The Government has already provided funding for this measure.</w:t>
      </w:r>
      <w:r>
        <w:rPr>
          <w:rFonts w:cs="Book Antiqua"/>
        </w:rPr>
        <w:t xml:space="preserve"> </w:t>
      </w:r>
    </w:p>
    <w:p w14:paraId="79ED58A7" w14:textId="77777777" w:rsidR="0012790E" w:rsidRDefault="0012790E" w:rsidP="54937204">
      <w:pPr>
        <w:pStyle w:val="Normal2"/>
        <w:rPr>
          <w:rFonts w:cs="Book Antiqua"/>
          <w:lang w:val="en-US"/>
        </w:rPr>
      </w:pPr>
      <w:r w:rsidRPr="54937204">
        <w:rPr>
          <w:rFonts w:cs="Book Antiqua"/>
          <w:lang w:val="en-US"/>
        </w:rPr>
        <w:lastRenderedPageBreak/>
        <w:t xml:space="preserve">The cost of this measure will be partially met from within the existing resourcing of the Department of Veterans’ Affairs, and from savings identified in the Department of Veterans’ Affairs, the Department of Health and Aged Care and the Department of Social Services. </w:t>
      </w:r>
    </w:p>
    <w:p w14:paraId="216EE579" w14:textId="77777777" w:rsidR="0012790E" w:rsidRPr="001C06E6" w:rsidRDefault="0012790E">
      <w:pPr>
        <w:pStyle w:val="Normal2"/>
        <w:rPr>
          <w:rFonts w:cs="Book Antiqua"/>
          <w:iCs/>
        </w:rPr>
      </w:pPr>
      <w:r w:rsidRPr="001C06E6">
        <w:rPr>
          <w:rFonts w:cs="Book Antiqua"/>
        </w:rPr>
        <w:t xml:space="preserve">This measure builds on the </w:t>
      </w:r>
      <w:r>
        <w:rPr>
          <w:rFonts w:cs="Book Antiqua"/>
        </w:rPr>
        <w:t>2023–24 </w:t>
      </w:r>
      <w:r w:rsidRPr="001C06E6">
        <w:rPr>
          <w:rFonts w:cs="Book Antiqua"/>
        </w:rPr>
        <w:t xml:space="preserve">MYEFO measure titled </w:t>
      </w:r>
      <w:r w:rsidRPr="001C06E6">
        <w:rPr>
          <w:rFonts w:cs="Book Antiqua"/>
          <w:i/>
          <w:iCs/>
        </w:rPr>
        <w:t>Reform of Veterans’</w:t>
      </w:r>
      <w:r>
        <w:rPr>
          <w:rFonts w:cs="Book Antiqua"/>
          <w:i/>
          <w:iCs/>
        </w:rPr>
        <w:t xml:space="preserve"> </w:t>
      </w:r>
      <w:r w:rsidRPr="001C06E6">
        <w:rPr>
          <w:rFonts w:cs="Book Antiqua"/>
          <w:i/>
          <w:iCs/>
        </w:rPr>
        <w:t>Compensation Legislation – implementation.</w:t>
      </w:r>
      <w:r>
        <w:rPr>
          <w:rFonts w:cs="Book Antiqua"/>
          <w:i/>
          <w:iCs/>
        </w:rPr>
        <w:t xml:space="preserve"> </w:t>
      </w:r>
    </w:p>
    <w:p w14:paraId="36660E87" w14:textId="77777777" w:rsidR="0012790E" w:rsidRDefault="0012790E" w:rsidP="54937204">
      <w:pPr>
        <w:pStyle w:val="Normal2"/>
        <w:rPr>
          <w:rFonts w:cs="Book Antiqua"/>
          <w:lang w:val="en-US"/>
        </w:rPr>
      </w:pPr>
      <w:r w:rsidRPr="54937204">
        <w:rPr>
          <w:rFonts w:cs="Book Antiqua"/>
          <w:lang w:val="en-US"/>
        </w:rPr>
        <w:t xml:space="preserve">This measure supports the </w:t>
      </w:r>
      <w:r w:rsidRPr="54937204">
        <w:rPr>
          <w:rFonts w:cs="Book Antiqua"/>
          <w:i/>
          <w:iCs/>
          <w:lang w:val="en-US"/>
        </w:rPr>
        <w:t>Australian Government Response to the Interim Report of the Royal Commission into Defence and Veteran Suicide</w:t>
      </w:r>
      <w:r w:rsidRPr="54937204">
        <w:rPr>
          <w:rFonts w:cs="Book Antiqua"/>
          <w:lang w:val="en-US"/>
        </w:rPr>
        <w:t xml:space="preserve">. </w:t>
      </w:r>
    </w:p>
    <w:p w14:paraId="04481408" w14:textId="77777777" w:rsidR="0012790E" w:rsidRPr="001C06E6" w:rsidRDefault="0012790E">
      <w:pPr>
        <w:pStyle w:val="MeasureTitle"/>
        <w:rPr>
          <w:b w:val="0"/>
          <w:bCs/>
        </w:rPr>
      </w:pPr>
      <w:r w:rsidRPr="001C06E6">
        <w:rPr>
          <w:bCs/>
        </w:rPr>
        <w:t>Supporting Veteran Owned Business Grant Program</w:t>
      </w:r>
    </w:p>
    <w:p w14:paraId="5C353937"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C1C933E" w14:textId="77777777">
        <w:tc>
          <w:tcPr>
            <w:tcW w:w="2497" w:type="dxa"/>
            <w:tcBorders>
              <w:top w:val="single" w:sz="4" w:space="0" w:color="293F5B"/>
              <w:bottom w:val="single" w:sz="4" w:space="0" w:color="293F5B"/>
            </w:tcBorders>
            <w:shd w:val="clear" w:color="auto" w:fill="auto"/>
          </w:tcPr>
          <w:p w14:paraId="00E0E9AC"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F71142B"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01FA7AA"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96FF53C"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71FB56B"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67FB3AC" w14:textId="77777777" w:rsidR="0012790E" w:rsidRPr="001C06E6" w:rsidRDefault="0012790E">
            <w:pPr>
              <w:pStyle w:val="MeasureTableYearHeadings"/>
              <w:keepNext/>
            </w:pPr>
            <w:r w:rsidRPr="001C06E6">
              <w:t>2027</w:t>
            </w:r>
            <w:r>
              <w:noBreakHyphen/>
            </w:r>
            <w:r w:rsidRPr="001C06E6">
              <w:t>28</w:t>
            </w:r>
          </w:p>
        </w:tc>
      </w:tr>
      <w:tr w:rsidR="0012790E" w:rsidRPr="001C06E6" w14:paraId="00037CD4" w14:textId="77777777">
        <w:tc>
          <w:tcPr>
            <w:tcW w:w="2497" w:type="dxa"/>
            <w:tcBorders>
              <w:top w:val="single" w:sz="4" w:space="0" w:color="293F5B"/>
              <w:bottom w:val="single" w:sz="4" w:space="0" w:color="293F5B"/>
            </w:tcBorders>
            <w:shd w:val="clear" w:color="auto" w:fill="auto"/>
          </w:tcPr>
          <w:p w14:paraId="2F498F7C" w14:textId="77777777" w:rsidR="0012790E" w:rsidRPr="001C06E6" w:rsidRDefault="0012790E">
            <w:pPr>
              <w:pStyle w:val="MeasureTableHeadingleftalignedwith2ptsspacing"/>
              <w:keepNext/>
            </w:pPr>
            <w:r w:rsidRPr="001C06E6">
              <w:t>Department of Veterans' Affairs</w:t>
            </w:r>
          </w:p>
        </w:tc>
        <w:tc>
          <w:tcPr>
            <w:tcW w:w="1045" w:type="dxa"/>
            <w:tcBorders>
              <w:top w:val="single" w:sz="4" w:space="0" w:color="293F5B"/>
              <w:bottom w:val="single" w:sz="4" w:space="0" w:color="293F5B"/>
            </w:tcBorders>
            <w:shd w:val="clear" w:color="auto" w:fill="auto"/>
          </w:tcPr>
          <w:p w14:paraId="3412595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EFA61E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689D79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11FC5E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AF8A5F6" w14:textId="77777777" w:rsidR="0012790E" w:rsidRPr="001C06E6" w:rsidRDefault="0012790E">
            <w:pPr>
              <w:pStyle w:val="MeasureTableDataRightAlignedwith2ptsspacing"/>
              <w:keepNext/>
            </w:pPr>
            <w:r w:rsidRPr="001C06E6">
              <w:t>-</w:t>
            </w:r>
          </w:p>
        </w:tc>
      </w:tr>
    </w:tbl>
    <w:p w14:paraId="20D875CF"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2B2C40CC" w14:textId="77777777" w:rsidR="0012790E" w:rsidRDefault="0012790E">
      <w:pPr>
        <w:pStyle w:val="Normal2"/>
        <w:rPr>
          <w:rFonts w:cs="Book Antiqua"/>
        </w:rPr>
      </w:pPr>
      <w:r w:rsidRPr="001C06E6">
        <w:rPr>
          <w:rFonts w:cs="Book Antiqua"/>
        </w:rPr>
        <w:t>The Government will provide $0.4</w:t>
      </w:r>
      <w:r>
        <w:rPr>
          <w:rFonts w:cs="Book Antiqua"/>
        </w:rPr>
        <w:t> </w:t>
      </w:r>
      <w:r w:rsidRPr="001C06E6">
        <w:rPr>
          <w:rFonts w:cs="Book Antiqua"/>
        </w:rPr>
        <w:t xml:space="preserve">million over three years from </w:t>
      </w:r>
      <w:r>
        <w:rPr>
          <w:rFonts w:cs="Book Antiqua"/>
        </w:rPr>
        <w:t>2024–25</w:t>
      </w:r>
      <w:r w:rsidRPr="001C06E6">
        <w:rPr>
          <w:rFonts w:cs="Book Antiqua"/>
        </w:rPr>
        <w:t xml:space="preserve"> to extend the</w:t>
      </w:r>
      <w:r>
        <w:rPr>
          <w:rFonts w:cs="Book Antiqua"/>
        </w:rPr>
        <w:t xml:space="preserve"> </w:t>
      </w:r>
      <w:r w:rsidRPr="001C06E6">
        <w:rPr>
          <w:rFonts w:cs="Book Antiqua"/>
          <w:i/>
          <w:iCs/>
        </w:rPr>
        <w:t xml:space="preserve">Supporting Veteran Owned Business </w:t>
      </w:r>
      <w:r w:rsidRPr="001C06E6">
        <w:rPr>
          <w:rFonts w:cs="Book Antiqua"/>
        </w:rPr>
        <w:t>grant program through The King’s Trust</w:t>
      </w:r>
      <w:r>
        <w:rPr>
          <w:rFonts w:cs="Book Antiqua"/>
        </w:rPr>
        <w:t xml:space="preserve"> </w:t>
      </w:r>
      <w:r w:rsidRPr="001C06E6">
        <w:rPr>
          <w:rFonts w:cs="Book Antiqua"/>
        </w:rPr>
        <w:t>Australia (formerly Prince’s Trust Australia) Enterprise Program. The program</w:t>
      </w:r>
      <w:r>
        <w:rPr>
          <w:rFonts w:cs="Book Antiqua"/>
        </w:rPr>
        <w:t xml:space="preserve"> </w:t>
      </w:r>
      <w:r w:rsidRPr="001C06E6">
        <w:rPr>
          <w:rFonts w:cs="Book Antiqua"/>
        </w:rPr>
        <w:t>provides self</w:t>
      </w:r>
      <w:r w:rsidRPr="001C06E6">
        <w:rPr>
          <w:rFonts w:ascii="Times New Roman" w:hAnsi="Times New Roman"/>
        </w:rPr>
        <w:t>‑</w:t>
      </w:r>
      <w:r w:rsidRPr="001C06E6">
        <w:rPr>
          <w:rFonts w:cs="Book Antiqua"/>
        </w:rPr>
        <w:t>employment support to veterans and their families.</w:t>
      </w:r>
      <w:r>
        <w:rPr>
          <w:rFonts w:cs="Book Antiqua"/>
        </w:rPr>
        <w:t xml:space="preserve"> </w:t>
      </w:r>
    </w:p>
    <w:p w14:paraId="5BBE950E" w14:textId="77777777" w:rsidR="0012790E" w:rsidRDefault="0012790E" w:rsidP="54937204">
      <w:pPr>
        <w:pStyle w:val="Normal2"/>
        <w:rPr>
          <w:rFonts w:cs="Book Antiqua"/>
          <w:lang w:val="en-US"/>
        </w:rPr>
      </w:pPr>
      <w:r w:rsidRPr="54937204">
        <w:rPr>
          <w:rFonts w:cs="Book Antiqua"/>
          <w:lang w:val="en-US"/>
        </w:rPr>
        <w:t xml:space="preserve">The cost of this measure will be met from within the existing resourcing of the Department of Veterans’ Affairs.   </w:t>
      </w:r>
    </w:p>
    <w:p w14:paraId="39693275" w14:textId="77777777" w:rsidR="0012790E" w:rsidRDefault="0012790E">
      <w:pPr>
        <w:pStyle w:val="PortfolioName"/>
        <w:rPr>
          <w:bCs/>
          <w:szCs w:val="26"/>
        </w:rPr>
        <w:sectPr w:rsidR="0012790E" w:rsidSect="00EA5BFE">
          <w:pgSz w:w="11905" w:h="16837"/>
          <w:pgMar w:top="2835" w:right="2098" w:bottom="2466" w:left="2098" w:header="1814" w:footer="1814" w:gutter="0"/>
          <w:cols w:space="720"/>
          <w:noEndnote/>
          <w:docGrid w:linePitch="272"/>
        </w:sectPr>
      </w:pPr>
    </w:p>
    <w:p w14:paraId="13C1981C" w14:textId="77777777" w:rsidR="0012790E" w:rsidRPr="001C06E6" w:rsidRDefault="0012790E">
      <w:pPr>
        <w:pStyle w:val="PortfolioName"/>
      </w:pPr>
      <w:r w:rsidRPr="001C06E6">
        <w:rPr>
          <w:bCs/>
          <w:szCs w:val="26"/>
        </w:rPr>
        <w:lastRenderedPageBreak/>
        <w:t>Education</w:t>
      </w:r>
    </w:p>
    <w:p w14:paraId="04F52957" w14:textId="77777777" w:rsidR="0012790E" w:rsidRPr="001C06E6" w:rsidRDefault="0012790E">
      <w:pPr>
        <w:pStyle w:val="MeasureTitle"/>
        <w:rPr>
          <w:bCs/>
        </w:rPr>
      </w:pPr>
      <w:r w:rsidRPr="001C06E6">
        <w:rPr>
          <w:bCs/>
        </w:rPr>
        <w:t>Child Care Subsidy Reform</w:t>
      </w:r>
      <w:r>
        <w:rPr>
          <w:bCs/>
        </w:rPr>
        <w:t xml:space="preserve"> – </w:t>
      </w:r>
      <w:r w:rsidRPr="001C06E6">
        <w:rPr>
          <w:bCs/>
        </w:rPr>
        <w:t>further measures for strong and sustainable</w:t>
      </w:r>
      <w:r>
        <w:rPr>
          <w:bCs/>
        </w:rPr>
        <w:t xml:space="preserve"> </w:t>
      </w:r>
      <w:r w:rsidRPr="001C06E6">
        <w:rPr>
          <w:bCs/>
        </w:rPr>
        <w:t>foundations</w:t>
      </w:r>
    </w:p>
    <w:p w14:paraId="4C3FA6CD"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B155636" w14:textId="77777777">
        <w:tc>
          <w:tcPr>
            <w:tcW w:w="2497" w:type="dxa"/>
            <w:tcBorders>
              <w:top w:val="single" w:sz="4" w:space="0" w:color="293F5B"/>
              <w:bottom w:val="single" w:sz="4" w:space="0" w:color="293F5B"/>
            </w:tcBorders>
            <w:shd w:val="clear" w:color="auto" w:fill="auto"/>
          </w:tcPr>
          <w:p w14:paraId="40EEE927"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8735F7A"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D228AC8"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1331516"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FBCE5B3"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CC4F5C6" w14:textId="77777777" w:rsidR="0012790E" w:rsidRPr="001C06E6" w:rsidRDefault="0012790E">
            <w:pPr>
              <w:pStyle w:val="MeasureTableYearHeadings"/>
              <w:keepNext/>
            </w:pPr>
            <w:r w:rsidRPr="001C06E6">
              <w:t>2027</w:t>
            </w:r>
            <w:r>
              <w:noBreakHyphen/>
            </w:r>
            <w:r w:rsidRPr="001C06E6">
              <w:t>28</w:t>
            </w:r>
          </w:p>
        </w:tc>
      </w:tr>
      <w:tr w:rsidR="0012790E" w:rsidRPr="001C06E6" w14:paraId="1E8AAD94" w14:textId="77777777">
        <w:tc>
          <w:tcPr>
            <w:tcW w:w="2497" w:type="dxa"/>
            <w:tcBorders>
              <w:top w:val="single" w:sz="4" w:space="0" w:color="293F5B"/>
              <w:bottom w:val="single" w:sz="4" w:space="0" w:color="293F5B"/>
            </w:tcBorders>
            <w:shd w:val="clear" w:color="auto" w:fill="auto"/>
          </w:tcPr>
          <w:p w14:paraId="7C99590A"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21F9C58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61C81E0" w14:textId="77777777" w:rsidR="0012790E" w:rsidRPr="001C06E6" w:rsidRDefault="0012790E">
            <w:pPr>
              <w:pStyle w:val="MeasureTableDataRightAlignedwith2ptsspacing"/>
              <w:keepNext/>
            </w:pPr>
            <w:r w:rsidRPr="001C06E6">
              <w:t>5.6</w:t>
            </w:r>
          </w:p>
        </w:tc>
        <w:tc>
          <w:tcPr>
            <w:tcW w:w="1045" w:type="dxa"/>
            <w:tcBorders>
              <w:top w:val="single" w:sz="4" w:space="0" w:color="293F5B"/>
              <w:bottom w:val="single" w:sz="4" w:space="0" w:color="293F5B"/>
            </w:tcBorders>
            <w:shd w:val="clear" w:color="auto" w:fill="auto"/>
          </w:tcPr>
          <w:p w14:paraId="0EAF2513" w14:textId="77777777" w:rsidR="0012790E" w:rsidRPr="001C06E6" w:rsidRDefault="0012790E">
            <w:pPr>
              <w:pStyle w:val="MeasureTableDataRightAlignedwith2ptsspacing"/>
              <w:keepNext/>
            </w:pPr>
            <w:r w:rsidRPr="001C06E6">
              <w:t>1.5</w:t>
            </w:r>
          </w:p>
        </w:tc>
        <w:tc>
          <w:tcPr>
            <w:tcW w:w="1045" w:type="dxa"/>
            <w:tcBorders>
              <w:top w:val="single" w:sz="4" w:space="0" w:color="293F5B"/>
              <w:bottom w:val="single" w:sz="4" w:space="0" w:color="293F5B"/>
            </w:tcBorders>
            <w:shd w:val="clear" w:color="auto" w:fill="auto"/>
          </w:tcPr>
          <w:p w14:paraId="702E144E" w14:textId="77777777" w:rsidR="0012790E" w:rsidRPr="001C06E6" w:rsidRDefault="0012790E">
            <w:pPr>
              <w:pStyle w:val="MeasureTableDataRightAlignedwith2ptsspacing"/>
              <w:keepNext/>
            </w:pPr>
            <w:r w:rsidRPr="001C06E6">
              <w:t>1.2</w:t>
            </w:r>
          </w:p>
        </w:tc>
        <w:tc>
          <w:tcPr>
            <w:tcW w:w="1045" w:type="dxa"/>
            <w:tcBorders>
              <w:top w:val="single" w:sz="4" w:space="0" w:color="293F5B"/>
              <w:bottom w:val="single" w:sz="4" w:space="0" w:color="293F5B"/>
            </w:tcBorders>
            <w:shd w:val="clear" w:color="auto" w:fill="auto"/>
          </w:tcPr>
          <w:p w14:paraId="32CDDC56" w14:textId="77777777" w:rsidR="0012790E" w:rsidRPr="001C06E6" w:rsidRDefault="0012790E">
            <w:pPr>
              <w:pStyle w:val="MeasureTableDataRightAlignedwith2ptsspacing"/>
              <w:keepNext/>
            </w:pPr>
            <w:r w:rsidRPr="001C06E6">
              <w:t>1.2</w:t>
            </w:r>
          </w:p>
        </w:tc>
      </w:tr>
      <w:tr w:rsidR="0012790E" w:rsidRPr="001C06E6" w14:paraId="24AA0E84" w14:textId="77777777">
        <w:tc>
          <w:tcPr>
            <w:tcW w:w="2497" w:type="dxa"/>
            <w:tcBorders>
              <w:top w:val="single" w:sz="4" w:space="0" w:color="293F5B"/>
              <w:bottom w:val="single" w:sz="4" w:space="0" w:color="293F5B"/>
            </w:tcBorders>
            <w:shd w:val="clear" w:color="auto" w:fill="auto"/>
          </w:tcPr>
          <w:p w14:paraId="4931D48A"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17B3A0C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12CBD2D" w14:textId="77777777" w:rsidR="0012790E" w:rsidRPr="001C06E6" w:rsidRDefault="0012790E">
            <w:pPr>
              <w:pStyle w:val="MeasureTableDataRightAlignedwith2ptsspacing"/>
              <w:keepNext/>
            </w:pPr>
            <w:r w:rsidRPr="001C06E6">
              <w:t>2.3</w:t>
            </w:r>
          </w:p>
        </w:tc>
        <w:tc>
          <w:tcPr>
            <w:tcW w:w="1045" w:type="dxa"/>
            <w:tcBorders>
              <w:top w:val="single" w:sz="4" w:space="0" w:color="293F5B"/>
              <w:bottom w:val="single" w:sz="4" w:space="0" w:color="293F5B"/>
            </w:tcBorders>
            <w:shd w:val="clear" w:color="auto" w:fill="auto"/>
          </w:tcPr>
          <w:p w14:paraId="0C6245FC" w14:textId="77777777" w:rsidR="0012790E" w:rsidRPr="001C06E6" w:rsidRDefault="0012790E">
            <w:pPr>
              <w:pStyle w:val="MeasureTableDataRightAlignedwith2ptsspacing"/>
              <w:keepNext/>
            </w:pPr>
            <w:r w:rsidRPr="001C06E6">
              <w:t>1.9</w:t>
            </w:r>
          </w:p>
        </w:tc>
        <w:tc>
          <w:tcPr>
            <w:tcW w:w="1045" w:type="dxa"/>
            <w:tcBorders>
              <w:top w:val="single" w:sz="4" w:space="0" w:color="293F5B"/>
              <w:bottom w:val="single" w:sz="4" w:space="0" w:color="293F5B"/>
            </w:tcBorders>
            <w:shd w:val="clear" w:color="auto" w:fill="auto"/>
          </w:tcPr>
          <w:p w14:paraId="312397D5" w14:textId="77777777" w:rsidR="0012790E" w:rsidRPr="001C06E6" w:rsidRDefault="0012790E">
            <w:pPr>
              <w:pStyle w:val="MeasureTableDataRightAlignedwith2ptsspacing"/>
              <w:keepNext/>
            </w:pPr>
            <w:r w:rsidRPr="001C06E6">
              <w:t>0.3</w:t>
            </w:r>
          </w:p>
        </w:tc>
        <w:tc>
          <w:tcPr>
            <w:tcW w:w="1045" w:type="dxa"/>
            <w:tcBorders>
              <w:top w:val="single" w:sz="4" w:space="0" w:color="293F5B"/>
              <w:bottom w:val="single" w:sz="4" w:space="0" w:color="293F5B"/>
            </w:tcBorders>
            <w:shd w:val="clear" w:color="auto" w:fill="auto"/>
          </w:tcPr>
          <w:p w14:paraId="3D84A490" w14:textId="77777777" w:rsidR="0012790E" w:rsidRPr="001C06E6" w:rsidRDefault="0012790E">
            <w:pPr>
              <w:pStyle w:val="MeasureTableDataRightAlignedwith2ptsspacing"/>
              <w:keepNext/>
            </w:pPr>
            <w:r w:rsidRPr="001C06E6">
              <w:t>0.2</w:t>
            </w:r>
          </w:p>
        </w:tc>
      </w:tr>
      <w:tr w:rsidR="0012790E" w:rsidRPr="001C06E6" w14:paraId="0626D7EC" w14:textId="77777777">
        <w:tc>
          <w:tcPr>
            <w:tcW w:w="2497" w:type="dxa"/>
            <w:tcBorders>
              <w:top w:val="single" w:sz="4" w:space="0" w:color="293F5B"/>
              <w:bottom w:val="single" w:sz="4" w:space="0" w:color="293F5B"/>
            </w:tcBorders>
            <w:shd w:val="clear" w:color="auto" w:fill="auto"/>
          </w:tcPr>
          <w:p w14:paraId="2AFBAE81" w14:textId="77777777" w:rsidR="0012790E" w:rsidRPr="001C06E6" w:rsidRDefault="0012790E">
            <w:pPr>
              <w:pStyle w:val="MeasureTableHeadingleftalignedwith2ptsspacing"/>
              <w:keepNext/>
            </w:pPr>
            <w:r w:rsidRPr="001C06E6">
              <w:t>Australian Bureau of Statistics</w:t>
            </w:r>
          </w:p>
        </w:tc>
        <w:tc>
          <w:tcPr>
            <w:tcW w:w="1045" w:type="dxa"/>
            <w:tcBorders>
              <w:top w:val="single" w:sz="4" w:space="0" w:color="293F5B"/>
              <w:bottom w:val="single" w:sz="4" w:space="0" w:color="293F5B"/>
            </w:tcBorders>
            <w:shd w:val="clear" w:color="auto" w:fill="auto"/>
          </w:tcPr>
          <w:p w14:paraId="1462487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9826FD2" w14:textId="77777777" w:rsidR="0012790E" w:rsidRPr="001C06E6" w:rsidRDefault="0012790E">
            <w:pPr>
              <w:pStyle w:val="MeasureTableDataRightAlignedwith2ptsspacing"/>
              <w:keepNext/>
            </w:pPr>
            <w:r w:rsidRPr="001C06E6">
              <w:t>0.5</w:t>
            </w:r>
          </w:p>
        </w:tc>
        <w:tc>
          <w:tcPr>
            <w:tcW w:w="1045" w:type="dxa"/>
            <w:tcBorders>
              <w:top w:val="single" w:sz="4" w:space="0" w:color="293F5B"/>
              <w:bottom w:val="single" w:sz="4" w:space="0" w:color="293F5B"/>
            </w:tcBorders>
            <w:shd w:val="clear" w:color="auto" w:fill="auto"/>
          </w:tcPr>
          <w:p w14:paraId="3C08916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FBFB6A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8CFC78A" w14:textId="77777777" w:rsidR="0012790E" w:rsidRPr="001C06E6" w:rsidRDefault="0012790E">
            <w:pPr>
              <w:pStyle w:val="MeasureTableDataRightAlignedwith2ptsspacing"/>
              <w:keepNext/>
            </w:pPr>
            <w:r w:rsidRPr="001C06E6">
              <w:t>-</w:t>
            </w:r>
          </w:p>
        </w:tc>
      </w:tr>
      <w:tr w:rsidR="0012790E" w:rsidRPr="001C06E6" w14:paraId="0DC4E7C3" w14:textId="77777777">
        <w:tc>
          <w:tcPr>
            <w:tcW w:w="2497" w:type="dxa"/>
            <w:tcBorders>
              <w:top w:val="single" w:sz="4" w:space="0" w:color="293F5B"/>
              <w:bottom w:val="single" w:sz="4" w:space="0" w:color="293F5B"/>
            </w:tcBorders>
            <w:shd w:val="clear" w:color="auto" w:fill="auto"/>
          </w:tcPr>
          <w:p w14:paraId="1B362399" w14:textId="77777777" w:rsidR="0012790E" w:rsidRPr="001C06E6" w:rsidRDefault="0012790E">
            <w:pPr>
              <w:pStyle w:val="MeasureTableHeadingleftalignedwith2ptsspacing"/>
              <w:keepNext/>
            </w:pPr>
            <w:r>
              <w:t xml:space="preserve">Australian Transaction Reports and Analysis Centre </w:t>
            </w:r>
          </w:p>
        </w:tc>
        <w:tc>
          <w:tcPr>
            <w:tcW w:w="1045" w:type="dxa"/>
            <w:tcBorders>
              <w:top w:val="single" w:sz="4" w:space="0" w:color="293F5B"/>
              <w:bottom w:val="single" w:sz="4" w:space="0" w:color="293F5B"/>
            </w:tcBorders>
            <w:shd w:val="clear" w:color="auto" w:fill="auto"/>
          </w:tcPr>
          <w:p w14:paraId="0700542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2A98FD9" w14:textId="77777777" w:rsidR="0012790E" w:rsidRPr="001C06E6" w:rsidRDefault="0012790E">
            <w:pPr>
              <w:pStyle w:val="MeasureTableDataRightAlignedwith2ptsspacing"/>
              <w:keepNext/>
            </w:pPr>
            <w:r>
              <w:t xml:space="preserve">0.3 </w:t>
            </w:r>
          </w:p>
        </w:tc>
        <w:tc>
          <w:tcPr>
            <w:tcW w:w="1045" w:type="dxa"/>
            <w:tcBorders>
              <w:top w:val="single" w:sz="4" w:space="0" w:color="293F5B"/>
              <w:bottom w:val="single" w:sz="4" w:space="0" w:color="293F5B"/>
            </w:tcBorders>
            <w:shd w:val="clear" w:color="auto" w:fill="auto"/>
          </w:tcPr>
          <w:p w14:paraId="2E004157" w14:textId="77777777" w:rsidR="0012790E" w:rsidRPr="001C06E6" w:rsidRDefault="0012790E">
            <w:pPr>
              <w:pStyle w:val="MeasureTableDataRightAlignedwith2ptsspacing"/>
              <w:keepNext/>
            </w:pPr>
            <w:r>
              <w:t xml:space="preserve">0.3 </w:t>
            </w:r>
          </w:p>
        </w:tc>
        <w:tc>
          <w:tcPr>
            <w:tcW w:w="1045" w:type="dxa"/>
            <w:tcBorders>
              <w:top w:val="single" w:sz="4" w:space="0" w:color="293F5B"/>
              <w:bottom w:val="single" w:sz="4" w:space="0" w:color="293F5B"/>
            </w:tcBorders>
            <w:shd w:val="clear" w:color="auto" w:fill="auto"/>
          </w:tcPr>
          <w:p w14:paraId="5AD76159" w14:textId="77777777" w:rsidR="0012790E" w:rsidRPr="001C06E6" w:rsidRDefault="0012790E">
            <w:pPr>
              <w:pStyle w:val="MeasureTableDataRightAlignedwith2ptsspacing"/>
              <w:keepNext/>
            </w:pPr>
            <w:r>
              <w:t xml:space="preserve">0.3 </w:t>
            </w:r>
          </w:p>
        </w:tc>
        <w:tc>
          <w:tcPr>
            <w:tcW w:w="1045" w:type="dxa"/>
            <w:tcBorders>
              <w:top w:val="single" w:sz="4" w:space="0" w:color="293F5B"/>
              <w:bottom w:val="single" w:sz="4" w:space="0" w:color="293F5B"/>
            </w:tcBorders>
            <w:shd w:val="clear" w:color="auto" w:fill="auto"/>
          </w:tcPr>
          <w:p w14:paraId="13BE7CC2" w14:textId="77777777" w:rsidR="0012790E" w:rsidRPr="001C06E6" w:rsidRDefault="0012790E">
            <w:pPr>
              <w:pStyle w:val="MeasureTableDataRightAlignedwith2ptsspacing"/>
              <w:keepNext/>
            </w:pPr>
            <w:r>
              <w:t xml:space="preserve">0.3 </w:t>
            </w:r>
          </w:p>
        </w:tc>
      </w:tr>
      <w:tr w:rsidR="0012790E" w:rsidRPr="001C06E6" w14:paraId="18B1430C" w14:textId="77777777">
        <w:tc>
          <w:tcPr>
            <w:tcW w:w="2497" w:type="dxa"/>
            <w:tcBorders>
              <w:top w:val="single" w:sz="4" w:space="0" w:color="293F5B"/>
              <w:bottom w:val="single" w:sz="4" w:space="0" w:color="293F5B"/>
            </w:tcBorders>
            <w:shd w:val="clear" w:color="auto" w:fill="auto"/>
          </w:tcPr>
          <w:p w14:paraId="55FBC9AD" w14:textId="77777777" w:rsidR="0012790E" w:rsidRPr="001C06E6" w:rsidRDefault="0012790E">
            <w:pPr>
              <w:pStyle w:val="MeasureTableHeadingleftalignedwith2ptsspacing"/>
              <w:keepNext/>
            </w:pPr>
            <w:r w:rsidRPr="001C06E6">
              <w:t>Department of Education</w:t>
            </w:r>
          </w:p>
        </w:tc>
        <w:tc>
          <w:tcPr>
            <w:tcW w:w="1045" w:type="dxa"/>
            <w:tcBorders>
              <w:top w:val="single" w:sz="4" w:space="0" w:color="293F5B"/>
              <w:bottom w:val="single" w:sz="4" w:space="0" w:color="293F5B"/>
            </w:tcBorders>
            <w:shd w:val="clear" w:color="auto" w:fill="auto"/>
          </w:tcPr>
          <w:p w14:paraId="3774E7A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AE72060" w14:textId="77777777" w:rsidR="0012790E" w:rsidRPr="001C06E6" w:rsidRDefault="0012790E">
            <w:pPr>
              <w:pStyle w:val="MeasureTableDataRightAlignedwith2ptsspacing"/>
              <w:keepNext/>
            </w:pPr>
            <w:r w:rsidRPr="001C06E6">
              <w:t>-6.5</w:t>
            </w:r>
          </w:p>
        </w:tc>
        <w:tc>
          <w:tcPr>
            <w:tcW w:w="1045" w:type="dxa"/>
            <w:tcBorders>
              <w:top w:val="single" w:sz="4" w:space="0" w:color="293F5B"/>
              <w:bottom w:val="single" w:sz="4" w:space="0" w:color="293F5B"/>
            </w:tcBorders>
            <w:shd w:val="clear" w:color="auto" w:fill="auto"/>
          </w:tcPr>
          <w:p w14:paraId="2FD1B348" w14:textId="77777777" w:rsidR="0012790E" w:rsidRPr="001C06E6" w:rsidRDefault="0012790E">
            <w:pPr>
              <w:pStyle w:val="MeasureTableDataRightAlignedwith2ptsspacing"/>
              <w:keepNext/>
            </w:pPr>
            <w:r w:rsidRPr="001C06E6">
              <w:t>-141.3</w:t>
            </w:r>
          </w:p>
        </w:tc>
        <w:tc>
          <w:tcPr>
            <w:tcW w:w="1045" w:type="dxa"/>
            <w:tcBorders>
              <w:top w:val="single" w:sz="4" w:space="0" w:color="293F5B"/>
              <w:bottom w:val="single" w:sz="4" w:space="0" w:color="293F5B"/>
            </w:tcBorders>
            <w:shd w:val="clear" w:color="auto" w:fill="auto"/>
          </w:tcPr>
          <w:p w14:paraId="1AD791AC" w14:textId="77777777" w:rsidR="0012790E" w:rsidRPr="001C06E6" w:rsidRDefault="0012790E">
            <w:pPr>
              <w:pStyle w:val="MeasureTableDataRightAlignedwith2ptsspacing"/>
              <w:keepNext/>
            </w:pPr>
            <w:r w:rsidRPr="001C06E6">
              <w:t>-143.3</w:t>
            </w:r>
          </w:p>
        </w:tc>
        <w:tc>
          <w:tcPr>
            <w:tcW w:w="1045" w:type="dxa"/>
            <w:tcBorders>
              <w:top w:val="single" w:sz="4" w:space="0" w:color="293F5B"/>
              <w:bottom w:val="single" w:sz="4" w:space="0" w:color="293F5B"/>
            </w:tcBorders>
            <w:shd w:val="clear" w:color="auto" w:fill="auto"/>
          </w:tcPr>
          <w:p w14:paraId="5AFC3605" w14:textId="77777777" w:rsidR="0012790E" w:rsidRPr="001C06E6" w:rsidRDefault="0012790E">
            <w:pPr>
              <w:pStyle w:val="MeasureTableDataRightAlignedwith2ptsspacing"/>
              <w:keepNext/>
            </w:pPr>
            <w:r w:rsidRPr="001C06E6">
              <w:t>-135.6</w:t>
            </w:r>
          </w:p>
        </w:tc>
      </w:tr>
      <w:tr w:rsidR="0012790E" w:rsidRPr="001C06E6" w14:paraId="4C3BAC64" w14:textId="77777777">
        <w:tc>
          <w:tcPr>
            <w:tcW w:w="2497" w:type="dxa"/>
            <w:tcBorders>
              <w:top w:val="single" w:sz="4" w:space="0" w:color="293F5B"/>
              <w:bottom w:val="single" w:sz="4" w:space="0" w:color="293F5B"/>
            </w:tcBorders>
            <w:shd w:val="clear" w:color="auto" w:fill="auto"/>
          </w:tcPr>
          <w:p w14:paraId="6365E60B"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7372729"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79E630B3" w14:textId="77777777" w:rsidR="0012790E" w:rsidRPr="001C06E6" w:rsidRDefault="0012790E">
            <w:pPr>
              <w:pStyle w:val="Totaldatarowrightaligned"/>
              <w:keepNext/>
            </w:pPr>
            <w:r w:rsidRPr="001C06E6">
              <w:t>2.2</w:t>
            </w:r>
          </w:p>
        </w:tc>
        <w:tc>
          <w:tcPr>
            <w:tcW w:w="1045" w:type="dxa"/>
            <w:tcBorders>
              <w:top w:val="single" w:sz="4" w:space="0" w:color="293F5B"/>
              <w:bottom w:val="single" w:sz="4" w:space="0" w:color="293F5B"/>
            </w:tcBorders>
            <w:shd w:val="clear" w:color="auto" w:fill="auto"/>
          </w:tcPr>
          <w:p w14:paraId="0EE736F2" w14:textId="77777777" w:rsidR="0012790E" w:rsidRPr="001C06E6" w:rsidRDefault="0012790E">
            <w:pPr>
              <w:pStyle w:val="Totaldatarowrightaligned"/>
              <w:keepNext/>
            </w:pPr>
            <w:r w:rsidRPr="001C06E6">
              <w:t>-137.6</w:t>
            </w:r>
          </w:p>
        </w:tc>
        <w:tc>
          <w:tcPr>
            <w:tcW w:w="1045" w:type="dxa"/>
            <w:tcBorders>
              <w:top w:val="single" w:sz="4" w:space="0" w:color="293F5B"/>
              <w:bottom w:val="single" w:sz="4" w:space="0" w:color="293F5B"/>
            </w:tcBorders>
            <w:shd w:val="clear" w:color="auto" w:fill="auto"/>
          </w:tcPr>
          <w:p w14:paraId="57339564" w14:textId="77777777" w:rsidR="0012790E" w:rsidRPr="001C06E6" w:rsidRDefault="0012790E">
            <w:pPr>
              <w:pStyle w:val="Totaldatarowrightaligned"/>
              <w:keepNext/>
            </w:pPr>
            <w:r w:rsidRPr="001C06E6">
              <w:t>-141.4</w:t>
            </w:r>
          </w:p>
        </w:tc>
        <w:tc>
          <w:tcPr>
            <w:tcW w:w="1045" w:type="dxa"/>
            <w:tcBorders>
              <w:top w:val="single" w:sz="4" w:space="0" w:color="293F5B"/>
              <w:bottom w:val="single" w:sz="4" w:space="0" w:color="293F5B"/>
            </w:tcBorders>
            <w:shd w:val="clear" w:color="auto" w:fill="auto"/>
          </w:tcPr>
          <w:p w14:paraId="70F6EEFF" w14:textId="77777777" w:rsidR="0012790E" w:rsidRPr="001C06E6" w:rsidRDefault="0012790E">
            <w:pPr>
              <w:pStyle w:val="Totaldatarowrightaligned"/>
              <w:keepNext/>
            </w:pPr>
            <w:r w:rsidRPr="001C06E6">
              <w:t>-133.9</w:t>
            </w:r>
          </w:p>
        </w:tc>
      </w:tr>
    </w:tbl>
    <w:p w14:paraId="285146A1"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510F6135" w14:textId="77777777" w:rsidR="0012790E" w:rsidRDefault="0012790E" w:rsidP="54937204">
      <w:pPr>
        <w:pStyle w:val="Normal2"/>
        <w:rPr>
          <w:rFonts w:cs="Book Antiqua"/>
          <w:lang w:val="en-US"/>
        </w:rPr>
      </w:pPr>
      <w:r w:rsidRPr="54937204">
        <w:rPr>
          <w:rFonts w:cs="Book Antiqua"/>
          <w:lang w:val="en-US"/>
        </w:rPr>
        <w:t xml:space="preserve">The Government will achieve net savings of $410.7 million over four years from 2024–25 through additional activities to strengthen the payment and accuracy of the </w:t>
      </w:r>
      <w:r w:rsidRPr="54937204">
        <w:rPr>
          <w:rFonts w:cs="Book Antiqua"/>
          <w:i/>
          <w:iCs/>
          <w:lang w:val="en-US"/>
        </w:rPr>
        <w:t>Child Care Subsidy</w:t>
      </w:r>
      <w:r w:rsidRPr="54937204">
        <w:rPr>
          <w:rFonts w:cs="Book Antiqua"/>
          <w:lang w:val="en-US"/>
        </w:rPr>
        <w:t xml:space="preserve"> program. </w:t>
      </w:r>
    </w:p>
    <w:p w14:paraId="56111C79" w14:textId="77777777" w:rsidR="0012790E" w:rsidRDefault="0012790E">
      <w:pPr>
        <w:pStyle w:val="Normal2"/>
        <w:rPr>
          <w:rFonts w:cs="Book Antiqua"/>
        </w:rPr>
      </w:pPr>
      <w:r w:rsidRPr="001C06E6">
        <w:rPr>
          <w:rFonts w:cs="Book Antiqua"/>
        </w:rPr>
        <w:t>The Government will invest $30.0</w:t>
      </w:r>
      <w:r>
        <w:rPr>
          <w:rFonts w:cs="Book Antiqua"/>
        </w:rPr>
        <w:t> </w:t>
      </w:r>
      <w:r w:rsidRPr="001C06E6">
        <w:rPr>
          <w:rFonts w:cs="Book Antiqua"/>
        </w:rPr>
        <w:t xml:space="preserve">million over two years from </w:t>
      </w:r>
      <w:r>
        <w:rPr>
          <w:rFonts w:cs="Book Antiqua"/>
        </w:rPr>
        <w:t>2024–25</w:t>
      </w:r>
      <w:r w:rsidRPr="001C06E6">
        <w:rPr>
          <w:rFonts w:cs="Book Antiqua"/>
        </w:rPr>
        <w:t xml:space="preserve"> in IT and</w:t>
      </w:r>
      <w:r>
        <w:rPr>
          <w:rFonts w:cs="Book Antiqua"/>
        </w:rPr>
        <w:t xml:space="preserve"> </w:t>
      </w:r>
      <w:r w:rsidRPr="001C06E6">
        <w:rPr>
          <w:rFonts w:cs="Book Antiqua"/>
        </w:rPr>
        <w:t>payment services to deliver on its commitment to provide funding towards a wage</w:t>
      </w:r>
      <w:r>
        <w:rPr>
          <w:rFonts w:cs="Book Antiqua"/>
        </w:rPr>
        <w:t xml:space="preserve"> </w:t>
      </w:r>
      <w:r w:rsidRPr="001C06E6">
        <w:rPr>
          <w:rFonts w:cs="Book Antiqua"/>
        </w:rPr>
        <w:t>increase for the Early Childhood Education and Care sector. This will support a</w:t>
      </w:r>
      <w:r>
        <w:rPr>
          <w:rFonts w:cs="Book Antiqua"/>
        </w:rPr>
        <w:t xml:space="preserve"> </w:t>
      </w:r>
      <w:r w:rsidRPr="001C06E6">
        <w:rPr>
          <w:rFonts w:cs="Book Antiqua"/>
        </w:rPr>
        <w:t>response to Fair Work Commission processes as they relate to this sector.</w:t>
      </w:r>
      <w:r>
        <w:rPr>
          <w:rFonts w:cs="Book Antiqua"/>
        </w:rPr>
        <w:t xml:space="preserve"> </w:t>
      </w:r>
    </w:p>
    <w:p w14:paraId="697E2F36" w14:textId="77777777" w:rsidR="0012790E" w:rsidRDefault="0012790E">
      <w:pPr>
        <w:pStyle w:val="Normal2"/>
        <w:rPr>
          <w:rFonts w:cs="Book Antiqua"/>
        </w:rPr>
      </w:pPr>
      <w:r w:rsidRPr="001C06E6">
        <w:rPr>
          <w:rFonts w:cs="Book Antiqua"/>
        </w:rPr>
        <w:t>Funding provided to strengthen fraud and non</w:t>
      </w:r>
      <w:r>
        <w:rPr>
          <w:rFonts w:cs="Book Antiqua"/>
        </w:rPr>
        <w:noBreakHyphen/>
      </w:r>
      <w:r w:rsidRPr="001C06E6">
        <w:rPr>
          <w:rFonts w:cs="Book Antiqua"/>
        </w:rPr>
        <w:t>compliance activities includes:</w:t>
      </w:r>
    </w:p>
    <w:p w14:paraId="28E621FB" w14:textId="77777777" w:rsidR="0012790E" w:rsidRDefault="0012790E">
      <w:pPr>
        <w:pStyle w:val="Bullet"/>
      </w:pPr>
      <w:r w:rsidRPr="001C06E6">
        <w:t>$84.2</w:t>
      </w:r>
      <w:r>
        <w:t> </w:t>
      </w:r>
      <w:r w:rsidRPr="001C06E6">
        <w:t xml:space="preserve">million over four years from </w:t>
      </w:r>
      <w:r>
        <w:t>2024–25</w:t>
      </w:r>
      <w:r w:rsidRPr="001C06E6">
        <w:t xml:space="preserve"> (and $18.4</w:t>
      </w:r>
      <w:r>
        <w:t> </w:t>
      </w:r>
      <w:r w:rsidRPr="001C06E6">
        <w:t>million per year ongoing) to the Department of Education to increase audits of providers in the child care sector and manage the centralised collection of child care gap fees in the Family Day Care and In Home Care sectors</w:t>
      </w:r>
      <w:r>
        <w:t xml:space="preserve"> </w:t>
      </w:r>
    </w:p>
    <w:p w14:paraId="1FB25B39" w14:textId="6253AE5E" w:rsidR="0012790E" w:rsidRDefault="0012790E">
      <w:pPr>
        <w:pStyle w:val="Bullet"/>
      </w:pPr>
      <w:r w:rsidRPr="001C06E6">
        <w:t>$8.3</w:t>
      </w:r>
      <w:r>
        <w:t> </w:t>
      </w:r>
      <w:r w:rsidRPr="001C06E6">
        <w:t xml:space="preserve">million over four years from </w:t>
      </w:r>
      <w:r>
        <w:t>2024–25</w:t>
      </w:r>
      <w:r w:rsidRPr="001C06E6">
        <w:t xml:space="preserve"> (and $1.2</w:t>
      </w:r>
      <w:r>
        <w:t> </w:t>
      </w:r>
      <w:r w:rsidRPr="001C06E6">
        <w:t xml:space="preserve">million per year ongoing) to Services Australia to upgrade the </w:t>
      </w:r>
      <w:r w:rsidRPr="001C06E6">
        <w:rPr>
          <w:i/>
          <w:iCs/>
        </w:rPr>
        <w:t>Child Care Subsidy</w:t>
      </w:r>
      <w:r w:rsidRPr="001C06E6">
        <w:t xml:space="preserve"> system to support new compliance</w:t>
      </w:r>
      <w:r w:rsidR="008F7E48">
        <w:t> </w:t>
      </w:r>
      <w:r w:rsidRPr="001C06E6">
        <w:t>measures</w:t>
      </w:r>
      <w:r>
        <w:t xml:space="preserve"> </w:t>
      </w:r>
    </w:p>
    <w:p w14:paraId="186266A9" w14:textId="77777777" w:rsidR="0012790E" w:rsidRDefault="0012790E">
      <w:pPr>
        <w:pStyle w:val="Bullet"/>
      </w:pPr>
      <w:r w:rsidRPr="001C06E6">
        <w:t>$4.8</w:t>
      </w:r>
      <w:r>
        <w:t> </w:t>
      </w:r>
      <w:r w:rsidRPr="001C06E6">
        <w:t xml:space="preserve">million over four years from </w:t>
      </w:r>
      <w:r>
        <w:t>2024–25</w:t>
      </w:r>
      <w:r w:rsidRPr="001C06E6">
        <w:t xml:space="preserve"> to the Australian Taxation Office to ensure satisfactory engagement with the Australian tax system regarding fitness and propriety requirements of existing and new child care providers</w:t>
      </w:r>
      <w:r>
        <w:t xml:space="preserve"> </w:t>
      </w:r>
    </w:p>
    <w:p w14:paraId="120929C7" w14:textId="77777777" w:rsidR="0012790E" w:rsidRDefault="0012790E">
      <w:pPr>
        <w:pStyle w:val="Bullet"/>
      </w:pPr>
      <w:r w:rsidRPr="001C06E6">
        <w:t>$1.3</w:t>
      </w:r>
      <w:r>
        <w:t> </w:t>
      </w:r>
      <w:r w:rsidRPr="001C06E6">
        <w:t xml:space="preserve">million over four years from </w:t>
      </w:r>
      <w:r>
        <w:t>2024–25</w:t>
      </w:r>
      <w:r w:rsidRPr="001C06E6">
        <w:t xml:space="preserve"> (and $0.3</w:t>
      </w:r>
      <w:r>
        <w:t> </w:t>
      </w:r>
      <w:r w:rsidRPr="001C06E6">
        <w:t>million per year ongoing) to the Australian Transaction Reports and Analysis Centre to assist the Department of Education in identifying individuals of high, unexplained wealth with connections to the child care sector.</w:t>
      </w:r>
      <w:r>
        <w:t xml:space="preserve"> </w:t>
      </w:r>
    </w:p>
    <w:p w14:paraId="04947C9B" w14:textId="77777777" w:rsidR="0012790E" w:rsidRDefault="0012790E">
      <w:pPr>
        <w:pStyle w:val="Normal2"/>
        <w:rPr>
          <w:rFonts w:cs="Book Antiqua"/>
        </w:rPr>
      </w:pPr>
      <w:r w:rsidRPr="001C06E6">
        <w:rPr>
          <w:rFonts w:cs="Book Antiqua"/>
        </w:rPr>
        <w:lastRenderedPageBreak/>
        <w:t>The savings from this measure will be redirected to support other Government policy</w:t>
      </w:r>
      <w:r>
        <w:rPr>
          <w:rFonts w:cs="Book Antiqua"/>
        </w:rPr>
        <w:t xml:space="preserve"> </w:t>
      </w:r>
      <w:r w:rsidRPr="001C06E6">
        <w:rPr>
          <w:rFonts w:cs="Book Antiqua"/>
        </w:rPr>
        <w:t>priorities in the Education Portfolio.</w:t>
      </w:r>
      <w:r>
        <w:rPr>
          <w:rFonts w:cs="Book Antiqua"/>
        </w:rPr>
        <w:t xml:space="preserve"> </w:t>
      </w:r>
    </w:p>
    <w:p w14:paraId="4F7CFA75" w14:textId="77777777" w:rsidR="0012790E" w:rsidRPr="001C06E6" w:rsidRDefault="0012790E">
      <w:pPr>
        <w:pStyle w:val="MeasureTitle"/>
        <w:rPr>
          <w:b w:val="0"/>
          <w:bCs/>
        </w:rPr>
      </w:pPr>
      <w:r w:rsidRPr="001C06E6">
        <w:rPr>
          <w:bCs/>
        </w:rPr>
        <w:t>Closing the Gap</w:t>
      </w:r>
      <w:r>
        <w:rPr>
          <w:bCs/>
        </w:rPr>
        <w:t xml:space="preserve"> – </w:t>
      </w:r>
      <w:r w:rsidRPr="001C06E6">
        <w:rPr>
          <w:bCs/>
        </w:rPr>
        <w:t>Education</w:t>
      </w:r>
    </w:p>
    <w:p w14:paraId="08A14488"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5D0F1E8" w14:textId="77777777">
        <w:tc>
          <w:tcPr>
            <w:tcW w:w="2497" w:type="dxa"/>
            <w:tcBorders>
              <w:top w:val="single" w:sz="4" w:space="0" w:color="293F5B"/>
              <w:bottom w:val="single" w:sz="4" w:space="0" w:color="293F5B"/>
            </w:tcBorders>
            <w:shd w:val="clear" w:color="auto" w:fill="auto"/>
          </w:tcPr>
          <w:p w14:paraId="2DCEC9B5"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11CF659"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F23AD1D"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6B52A3F"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F227E57"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955A613" w14:textId="77777777" w:rsidR="0012790E" w:rsidRPr="001C06E6" w:rsidRDefault="0012790E">
            <w:pPr>
              <w:pStyle w:val="MeasureTableYearHeadings"/>
              <w:keepNext/>
            </w:pPr>
            <w:r w:rsidRPr="001C06E6">
              <w:t>2027</w:t>
            </w:r>
            <w:r>
              <w:noBreakHyphen/>
            </w:r>
            <w:r w:rsidRPr="001C06E6">
              <w:t>28</w:t>
            </w:r>
          </w:p>
        </w:tc>
      </w:tr>
      <w:tr w:rsidR="0012790E" w:rsidRPr="001C06E6" w14:paraId="28CE805E" w14:textId="77777777">
        <w:tc>
          <w:tcPr>
            <w:tcW w:w="2497" w:type="dxa"/>
            <w:tcBorders>
              <w:top w:val="single" w:sz="4" w:space="0" w:color="293F5B"/>
              <w:bottom w:val="single" w:sz="4" w:space="0" w:color="293F5B"/>
            </w:tcBorders>
            <w:shd w:val="clear" w:color="auto" w:fill="auto"/>
          </w:tcPr>
          <w:p w14:paraId="4BDD244D" w14:textId="77777777" w:rsidR="0012790E" w:rsidRPr="001C06E6" w:rsidRDefault="0012790E">
            <w:pPr>
              <w:pStyle w:val="MeasureTableHeadingleftalignedwith2ptsspacing"/>
              <w:keepNext/>
            </w:pPr>
            <w:r w:rsidRPr="001C06E6">
              <w:t>Department of Education</w:t>
            </w:r>
          </w:p>
        </w:tc>
        <w:tc>
          <w:tcPr>
            <w:tcW w:w="1045" w:type="dxa"/>
            <w:tcBorders>
              <w:top w:val="single" w:sz="4" w:space="0" w:color="293F5B"/>
              <w:bottom w:val="single" w:sz="4" w:space="0" w:color="293F5B"/>
            </w:tcBorders>
            <w:shd w:val="clear" w:color="auto" w:fill="auto"/>
          </w:tcPr>
          <w:p w14:paraId="7DC681B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36AA72A" w14:textId="77777777" w:rsidR="0012790E" w:rsidRPr="001C06E6" w:rsidRDefault="0012790E">
            <w:pPr>
              <w:pStyle w:val="MeasureTableDataRightAlignedwith2ptsspacing"/>
              <w:keepNext/>
            </w:pPr>
            <w:r w:rsidRPr="001C06E6">
              <w:t>40.4</w:t>
            </w:r>
          </w:p>
        </w:tc>
        <w:tc>
          <w:tcPr>
            <w:tcW w:w="1045" w:type="dxa"/>
            <w:tcBorders>
              <w:top w:val="single" w:sz="4" w:space="0" w:color="293F5B"/>
              <w:bottom w:val="single" w:sz="4" w:space="0" w:color="293F5B"/>
            </w:tcBorders>
            <w:shd w:val="clear" w:color="auto" w:fill="auto"/>
          </w:tcPr>
          <w:p w14:paraId="6D9BC8E7" w14:textId="77777777" w:rsidR="0012790E" w:rsidRPr="001C06E6" w:rsidRDefault="0012790E">
            <w:pPr>
              <w:pStyle w:val="MeasureTableDataRightAlignedwith2ptsspacing"/>
              <w:keepNext/>
            </w:pPr>
            <w:r w:rsidRPr="001C06E6">
              <w:t>42.2</w:t>
            </w:r>
          </w:p>
        </w:tc>
        <w:tc>
          <w:tcPr>
            <w:tcW w:w="1045" w:type="dxa"/>
            <w:tcBorders>
              <w:top w:val="single" w:sz="4" w:space="0" w:color="293F5B"/>
              <w:bottom w:val="single" w:sz="4" w:space="0" w:color="293F5B"/>
            </w:tcBorders>
            <w:shd w:val="clear" w:color="auto" w:fill="auto"/>
          </w:tcPr>
          <w:p w14:paraId="0C772D2C" w14:textId="77777777" w:rsidR="0012790E" w:rsidRPr="001C06E6" w:rsidRDefault="0012790E">
            <w:pPr>
              <w:pStyle w:val="MeasureTableDataRightAlignedwith2ptsspacing"/>
              <w:keepNext/>
            </w:pPr>
            <w:r w:rsidRPr="001C06E6">
              <w:t>13.1</w:t>
            </w:r>
          </w:p>
        </w:tc>
        <w:tc>
          <w:tcPr>
            <w:tcW w:w="1045" w:type="dxa"/>
            <w:tcBorders>
              <w:top w:val="single" w:sz="4" w:space="0" w:color="293F5B"/>
              <w:bottom w:val="single" w:sz="4" w:space="0" w:color="293F5B"/>
            </w:tcBorders>
            <w:shd w:val="clear" w:color="auto" w:fill="auto"/>
          </w:tcPr>
          <w:p w14:paraId="530CB026" w14:textId="77777777" w:rsidR="0012790E" w:rsidRPr="001C06E6" w:rsidRDefault="0012790E">
            <w:pPr>
              <w:pStyle w:val="MeasureTableDataRightAlignedwith2ptsspacing"/>
              <w:keepNext/>
            </w:pPr>
            <w:r w:rsidRPr="001C06E6">
              <w:t>11.8</w:t>
            </w:r>
          </w:p>
        </w:tc>
      </w:tr>
    </w:tbl>
    <w:p w14:paraId="151F5278"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6DAB8189" w14:textId="77777777" w:rsidR="0012790E" w:rsidRDefault="0012790E">
      <w:pPr>
        <w:pStyle w:val="Normal2"/>
        <w:rPr>
          <w:rFonts w:cs="Book Antiqua"/>
        </w:rPr>
      </w:pPr>
      <w:r w:rsidRPr="001C06E6">
        <w:rPr>
          <w:rFonts w:cs="Book Antiqua"/>
        </w:rPr>
        <w:t>The Government will provide $110.0</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(and $11.0</w:t>
      </w:r>
      <w:r>
        <w:rPr>
          <w:rFonts w:cs="Book Antiqua"/>
        </w:rPr>
        <w:t> </w:t>
      </w:r>
      <w:r w:rsidRPr="001C06E6">
        <w:rPr>
          <w:rFonts w:cs="Book Antiqua"/>
        </w:rPr>
        <w:t>million per year ongoing) to accelerate action against the National Agreement on</w:t>
      </w:r>
      <w:r>
        <w:rPr>
          <w:rFonts w:cs="Book Antiqua"/>
        </w:rPr>
        <w:t xml:space="preserve"> </w:t>
      </w:r>
      <w:r w:rsidRPr="001C06E6">
        <w:rPr>
          <w:rFonts w:cs="Book Antiqua"/>
        </w:rPr>
        <w:t>Closing the Gap Priority Reforms in the Education portfolio and extend programs</w:t>
      </w:r>
      <w:r>
        <w:rPr>
          <w:rFonts w:cs="Book Antiqua"/>
        </w:rPr>
        <w:t xml:space="preserve"> </w:t>
      </w:r>
      <w:r w:rsidRPr="001C06E6">
        <w:rPr>
          <w:rFonts w:cs="Book Antiqua"/>
        </w:rPr>
        <w:t>supporting education outcomes. Funding includes:</w:t>
      </w:r>
    </w:p>
    <w:p w14:paraId="67954A98" w14:textId="34FCABED" w:rsidR="0012790E" w:rsidRDefault="0012790E">
      <w:pPr>
        <w:pStyle w:val="Bullet"/>
      </w:pPr>
      <w:r w:rsidRPr="001C06E6">
        <w:t>$32.8</w:t>
      </w:r>
      <w:r>
        <w:t> </w:t>
      </w:r>
      <w:r w:rsidRPr="001C06E6">
        <w:t xml:space="preserve">million over two years from </w:t>
      </w:r>
      <w:r>
        <w:t>2024–25</w:t>
      </w:r>
      <w:r w:rsidRPr="001C06E6">
        <w:t xml:space="preserve"> for the Clontarf Foundation to extend its existing program for the 2025 school year to support school engagement for at</w:t>
      </w:r>
      <w:r>
        <w:noBreakHyphen/>
      </w:r>
      <w:r w:rsidRPr="001C06E6">
        <w:t>risk First</w:t>
      </w:r>
      <w:r w:rsidR="008F7E48">
        <w:t> </w:t>
      </w:r>
      <w:r w:rsidRPr="001C06E6">
        <w:t>Nations young men</w:t>
      </w:r>
      <w:r>
        <w:t xml:space="preserve"> </w:t>
      </w:r>
    </w:p>
    <w:p w14:paraId="655BA3B9" w14:textId="77777777" w:rsidR="0012790E" w:rsidRDefault="0012790E">
      <w:pPr>
        <w:pStyle w:val="Bullet"/>
      </w:pPr>
      <w:r w:rsidRPr="001C06E6">
        <w:t>$29.1</w:t>
      </w:r>
      <w:r>
        <w:t> </w:t>
      </w:r>
      <w:r w:rsidRPr="001C06E6">
        <w:t xml:space="preserve">million over four years from </w:t>
      </w:r>
      <w:r>
        <w:t>2024–25</w:t>
      </w:r>
      <w:r w:rsidRPr="001C06E6">
        <w:t xml:space="preserve"> (and $8.7</w:t>
      </w:r>
      <w:r>
        <w:t> </w:t>
      </w:r>
      <w:r w:rsidRPr="001C06E6">
        <w:t>million per year ongoing) to support national First Nations peak organisations National Aboriginal and Torres Strait Islander Education Corporation and SNAICC – National Voice for our Children to partner with Government on matters affecting First Nations children</w:t>
      </w:r>
      <w:r>
        <w:t xml:space="preserve"> </w:t>
      </w:r>
    </w:p>
    <w:p w14:paraId="07A4EFBD" w14:textId="77777777" w:rsidR="0012790E" w:rsidRDefault="0012790E">
      <w:pPr>
        <w:pStyle w:val="Bullet"/>
      </w:pPr>
      <w:r w:rsidRPr="001C06E6">
        <w:t>$27.5</w:t>
      </w:r>
      <w:r>
        <w:t> </w:t>
      </w:r>
      <w:r w:rsidRPr="001C06E6">
        <w:t xml:space="preserve">million over three years from </w:t>
      </w:r>
      <w:r>
        <w:t>2024–25</w:t>
      </w:r>
      <w:r w:rsidRPr="001C06E6">
        <w:t xml:space="preserve"> to extend the existing programs, Australian Indigenous Education Foundation Scholarship Program, Australian Institute for Teaching and School Leadership’s Indigenous Cultural Responsiveness Initiative and English Language Learning for Indigenous Children which aim to improve educational outcomes of First Nations students</w:t>
      </w:r>
      <w:r>
        <w:t xml:space="preserve"> </w:t>
      </w:r>
    </w:p>
    <w:p w14:paraId="5D8DDEFB" w14:textId="77777777" w:rsidR="0012790E" w:rsidRDefault="0012790E">
      <w:pPr>
        <w:pStyle w:val="Bullet"/>
      </w:pPr>
      <w:r w:rsidRPr="008F7E48">
        <w:rPr>
          <w:spacing w:val="-2"/>
        </w:rPr>
        <w:t xml:space="preserve">$18.2 million over four years from 2024–25 (and $2.2 million per year ongoing) to develop </w:t>
      </w:r>
      <w:r w:rsidRPr="001C06E6">
        <w:t>a new First Nations education policy and engage with First Nations stakeholders</w:t>
      </w:r>
      <w:r>
        <w:t xml:space="preserve"> </w:t>
      </w:r>
    </w:p>
    <w:p w14:paraId="26B01B4D" w14:textId="77777777" w:rsidR="0012790E" w:rsidRDefault="0012790E">
      <w:pPr>
        <w:pStyle w:val="Bullet"/>
      </w:pPr>
      <w:r w:rsidRPr="001C06E6">
        <w:t>$2.4</w:t>
      </w:r>
      <w:r>
        <w:t> </w:t>
      </w:r>
      <w:r w:rsidRPr="001C06E6">
        <w:t xml:space="preserve">million over three years from </w:t>
      </w:r>
      <w:r>
        <w:t>2024–25</w:t>
      </w:r>
      <w:r w:rsidRPr="001C06E6">
        <w:t xml:space="preserve"> to finalise and implement the First Nations Teacher Strategy to improve the attraction and retention of First Nations teachers.</w:t>
      </w:r>
      <w:r>
        <w:t xml:space="preserve"> </w:t>
      </w:r>
    </w:p>
    <w:p w14:paraId="4D1423D3" w14:textId="77777777" w:rsidR="0012790E" w:rsidRDefault="0012790E">
      <w:pPr>
        <w:pStyle w:val="Normal2"/>
        <w:rPr>
          <w:rFonts w:cs="Book Antiqua"/>
        </w:rPr>
      </w:pPr>
      <w:r w:rsidRPr="001C06E6">
        <w:rPr>
          <w:rFonts w:cs="Book Antiqua"/>
        </w:rPr>
        <w:t>The Government has already provided partial funding for this measure.</w:t>
      </w:r>
      <w:r>
        <w:rPr>
          <w:rFonts w:cs="Book Antiqua"/>
        </w:rPr>
        <w:t xml:space="preserve"> </w:t>
      </w:r>
    </w:p>
    <w:p w14:paraId="18AF411A" w14:textId="38520C57" w:rsidR="0012790E" w:rsidRDefault="0012790E" w:rsidP="54937204">
      <w:pPr>
        <w:pStyle w:val="Normal2"/>
        <w:rPr>
          <w:rFonts w:cs="Book Antiqua"/>
          <w:lang w:val="en-US"/>
        </w:rPr>
      </w:pPr>
      <w:r w:rsidRPr="54937204">
        <w:rPr>
          <w:rFonts w:cs="Book Antiqua"/>
          <w:lang w:val="en-US"/>
        </w:rPr>
        <w:t>The cost of this measure will be partially met from savings identified in the Education</w:t>
      </w:r>
      <w:r w:rsidR="008F7E48">
        <w:rPr>
          <w:rFonts w:cs="Book Antiqua"/>
          <w:lang w:val="en-US"/>
        </w:rPr>
        <w:t> </w:t>
      </w:r>
      <w:r w:rsidRPr="54937204">
        <w:rPr>
          <w:rFonts w:cs="Book Antiqua"/>
          <w:lang w:val="en-US"/>
        </w:rPr>
        <w:t xml:space="preserve">Portfolio. </w:t>
      </w:r>
    </w:p>
    <w:p w14:paraId="1661480E" w14:textId="77777777" w:rsidR="0012790E" w:rsidRPr="001C06E6" w:rsidRDefault="0012790E">
      <w:pPr>
        <w:pStyle w:val="Normal2"/>
        <w:rPr>
          <w:rFonts w:cs="Book Antiqua"/>
          <w:iCs/>
        </w:rPr>
      </w:pPr>
      <w:r w:rsidRPr="001C06E6">
        <w:rPr>
          <w:rFonts w:cs="Book Antiqua"/>
        </w:rPr>
        <w:t xml:space="preserve">This measure builds on the </w:t>
      </w:r>
      <w:r>
        <w:rPr>
          <w:rFonts w:cs="Book Antiqua"/>
        </w:rPr>
        <w:t>2023–24 </w:t>
      </w:r>
      <w:r w:rsidRPr="001C06E6">
        <w:rPr>
          <w:rFonts w:cs="Book Antiqua"/>
        </w:rPr>
        <w:t xml:space="preserve">Budget measures titled </w:t>
      </w:r>
      <w:r w:rsidRPr="001C06E6">
        <w:rPr>
          <w:rFonts w:cs="Book Antiqua"/>
          <w:i/>
          <w:iCs/>
        </w:rPr>
        <w:t>Teacher Workforce</w:t>
      </w:r>
      <w:r>
        <w:rPr>
          <w:rFonts w:cs="Book Antiqua"/>
          <w:i/>
          <w:iCs/>
        </w:rPr>
        <w:t xml:space="preserve"> </w:t>
      </w:r>
      <w:r w:rsidRPr="001C06E6">
        <w:rPr>
          <w:rFonts w:cs="Book Antiqua"/>
          <w:i/>
          <w:iCs/>
        </w:rPr>
        <w:t xml:space="preserve">Action Plan </w:t>
      </w:r>
      <w:r w:rsidRPr="001C06E6">
        <w:rPr>
          <w:rFonts w:cs="Book Antiqua"/>
        </w:rPr>
        <w:t xml:space="preserve">and </w:t>
      </w:r>
      <w:r w:rsidRPr="001C06E6">
        <w:rPr>
          <w:rFonts w:cs="Book Antiqua"/>
          <w:i/>
          <w:iCs/>
        </w:rPr>
        <w:t>First Nations – Supporting education outcomes.</w:t>
      </w:r>
      <w:r>
        <w:rPr>
          <w:rFonts w:cs="Book Antiqua"/>
          <w:i/>
          <w:iCs/>
        </w:rPr>
        <w:t xml:space="preserve"> </w:t>
      </w:r>
    </w:p>
    <w:p w14:paraId="2D16111C" w14:textId="77777777" w:rsidR="0012790E" w:rsidRPr="001C06E6" w:rsidRDefault="0012790E" w:rsidP="54937204">
      <w:pPr>
        <w:pStyle w:val="MeasureTitle"/>
        <w:rPr>
          <w:b w:val="0"/>
          <w:lang w:val="en-US"/>
        </w:rPr>
      </w:pPr>
      <w:r w:rsidRPr="54937204">
        <w:rPr>
          <w:lang w:val="en-US"/>
        </w:rPr>
        <w:lastRenderedPageBreak/>
        <w:t>Inclusion Support Program – additional funding</w:t>
      </w:r>
    </w:p>
    <w:p w14:paraId="429B38B6"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5CB7DD9" w14:textId="77777777">
        <w:tc>
          <w:tcPr>
            <w:tcW w:w="2497" w:type="dxa"/>
            <w:tcBorders>
              <w:top w:val="single" w:sz="4" w:space="0" w:color="293F5B"/>
              <w:bottom w:val="single" w:sz="4" w:space="0" w:color="293F5B"/>
            </w:tcBorders>
            <w:shd w:val="clear" w:color="auto" w:fill="auto"/>
          </w:tcPr>
          <w:p w14:paraId="57DB7A47"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9EEDFAB"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C076FD8"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445AB1AC"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65EE53B"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18CE8CA" w14:textId="77777777" w:rsidR="0012790E" w:rsidRPr="001C06E6" w:rsidRDefault="0012790E">
            <w:pPr>
              <w:pStyle w:val="MeasureTableYearHeadings"/>
              <w:keepNext/>
            </w:pPr>
            <w:r w:rsidRPr="001C06E6">
              <w:t>2027</w:t>
            </w:r>
            <w:r>
              <w:noBreakHyphen/>
            </w:r>
            <w:r w:rsidRPr="001C06E6">
              <w:t>28</w:t>
            </w:r>
          </w:p>
        </w:tc>
      </w:tr>
      <w:tr w:rsidR="0012790E" w:rsidRPr="001C06E6" w14:paraId="12783ADD" w14:textId="77777777">
        <w:tc>
          <w:tcPr>
            <w:tcW w:w="2497" w:type="dxa"/>
            <w:tcBorders>
              <w:top w:val="single" w:sz="4" w:space="0" w:color="293F5B"/>
              <w:bottom w:val="single" w:sz="4" w:space="0" w:color="293F5B"/>
            </w:tcBorders>
            <w:shd w:val="clear" w:color="auto" w:fill="auto"/>
          </w:tcPr>
          <w:p w14:paraId="1AA7E053" w14:textId="77777777" w:rsidR="0012790E" w:rsidRPr="001C06E6" w:rsidRDefault="0012790E">
            <w:pPr>
              <w:pStyle w:val="MeasureTableHeadingleftalignedwith2ptsspacing"/>
              <w:keepNext/>
            </w:pPr>
            <w:r w:rsidRPr="001C06E6">
              <w:t>Department of Education</w:t>
            </w:r>
          </w:p>
        </w:tc>
        <w:tc>
          <w:tcPr>
            <w:tcW w:w="1045" w:type="dxa"/>
            <w:tcBorders>
              <w:top w:val="single" w:sz="4" w:space="0" w:color="293F5B"/>
              <w:bottom w:val="single" w:sz="4" w:space="0" w:color="293F5B"/>
            </w:tcBorders>
            <w:shd w:val="clear" w:color="auto" w:fill="auto"/>
          </w:tcPr>
          <w:p w14:paraId="3555989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FCC64F3" w14:textId="77777777" w:rsidR="0012790E" w:rsidRPr="001C06E6" w:rsidRDefault="0012790E">
            <w:pPr>
              <w:pStyle w:val="MeasureTableDataRightAlignedwith2ptsspacing"/>
              <w:keepNext/>
            </w:pPr>
            <w:r w:rsidRPr="001C06E6">
              <w:t>98.4</w:t>
            </w:r>
          </w:p>
        </w:tc>
        <w:tc>
          <w:tcPr>
            <w:tcW w:w="1045" w:type="dxa"/>
            <w:tcBorders>
              <w:top w:val="single" w:sz="4" w:space="0" w:color="293F5B"/>
              <w:bottom w:val="single" w:sz="4" w:space="0" w:color="293F5B"/>
            </w:tcBorders>
            <w:shd w:val="clear" w:color="auto" w:fill="auto"/>
          </w:tcPr>
          <w:p w14:paraId="4F4994A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4D94E8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FA61B76" w14:textId="77777777" w:rsidR="0012790E" w:rsidRPr="001C06E6" w:rsidRDefault="0012790E">
            <w:pPr>
              <w:pStyle w:val="MeasureTableDataRightAlignedwith2ptsspacing"/>
              <w:keepNext/>
            </w:pPr>
            <w:r w:rsidRPr="001C06E6">
              <w:t>-</w:t>
            </w:r>
          </w:p>
        </w:tc>
      </w:tr>
    </w:tbl>
    <w:p w14:paraId="2976DE38"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5037CB15" w14:textId="77777777" w:rsidR="0012790E" w:rsidRDefault="0012790E" w:rsidP="54937204">
      <w:pPr>
        <w:pStyle w:val="Normal2"/>
        <w:rPr>
          <w:rFonts w:cs="Book Antiqua"/>
          <w:lang w:val="en-US"/>
        </w:rPr>
      </w:pPr>
      <w:r w:rsidRPr="54937204">
        <w:rPr>
          <w:rFonts w:cs="Book Antiqua"/>
          <w:lang w:val="en-US"/>
        </w:rPr>
        <w:t xml:space="preserve">The Government will provide $98.4 million in 2024–25 to help child care services increase their capacity to support inclusion of children with additional needs, through tailored support and funding to services. </w:t>
      </w:r>
    </w:p>
    <w:p w14:paraId="0776BC13" w14:textId="77777777" w:rsidR="0012790E" w:rsidRPr="001C06E6" w:rsidRDefault="0012790E" w:rsidP="54937204">
      <w:pPr>
        <w:pStyle w:val="Normal2"/>
        <w:rPr>
          <w:rFonts w:cs="Book Antiqua"/>
          <w:lang w:val="en-US"/>
        </w:rPr>
      </w:pPr>
      <w:r w:rsidRPr="54937204">
        <w:rPr>
          <w:rFonts w:cs="Book Antiqua"/>
          <w:lang w:val="en-US"/>
        </w:rPr>
        <w:t xml:space="preserve">The cost of this measure will be met from a reprioritisation of funding from the 2024–25 Budget measure titled </w:t>
      </w:r>
      <w:r w:rsidRPr="54937204">
        <w:rPr>
          <w:rFonts w:cs="Book Antiqua"/>
          <w:i/>
          <w:iCs/>
          <w:lang w:val="en-US"/>
        </w:rPr>
        <w:t xml:space="preserve">Child Care Subsidy Reform – further measures for strong and sustainable foundations. </w:t>
      </w:r>
    </w:p>
    <w:p w14:paraId="7119D767" w14:textId="77777777" w:rsidR="0012790E" w:rsidRPr="001C06E6" w:rsidRDefault="0012790E" w:rsidP="54937204">
      <w:pPr>
        <w:pStyle w:val="Normal2"/>
        <w:rPr>
          <w:rFonts w:cs="Book Antiqua"/>
          <w:lang w:val="en-US"/>
        </w:rPr>
      </w:pPr>
      <w:r w:rsidRPr="54937204">
        <w:rPr>
          <w:rFonts w:cs="Book Antiqua"/>
          <w:lang w:val="en-US"/>
        </w:rPr>
        <w:t xml:space="preserve">This measure extends the 2023–24 MYEFO measure titled </w:t>
      </w:r>
      <w:r w:rsidRPr="54937204">
        <w:rPr>
          <w:rFonts w:cs="Book Antiqua"/>
          <w:i/>
          <w:iCs/>
          <w:lang w:val="en-US"/>
        </w:rPr>
        <w:t xml:space="preserve">Child Care – additional support. </w:t>
      </w:r>
    </w:p>
    <w:p w14:paraId="07697498" w14:textId="77777777" w:rsidR="0012790E" w:rsidRPr="001C06E6" w:rsidRDefault="0012790E">
      <w:pPr>
        <w:pStyle w:val="MeasureTitle"/>
        <w:rPr>
          <w:b w:val="0"/>
          <w:bCs/>
        </w:rPr>
      </w:pPr>
      <w:r w:rsidRPr="001C06E6">
        <w:rPr>
          <w:bCs/>
        </w:rPr>
        <w:t>School Education Support</w:t>
      </w:r>
    </w:p>
    <w:p w14:paraId="73AAAD87"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DA8B626" w14:textId="77777777">
        <w:tc>
          <w:tcPr>
            <w:tcW w:w="2497" w:type="dxa"/>
            <w:tcBorders>
              <w:top w:val="single" w:sz="4" w:space="0" w:color="293F5B"/>
              <w:bottom w:val="single" w:sz="4" w:space="0" w:color="293F5B"/>
            </w:tcBorders>
            <w:shd w:val="clear" w:color="auto" w:fill="auto"/>
          </w:tcPr>
          <w:p w14:paraId="75D00ABA"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93876FC"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6396D4D"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422EEF3"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B35C129"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840166B" w14:textId="77777777" w:rsidR="0012790E" w:rsidRPr="001C06E6" w:rsidRDefault="0012790E">
            <w:pPr>
              <w:pStyle w:val="MeasureTableYearHeadings"/>
              <w:keepNext/>
            </w:pPr>
            <w:r w:rsidRPr="001C06E6">
              <w:t>2027</w:t>
            </w:r>
            <w:r>
              <w:noBreakHyphen/>
            </w:r>
            <w:r w:rsidRPr="001C06E6">
              <w:t>28</w:t>
            </w:r>
          </w:p>
        </w:tc>
      </w:tr>
      <w:tr w:rsidR="0012790E" w:rsidRPr="001C06E6" w14:paraId="03C87733" w14:textId="77777777">
        <w:tc>
          <w:tcPr>
            <w:tcW w:w="2497" w:type="dxa"/>
            <w:tcBorders>
              <w:top w:val="single" w:sz="4" w:space="0" w:color="293F5B"/>
              <w:bottom w:val="single" w:sz="4" w:space="0" w:color="293F5B"/>
            </w:tcBorders>
            <w:shd w:val="clear" w:color="auto" w:fill="auto"/>
          </w:tcPr>
          <w:p w14:paraId="7C60C13E" w14:textId="77777777" w:rsidR="0012790E" w:rsidRPr="001C06E6" w:rsidRDefault="0012790E">
            <w:pPr>
              <w:pStyle w:val="MeasureTableHeadingleftalignedwith2ptsspacing"/>
              <w:keepNext/>
            </w:pPr>
            <w:r w:rsidRPr="001C06E6">
              <w:t>Department of Education</w:t>
            </w:r>
          </w:p>
        </w:tc>
        <w:tc>
          <w:tcPr>
            <w:tcW w:w="1045" w:type="dxa"/>
            <w:tcBorders>
              <w:top w:val="single" w:sz="4" w:space="0" w:color="293F5B"/>
              <w:bottom w:val="single" w:sz="4" w:space="0" w:color="293F5B"/>
            </w:tcBorders>
            <w:shd w:val="clear" w:color="auto" w:fill="auto"/>
          </w:tcPr>
          <w:p w14:paraId="26E2680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6BD9BCC" w14:textId="77777777" w:rsidR="0012790E" w:rsidRPr="001C06E6" w:rsidRDefault="0012790E">
            <w:pPr>
              <w:pStyle w:val="MeasureTableDataRightAlignedwith2ptsspacing"/>
              <w:keepNext/>
            </w:pPr>
            <w:r w:rsidRPr="001C06E6">
              <w:t>9.1</w:t>
            </w:r>
          </w:p>
        </w:tc>
        <w:tc>
          <w:tcPr>
            <w:tcW w:w="1045" w:type="dxa"/>
            <w:tcBorders>
              <w:top w:val="single" w:sz="4" w:space="0" w:color="293F5B"/>
              <w:bottom w:val="single" w:sz="4" w:space="0" w:color="293F5B"/>
            </w:tcBorders>
            <w:shd w:val="clear" w:color="auto" w:fill="auto"/>
          </w:tcPr>
          <w:p w14:paraId="430ED759" w14:textId="77777777" w:rsidR="0012790E" w:rsidRPr="001C06E6" w:rsidRDefault="0012790E">
            <w:pPr>
              <w:pStyle w:val="MeasureTableDataRightAlignedwith2ptsspacing"/>
              <w:keepNext/>
            </w:pPr>
            <w:r w:rsidRPr="001C06E6">
              <w:t>12.7</w:t>
            </w:r>
          </w:p>
        </w:tc>
        <w:tc>
          <w:tcPr>
            <w:tcW w:w="1045" w:type="dxa"/>
            <w:tcBorders>
              <w:top w:val="single" w:sz="4" w:space="0" w:color="293F5B"/>
              <w:bottom w:val="single" w:sz="4" w:space="0" w:color="293F5B"/>
            </w:tcBorders>
            <w:shd w:val="clear" w:color="auto" w:fill="auto"/>
          </w:tcPr>
          <w:p w14:paraId="2B683CF0" w14:textId="77777777" w:rsidR="0012790E" w:rsidRPr="001C06E6" w:rsidRDefault="0012790E">
            <w:pPr>
              <w:pStyle w:val="MeasureTableDataRightAlignedwith2ptsspacing"/>
              <w:keepNext/>
            </w:pPr>
            <w:r w:rsidRPr="001C06E6">
              <w:t>11.1</w:t>
            </w:r>
          </w:p>
        </w:tc>
        <w:tc>
          <w:tcPr>
            <w:tcW w:w="1045" w:type="dxa"/>
            <w:tcBorders>
              <w:top w:val="single" w:sz="4" w:space="0" w:color="293F5B"/>
              <w:bottom w:val="single" w:sz="4" w:space="0" w:color="293F5B"/>
            </w:tcBorders>
            <w:shd w:val="clear" w:color="auto" w:fill="auto"/>
          </w:tcPr>
          <w:p w14:paraId="58F6813A" w14:textId="77777777" w:rsidR="0012790E" w:rsidRPr="001C06E6" w:rsidRDefault="0012790E">
            <w:pPr>
              <w:pStyle w:val="MeasureTableDataRightAlignedwith2ptsspacing"/>
              <w:keepNext/>
            </w:pPr>
            <w:r w:rsidRPr="001C06E6">
              <w:t>6.4</w:t>
            </w:r>
          </w:p>
        </w:tc>
      </w:tr>
    </w:tbl>
    <w:p w14:paraId="3C918CEF"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36D88983" w14:textId="77777777" w:rsidR="0012790E" w:rsidRDefault="0012790E">
      <w:pPr>
        <w:pStyle w:val="Normal2"/>
        <w:rPr>
          <w:rFonts w:cs="Book Antiqua"/>
        </w:rPr>
      </w:pPr>
      <w:r w:rsidRPr="001C06E6">
        <w:rPr>
          <w:rFonts w:cs="Book Antiqua"/>
        </w:rPr>
        <w:t>The Government will provide $70.3</w:t>
      </w:r>
      <w:r>
        <w:rPr>
          <w:rFonts w:cs="Book Antiqua"/>
        </w:rPr>
        <w:t> </w:t>
      </w:r>
      <w:r w:rsidRPr="001C06E6">
        <w:rPr>
          <w:rFonts w:cs="Book Antiqua"/>
        </w:rPr>
        <w:t xml:space="preserve">million over five years from </w:t>
      </w:r>
      <w:r>
        <w:rPr>
          <w:rFonts w:cs="Book Antiqua"/>
        </w:rPr>
        <w:t>2023–24</w:t>
      </w:r>
      <w:r w:rsidRPr="001C06E6">
        <w:rPr>
          <w:rFonts w:cs="Book Antiqua"/>
        </w:rPr>
        <w:t xml:space="preserve"> to continue</w:t>
      </w:r>
      <w:r>
        <w:rPr>
          <w:rFonts w:cs="Book Antiqua"/>
        </w:rPr>
        <w:t xml:space="preserve"> </w:t>
      </w:r>
      <w:r w:rsidRPr="001C06E6">
        <w:rPr>
          <w:rFonts w:cs="Book Antiqua"/>
        </w:rPr>
        <w:t>support for initiatives to improve education outcomes for students. Funding includes:</w:t>
      </w:r>
    </w:p>
    <w:p w14:paraId="2C203484" w14:textId="77777777" w:rsidR="0012790E" w:rsidRDefault="0012790E">
      <w:pPr>
        <w:pStyle w:val="Bullet"/>
      </w:pPr>
      <w:r w:rsidRPr="001C06E6">
        <w:t>$34.6</w:t>
      </w:r>
      <w:r>
        <w:t> </w:t>
      </w:r>
      <w:r w:rsidRPr="001C06E6">
        <w:t xml:space="preserve">million over four years from </w:t>
      </w:r>
      <w:r>
        <w:t>2024–25</w:t>
      </w:r>
      <w:r w:rsidRPr="001C06E6">
        <w:t xml:space="preserve"> to support the </w:t>
      </w:r>
      <w:r w:rsidRPr="001C06E6">
        <w:rPr>
          <w:i/>
        </w:rPr>
        <w:t>Digital Technologies Hub</w:t>
      </w:r>
      <w:r w:rsidRPr="001C06E6">
        <w:t xml:space="preserve">, </w:t>
      </w:r>
      <w:r w:rsidRPr="001C06E6">
        <w:rPr>
          <w:i/>
        </w:rPr>
        <w:t>Mathematics Hub</w:t>
      </w:r>
      <w:r w:rsidRPr="001C06E6">
        <w:t xml:space="preserve">, </w:t>
      </w:r>
      <w:r w:rsidRPr="001C06E6">
        <w:rPr>
          <w:i/>
        </w:rPr>
        <w:t>Literacy Hub</w:t>
      </w:r>
      <w:r w:rsidRPr="001C06E6">
        <w:t xml:space="preserve">, </w:t>
      </w:r>
      <w:r w:rsidRPr="001C06E6">
        <w:rPr>
          <w:i/>
        </w:rPr>
        <w:t>Civics and Citizenship Hub, Student Wellbeing Hub, Massive Open Online Courses and Number Check</w:t>
      </w:r>
      <w:r w:rsidRPr="001C06E6">
        <w:t xml:space="preserve">, and </w:t>
      </w:r>
      <w:r w:rsidRPr="001C06E6">
        <w:rPr>
          <w:i/>
        </w:rPr>
        <w:t xml:space="preserve">Early Learning Languages Australia </w:t>
      </w:r>
      <w:r w:rsidRPr="001C06E6">
        <w:t>initiative to make evidence</w:t>
      </w:r>
      <w:r>
        <w:noBreakHyphen/>
      </w:r>
      <w:r w:rsidRPr="001C06E6">
        <w:t>based curriculum support and professional development materials available to all teachers and school leaders</w:t>
      </w:r>
      <w:r>
        <w:t xml:space="preserve"> </w:t>
      </w:r>
    </w:p>
    <w:p w14:paraId="6A8B8231" w14:textId="77777777" w:rsidR="0012790E" w:rsidRDefault="0012790E">
      <w:pPr>
        <w:pStyle w:val="Bullet"/>
      </w:pPr>
      <w:r w:rsidRPr="001C06E6">
        <w:t>$12.7</w:t>
      </w:r>
      <w:r>
        <w:t> </w:t>
      </w:r>
      <w:r w:rsidRPr="001C06E6">
        <w:t xml:space="preserve">million over three years from </w:t>
      </w:r>
      <w:r>
        <w:t>2024–25</w:t>
      </w:r>
      <w:r w:rsidRPr="001C06E6">
        <w:t xml:space="preserve"> to support the Australian Curriculum, Assessment and Reporting Authority to manage the collection, quality assurance and reporting of school information</w:t>
      </w:r>
      <w:r>
        <w:t xml:space="preserve"> </w:t>
      </w:r>
    </w:p>
    <w:p w14:paraId="050E94A1" w14:textId="77777777" w:rsidR="0012790E" w:rsidRDefault="0012790E">
      <w:pPr>
        <w:pStyle w:val="Bullet"/>
      </w:pPr>
      <w:r w:rsidRPr="001C06E6">
        <w:t>$7.9</w:t>
      </w:r>
      <w:r>
        <w:t> </w:t>
      </w:r>
      <w:r w:rsidRPr="001C06E6">
        <w:t xml:space="preserve">million over two years from </w:t>
      </w:r>
      <w:r>
        <w:t>2024–25</w:t>
      </w:r>
      <w:r w:rsidRPr="001C06E6">
        <w:t xml:space="preserve"> to support the </w:t>
      </w:r>
      <w:r w:rsidRPr="001C06E6">
        <w:rPr>
          <w:i/>
          <w:iCs/>
        </w:rPr>
        <w:t>Online National Assessment Platform</w:t>
      </w:r>
      <w:r w:rsidRPr="001C06E6">
        <w:t xml:space="preserve"> to continue national testing of the National Assessment Program – Literacy and Numeracy, Civics and Citizenship, Information and Communication Technology Literacy and Science Literacy</w:t>
      </w:r>
      <w:r>
        <w:t xml:space="preserve"> </w:t>
      </w:r>
    </w:p>
    <w:p w14:paraId="1B689D83" w14:textId="77777777" w:rsidR="0012790E" w:rsidRDefault="0012790E">
      <w:pPr>
        <w:pStyle w:val="Bullet"/>
      </w:pPr>
      <w:r w:rsidRPr="001C06E6">
        <w:t>$5.3</w:t>
      </w:r>
      <w:r>
        <w:t> </w:t>
      </w:r>
      <w:r w:rsidRPr="001C06E6">
        <w:t xml:space="preserve">million over two years from </w:t>
      </w:r>
      <w:r>
        <w:t>2024–25</w:t>
      </w:r>
      <w:r w:rsidRPr="001C06E6">
        <w:t xml:space="preserve"> to support the </w:t>
      </w:r>
      <w:r w:rsidRPr="001C06E6">
        <w:rPr>
          <w:i/>
          <w:iCs/>
        </w:rPr>
        <w:t>Good to Great Schools Australia</w:t>
      </w:r>
      <w:r w:rsidRPr="001C06E6">
        <w:t xml:space="preserve"> English, Maths and Science pilot program to deliver targeted supports to students</w:t>
      </w:r>
      <w:r>
        <w:t xml:space="preserve"> </w:t>
      </w:r>
    </w:p>
    <w:p w14:paraId="176F66D6" w14:textId="77777777" w:rsidR="0012790E" w:rsidRDefault="0012790E">
      <w:pPr>
        <w:pStyle w:val="Bullet"/>
      </w:pPr>
      <w:r w:rsidRPr="001C06E6">
        <w:t>$4.2</w:t>
      </w:r>
      <w:r>
        <w:t> </w:t>
      </w:r>
      <w:r w:rsidRPr="001C06E6">
        <w:t xml:space="preserve">million over four years from </w:t>
      </w:r>
      <w:r>
        <w:t>2024–25</w:t>
      </w:r>
      <w:r w:rsidRPr="001C06E6">
        <w:t xml:space="preserve"> to support the Australian Schools Anti</w:t>
      </w:r>
      <w:r>
        <w:noBreakHyphen/>
      </w:r>
      <w:r w:rsidRPr="001C06E6">
        <w:t>Bullying Collective to deliver national bullying prevention initiatives</w:t>
      </w:r>
      <w:r>
        <w:t xml:space="preserve"> </w:t>
      </w:r>
    </w:p>
    <w:p w14:paraId="27C8D4B8" w14:textId="77777777" w:rsidR="0012790E" w:rsidRDefault="0012790E">
      <w:pPr>
        <w:pStyle w:val="Bullet"/>
      </w:pPr>
      <w:r w:rsidRPr="001C06E6">
        <w:lastRenderedPageBreak/>
        <w:t>$4.0</w:t>
      </w:r>
      <w:r>
        <w:t> </w:t>
      </w:r>
      <w:r w:rsidRPr="001C06E6">
        <w:t xml:space="preserve">million over two years from </w:t>
      </w:r>
      <w:r>
        <w:t>2024–25</w:t>
      </w:r>
      <w:r w:rsidRPr="001C06E6">
        <w:t xml:space="preserve"> to support Together for Humanity to deliver initiatives aimed at strengthening intercultural and interfaith understanding and building culturally safe schools</w:t>
      </w:r>
      <w:r>
        <w:t xml:space="preserve"> </w:t>
      </w:r>
    </w:p>
    <w:p w14:paraId="5E955A6D" w14:textId="77777777" w:rsidR="0012790E" w:rsidRDefault="0012790E">
      <w:pPr>
        <w:pStyle w:val="Bullet"/>
      </w:pPr>
      <w:r w:rsidRPr="001C06E6">
        <w:t>$1.7</w:t>
      </w:r>
      <w:r>
        <w:t> </w:t>
      </w:r>
      <w:r w:rsidRPr="001C06E6">
        <w:t xml:space="preserve">million over four years from </w:t>
      </w:r>
      <w:r>
        <w:t>2023–24</w:t>
      </w:r>
      <w:r w:rsidRPr="001C06E6">
        <w:t xml:space="preserve"> to deliver initiatives announced in the Government’s youth engagement strategy, </w:t>
      </w:r>
      <w:r w:rsidRPr="001C06E6">
        <w:rPr>
          <w:i/>
          <w:iCs/>
        </w:rPr>
        <w:t>Engage! A strategy to include young people in the decisions we make</w:t>
      </w:r>
      <w:r w:rsidRPr="001C06E6">
        <w:t>.</w:t>
      </w:r>
      <w:r>
        <w:t xml:space="preserve"> </w:t>
      </w:r>
    </w:p>
    <w:p w14:paraId="22BB01A8" w14:textId="77777777" w:rsidR="0012790E" w:rsidRPr="001C06E6" w:rsidRDefault="0012790E">
      <w:pPr>
        <w:pStyle w:val="Normal2"/>
        <w:rPr>
          <w:rFonts w:cs="Book Antiqua"/>
          <w:iCs/>
        </w:rPr>
      </w:pPr>
      <w:r w:rsidRPr="001C06E6">
        <w:rPr>
          <w:rFonts w:cs="Book Antiqua"/>
        </w:rPr>
        <w:t>The Government will partially offset these costs by redirecting $29.4</w:t>
      </w:r>
      <w:r>
        <w:rPr>
          <w:rFonts w:cs="Book Antiqua"/>
        </w:rPr>
        <w:t> </w:t>
      </w:r>
      <w:r w:rsidRPr="001C06E6">
        <w:rPr>
          <w:rFonts w:cs="Book Antiqua"/>
        </w:rPr>
        <w:t>million over four</w:t>
      </w:r>
      <w:r>
        <w:rPr>
          <w:rFonts w:cs="Book Antiqua"/>
        </w:rPr>
        <w:t xml:space="preserve"> </w:t>
      </w:r>
      <w:r w:rsidRPr="001C06E6">
        <w:rPr>
          <w:rFonts w:cs="Book Antiqua"/>
        </w:rPr>
        <w:t xml:space="preserve">years from </w:t>
      </w:r>
      <w:r>
        <w:rPr>
          <w:rFonts w:cs="Book Antiqua"/>
        </w:rPr>
        <w:t>2024–25</w:t>
      </w:r>
      <w:r w:rsidRPr="001C06E6">
        <w:rPr>
          <w:rFonts w:cs="Book Antiqua"/>
        </w:rPr>
        <w:t xml:space="preserve"> from the </w:t>
      </w:r>
      <w:r>
        <w:rPr>
          <w:rFonts w:cs="Book Antiqua"/>
        </w:rPr>
        <w:t>2018–19 </w:t>
      </w:r>
      <w:r w:rsidRPr="001C06E6">
        <w:rPr>
          <w:rFonts w:cs="Book Antiqua"/>
        </w:rPr>
        <w:t xml:space="preserve">MYEFO measure titled </w:t>
      </w:r>
      <w:r w:rsidRPr="001C06E6">
        <w:rPr>
          <w:rFonts w:cs="Book Antiqua"/>
          <w:i/>
          <w:iCs/>
        </w:rPr>
        <w:t>National School</w:t>
      </w:r>
      <w:r>
        <w:rPr>
          <w:rFonts w:cs="Book Antiqua"/>
          <w:i/>
          <w:iCs/>
        </w:rPr>
        <w:t xml:space="preserve"> </w:t>
      </w:r>
      <w:r w:rsidRPr="001C06E6">
        <w:rPr>
          <w:rFonts w:cs="Book Antiqua"/>
          <w:i/>
          <w:iCs/>
        </w:rPr>
        <w:t>Reform Agreement – Commonwealth contribution to national policy incentives.</w:t>
      </w:r>
      <w:r>
        <w:rPr>
          <w:rFonts w:cs="Book Antiqua"/>
          <w:i/>
          <w:iCs/>
        </w:rPr>
        <w:t xml:space="preserve"> </w:t>
      </w:r>
    </w:p>
    <w:p w14:paraId="7B3B5FBF" w14:textId="77777777" w:rsidR="0012790E" w:rsidRDefault="0012790E" w:rsidP="54937204">
      <w:pPr>
        <w:pStyle w:val="Normal2"/>
        <w:rPr>
          <w:rFonts w:cs="Book Antiqua"/>
          <w:lang w:val="en-US"/>
        </w:rPr>
      </w:pPr>
      <w:r w:rsidRPr="008F7E48">
        <w:rPr>
          <w:rFonts w:cs="Book Antiqua"/>
          <w:spacing w:val="-2"/>
          <w:lang w:val="en-US"/>
        </w:rPr>
        <w:t xml:space="preserve">The remaining costs of this measure will be partially met from within the existing resourcing </w:t>
      </w:r>
      <w:r w:rsidRPr="54937204">
        <w:rPr>
          <w:rFonts w:cs="Book Antiqua"/>
          <w:lang w:val="en-US"/>
        </w:rPr>
        <w:t xml:space="preserve">of the Department of Education and savings identified in the Education Portfolio. </w:t>
      </w:r>
    </w:p>
    <w:p w14:paraId="2FD51ACC" w14:textId="77777777" w:rsidR="0012790E" w:rsidRDefault="0012790E">
      <w:pPr>
        <w:pStyle w:val="PortfolioName"/>
        <w:rPr>
          <w:bCs/>
          <w:szCs w:val="26"/>
        </w:rPr>
        <w:sectPr w:rsidR="0012790E" w:rsidSect="00EA5BFE">
          <w:pgSz w:w="11905" w:h="16837"/>
          <w:pgMar w:top="2835" w:right="2098" w:bottom="2466" w:left="2098" w:header="1814" w:footer="1814" w:gutter="0"/>
          <w:cols w:space="720"/>
          <w:noEndnote/>
          <w:docGrid w:linePitch="272"/>
        </w:sectPr>
      </w:pPr>
    </w:p>
    <w:p w14:paraId="1D71DA0E" w14:textId="77777777" w:rsidR="0012790E" w:rsidRPr="001C06E6" w:rsidRDefault="0012790E">
      <w:pPr>
        <w:pStyle w:val="PortfolioName"/>
      </w:pPr>
      <w:r w:rsidRPr="001C06E6">
        <w:rPr>
          <w:bCs/>
          <w:szCs w:val="26"/>
        </w:rPr>
        <w:t>Employment and Workplace Relations</w:t>
      </w:r>
    </w:p>
    <w:p w14:paraId="33C70BAD" w14:textId="77777777" w:rsidR="0012790E" w:rsidRPr="001C06E6" w:rsidRDefault="0012790E">
      <w:pPr>
        <w:pStyle w:val="MeasureTitle"/>
      </w:pPr>
      <w:r w:rsidRPr="001C06E6">
        <w:rPr>
          <w:bCs/>
        </w:rPr>
        <w:t>Australian Apprenticeships Incentive System</w:t>
      </w:r>
      <w:r>
        <w:rPr>
          <w:bCs/>
        </w:rPr>
        <w:t xml:space="preserve"> – </w:t>
      </w:r>
      <w:r w:rsidRPr="001C06E6">
        <w:rPr>
          <w:bCs/>
        </w:rPr>
        <w:t>further support</w:t>
      </w:r>
    </w:p>
    <w:p w14:paraId="7617B559"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C8B8A99" w14:textId="77777777">
        <w:tc>
          <w:tcPr>
            <w:tcW w:w="2497" w:type="dxa"/>
            <w:tcBorders>
              <w:top w:val="single" w:sz="4" w:space="0" w:color="293F5B"/>
              <w:bottom w:val="single" w:sz="4" w:space="0" w:color="293F5B"/>
            </w:tcBorders>
            <w:shd w:val="clear" w:color="auto" w:fill="auto"/>
          </w:tcPr>
          <w:p w14:paraId="06951ECE"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1CB87E6"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8294BD6"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34F1CF3"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D163F57"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988B4C4" w14:textId="77777777" w:rsidR="0012790E" w:rsidRPr="001C06E6" w:rsidRDefault="0012790E">
            <w:pPr>
              <w:pStyle w:val="MeasureTableYearHeadings"/>
              <w:keepNext/>
            </w:pPr>
            <w:r w:rsidRPr="001C06E6">
              <w:t>2027</w:t>
            </w:r>
            <w:r>
              <w:noBreakHyphen/>
            </w:r>
            <w:r w:rsidRPr="001C06E6">
              <w:t>28</w:t>
            </w:r>
          </w:p>
        </w:tc>
      </w:tr>
      <w:tr w:rsidR="0012790E" w:rsidRPr="001C06E6" w14:paraId="10E44FFE" w14:textId="77777777">
        <w:tc>
          <w:tcPr>
            <w:tcW w:w="2497" w:type="dxa"/>
            <w:tcBorders>
              <w:top w:val="single" w:sz="4" w:space="0" w:color="293F5B"/>
              <w:bottom w:val="single" w:sz="4" w:space="0" w:color="293F5B"/>
            </w:tcBorders>
            <w:shd w:val="clear" w:color="auto" w:fill="auto"/>
          </w:tcPr>
          <w:p w14:paraId="10510483"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0F26C74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DB765F3" w14:textId="77777777" w:rsidR="0012790E" w:rsidRPr="001C06E6" w:rsidRDefault="0012790E">
            <w:pPr>
              <w:pStyle w:val="MeasureTableDataRightAlignedwith2ptsspacing"/>
              <w:keepNext/>
            </w:pPr>
            <w:r>
              <w:t xml:space="preserve">65.2 </w:t>
            </w:r>
          </w:p>
        </w:tc>
        <w:tc>
          <w:tcPr>
            <w:tcW w:w="1045" w:type="dxa"/>
            <w:tcBorders>
              <w:top w:val="single" w:sz="4" w:space="0" w:color="293F5B"/>
              <w:bottom w:val="single" w:sz="4" w:space="0" w:color="293F5B"/>
            </w:tcBorders>
            <w:shd w:val="clear" w:color="auto" w:fill="auto"/>
          </w:tcPr>
          <w:p w14:paraId="5FCF0AD8" w14:textId="77777777" w:rsidR="0012790E" w:rsidRPr="001C06E6" w:rsidRDefault="0012790E">
            <w:pPr>
              <w:pStyle w:val="MeasureTableDataRightAlignedwith2ptsspacing"/>
              <w:keepNext/>
            </w:pPr>
            <w:r>
              <w:t xml:space="preserve">180.1 </w:t>
            </w:r>
          </w:p>
        </w:tc>
        <w:tc>
          <w:tcPr>
            <w:tcW w:w="1045" w:type="dxa"/>
            <w:tcBorders>
              <w:top w:val="single" w:sz="4" w:space="0" w:color="293F5B"/>
              <w:bottom w:val="single" w:sz="4" w:space="0" w:color="293F5B"/>
            </w:tcBorders>
            <w:shd w:val="clear" w:color="auto" w:fill="auto"/>
          </w:tcPr>
          <w:p w14:paraId="24DFEC11" w14:textId="77777777" w:rsidR="0012790E" w:rsidRPr="001C06E6" w:rsidRDefault="0012790E">
            <w:pPr>
              <w:pStyle w:val="MeasureTableDataRightAlignedwith2ptsspacing"/>
              <w:keepNext/>
            </w:pPr>
            <w:r>
              <w:t xml:space="preserve">18.0 </w:t>
            </w:r>
          </w:p>
        </w:tc>
        <w:tc>
          <w:tcPr>
            <w:tcW w:w="1045" w:type="dxa"/>
            <w:tcBorders>
              <w:top w:val="single" w:sz="4" w:space="0" w:color="293F5B"/>
              <w:bottom w:val="single" w:sz="4" w:space="0" w:color="293F5B"/>
            </w:tcBorders>
            <w:shd w:val="clear" w:color="auto" w:fill="auto"/>
          </w:tcPr>
          <w:p w14:paraId="3D701BB9" w14:textId="77777777" w:rsidR="0012790E" w:rsidRPr="001C06E6" w:rsidRDefault="0012790E">
            <w:pPr>
              <w:pStyle w:val="MeasureTableDataRightAlignedwith2ptsspacing"/>
              <w:keepNext/>
            </w:pPr>
            <w:r>
              <w:t xml:space="preserve">1.9 </w:t>
            </w:r>
          </w:p>
        </w:tc>
      </w:tr>
      <w:tr w:rsidR="0012790E" w:rsidRPr="001C06E6" w14:paraId="7F2F01CA" w14:textId="77777777">
        <w:tc>
          <w:tcPr>
            <w:tcW w:w="2497" w:type="dxa"/>
            <w:tcBorders>
              <w:top w:val="single" w:sz="4" w:space="0" w:color="293F5B"/>
            </w:tcBorders>
            <w:shd w:val="clear" w:color="auto" w:fill="auto"/>
          </w:tcPr>
          <w:p w14:paraId="21DD7733"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4832B4A5" w14:textId="77777777" w:rsidR="0012790E" w:rsidRPr="001C06E6" w:rsidRDefault="0012790E">
            <w:pPr>
              <w:pStyle w:val="AgencyName"/>
              <w:keepNext/>
            </w:pPr>
          </w:p>
        </w:tc>
        <w:tc>
          <w:tcPr>
            <w:tcW w:w="1045" w:type="dxa"/>
            <w:tcBorders>
              <w:top w:val="single" w:sz="4" w:space="0" w:color="293F5B"/>
            </w:tcBorders>
            <w:shd w:val="clear" w:color="auto" w:fill="auto"/>
          </w:tcPr>
          <w:p w14:paraId="5C4904F7" w14:textId="77777777" w:rsidR="0012790E" w:rsidRPr="001C06E6" w:rsidRDefault="0012790E">
            <w:pPr>
              <w:pStyle w:val="AgencyName"/>
              <w:keepNext/>
            </w:pPr>
          </w:p>
        </w:tc>
        <w:tc>
          <w:tcPr>
            <w:tcW w:w="1045" w:type="dxa"/>
            <w:tcBorders>
              <w:top w:val="single" w:sz="4" w:space="0" w:color="293F5B"/>
            </w:tcBorders>
            <w:shd w:val="clear" w:color="auto" w:fill="auto"/>
          </w:tcPr>
          <w:p w14:paraId="78506E90" w14:textId="77777777" w:rsidR="0012790E" w:rsidRPr="001C06E6" w:rsidRDefault="0012790E">
            <w:pPr>
              <w:pStyle w:val="AgencyName"/>
              <w:keepNext/>
            </w:pPr>
          </w:p>
        </w:tc>
        <w:tc>
          <w:tcPr>
            <w:tcW w:w="1045" w:type="dxa"/>
            <w:tcBorders>
              <w:top w:val="single" w:sz="4" w:space="0" w:color="293F5B"/>
            </w:tcBorders>
            <w:shd w:val="clear" w:color="auto" w:fill="auto"/>
          </w:tcPr>
          <w:p w14:paraId="40AE8DA9" w14:textId="77777777" w:rsidR="0012790E" w:rsidRPr="001C06E6" w:rsidRDefault="0012790E">
            <w:pPr>
              <w:pStyle w:val="AgencyName"/>
              <w:keepNext/>
            </w:pPr>
          </w:p>
        </w:tc>
        <w:tc>
          <w:tcPr>
            <w:tcW w:w="1045" w:type="dxa"/>
            <w:tcBorders>
              <w:top w:val="single" w:sz="4" w:space="0" w:color="293F5B"/>
            </w:tcBorders>
            <w:shd w:val="clear" w:color="auto" w:fill="auto"/>
          </w:tcPr>
          <w:p w14:paraId="037D7646" w14:textId="77777777" w:rsidR="0012790E" w:rsidRPr="001C06E6" w:rsidRDefault="0012790E">
            <w:pPr>
              <w:pStyle w:val="AgencyName"/>
              <w:keepNext/>
            </w:pPr>
          </w:p>
        </w:tc>
      </w:tr>
      <w:tr w:rsidR="0012790E" w:rsidRPr="001C06E6" w14:paraId="515B75B1" w14:textId="77777777">
        <w:tc>
          <w:tcPr>
            <w:tcW w:w="2497" w:type="dxa"/>
            <w:tcBorders>
              <w:bottom w:val="single" w:sz="4" w:space="0" w:color="293F5B"/>
            </w:tcBorders>
            <w:shd w:val="clear" w:color="auto" w:fill="auto"/>
          </w:tcPr>
          <w:p w14:paraId="4964A296" w14:textId="77777777" w:rsidR="0012790E" w:rsidRPr="001C06E6" w:rsidRDefault="0012790E">
            <w:pPr>
              <w:pStyle w:val="AgencyNamewith2ptsspacing"/>
              <w:keepNext/>
            </w:pPr>
            <w:r>
              <w:t xml:space="preserve">Department of Employment and Workplace Relations </w:t>
            </w:r>
          </w:p>
        </w:tc>
        <w:tc>
          <w:tcPr>
            <w:tcW w:w="1045" w:type="dxa"/>
            <w:tcBorders>
              <w:bottom w:val="single" w:sz="4" w:space="0" w:color="293F5B"/>
            </w:tcBorders>
            <w:shd w:val="clear" w:color="auto" w:fill="auto"/>
          </w:tcPr>
          <w:p w14:paraId="34BE263D"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7DCDD284"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5C12026B"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39F3B570"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5584591C" w14:textId="77777777" w:rsidR="0012790E" w:rsidRPr="001C06E6" w:rsidRDefault="0012790E">
            <w:pPr>
              <w:pStyle w:val="Measuretabledatarightaligneditalics"/>
              <w:keepNext/>
            </w:pPr>
            <w:r>
              <w:t xml:space="preserve">.. </w:t>
            </w:r>
          </w:p>
        </w:tc>
      </w:tr>
    </w:tbl>
    <w:p w14:paraId="3CBEDE11" w14:textId="77777777" w:rsidR="0012790E" w:rsidRPr="001C06E6" w:rsidRDefault="0012790E">
      <w:pPr>
        <w:keepNext/>
        <w:widowControl w:val="0"/>
        <w:spacing w:line="184" w:lineRule="exact"/>
        <w:rPr>
          <w:i/>
          <w:iCs/>
          <w:color w:val="000000"/>
          <w:sz w:val="16"/>
          <w:szCs w:val="16"/>
          <w:lang w:val="en-AU"/>
        </w:rPr>
      </w:pPr>
    </w:p>
    <w:p w14:paraId="015A190E" w14:textId="77777777" w:rsidR="0012790E" w:rsidRDefault="0012790E" w:rsidP="54937204">
      <w:pPr>
        <w:pStyle w:val="Normal2"/>
        <w:rPr>
          <w:rFonts w:cs="Book Antiqua"/>
          <w:lang w:val="en-US"/>
        </w:rPr>
      </w:pPr>
      <w:r w:rsidRPr="54937204">
        <w:rPr>
          <w:rFonts w:cs="Book Antiqua"/>
          <w:lang w:val="en-US"/>
        </w:rPr>
        <w:t xml:space="preserve">The Government will provide $265.1 million over four years from 2024–25 to adjust previously scheduled Phase Two Incentive System payments to provide further support for apprentices, trainees and their employers in priority occupations, while the Government undertakes the Strategic Review of the Australian Apprenticeships Incentive System. </w:t>
      </w:r>
    </w:p>
    <w:p w14:paraId="787FF09F" w14:textId="77777777" w:rsidR="0012790E" w:rsidRDefault="0012790E">
      <w:pPr>
        <w:pStyle w:val="Normal2"/>
        <w:rPr>
          <w:rFonts w:cs="Book Antiqua"/>
        </w:rPr>
      </w:pPr>
      <w:r w:rsidRPr="001C06E6">
        <w:rPr>
          <w:rFonts w:cs="Book Antiqua"/>
        </w:rPr>
        <w:t xml:space="preserve">Under </w:t>
      </w:r>
      <w:r>
        <w:rPr>
          <w:rFonts w:cs="Book Antiqua"/>
        </w:rPr>
        <w:t>2022–23</w:t>
      </w:r>
      <w:r w:rsidRPr="001C06E6">
        <w:rPr>
          <w:rFonts w:cs="Book Antiqua"/>
        </w:rPr>
        <w:t xml:space="preserve"> March Budget arrangements for the Australian Apprenticeships</w:t>
      </w:r>
      <w:r>
        <w:rPr>
          <w:rFonts w:cs="Book Antiqua"/>
        </w:rPr>
        <w:t xml:space="preserve"> </w:t>
      </w:r>
      <w:r w:rsidRPr="001C06E6">
        <w:rPr>
          <w:rFonts w:cs="Book Antiqua"/>
        </w:rPr>
        <w:t>Incentive System, financial support to apprentices, trainees and their employers was</w:t>
      </w:r>
      <w:r>
        <w:rPr>
          <w:rFonts w:cs="Book Antiqua"/>
        </w:rPr>
        <w:t xml:space="preserve"> </w:t>
      </w:r>
      <w:r w:rsidRPr="001C06E6">
        <w:rPr>
          <w:rFonts w:cs="Book Antiqua"/>
        </w:rPr>
        <w:t>scheduled to reduce from 1</w:t>
      </w:r>
      <w:r>
        <w:rPr>
          <w:rFonts w:cs="Book Antiqua"/>
        </w:rPr>
        <w:t> </w:t>
      </w:r>
      <w:r w:rsidRPr="001C06E6">
        <w:rPr>
          <w:rFonts w:cs="Book Antiqua"/>
        </w:rPr>
        <w:t>July</w:t>
      </w:r>
      <w:r>
        <w:rPr>
          <w:rFonts w:cs="Book Antiqua"/>
        </w:rPr>
        <w:t> </w:t>
      </w:r>
      <w:r w:rsidRPr="001C06E6">
        <w:rPr>
          <w:rFonts w:cs="Book Antiqua"/>
        </w:rPr>
        <w:t>2024, including for those in priority occupations,</w:t>
      </w:r>
      <w:r>
        <w:rPr>
          <w:rFonts w:cs="Book Antiqua"/>
        </w:rPr>
        <w:t xml:space="preserve"> </w:t>
      </w:r>
      <w:r w:rsidRPr="001C06E6">
        <w:rPr>
          <w:rFonts w:cs="Book Antiqua"/>
        </w:rPr>
        <w:t>through the implementation of Phase Two settings. The measure will increase Phase</w:t>
      </w:r>
      <w:r>
        <w:rPr>
          <w:rFonts w:cs="Book Antiqua"/>
        </w:rPr>
        <w:t xml:space="preserve"> </w:t>
      </w:r>
      <w:r w:rsidRPr="001C06E6">
        <w:rPr>
          <w:rFonts w:cs="Book Antiqua"/>
        </w:rPr>
        <w:t>Two Incentive System payments for apprentices in priority occupations from $3,000 to</w:t>
      </w:r>
      <w:r>
        <w:rPr>
          <w:rFonts w:cs="Book Antiqua"/>
        </w:rPr>
        <w:t xml:space="preserve"> </w:t>
      </w:r>
      <w:r w:rsidRPr="001C06E6">
        <w:rPr>
          <w:rFonts w:cs="Book Antiqua"/>
        </w:rPr>
        <w:t>$5,000 and hiring incentives for priority occupation employers from $4,000 to $5,000</w:t>
      </w:r>
      <w:r>
        <w:rPr>
          <w:rFonts w:cs="Book Antiqua"/>
        </w:rPr>
        <w:t xml:space="preserve"> </w:t>
      </w:r>
      <w:r w:rsidRPr="001C06E6">
        <w:rPr>
          <w:rFonts w:cs="Book Antiqua"/>
        </w:rPr>
        <w:t>for 12 months from 1</w:t>
      </w:r>
      <w:r>
        <w:rPr>
          <w:rFonts w:cs="Book Antiqua"/>
        </w:rPr>
        <w:t> </w:t>
      </w:r>
      <w:r w:rsidRPr="001C06E6">
        <w:rPr>
          <w:rFonts w:cs="Book Antiqua"/>
        </w:rPr>
        <w:t>July</w:t>
      </w:r>
      <w:r>
        <w:rPr>
          <w:rFonts w:cs="Book Antiqua"/>
        </w:rPr>
        <w:t> </w:t>
      </w:r>
      <w:r w:rsidRPr="001C06E6">
        <w:rPr>
          <w:rFonts w:cs="Book Antiqua"/>
        </w:rPr>
        <w:t>2024.</w:t>
      </w:r>
      <w:r>
        <w:rPr>
          <w:rFonts w:cs="Book Antiqua"/>
        </w:rPr>
        <w:t xml:space="preserve"> </w:t>
      </w:r>
    </w:p>
    <w:p w14:paraId="5F3EE8FD" w14:textId="788F86C4" w:rsidR="0012790E" w:rsidRPr="001C06E6" w:rsidRDefault="0012790E">
      <w:pPr>
        <w:pStyle w:val="Normal2"/>
        <w:rPr>
          <w:rFonts w:cs="Book Antiqua"/>
          <w:iCs/>
        </w:rPr>
      </w:pPr>
      <w:r w:rsidRPr="001C06E6">
        <w:rPr>
          <w:rFonts w:cs="Book Antiqua"/>
        </w:rPr>
        <w:t xml:space="preserve">This measure builds on the </w:t>
      </w:r>
      <w:r>
        <w:rPr>
          <w:rFonts w:cs="Book Antiqua"/>
        </w:rPr>
        <w:t>2023–24 </w:t>
      </w:r>
      <w:r w:rsidRPr="001C06E6">
        <w:rPr>
          <w:rFonts w:cs="Book Antiqua"/>
        </w:rPr>
        <w:t xml:space="preserve">MYEFO measure titled </w:t>
      </w:r>
      <w:r w:rsidRPr="001C06E6">
        <w:rPr>
          <w:rFonts w:cs="Book Antiqua"/>
          <w:i/>
          <w:iCs/>
        </w:rPr>
        <w:t>Review of Australian</w:t>
      </w:r>
      <w:r>
        <w:rPr>
          <w:rFonts w:cs="Book Antiqua"/>
          <w:i/>
          <w:iCs/>
        </w:rPr>
        <w:t xml:space="preserve"> </w:t>
      </w:r>
      <w:r w:rsidRPr="001C06E6">
        <w:rPr>
          <w:rFonts w:cs="Book Antiqua"/>
          <w:i/>
          <w:iCs/>
        </w:rPr>
        <w:t xml:space="preserve">Apprenticeships and Incentives </w:t>
      </w:r>
      <w:r w:rsidRPr="001C06E6">
        <w:rPr>
          <w:rFonts w:cs="Book Antiqua"/>
        </w:rPr>
        <w:t>and on the Employment White Paper</w:t>
      </w:r>
      <w:r w:rsidRPr="001C06E6">
        <w:rPr>
          <w:rFonts w:cs="Book Antiqua"/>
          <w:i/>
          <w:iCs/>
        </w:rPr>
        <w:t>.</w:t>
      </w:r>
      <w:r>
        <w:rPr>
          <w:rFonts w:cs="Book Antiqua"/>
          <w:i/>
          <w:iCs/>
        </w:rPr>
        <w:t xml:space="preserve"> </w:t>
      </w:r>
    </w:p>
    <w:p w14:paraId="0B7D2694" w14:textId="77777777" w:rsidR="0012790E" w:rsidRPr="001C06E6" w:rsidRDefault="0012790E" w:rsidP="54937204">
      <w:pPr>
        <w:pStyle w:val="MeasureTitle"/>
        <w:rPr>
          <w:b w:val="0"/>
          <w:lang w:val="en-US"/>
        </w:rPr>
      </w:pPr>
      <w:r w:rsidRPr="54937204">
        <w:rPr>
          <w:lang w:val="en-US"/>
        </w:rPr>
        <w:t>Employment and Workplace Relations – reprioritisation</w:t>
      </w:r>
    </w:p>
    <w:p w14:paraId="5B3DA81F"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14283CD" w14:textId="77777777">
        <w:tc>
          <w:tcPr>
            <w:tcW w:w="2497" w:type="dxa"/>
            <w:tcBorders>
              <w:top w:val="single" w:sz="4" w:space="0" w:color="293F5B"/>
              <w:bottom w:val="single" w:sz="4" w:space="0" w:color="293F5B"/>
            </w:tcBorders>
            <w:shd w:val="clear" w:color="auto" w:fill="auto"/>
          </w:tcPr>
          <w:p w14:paraId="67679B7B"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CC49EF2"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E12548C"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0426642"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E59E54B"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9BE36A0" w14:textId="77777777" w:rsidR="0012790E" w:rsidRPr="001C06E6" w:rsidRDefault="0012790E">
            <w:pPr>
              <w:pStyle w:val="MeasureTableYearHeadings"/>
              <w:keepNext/>
            </w:pPr>
            <w:r w:rsidRPr="001C06E6">
              <w:t>2027</w:t>
            </w:r>
            <w:r>
              <w:noBreakHyphen/>
            </w:r>
            <w:r w:rsidRPr="001C06E6">
              <w:t>28</w:t>
            </w:r>
          </w:p>
        </w:tc>
      </w:tr>
      <w:tr w:rsidR="0012790E" w:rsidRPr="001C06E6" w14:paraId="13B65A87" w14:textId="77777777">
        <w:tc>
          <w:tcPr>
            <w:tcW w:w="2497" w:type="dxa"/>
            <w:tcBorders>
              <w:top w:val="single" w:sz="4" w:space="0" w:color="293F5B"/>
              <w:bottom w:val="single" w:sz="4" w:space="0" w:color="293F5B"/>
            </w:tcBorders>
            <w:shd w:val="clear" w:color="auto" w:fill="auto"/>
          </w:tcPr>
          <w:p w14:paraId="3FC703B3"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50E5B4A8" w14:textId="77777777" w:rsidR="0012790E" w:rsidRPr="001C06E6" w:rsidRDefault="0012790E">
            <w:pPr>
              <w:pStyle w:val="MeasureTableDataRightAlignedwith2ptsspacing"/>
              <w:keepNext/>
            </w:pPr>
            <w:r>
              <w:t xml:space="preserve">-11.0 </w:t>
            </w:r>
          </w:p>
        </w:tc>
        <w:tc>
          <w:tcPr>
            <w:tcW w:w="1045" w:type="dxa"/>
            <w:tcBorders>
              <w:top w:val="single" w:sz="4" w:space="0" w:color="293F5B"/>
              <w:bottom w:val="single" w:sz="4" w:space="0" w:color="293F5B"/>
            </w:tcBorders>
            <w:shd w:val="clear" w:color="auto" w:fill="auto"/>
          </w:tcPr>
          <w:p w14:paraId="17506794" w14:textId="77777777" w:rsidR="0012790E" w:rsidRPr="001C06E6" w:rsidRDefault="0012790E">
            <w:pPr>
              <w:pStyle w:val="MeasureTableDataRightAlignedwith2ptsspacing"/>
              <w:keepNext/>
            </w:pPr>
            <w:r>
              <w:t xml:space="preserve">-14.9 </w:t>
            </w:r>
          </w:p>
        </w:tc>
        <w:tc>
          <w:tcPr>
            <w:tcW w:w="1045" w:type="dxa"/>
            <w:tcBorders>
              <w:top w:val="single" w:sz="4" w:space="0" w:color="293F5B"/>
              <w:bottom w:val="single" w:sz="4" w:space="0" w:color="293F5B"/>
            </w:tcBorders>
            <w:shd w:val="clear" w:color="auto" w:fill="auto"/>
          </w:tcPr>
          <w:p w14:paraId="02A24461" w14:textId="77777777" w:rsidR="0012790E" w:rsidRPr="001C06E6" w:rsidRDefault="0012790E">
            <w:pPr>
              <w:pStyle w:val="MeasureTableDataRightAlignedwith2ptsspacing"/>
              <w:keepNext/>
            </w:pPr>
            <w:r>
              <w:t xml:space="preserve">-13.2 </w:t>
            </w:r>
          </w:p>
        </w:tc>
        <w:tc>
          <w:tcPr>
            <w:tcW w:w="1045" w:type="dxa"/>
            <w:tcBorders>
              <w:top w:val="single" w:sz="4" w:space="0" w:color="293F5B"/>
              <w:bottom w:val="single" w:sz="4" w:space="0" w:color="293F5B"/>
            </w:tcBorders>
            <w:shd w:val="clear" w:color="auto" w:fill="auto"/>
          </w:tcPr>
          <w:p w14:paraId="2625E5C7" w14:textId="77777777" w:rsidR="0012790E" w:rsidRPr="001C06E6" w:rsidRDefault="0012790E">
            <w:pPr>
              <w:pStyle w:val="MeasureTableDataRightAlignedwith2ptsspacing"/>
              <w:keepNext/>
            </w:pPr>
            <w:r>
              <w:t xml:space="preserve">-13.2 </w:t>
            </w:r>
          </w:p>
        </w:tc>
        <w:tc>
          <w:tcPr>
            <w:tcW w:w="1045" w:type="dxa"/>
            <w:tcBorders>
              <w:top w:val="single" w:sz="4" w:space="0" w:color="293F5B"/>
              <w:bottom w:val="single" w:sz="4" w:space="0" w:color="293F5B"/>
            </w:tcBorders>
            <w:shd w:val="clear" w:color="auto" w:fill="auto"/>
          </w:tcPr>
          <w:p w14:paraId="16ECC10A" w14:textId="77777777" w:rsidR="0012790E" w:rsidRPr="001C06E6" w:rsidRDefault="0012790E">
            <w:pPr>
              <w:pStyle w:val="MeasureTableDataRightAlignedwith2ptsspacing"/>
              <w:keepNext/>
            </w:pPr>
            <w:r>
              <w:t xml:space="preserve">-13.3 </w:t>
            </w:r>
          </w:p>
        </w:tc>
      </w:tr>
      <w:tr w:rsidR="0012790E" w:rsidRPr="001C06E6" w14:paraId="06204805" w14:textId="77777777">
        <w:tc>
          <w:tcPr>
            <w:tcW w:w="2497" w:type="dxa"/>
            <w:tcBorders>
              <w:top w:val="single" w:sz="4" w:space="0" w:color="293F5B"/>
            </w:tcBorders>
            <w:shd w:val="clear" w:color="auto" w:fill="auto"/>
          </w:tcPr>
          <w:p w14:paraId="55BBA1DE"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1A3D9DAA" w14:textId="77777777" w:rsidR="0012790E" w:rsidRPr="001C06E6" w:rsidRDefault="0012790E">
            <w:pPr>
              <w:pStyle w:val="AgencyName"/>
              <w:keepNext/>
            </w:pPr>
          </w:p>
        </w:tc>
        <w:tc>
          <w:tcPr>
            <w:tcW w:w="1045" w:type="dxa"/>
            <w:tcBorders>
              <w:top w:val="single" w:sz="4" w:space="0" w:color="293F5B"/>
            </w:tcBorders>
            <w:shd w:val="clear" w:color="auto" w:fill="auto"/>
          </w:tcPr>
          <w:p w14:paraId="48D63855" w14:textId="77777777" w:rsidR="0012790E" w:rsidRPr="001C06E6" w:rsidRDefault="0012790E">
            <w:pPr>
              <w:pStyle w:val="AgencyName"/>
              <w:keepNext/>
            </w:pPr>
          </w:p>
        </w:tc>
        <w:tc>
          <w:tcPr>
            <w:tcW w:w="1045" w:type="dxa"/>
            <w:tcBorders>
              <w:top w:val="single" w:sz="4" w:space="0" w:color="293F5B"/>
            </w:tcBorders>
            <w:shd w:val="clear" w:color="auto" w:fill="auto"/>
          </w:tcPr>
          <w:p w14:paraId="5D3BE9D9" w14:textId="77777777" w:rsidR="0012790E" w:rsidRPr="001C06E6" w:rsidRDefault="0012790E">
            <w:pPr>
              <w:pStyle w:val="AgencyName"/>
              <w:keepNext/>
            </w:pPr>
          </w:p>
        </w:tc>
        <w:tc>
          <w:tcPr>
            <w:tcW w:w="1045" w:type="dxa"/>
            <w:tcBorders>
              <w:top w:val="single" w:sz="4" w:space="0" w:color="293F5B"/>
            </w:tcBorders>
            <w:shd w:val="clear" w:color="auto" w:fill="auto"/>
          </w:tcPr>
          <w:p w14:paraId="5E8702EC" w14:textId="77777777" w:rsidR="0012790E" w:rsidRPr="001C06E6" w:rsidRDefault="0012790E">
            <w:pPr>
              <w:pStyle w:val="AgencyName"/>
              <w:keepNext/>
            </w:pPr>
          </w:p>
        </w:tc>
        <w:tc>
          <w:tcPr>
            <w:tcW w:w="1045" w:type="dxa"/>
            <w:tcBorders>
              <w:top w:val="single" w:sz="4" w:space="0" w:color="293F5B"/>
            </w:tcBorders>
            <w:shd w:val="clear" w:color="auto" w:fill="auto"/>
          </w:tcPr>
          <w:p w14:paraId="7C87F072" w14:textId="77777777" w:rsidR="0012790E" w:rsidRPr="001C06E6" w:rsidRDefault="0012790E">
            <w:pPr>
              <w:pStyle w:val="AgencyName"/>
              <w:keepNext/>
            </w:pPr>
          </w:p>
        </w:tc>
      </w:tr>
      <w:tr w:rsidR="0012790E" w:rsidRPr="001C06E6" w14:paraId="4A1C030F" w14:textId="77777777">
        <w:tc>
          <w:tcPr>
            <w:tcW w:w="2497" w:type="dxa"/>
            <w:tcBorders>
              <w:bottom w:val="single" w:sz="4" w:space="0" w:color="293F5B"/>
            </w:tcBorders>
            <w:shd w:val="clear" w:color="auto" w:fill="auto"/>
          </w:tcPr>
          <w:p w14:paraId="1F778C02" w14:textId="77777777" w:rsidR="0012790E" w:rsidRPr="001C06E6" w:rsidRDefault="0012790E">
            <w:pPr>
              <w:pStyle w:val="AgencyNamewith2ptsspacing"/>
              <w:keepNext/>
            </w:pPr>
            <w:r>
              <w:t xml:space="preserve">Department of Employment and Workplace Relations </w:t>
            </w:r>
          </w:p>
        </w:tc>
        <w:tc>
          <w:tcPr>
            <w:tcW w:w="1045" w:type="dxa"/>
            <w:tcBorders>
              <w:bottom w:val="single" w:sz="4" w:space="0" w:color="293F5B"/>
            </w:tcBorders>
            <w:shd w:val="clear" w:color="auto" w:fill="auto"/>
          </w:tcPr>
          <w:p w14:paraId="4842F84D"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4C3C7811"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46D6F2B3"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3F29A4A7"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3B9E7C86" w14:textId="77777777" w:rsidR="0012790E" w:rsidRPr="001C06E6" w:rsidRDefault="0012790E">
            <w:pPr>
              <w:pStyle w:val="Measuretabledatarightaligneditalics"/>
              <w:keepNext/>
            </w:pPr>
            <w:r>
              <w:t xml:space="preserve">.. </w:t>
            </w:r>
          </w:p>
        </w:tc>
      </w:tr>
    </w:tbl>
    <w:p w14:paraId="2FAE433F" w14:textId="77777777" w:rsidR="0012790E" w:rsidRPr="001C06E6" w:rsidRDefault="0012790E">
      <w:pPr>
        <w:keepNext/>
        <w:widowControl w:val="0"/>
        <w:spacing w:line="184" w:lineRule="exact"/>
        <w:rPr>
          <w:i/>
          <w:iCs/>
          <w:color w:val="000000"/>
          <w:sz w:val="16"/>
          <w:szCs w:val="16"/>
          <w:lang w:val="en-AU"/>
        </w:rPr>
      </w:pPr>
    </w:p>
    <w:p w14:paraId="4B5697D6" w14:textId="77777777" w:rsidR="0012790E" w:rsidRDefault="0012790E">
      <w:pPr>
        <w:pStyle w:val="Normal2"/>
        <w:rPr>
          <w:rFonts w:cs="Book Antiqua"/>
        </w:rPr>
      </w:pPr>
      <w:r w:rsidRPr="001C06E6">
        <w:rPr>
          <w:rFonts w:cs="Book Antiqua"/>
        </w:rPr>
        <w:t>The Government will achieve savings of $65.5</w:t>
      </w:r>
      <w:r>
        <w:rPr>
          <w:rFonts w:cs="Book Antiqua"/>
        </w:rPr>
        <w:t> </w:t>
      </w:r>
      <w:r w:rsidRPr="001C06E6">
        <w:rPr>
          <w:rFonts w:cs="Book Antiqua"/>
        </w:rPr>
        <w:t xml:space="preserve">million over five years from </w:t>
      </w:r>
      <w:r>
        <w:rPr>
          <w:rFonts w:cs="Book Antiqua"/>
        </w:rPr>
        <w:t xml:space="preserve">2023–24 </w:t>
      </w:r>
      <w:r w:rsidRPr="001C06E6">
        <w:rPr>
          <w:rFonts w:cs="Book Antiqua"/>
        </w:rPr>
        <w:t>(and $13.2</w:t>
      </w:r>
      <w:r>
        <w:rPr>
          <w:rFonts w:cs="Book Antiqua"/>
        </w:rPr>
        <w:t> </w:t>
      </w:r>
      <w:r w:rsidRPr="001C06E6">
        <w:rPr>
          <w:rFonts w:cs="Book Antiqua"/>
        </w:rPr>
        <w:t>million per year ongoing) from the Employment and Workplace Relations</w:t>
      </w:r>
      <w:r>
        <w:rPr>
          <w:rFonts w:cs="Book Antiqua"/>
        </w:rPr>
        <w:t xml:space="preserve"> </w:t>
      </w:r>
      <w:r w:rsidRPr="001C06E6">
        <w:rPr>
          <w:rFonts w:cs="Book Antiqua"/>
        </w:rPr>
        <w:t>portfolio. Savings include:</w:t>
      </w:r>
    </w:p>
    <w:p w14:paraId="540BBF50" w14:textId="77777777" w:rsidR="0012790E" w:rsidRDefault="0012790E">
      <w:pPr>
        <w:pStyle w:val="Bullet"/>
      </w:pPr>
      <w:r w:rsidRPr="001C06E6">
        <w:t>$47.3</w:t>
      </w:r>
      <w:r>
        <w:t> </w:t>
      </w:r>
      <w:r w:rsidRPr="001C06E6">
        <w:t xml:space="preserve">million over five years from </w:t>
      </w:r>
      <w:r>
        <w:t>2023–24</w:t>
      </w:r>
      <w:r w:rsidRPr="001C06E6">
        <w:t xml:space="preserve"> (and $11.1</w:t>
      </w:r>
      <w:r>
        <w:t> </w:t>
      </w:r>
      <w:r w:rsidRPr="001C06E6">
        <w:t xml:space="preserve">million per year ongoing) by ceasing the </w:t>
      </w:r>
      <w:r w:rsidRPr="001C06E6">
        <w:rPr>
          <w:i/>
          <w:iCs/>
        </w:rPr>
        <w:t>Harvest Trail Services</w:t>
      </w:r>
      <w:r w:rsidRPr="001C06E6">
        <w:t xml:space="preserve"> and</w:t>
      </w:r>
      <w:r w:rsidRPr="001C06E6">
        <w:rPr>
          <w:i/>
          <w:iCs/>
        </w:rPr>
        <w:t xml:space="preserve"> Harvest Trail Information Service</w:t>
      </w:r>
      <w:r w:rsidRPr="001C06E6">
        <w:t xml:space="preserve"> programs from 30</w:t>
      </w:r>
      <w:r>
        <w:t> </w:t>
      </w:r>
      <w:r w:rsidRPr="001C06E6">
        <w:t>June</w:t>
      </w:r>
      <w:r>
        <w:t> </w:t>
      </w:r>
      <w:r w:rsidRPr="001C06E6">
        <w:t>2024</w:t>
      </w:r>
      <w:r>
        <w:t xml:space="preserve"> </w:t>
      </w:r>
    </w:p>
    <w:p w14:paraId="61B74058" w14:textId="77777777" w:rsidR="0012790E" w:rsidRDefault="0012790E">
      <w:pPr>
        <w:pStyle w:val="Bullet"/>
      </w:pPr>
      <w:r w:rsidRPr="001C06E6">
        <w:t>$6.1</w:t>
      </w:r>
      <w:r>
        <w:t> </w:t>
      </w:r>
      <w:r w:rsidRPr="001C06E6">
        <w:t xml:space="preserve">million over five years from </w:t>
      </w:r>
      <w:r>
        <w:t>2023–24</w:t>
      </w:r>
      <w:r w:rsidRPr="001C06E6">
        <w:t xml:space="preserve"> (and $1.2</w:t>
      </w:r>
      <w:r>
        <w:t> </w:t>
      </w:r>
      <w:r w:rsidRPr="001C06E6">
        <w:t>million per year ongoing)</w:t>
      </w:r>
      <w:r>
        <w:t xml:space="preserve"> </w:t>
      </w:r>
      <w:r w:rsidRPr="001C06E6">
        <w:t xml:space="preserve">by ceasing the </w:t>
      </w:r>
      <w:r w:rsidRPr="001C06E6">
        <w:rPr>
          <w:i/>
          <w:iCs/>
        </w:rPr>
        <w:t>International Skills Training Courses</w:t>
      </w:r>
      <w:r w:rsidRPr="001C06E6">
        <w:t xml:space="preserve"> program from 1</w:t>
      </w:r>
      <w:r>
        <w:t> </w:t>
      </w:r>
      <w:r w:rsidRPr="001C06E6">
        <w:t>April</w:t>
      </w:r>
      <w:r>
        <w:t> </w:t>
      </w:r>
      <w:r w:rsidRPr="001C06E6">
        <w:t>2024</w:t>
      </w:r>
      <w:r>
        <w:t xml:space="preserve"> </w:t>
      </w:r>
    </w:p>
    <w:p w14:paraId="4E2C5978" w14:textId="77777777" w:rsidR="0012790E" w:rsidRDefault="0012790E">
      <w:pPr>
        <w:pStyle w:val="Bullet"/>
        <w:rPr>
          <w:iCs/>
        </w:rPr>
      </w:pPr>
      <w:r w:rsidRPr="001C06E6">
        <w:t>$4.7</w:t>
      </w:r>
      <w:r>
        <w:t> </w:t>
      </w:r>
      <w:r w:rsidRPr="001C06E6">
        <w:t xml:space="preserve">million in </w:t>
      </w:r>
      <w:r>
        <w:t>2023–24</w:t>
      </w:r>
      <w:r w:rsidRPr="001C06E6">
        <w:t xml:space="preserve"> by reducing the number of grants issued in the second stage of the </w:t>
      </w:r>
      <w:r w:rsidRPr="001C06E6">
        <w:rPr>
          <w:i/>
          <w:iCs/>
        </w:rPr>
        <w:t>Automatic Mutual Recognition of Occupational Registrations</w:t>
      </w:r>
      <w:r w:rsidRPr="001C06E6">
        <w:t xml:space="preserve"> scheme under the</w:t>
      </w:r>
      <w:r w:rsidRPr="001C06E6">
        <w:rPr>
          <w:i/>
          <w:iCs/>
        </w:rPr>
        <w:t xml:space="preserve"> Business Research and Innovation Initiative</w:t>
      </w:r>
      <w:r>
        <w:rPr>
          <w:iCs/>
        </w:rPr>
        <w:t xml:space="preserve"> </w:t>
      </w:r>
    </w:p>
    <w:p w14:paraId="167120D8" w14:textId="77777777" w:rsidR="0012790E" w:rsidRDefault="0012790E">
      <w:pPr>
        <w:pStyle w:val="Bullet"/>
      </w:pPr>
      <w:r w:rsidRPr="001C06E6">
        <w:t>$3.9</w:t>
      </w:r>
      <w:r>
        <w:t> </w:t>
      </w:r>
      <w:r w:rsidRPr="001C06E6">
        <w:t xml:space="preserve">million over four years from </w:t>
      </w:r>
      <w:r>
        <w:t>2024–25</w:t>
      </w:r>
      <w:r w:rsidRPr="001C06E6">
        <w:t xml:space="preserve"> (and $1.0</w:t>
      </w:r>
      <w:r>
        <w:t> </w:t>
      </w:r>
      <w:r w:rsidRPr="001C06E6">
        <w:t xml:space="preserve">million per year ongoing) by ceasing the </w:t>
      </w:r>
      <w:r w:rsidRPr="001C06E6">
        <w:rPr>
          <w:i/>
          <w:iCs/>
        </w:rPr>
        <w:t>Integrated Information Services</w:t>
      </w:r>
      <w:r w:rsidRPr="001C06E6">
        <w:t xml:space="preserve"> program from 1</w:t>
      </w:r>
      <w:r>
        <w:t> </w:t>
      </w:r>
      <w:r w:rsidRPr="001C06E6">
        <w:t>July</w:t>
      </w:r>
      <w:r>
        <w:t> </w:t>
      </w:r>
      <w:r w:rsidRPr="001C06E6">
        <w:t>2024</w:t>
      </w:r>
      <w:r>
        <w:t xml:space="preserve"> </w:t>
      </w:r>
    </w:p>
    <w:p w14:paraId="0D05C68E" w14:textId="2BF6009C" w:rsidR="0012790E" w:rsidRDefault="0012790E">
      <w:pPr>
        <w:pStyle w:val="Bullet"/>
      </w:pPr>
      <w:r w:rsidRPr="001C06E6">
        <w:t>$3.5</w:t>
      </w:r>
      <w:r>
        <w:t> </w:t>
      </w:r>
      <w:r w:rsidRPr="001C06E6">
        <w:t xml:space="preserve">million over two years from </w:t>
      </w:r>
      <w:r>
        <w:t>2023–24</w:t>
      </w:r>
      <w:r w:rsidRPr="001C06E6">
        <w:t xml:space="preserve"> by redirecting funding from the </w:t>
      </w:r>
      <w:r w:rsidR="000C26F2">
        <w:br/>
      </w:r>
      <w:r>
        <w:t>2023–24 </w:t>
      </w:r>
      <w:r w:rsidRPr="001C06E6">
        <w:t xml:space="preserve">MYEFO measure titled </w:t>
      </w:r>
      <w:r w:rsidRPr="001C06E6">
        <w:rPr>
          <w:i/>
          <w:iCs/>
        </w:rPr>
        <w:t>Prohibition on the Use of Engineered Stone – communications strategy</w:t>
      </w:r>
      <w:r w:rsidRPr="001C06E6">
        <w:t>.</w:t>
      </w:r>
      <w:r>
        <w:t xml:space="preserve"> </w:t>
      </w:r>
    </w:p>
    <w:p w14:paraId="319EDF06" w14:textId="77777777" w:rsidR="0012790E" w:rsidRDefault="0012790E">
      <w:pPr>
        <w:pStyle w:val="Normal2"/>
        <w:rPr>
          <w:rFonts w:cs="Book Antiqua"/>
        </w:rPr>
      </w:pPr>
      <w:r w:rsidRPr="001C06E6">
        <w:rPr>
          <w:rFonts w:cs="Book Antiqua"/>
        </w:rPr>
        <w:t>The savings from this measure will be redirected to partially offset other Government</w:t>
      </w:r>
      <w:r>
        <w:rPr>
          <w:rFonts w:cs="Book Antiqua"/>
        </w:rPr>
        <w:t xml:space="preserve"> </w:t>
      </w:r>
      <w:r w:rsidRPr="001C06E6">
        <w:rPr>
          <w:rFonts w:cs="Book Antiqua"/>
        </w:rPr>
        <w:t>policy priorities in the Employment and Workplace Relations portfolio.</w:t>
      </w:r>
      <w:r>
        <w:rPr>
          <w:rFonts w:cs="Book Antiqua"/>
        </w:rPr>
        <w:t xml:space="preserve"> </w:t>
      </w:r>
    </w:p>
    <w:p w14:paraId="36DEADD1" w14:textId="77777777" w:rsidR="0012790E" w:rsidRPr="001C06E6" w:rsidRDefault="0012790E">
      <w:pPr>
        <w:pStyle w:val="MeasureTitle"/>
        <w:rPr>
          <w:b w:val="0"/>
          <w:bCs/>
        </w:rPr>
      </w:pPr>
      <w:r w:rsidRPr="001C06E6">
        <w:rPr>
          <w:bCs/>
        </w:rPr>
        <w:t>Employment Services Reform</w:t>
      </w:r>
    </w:p>
    <w:p w14:paraId="17BEED17"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DBA99C8" w14:textId="77777777">
        <w:tc>
          <w:tcPr>
            <w:tcW w:w="2497" w:type="dxa"/>
            <w:tcBorders>
              <w:top w:val="single" w:sz="4" w:space="0" w:color="293F5B"/>
              <w:bottom w:val="single" w:sz="4" w:space="0" w:color="293F5B"/>
            </w:tcBorders>
            <w:shd w:val="clear" w:color="auto" w:fill="auto"/>
          </w:tcPr>
          <w:p w14:paraId="129A4DBF"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4A54951"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3FA735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A28361D"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3B0B806"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D908E93" w14:textId="77777777" w:rsidR="0012790E" w:rsidRPr="001C06E6" w:rsidRDefault="0012790E">
            <w:pPr>
              <w:pStyle w:val="MeasureTableYearHeadings"/>
              <w:keepNext/>
            </w:pPr>
            <w:r w:rsidRPr="001C06E6">
              <w:t>2027</w:t>
            </w:r>
            <w:r>
              <w:noBreakHyphen/>
            </w:r>
            <w:r w:rsidRPr="001C06E6">
              <w:t>28</w:t>
            </w:r>
          </w:p>
        </w:tc>
      </w:tr>
      <w:tr w:rsidR="0012790E" w:rsidRPr="001C06E6" w14:paraId="4D455CEA" w14:textId="77777777">
        <w:tc>
          <w:tcPr>
            <w:tcW w:w="2497" w:type="dxa"/>
            <w:tcBorders>
              <w:top w:val="single" w:sz="4" w:space="0" w:color="293F5B"/>
              <w:bottom w:val="single" w:sz="4" w:space="0" w:color="293F5B"/>
            </w:tcBorders>
            <w:shd w:val="clear" w:color="auto" w:fill="auto"/>
          </w:tcPr>
          <w:p w14:paraId="5AAA7B93"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5953A226" w14:textId="77777777" w:rsidR="0012790E" w:rsidRPr="001C06E6" w:rsidRDefault="0012790E">
            <w:pPr>
              <w:pStyle w:val="MeasureTableDataRightAlignedwith2ptsspacing"/>
              <w:keepNext/>
            </w:pPr>
            <w:r w:rsidRPr="001C06E6">
              <w:t>0.5</w:t>
            </w:r>
          </w:p>
        </w:tc>
        <w:tc>
          <w:tcPr>
            <w:tcW w:w="1045" w:type="dxa"/>
            <w:tcBorders>
              <w:top w:val="single" w:sz="4" w:space="0" w:color="293F5B"/>
              <w:bottom w:val="single" w:sz="4" w:space="0" w:color="293F5B"/>
            </w:tcBorders>
            <w:shd w:val="clear" w:color="auto" w:fill="auto"/>
          </w:tcPr>
          <w:p w14:paraId="78806D49" w14:textId="77777777" w:rsidR="0012790E" w:rsidRPr="001C06E6" w:rsidRDefault="0012790E">
            <w:pPr>
              <w:pStyle w:val="MeasureTableDataRightAlignedwith2ptsspacing"/>
              <w:keepNext/>
            </w:pPr>
            <w:r w:rsidRPr="001C06E6">
              <w:t>16.2</w:t>
            </w:r>
          </w:p>
        </w:tc>
        <w:tc>
          <w:tcPr>
            <w:tcW w:w="1045" w:type="dxa"/>
            <w:tcBorders>
              <w:top w:val="single" w:sz="4" w:space="0" w:color="293F5B"/>
              <w:bottom w:val="single" w:sz="4" w:space="0" w:color="293F5B"/>
            </w:tcBorders>
            <w:shd w:val="clear" w:color="auto" w:fill="auto"/>
          </w:tcPr>
          <w:p w14:paraId="71ED6F6B"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3CD85D4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37F1494" w14:textId="77777777" w:rsidR="0012790E" w:rsidRPr="001C06E6" w:rsidRDefault="0012790E">
            <w:pPr>
              <w:pStyle w:val="MeasureTableDataRightAlignedwith2ptsspacing"/>
              <w:keepNext/>
            </w:pPr>
            <w:r w:rsidRPr="001C06E6">
              <w:t>..</w:t>
            </w:r>
          </w:p>
        </w:tc>
      </w:tr>
      <w:tr w:rsidR="0012790E" w:rsidRPr="001C06E6" w14:paraId="6E993F5B" w14:textId="77777777">
        <w:tc>
          <w:tcPr>
            <w:tcW w:w="2497" w:type="dxa"/>
            <w:tcBorders>
              <w:top w:val="single" w:sz="4" w:space="0" w:color="293F5B"/>
              <w:bottom w:val="single" w:sz="4" w:space="0" w:color="293F5B"/>
            </w:tcBorders>
            <w:shd w:val="clear" w:color="auto" w:fill="auto"/>
          </w:tcPr>
          <w:p w14:paraId="790A4D1A"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1B3CE55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A362C78" w14:textId="77777777" w:rsidR="0012790E" w:rsidRPr="001C06E6" w:rsidRDefault="0012790E">
            <w:pPr>
              <w:pStyle w:val="MeasureTableDataRightAlignedwith2ptsspacing"/>
              <w:keepNext/>
            </w:pPr>
            <w:r w:rsidRPr="001C06E6">
              <w:t>1.3</w:t>
            </w:r>
          </w:p>
        </w:tc>
        <w:tc>
          <w:tcPr>
            <w:tcW w:w="1045" w:type="dxa"/>
            <w:tcBorders>
              <w:top w:val="single" w:sz="4" w:space="0" w:color="293F5B"/>
              <w:bottom w:val="single" w:sz="4" w:space="0" w:color="293F5B"/>
            </w:tcBorders>
            <w:shd w:val="clear" w:color="auto" w:fill="auto"/>
          </w:tcPr>
          <w:p w14:paraId="5B54BB7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CA926E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045BE0F" w14:textId="77777777" w:rsidR="0012790E" w:rsidRPr="001C06E6" w:rsidRDefault="0012790E">
            <w:pPr>
              <w:pStyle w:val="MeasureTableDataRightAlignedwith2ptsspacing"/>
              <w:keepNext/>
            </w:pPr>
            <w:r w:rsidRPr="001C06E6">
              <w:t>-</w:t>
            </w:r>
          </w:p>
        </w:tc>
      </w:tr>
      <w:tr w:rsidR="0012790E" w:rsidRPr="001C06E6" w14:paraId="3B293561" w14:textId="77777777">
        <w:tc>
          <w:tcPr>
            <w:tcW w:w="2497" w:type="dxa"/>
            <w:tcBorders>
              <w:top w:val="single" w:sz="4" w:space="0" w:color="293F5B"/>
              <w:bottom w:val="single" w:sz="4" w:space="0" w:color="293F5B"/>
            </w:tcBorders>
            <w:shd w:val="clear" w:color="auto" w:fill="auto"/>
          </w:tcPr>
          <w:p w14:paraId="08207435"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6016C95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5367E9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6A285D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3F4C0E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F982751" w14:textId="77777777" w:rsidR="0012790E" w:rsidRPr="001C06E6" w:rsidRDefault="0012790E">
            <w:pPr>
              <w:pStyle w:val="MeasureTableDataRightAlignedwith2ptsspacing"/>
              <w:keepNext/>
            </w:pPr>
            <w:r w:rsidRPr="001C06E6">
              <w:t>..</w:t>
            </w:r>
          </w:p>
        </w:tc>
      </w:tr>
      <w:tr w:rsidR="0012790E" w:rsidRPr="001C06E6" w14:paraId="36EA7D0A" w14:textId="77777777">
        <w:tc>
          <w:tcPr>
            <w:tcW w:w="2497" w:type="dxa"/>
            <w:tcBorders>
              <w:top w:val="single" w:sz="4" w:space="0" w:color="293F5B"/>
              <w:bottom w:val="single" w:sz="4" w:space="0" w:color="293F5B"/>
            </w:tcBorders>
            <w:shd w:val="clear" w:color="auto" w:fill="auto"/>
          </w:tcPr>
          <w:p w14:paraId="36F193E5"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6CC380DF" w14:textId="77777777" w:rsidR="0012790E" w:rsidRPr="001C06E6" w:rsidRDefault="0012790E">
            <w:pPr>
              <w:pStyle w:val="MeasureTableDataRightAlignedwith2ptsspacing"/>
              <w:keepNext/>
            </w:pPr>
            <w:r>
              <w:t xml:space="preserve">-2.9 </w:t>
            </w:r>
          </w:p>
        </w:tc>
        <w:tc>
          <w:tcPr>
            <w:tcW w:w="1045" w:type="dxa"/>
            <w:tcBorders>
              <w:top w:val="single" w:sz="4" w:space="0" w:color="293F5B"/>
              <w:bottom w:val="single" w:sz="4" w:space="0" w:color="293F5B"/>
            </w:tcBorders>
            <w:shd w:val="clear" w:color="auto" w:fill="auto"/>
          </w:tcPr>
          <w:p w14:paraId="2333CC32" w14:textId="77777777" w:rsidR="0012790E" w:rsidRPr="001C06E6" w:rsidRDefault="0012790E">
            <w:pPr>
              <w:pStyle w:val="MeasureTableDataRightAlignedwith2ptsspacing"/>
              <w:keepNext/>
            </w:pPr>
            <w:r>
              <w:t xml:space="preserve">37.9 </w:t>
            </w:r>
          </w:p>
        </w:tc>
        <w:tc>
          <w:tcPr>
            <w:tcW w:w="1045" w:type="dxa"/>
            <w:tcBorders>
              <w:top w:val="single" w:sz="4" w:space="0" w:color="293F5B"/>
              <w:bottom w:val="single" w:sz="4" w:space="0" w:color="293F5B"/>
            </w:tcBorders>
            <w:shd w:val="clear" w:color="auto" w:fill="auto"/>
          </w:tcPr>
          <w:p w14:paraId="152D6445" w14:textId="77777777" w:rsidR="0012790E" w:rsidRPr="001C06E6" w:rsidRDefault="0012790E">
            <w:pPr>
              <w:pStyle w:val="MeasureTableDataRightAlignedwith2ptsspacing"/>
              <w:keepNext/>
            </w:pPr>
            <w:r>
              <w:t xml:space="preserve">3.5 </w:t>
            </w:r>
          </w:p>
        </w:tc>
        <w:tc>
          <w:tcPr>
            <w:tcW w:w="1045" w:type="dxa"/>
            <w:tcBorders>
              <w:top w:val="single" w:sz="4" w:space="0" w:color="293F5B"/>
              <w:bottom w:val="single" w:sz="4" w:space="0" w:color="293F5B"/>
            </w:tcBorders>
            <w:shd w:val="clear" w:color="auto" w:fill="auto"/>
          </w:tcPr>
          <w:p w14:paraId="096C7732" w14:textId="77777777" w:rsidR="0012790E" w:rsidRPr="001C06E6" w:rsidRDefault="0012790E">
            <w:pPr>
              <w:pStyle w:val="MeasureTableDataRightAlignedwith2ptsspacing"/>
              <w:keepNext/>
            </w:pPr>
            <w:r>
              <w:t xml:space="preserve">-14.4 </w:t>
            </w:r>
          </w:p>
        </w:tc>
        <w:tc>
          <w:tcPr>
            <w:tcW w:w="1045" w:type="dxa"/>
            <w:tcBorders>
              <w:top w:val="single" w:sz="4" w:space="0" w:color="293F5B"/>
              <w:bottom w:val="single" w:sz="4" w:space="0" w:color="293F5B"/>
            </w:tcBorders>
            <w:shd w:val="clear" w:color="auto" w:fill="auto"/>
          </w:tcPr>
          <w:p w14:paraId="2125819F" w14:textId="77777777" w:rsidR="0012790E" w:rsidRPr="001C06E6" w:rsidRDefault="0012790E">
            <w:pPr>
              <w:pStyle w:val="MeasureTableDataRightAlignedwith2ptsspacing"/>
              <w:keepNext/>
            </w:pPr>
            <w:r>
              <w:t xml:space="preserve">-29.2 </w:t>
            </w:r>
          </w:p>
        </w:tc>
      </w:tr>
      <w:tr w:rsidR="0012790E" w:rsidRPr="001C06E6" w14:paraId="20DDCEF6" w14:textId="77777777">
        <w:tc>
          <w:tcPr>
            <w:tcW w:w="2497" w:type="dxa"/>
            <w:tcBorders>
              <w:top w:val="single" w:sz="4" w:space="0" w:color="293F5B"/>
              <w:bottom w:val="single" w:sz="4" w:space="0" w:color="293F5B"/>
            </w:tcBorders>
            <w:shd w:val="clear" w:color="auto" w:fill="auto"/>
          </w:tcPr>
          <w:p w14:paraId="5CCBBF06"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0F6C3395" w14:textId="77777777" w:rsidR="0012790E" w:rsidRPr="001C06E6" w:rsidRDefault="0012790E">
            <w:pPr>
              <w:pStyle w:val="Totaldatarowrightaligned"/>
              <w:keepNext/>
            </w:pPr>
            <w:r w:rsidRPr="001C06E6">
              <w:t>-2.4</w:t>
            </w:r>
          </w:p>
        </w:tc>
        <w:tc>
          <w:tcPr>
            <w:tcW w:w="1045" w:type="dxa"/>
            <w:tcBorders>
              <w:top w:val="single" w:sz="4" w:space="0" w:color="293F5B"/>
              <w:bottom w:val="single" w:sz="4" w:space="0" w:color="293F5B"/>
            </w:tcBorders>
            <w:shd w:val="clear" w:color="auto" w:fill="auto"/>
          </w:tcPr>
          <w:p w14:paraId="45038BE8" w14:textId="77777777" w:rsidR="0012790E" w:rsidRPr="001C06E6" w:rsidRDefault="0012790E">
            <w:pPr>
              <w:pStyle w:val="Totaldatarowrightaligned"/>
              <w:keepNext/>
            </w:pPr>
            <w:r w:rsidRPr="001C06E6">
              <w:t>55.5</w:t>
            </w:r>
          </w:p>
        </w:tc>
        <w:tc>
          <w:tcPr>
            <w:tcW w:w="1045" w:type="dxa"/>
            <w:tcBorders>
              <w:top w:val="single" w:sz="4" w:space="0" w:color="293F5B"/>
              <w:bottom w:val="single" w:sz="4" w:space="0" w:color="293F5B"/>
            </w:tcBorders>
            <w:shd w:val="clear" w:color="auto" w:fill="auto"/>
          </w:tcPr>
          <w:p w14:paraId="341B26A3" w14:textId="77777777" w:rsidR="0012790E" w:rsidRPr="001C06E6" w:rsidRDefault="0012790E">
            <w:pPr>
              <w:pStyle w:val="Totaldatarowrightaligned"/>
              <w:keepNext/>
            </w:pPr>
            <w:r w:rsidRPr="001C06E6">
              <w:t>3.6</w:t>
            </w:r>
          </w:p>
        </w:tc>
        <w:tc>
          <w:tcPr>
            <w:tcW w:w="1045" w:type="dxa"/>
            <w:tcBorders>
              <w:top w:val="single" w:sz="4" w:space="0" w:color="293F5B"/>
              <w:bottom w:val="single" w:sz="4" w:space="0" w:color="293F5B"/>
            </w:tcBorders>
            <w:shd w:val="clear" w:color="auto" w:fill="auto"/>
          </w:tcPr>
          <w:p w14:paraId="10A60F83" w14:textId="77777777" w:rsidR="0012790E" w:rsidRPr="001C06E6" w:rsidRDefault="0012790E">
            <w:pPr>
              <w:pStyle w:val="Totaldatarowrightaligned"/>
              <w:keepNext/>
            </w:pPr>
            <w:r w:rsidRPr="001C06E6">
              <w:t>-14.3</w:t>
            </w:r>
          </w:p>
        </w:tc>
        <w:tc>
          <w:tcPr>
            <w:tcW w:w="1045" w:type="dxa"/>
            <w:tcBorders>
              <w:top w:val="single" w:sz="4" w:space="0" w:color="293F5B"/>
              <w:bottom w:val="single" w:sz="4" w:space="0" w:color="293F5B"/>
            </w:tcBorders>
            <w:shd w:val="clear" w:color="auto" w:fill="auto"/>
          </w:tcPr>
          <w:p w14:paraId="4DADD554" w14:textId="77777777" w:rsidR="0012790E" w:rsidRPr="001C06E6" w:rsidRDefault="0012790E">
            <w:pPr>
              <w:pStyle w:val="Totaldatarowrightaligned"/>
              <w:keepNext/>
            </w:pPr>
            <w:r w:rsidRPr="001C06E6">
              <w:t>-29.1</w:t>
            </w:r>
          </w:p>
        </w:tc>
      </w:tr>
    </w:tbl>
    <w:p w14:paraId="785965DE"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18A5DFD3" w14:textId="77777777" w:rsidR="0012790E" w:rsidRDefault="0012790E">
      <w:pPr>
        <w:pStyle w:val="Normal2"/>
        <w:rPr>
          <w:rFonts w:cs="Book Antiqua"/>
        </w:rPr>
      </w:pPr>
      <w:r w:rsidRPr="001C06E6">
        <w:rPr>
          <w:rFonts w:cs="Book Antiqua"/>
        </w:rPr>
        <w:t>The Government will provide $13.2</w:t>
      </w:r>
      <w:r>
        <w:rPr>
          <w:rFonts w:cs="Book Antiqua"/>
        </w:rPr>
        <w:t> </w:t>
      </w:r>
      <w:r w:rsidRPr="001C06E6">
        <w:rPr>
          <w:rFonts w:cs="Book Antiqua"/>
        </w:rPr>
        <w:t xml:space="preserve">million over five years from </w:t>
      </w:r>
      <w:r>
        <w:rPr>
          <w:rFonts w:cs="Book Antiqua"/>
        </w:rPr>
        <w:t>2023–24</w:t>
      </w:r>
      <w:r w:rsidRPr="001C06E6">
        <w:rPr>
          <w:rFonts w:cs="Book Antiqua"/>
        </w:rPr>
        <w:t xml:space="preserve"> (and savings</w:t>
      </w:r>
      <w:r>
        <w:rPr>
          <w:rFonts w:cs="Book Antiqua"/>
        </w:rPr>
        <w:t xml:space="preserve"> </w:t>
      </w:r>
      <w:r w:rsidRPr="001C06E6">
        <w:rPr>
          <w:rFonts w:cs="Book Antiqua"/>
        </w:rPr>
        <w:t>of $36.9</w:t>
      </w:r>
      <w:r>
        <w:rPr>
          <w:rFonts w:cs="Book Antiqua"/>
        </w:rPr>
        <w:t> </w:t>
      </w:r>
      <w:r w:rsidRPr="001C06E6">
        <w:rPr>
          <w:rFonts w:cs="Book Antiqua"/>
        </w:rPr>
        <w:t>million per year ongoing) for improvements to the employment services</w:t>
      </w:r>
      <w:r>
        <w:rPr>
          <w:rFonts w:cs="Book Antiqua"/>
        </w:rPr>
        <w:t xml:space="preserve"> </w:t>
      </w:r>
      <w:r w:rsidRPr="001C06E6">
        <w:rPr>
          <w:rFonts w:cs="Book Antiqua"/>
        </w:rPr>
        <w:t>system and to support future reform. Funding includes:</w:t>
      </w:r>
    </w:p>
    <w:p w14:paraId="2E8863F7" w14:textId="77777777" w:rsidR="0012790E" w:rsidRDefault="0012790E">
      <w:pPr>
        <w:pStyle w:val="Bullet"/>
      </w:pPr>
      <w:r w:rsidRPr="001C06E6">
        <w:t>$68.6</w:t>
      </w:r>
      <w:r>
        <w:t> </w:t>
      </w:r>
      <w:r w:rsidRPr="001C06E6">
        <w:t xml:space="preserve">million over five years from </w:t>
      </w:r>
      <w:r>
        <w:t>2023–24</w:t>
      </w:r>
      <w:r w:rsidRPr="001C06E6">
        <w:t xml:space="preserve"> to increase resourcing for the Digital Services Contact Centre to support people using Workforce Australia Online services</w:t>
      </w:r>
      <w:r>
        <w:t xml:space="preserve"> </w:t>
      </w:r>
    </w:p>
    <w:p w14:paraId="416FCB0E" w14:textId="77777777" w:rsidR="0012790E" w:rsidRDefault="0012790E">
      <w:pPr>
        <w:pStyle w:val="Bullet"/>
      </w:pPr>
      <w:r w:rsidRPr="001C06E6">
        <w:t>$32.1</w:t>
      </w:r>
      <w:r>
        <w:t> </w:t>
      </w:r>
      <w:r w:rsidRPr="001C06E6">
        <w:t xml:space="preserve">million over four years from </w:t>
      </w:r>
      <w:r>
        <w:t>2024–25</w:t>
      </w:r>
      <w:r w:rsidRPr="001C06E6">
        <w:t xml:space="preserve"> for the Real Jobs, Real Wages pilot providing tapered payments to employers to support wages for people at risk of long</w:t>
      </w:r>
      <w:r>
        <w:noBreakHyphen/>
      </w:r>
      <w:r w:rsidRPr="001C06E6">
        <w:t>term unemployment</w:t>
      </w:r>
      <w:r>
        <w:t xml:space="preserve"> </w:t>
      </w:r>
    </w:p>
    <w:p w14:paraId="78CDA722" w14:textId="11400F32" w:rsidR="0012790E" w:rsidRDefault="0012790E">
      <w:pPr>
        <w:pStyle w:val="Bullet"/>
      </w:pPr>
      <w:r w:rsidRPr="001C06E6">
        <w:t>$21.9</w:t>
      </w:r>
      <w:r>
        <w:t> </w:t>
      </w:r>
      <w:r w:rsidRPr="001C06E6">
        <w:t xml:space="preserve">million over five years from </w:t>
      </w:r>
      <w:r>
        <w:t>2023–24</w:t>
      </w:r>
      <w:r w:rsidRPr="001C06E6">
        <w:t xml:space="preserve"> to provide paid employment placements through social enterprise and employer partnerships for people with high barriers to</w:t>
      </w:r>
      <w:r w:rsidR="00EA2BDB">
        <w:t> </w:t>
      </w:r>
      <w:r w:rsidRPr="001C06E6">
        <w:t>work</w:t>
      </w:r>
      <w:r>
        <w:t xml:space="preserve"> </w:t>
      </w:r>
    </w:p>
    <w:p w14:paraId="0491B565" w14:textId="77777777" w:rsidR="0012790E" w:rsidRDefault="0012790E">
      <w:pPr>
        <w:pStyle w:val="Bullet"/>
      </w:pPr>
      <w:r w:rsidRPr="001C06E6">
        <w:t>$13.0</w:t>
      </w:r>
      <w:r>
        <w:t> </w:t>
      </w:r>
      <w:r w:rsidRPr="001C06E6">
        <w:t xml:space="preserve">million over five years from </w:t>
      </w:r>
      <w:r>
        <w:t>2023–24</w:t>
      </w:r>
      <w:r w:rsidRPr="001C06E6">
        <w:t xml:space="preserve"> (and $0.9</w:t>
      </w:r>
      <w:r>
        <w:t> </w:t>
      </w:r>
      <w:r w:rsidRPr="001C06E6">
        <w:t>million per year ongoing) to strengthen the complaints mechanism for clients of Workforce Australia and introduce further safeguards in relation to payment suspensions or penalties</w:t>
      </w:r>
      <w:r>
        <w:t xml:space="preserve"> </w:t>
      </w:r>
    </w:p>
    <w:p w14:paraId="64E8A8D9" w14:textId="77777777" w:rsidR="0012790E" w:rsidRDefault="0012790E">
      <w:pPr>
        <w:pStyle w:val="Bullet"/>
      </w:pPr>
      <w:r w:rsidRPr="001C06E6">
        <w:t>$10.9</w:t>
      </w:r>
      <w:r>
        <w:t> </w:t>
      </w:r>
      <w:r w:rsidRPr="001C06E6">
        <w:t xml:space="preserve">million over four years from </w:t>
      </w:r>
      <w:r>
        <w:t>2024–25</w:t>
      </w:r>
      <w:r w:rsidRPr="001C06E6">
        <w:t xml:space="preserve"> (and $0.8</w:t>
      </w:r>
      <w:r>
        <w:t> </w:t>
      </w:r>
      <w:r w:rsidRPr="001C06E6">
        <w:t>million per year ongoing) for critical improvements to the Workforce Australia IT system</w:t>
      </w:r>
      <w:r>
        <w:t xml:space="preserve"> </w:t>
      </w:r>
    </w:p>
    <w:p w14:paraId="4CA27FC6" w14:textId="77777777" w:rsidR="0012790E" w:rsidRDefault="0012790E">
      <w:pPr>
        <w:pStyle w:val="Bullet"/>
      </w:pPr>
      <w:r w:rsidRPr="001C06E6">
        <w:t>$6.4</w:t>
      </w:r>
      <w:r>
        <w:t> </w:t>
      </w:r>
      <w:r w:rsidRPr="001C06E6">
        <w:t xml:space="preserve">million over five years from </w:t>
      </w:r>
      <w:r>
        <w:t>2023–24</w:t>
      </w:r>
      <w:r w:rsidRPr="001C06E6">
        <w:t xml:space="preserve"> (and net savings of $0.3</w:t>
      </w:r>
      <w:r>
        <w:t> </w:t>
      </w:r>
      <w:r w:rsidRPr="001C06E6">
        <w:t>million per year ongoing) to better recognise individuals’ circumstances through more appropriate and consistent application of mutual obligation rules for certain recipients of income support payments.</w:t>
      </w:r>
      <w:r>
        <w:t xml:space="preserve"> </w:t>
      </w:r>
    </w:p>
    <w:p w14:paraId="110C9AD6" w14:textId="77777777" w:rsidR="0012790E" w:rsidRDefault="0012790E">
      <w:pPr>
        <w:pStyle w:val="Normal2"/>
        <w:rPr>
          <w:rFonts w:cs="Book Antiqua"/>
        </w:rPr>
      </w:pPr>
      <w:r w:rsidRPr="001C06E6">
        <w:rPr>
          <w:rFonts w:cs="Book Antiqua"/>
        </w:rPr>
        <w:t>These reforms progress the Government’s principles for employment services reform</w:t>
      </w:r>
      <w:r>
        <w:rPr>
          <w:rFonts w:cs="Book Antiqua"/>
        </w:rPr>
        <w:t xml:space="preserve"> </w:t>
      </w:r>
      <w:r w:rsidRPr="001C06E6">
        <w:rPr>
          <w:rFonts w:cs="Book Antiqua"/>
        </w:rPr>
        <w:t>outlined in the Employment White Paper.</w:t>
      </w:r>
      <w:r>
        <w:rPr>
          <w:rFonts w:cs="Book Antiqua"/>
        </w:rPr>
        <w:t xml:space="preserve"> </w:t>
      </w:r>
    </w:p>
    <w:p w14:paraId="2B9CB74B"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by reprioritising funding from within the existing </w:t>
      </w:r>
      <w:r w:rsidRPr="54937204">
        <w:rPr>
          <w:rFonts w:cs="Book Antiqua"/>
          <w:i/>
          <w:iCs/>
          <w:lang w:val="en-US"/>
        </w:rPr>
        <w:t>Employment Services</w:t>
      </w:r>
      <w:r w:rsidRPr="54937204">
        <w:rPr>
          <w:rFonts w:cs="Book Antiqua"/>
          <w:lang w:val="en-US"/>
        </w:rPr>
        <w:t xml:space="preserve"> program, including:</w:t>
      </w:r>
    </w:p>
    <w:p w14:paraId="363090E3" w14:textId="77777777" w:rsidR="0012790E" w:rsidRDefault="0012790E">
      <w:pPr>
        <w:pStyle w:val="Bullet"/>
      </w:pPr>
      <w:r w:rsidRPr="001C06E6">
        <w:t>$58.8</w:t>
      </w:r>
      <w:r>
        <w:t> </w:t>
      </w:r>
      <w:r w:rsidRPr="001C06E6">
        <w:t xml:space="preserve">million over five years from </w:t>
      </w:r>
      <w:r>
        <w:t>2023–24</w:t>
      </w:r>
      <w:r w:rsidRPr="001C06E6">
        <w:t xml:space="preserve"> (and $14.0</w:t>
      </w:r>
      <w:r>
        <w:t> </w:t>
      </w:r>
      <w:r w:rsidRPr="001C06E6">
        <w:t>million per year ongoing) from ceasing the Workforce Specialists initiative</w:t>
      </w:r>
      <w:r>
        <w:t xml:space="preserve"> </w:t>
      </w:r>
    </w:p>
    <w:p w14:paraId="003329BD" w14:textId="77777777" w:rsidR="0012790E" w:rsidRDefault="0012790E">
      <w:pPr>
        <w:pStyle w:val="Bullet"/>
      </w:pPr>
      <w:r w:rsidRPr="001C06E6">
        <w:t>$53.9</w:t>
      </w:r>
      <w:r>
        <w:t> </w:t>
      </w:r>
      <w:r w:rsidRPr="001C06E6">
        <w:t xml:space="preserve">million over four years from </w:t>
      </w:r>
      <w:r>
        <w:t>2024–25</w:t>
      </w:r>
      <w:r w:rsidRPr="001C06E6">
        <w:t xml:space="preserve"> (and $17.7</w:t>
      </w:r>
      <w:r>
        <w:t> </w:t>
      </w:r>
      <w:r w:rsidRPr="001C06E6">
        <w:t>million per year ongoing) from reducing credits to the Workforce Australia – Employment Fund by $100 for each new participant to Workforce Australia Provider Services</w:t>
      </w:r>
      <w:r>
        <w:t xml:space="preserve"> </w:t>
      </w:r>
    </w:p>
    <w:p w14:paraId="45D4DFE6" w14:textId="77777777" w:rsidR="0012790E" w:rsidRDefault="0012790E">
      <w:pPr>
        <w:pStyle w:val="Bullet"/>
      </w:pPr>
      <w:r w:rsidRPr="001C06E6">
        <w:t>$27.0</w:t>
      </w:r>
      <w:r>
        <w:t> </w:t>
      </w:r>
      <w:r w:rsidRPr="001C06E6">
        <w:t xml:space="preserve">million over five years from </w:t>
      </w:r>
      <w:r>
        <w:t>2023–24</w:t>
      </w:r>
      <w:r w:rsidRPr="001C06E6">
        <w:t xml:space="preserve"> (and $6.6</w:t>
      </w:r>
      <w:r>
        <w:t> </w:t>
      </w:r>
      <w:r w:rsidRPr="001C06E6">
        <w:t>million per year ongoing) from reducing credits to the Workforce Australia – Employment Fund by $50 for each new participant to Workforce Australia Online.</w:t>
      </w:r>
      <w:r>
        <w:t xml:space="preserve"> </w:t>
      </w:r>
    </w:p>
    <w:p w14:paraId="129E42CA" w14:textId="77777777" w:rsidR="0012790E" w:rsidRDefault="0012790E" w:rsidP="54937204">
      <w:pPr>
        <w:pStyle w:val="Normal2"/>
        <w:rPr>
          <w:rFonts w:cs="Book Antiqua"/>
          <w:lang w:val="en-US"/>
        </w:rPr>
      </w:pPr>
      <w:r w:rsidRPr="54937204">
        <w:rPr>
          <w:rFonts w:cs="Book Antiqua"/>
          <w:lang w:val="en-US"/>
        </w:rPr>
        <w:t xml:space="preserve">The residual cost of this measure will be met from savings identified in the Employment and Workplace Relations portfolio. </w:t>
      </w:r>
    </w:p>
    <w:p w14:paraId="5C750524" w14:textId="77777777" w:rsidR="0012790E" w:rsidRPr="001C06E6" w:rsidRDefault="0012790E">
      <w:pPr>
        <w:pStyle w:val="MeasureTitle"/>
        <w:rPr>
          <w:b w:val="0"/>
          <w:bCs/>
        </w:rPr>
      </w:pPr>
      <w:r w:rsidRPr="001C06E6">
        <w:rPr>
          <w:bCs/>
        </w:rPr>
        <w:t>Engineered Stone Import Prohibition</w:t>
      </w:r>
    </w:p>
    <w:p w14:paraId="1053140B"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B882775" w14:textId="77777777">
        <w:tc>
          <w:tcPr>
            <w:tcW w:w="2497" w:type="dxa"/>
            <w:tcBorders>
              <w:top w:val="single" w:sz="4" w:space="0" w:color="293F5B"/>
              <w:bottom w:val="single" w:sz="4" w:space="0" w:color="293F5B"/>
            </w:tcBorders>
            <w:shd w:val="clear" w:color="auto" w:fill="auto"/>
          </w:tcPr>
          <w:p w14:paraId="5E3494EE"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2424B60"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4525E57"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46FA1FD9"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4A4A56C"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B6ACEB1" w14:textId="77777777" w:rsidR="0012790E" w:rsidRPr="001C06E6" w:rsidRDefault="0012790E">
            <w:pPr>
              <w:pStyle w:val="MeasureTableYearHeadings"/>
              <w:keepNext/>
            </w:pPr>
            <w:r w:rsidRPr="001C06E6">
              <w:t>2027</w:t>
            </w:r>
            <w:r>
              <w:noBreakHyphen/>
            </w:r>
            <w:r w:rsidRPr="001C06E6">
              <w:t>28</w:t>
            </w:r>
          </w:p>
        </w:tc>
      </w:tr>
      <w:tr w:rsidR="0012790E" w:rsidRPr="001C06E6" w14:paraId="243C613E" w14:textId="77777777">
        <w:tc>
          <w:tcPr>
            <w:tcW w:w="2497" w:type="dxa"/>
            <w:tcBorders>
              <w:top w:val="single" w:sz="4" w:space="0" w:color="293F5B"/>
              <w:bottom w:val="single" w:sz="4" w:space="0" w:color="293F5B"/>
            </w:tcBorders>
            <w:shd w:val="clear" w:color="auto" w:fill="auto"/>
          </w:tcPr>
          <w:p w14:paraId="015E6E1A"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1EB2909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3610290" w14:textId="77777777" w:rsidR="0012790E" w:rsidRPr="001C06E6" w:rsidRDefault="0012790E">
            <w:pPr>
              <w:pStyle w:val="MeasureTableDataRightAlignedwith2ptsspacing"/>
              <w:keepNext/>
            </w:pPr>
            <w:r w:rsidRPr="001C06E6">
              <w:t>20.0</w:t>
            </w:r>
          </w:p>
        </w:tc>
        <w:tc>
          <w:tcPr>
            <w:tcW w:w="1045" w:type="dxa"/>
            <w:tcBorders>
              <w:top w:val="single" w:sz="4" w:space="0" w:color="293F5B"/>
              <w:bottom w:val="single" w:sz="4" w:space="0" w:color="293F5B"/>
            </w:tcBorders>
            <w:shd w:val="clear" w:color="auto" w:fill="auto"/>
          </w:tcPr>
          <w:p w14:paraId="7BAC2543" w14:textId="77777777" w:rsidR="0012790E" w:rsidRPr="001C06E6" w:rsidRDefault="0012790E">
            <w:pPr>
              <w:pStyle w:val="MeasureTableDataRightAlignedwith2ptsspacing"/>
              <w:keepNext/>
            </w:pPr>
            <w:r w:rsidRPr="001C06E6">
              <w:t>12.1</w:t>
            </w:r>
          </w:p>
        </w:tc>
        <w:tc>
          <w:tcPr>
            <w:tcW w:w="1045" w:type="dxa"/>
            <w:tcBorders>
              <w:top w:val="single" w:sz="4" w:space="0" w:color="293F5B"/>
              <w:bottom w:val="single" w:sz="4" w:space="0" w:color="293F5B"/>
            </w:tcBorders>
            <w:shd w:val="clear" w:color="auto" w:fill="auto"/>
          </w:tcPr>
          <w:p w14:paraId="161E86D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C2861CB" w14:textId="77777777" w:rsidR="0012790E" w:rsidRPr="001C06E6" w:rsidRDefault="0012790E">
            <w:pPr>
              <w:pStyle w:val="MeasureTableDataRightAlignedwith2ptsspacing"/>
              <w:keepNext/>
            </w:pPr>
            <w:r w:rsidRPr="001C06E6">
              <w:t>-</w:t>
            </w:r>
          </w:p>
        </w:tc>
      </w:tr>
      <w:tr w:rsidR="0012790E" w:rsidRPr="001C06E6" w14:paraId="55F396EE" w14:textId="77777777">
        <w:tc>
          <w:tcPr>
            <w:tcW w:w="2497" w:type="dxa"/>
            <w:tcBorders>
              <w:top w:val="single" w:sz="4" w:space="0" w:color="293F5B"/>
              <w:bottom w:val="single" w:sz="4" w:space="0" w:color="293F5B"/>
            </w:tcBorders>
            <w:shd w:val="clear" w:color="auto" w:fill="auto"/>
          </w:tcPr>
          <w:p w14:paraId="3B6B5FB7"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2143C14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F5B8E4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66EE5F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778B48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CB1A429" w14:textId="77777777" w:rsidR="0012790E" w:rsidRPr="001C06E6" w:rsidRDefault="0012790E">
            <w:pPr>
              <w:pStyle w:val="MeasureTableDataRightAlignedwith2ptsspacing"/>
              <w:keepNext/>
            </w:pPr>
            <w:r>
              <w:t xml:space="preserve">- </w:t>
            </w:r>
          </w:p>
        </w:tc>
      </w:tr>
      <w:tr w:rsidR="0012790E" w:rsidRPr="001C06E6" w14:paraId="008E3619" w14:textId="77777777">
        <w:tc>
          <w:tcPr>
            <w:tcW w:w="2497" w:type="dxa"/>
            <w:tcBorders>
              <w:top w:val="single" w:sz="4" w:space="0" w:color="293F5B"/>
              <w:bottom w:val="single" w:sz="4" w:space="0" w:color="293F5B"/>
            </w:tcBorders>
            <w:shd w:val="clear" w:color="auto" w:fill="auto"/>
          </w:tcPr>
          <w:p w14:paraId="7CF200B9"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6B12B85C"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483784B4" w14:textId="77777777" w:rsidR="0012790E" w:rsidRPr="001C06E6" w:rsidRDefault="0012790E">
            <w:pPr>
              <w:pStyle w:val="Totaldatarowrightaligned"/>
              <w:keepNext/>
            </w:pPr>
            <w:r w:rsidRPr="001C06E6">
              <w:t>20.0</w:t>
            </w:r>
          </w:p>
        </w:tc>
        <w:tc>
          <w:tcPr>
            <w:tcW w:w="1045" w:type="dxa"/>
            <w:tcBorders>
              <w:top w:val="single" w:sz="4" w:space="0" w:color="293F5B"/>
              <w:bottom w:val="single" w:sz="4" w:space="0" w:color="293F5B"/>
            </w:tcBorders>
            <w:shd w:val="clear" w:color="auto" w:fill="auto"/>
          </w:tcPr>
          <w:p w14:paraId="14EABACB" w14:textId="77777777" w:rsidR="0012790E" w:rsidRPr="001C06E6" w:rsidRDefault="0012790E">
            <w:pPr>
              <w:pStyle w:val="Totaldatarowrightaligned"/>
              <w:keepNext/>
            </w:pPr>
            <w:r w:rsidRPr="001C06E6">
              <w:t>12.1</w:t>
            </w:r>
          </w:p>
        </w:tc>
        <w:tc>
          <w:tcPr>
            <w:tcW w:w="1045" w:type="dxa"/>
            <w:tcBorders>
              <w:top w:val="single" w:sz="4" w:space="0" w:color="293F5B"/>
              <w:bottom w:val="single" w:sz="4" w:space="0" w:color="293F5B"/>
            </w:tcBorders>
            <w:shd w:val="clear" w:color="auto" w:fill="auto"/>
          </w:tcPr>
          <w:p w14:paraId="0C0CC994"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619DDF59" w14:textId="77777777" w:rsidR="0012790E" w:rsidRPr="001C06E6" w:rsidRDefault="0012790E">
            <w:pPr>
              <w:pStyle w:val="Totaldatarowrightaligned"/>
              <w:keepNext/>
            </w:pPr>
            <w:r w:rsidRPr="001C06E6">
              <w:t>-</w:t>
            </w:r>
          </w:p>
        </w:tc>
      </w:tr>
      <w:tr w:rsidR="0012790E" w:rsidRPr="001C06E6" w14:paraId="4EE90379" w14:textId="77777777">
        <w:tc>
          <w:tcPr>
            <w:tcW w:w="2497" w:type="dxa"/>
            <w:tcBorders>
              <w:top w:val="single" w:sz="4" w:space="0" w:color="293F5B"/>
            </w:tcBorders>
            <w:shd w:val="clear" w:color="auto" w:fill="auto"/>
          </w:tcPr>
          <w:p w14:paraId="6ABE0B9C"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17D05829" w14:textId="77777777" w:rsidR="0012790E" w:rsidRPr="001C06E6" w:rsidRDefault="0012790E">
            <w:pPr>
              <w:pStyle w:val="AgencyName"/>
              <w:keepNext/>
            </w:pPr>
          </w:p>
        </w:tc>
        <w:tc>
          <w:tcPr>
            <w:tcW w:w="1045" w:type="dxa"/>
            <w:tcBorders>
              <w:top w:val="single" w:sz="4" w:space="0" w:color="293F5B"/>
            </w:tcBorders>
            <w:shd w:val="clear" w:color="auto" w:fill="auto"/>
          </w:tcPr>
          <w:p w14:paraId="2ED2DED5" w14:textId="77777777" w:rsidR="0012790E" w:rsidRPr="001C06E6" w:rsidRDefault="0012790E">
            <w:pPr>
              <w:pStyle w:val="AgencyName"/>
              <w:keepNext/>
            </w:pPr>
          </w:p>
        </w:tc>
        <w:tc>
          <w:tcPr>
            <w:tcW w:w="1045" w:type="dxa"/>
            <w:tcBorders>
              <w:top w:val="single" w:sz="4" w:space="0" w:color="293F5B"/>
            </w:tcBorders>
            <w:shd w:val="clear" w:color="auto" w:fill="auto"/>
          </w:tcPr>
          <w:p w14:paraId="6ABB6539" w14:textId="77777777" w:rsidR="0012790E" w:rsidRPr="001C06E6" w:rsidRDefault="0012790E">
            <w:pPr>
              <w:pStyle w:val="AgencyName"/>
              <w:keepNext/>
            </w:pPr>
          </w:p>
        </w:tc>
        <w:tc>
          <w:tcPr>
            <w:tcW w:w="1045" w:type="dxa"/>
            <w:tcBorders>
              <w:top w:val="single" w:sz="4" w:space="0" w:color="293F5B"/>
            </w:tcBorders>
            <w:shd w:val="clear" w:color="auto" w:fill="auto"/>
          </w:tcPr>
          <w:p w14:paraId="32271F5D" w14:textId="77777777" w:rsidR="0012790E" w:rsidRPr="001C06E6" w:rsidRDefault="0012790E">
            <w:pPr>
              <w:pStyle w:val="AgencyName"/>
              <w:keepNext/>
            </w:pPr>
          </w:p>
        </w:tc>
        <w:tc>
          <w:tcPr>
            <w:tcW w:w="1045" w:type="dxa"/>
            <w:tcBorders>
              <w:top w:val="single" w:sz="4" w:space="0" w:color="293F5B"/>
            </w:tcBorders>
            <w:shd w:val="clear" w:color="auto" w:fill="auto"/>
          </w:tcPr>
          <w:p w14:paraId="21EAFC97" w14:textId="77777777" w:rsidR="0012790E" w:rsidRPr="001C06E6" w:rsidRDefault="0012790E">
            <w:pPr>
              <w:pStyle w:val="AgencyName"/>
              <w:keepNext/>
            </w:pPr>
          </w:p>
        </w:tc>
      </w:tr>
      <w:tr w:rsidR="0012790E" w:rsidRPr="001C06E6" w14:paraId="7B7C9C50" w14:textId="77777777">
        <w:tc>
          <w:tcPr>
            <w:tcW w:w="2497" w:type="dxa"/>
            <w:tcBorders>
              <w:bottom w:val="single" w:sz="4" w:space="0" w:color="293F5B"/>
            </w:tcBorders>
            <w:shd w:val="clear" w:color="auto" w:fill="auto"/>
          </w:tcPr>
          <w:p w14:paraId="5C3711E5" w14:textId="77777777" w:rsidR="0012790E" w:rsidRPr="001C06E6" w:rsidRDefault="0012790E">
            <w:pPr>
              <w:pStyle w:val="AgencyNamewith2ptsspacing"/>
              <w:keepNext/>
            </w:pPr>
            <w:r w:rsidRPr="001C06E6">
              <w:t>Department of Home Affairs</w:t>
            </w:r>
          </w:p>
        </w:tc>
        <w:tc>
          <w:tcPr>
            <w:tcW w:w="1045" w:type="dxa"/>
            <w:tcBorders>
              <w:bottom w:val="single" w:sz="4" w:space="0" w:color="293F5B"/>
            </w:tcBorders>
            <w:shd w:val="clear" w:color="auto" w:fill="auto"/>
          </w:tcPr>
          <w:p w14:paraId="47B66F55"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3CD9F45C" w14:textId="3531FD39" w:rsidR="0012790E" w:rsidRPr="001C06E6" w:rsidRDefault="001F30EC">
            <w:pPr>
              <w:pStyle w:val="Measuretabledatarightaligneditalics"/>
              <w:keepNext/>
            </w:pPr>
            <w:r>
              <w:t>..</w:t>
            </w:r>
          </w:p>
        </w:tc>
        <w:tc>
          <w:tcPr>
            <w:tcW w:w="1045" w:type="dxa"/>
            <w:tcBorders>
              <w:bottom w:val="single" w:sz="4" w:space="0" w:color="293F5B"/>
            </w:tcBorders>
            <w:shd w:val="clear" w:color="auto" w:fill="auto"/>
          </w:tcPr>
          <w:p w14:paraId="10803728" w14:textId="59CC3C76" w:rsidR="0012790E" w:rsidRPr="001C06E6" w:rsidRDefault="001F30EC">
            <w:pPr>
              <w:pStyle w:val="Measuretabledatarightaligneditalics"/>
              <w:keepNext/>
            </w:pPr>
            <w:r>
              <w:t>..</w:t>
            </w:r>
          </w:p>
        </w:tc>
        <w:tc>
          <w:tcPr>
            <w:tcW w:w="1045" w:type="dxa"/>
            <w:tcBorders>
              <w:bottom w:val="single" w:sz="4" w:space="0" w:color="293F5B"/>
            </w:tcBorders>
            <w:shd w:val="clear" w:color="auto" w:fill="auto"/>
          </w:tcPr>
          <w:p w14:paraId="21D0A2D2" w14:textId="0B386305" w:rsidR="0012790E" w:rsidRPr="001C06E6" w:rsidRDefault="001F30EC">
            <w:pPr>
              <w:pStyle w:val="Measuretabledatarightaligneditalics"/>
              <w:keepNext/>
            </w:pPr>
            <w:r>
              <w:t>..</w:t>
            </w:r>
          </w:p>
        </w:tc>
        <w:tc>
          <w:tcPr>
            <w:tcW w:w="1045" w:type="dxa"/>
            <w:tcBorders>
              <w:bottom w:val="single" w:sz="4" w:space="0" w:color="293F5B"/>
            </w:tcBorders>
            <w:shd w:val="clear" w:color="auto" w:fill="auto"/>
          </w:tcPr>
          <w:p w14:paraId="5C0308FC" w14:textId="0D3B7CBA" w:rsidR="0012790E" w:rsidRPr="001C06E6" w:rsidRDefault="001F30EC">
            <w:pPr>
              <w:pStyle w:val="Measuretabledatarightaligneditalics"/>
              <w:keepNext/>
            </w:pPr>
            <w:r>
              <w:t>..</w:t>
            </w:r>
          </w:p>
        </w:tc>
      </w:tr>
    </w:tbl>
    <w:p w14:paraId="7685910F" w14:textId="77777777" w:rsidR="0012790E" w:rsidRPr="001C06E6" w:rsidRDefault="0012790E">
      <w:pPr>
        <w:keepNext/>
        <w:widowControl w:val="0"/>
        <w:tabs>
          <w:tab w:val="right" w:pos="3536"/>
          <w:tab w:val="right" w:pos="4579"/>
          <w:tab w:val="right" w:pos="5622"/>
          <w:tab w:val="right" w:pos="6664"/>
          <w:tab w:val="right" w:pos="7707"/>
        </w:tabs>
        <w:spacing w:line="240" w:lineRule="exact"/>
        <w:rPr>
          <w:i/>
          <w:iCs/>
          <w:color w:val="000000"/>
          <w:sz w:val="16"/>
          <w:szCs w:val="16"/>
          <w:lang w:val="en-AU"/>
        </w:rPr>
      </w:pPr>
    </w:p>
    <w:p w14:paraId="7D1AF125" w14:textId="77777777" w:rsidR="0012790E" w:rsidRDefault="0012790E">
      <w:pPr>
        <w:pStyle w:val="Normal2"/>
        <w:rPr>
          <w:rFonts w:cs="Book Antiqua"/>
        </w:rPr>
      </w:pPr>
      <w:r w:rsidRPr="001C06E6">
        <w:rPr>
          <w:rFonts w:cs="Book Antiqua"/>
        </w:rPr>
        <w:t>The Government will provide $32.1</w:t>
      </w:r>
      <w:r>
        <w:rPr>
          <w:rFonts w:cs="Book Antiqua"/>
        </w:rPr>
        <w:t> </w:t>
      </w:r>
      <w:r w:rsidRPr="001C06E6">
        <w:rPr>
          <w:rFonts w:cs="Book Antiqua"/>
        </w:rPr>
        <w:t xml:space="preserve">million over two years from </w:t>
      </w:r>
      <w:r>
        <w:rPr>
          <w:rFonts w:cs="Book Antiqua"/>
        </w:rPr>
        <w:t>2024–25</w:t>
      </w:r>
      <w:r w:rsidRPr="001C06E6">
        <w:rPr>
          <w:rFonts w:cs="Book Antiqua"/>
        </w:rPr>
        <w:t xml:space="preserve"> to the</w:t>
      </w:r>
      <w:r>
        <w:rPr>
          <w:rFonts w:cs="Book Antiqua"/>
        </w:rPr>
        <w:t xml:space="preserve"> </w:t>
      </w:r>
      <w:r w:rsidRPr="001C06E6">
        <w:rPr>
          <w:rFonts w:cs="Book Antiqua"/>
        </w:rPr>
        <w:t>Australian Border Force to enforce a legislated import prohibition on engineered stone</w:t>
      </w:r>
      <w:r>
        <w:rPr>
          <w:rFonts w:cs="Book Antiqua"/>
        </w:rPr>
        <w:t xml:space="preserve"> </w:t>
      </w:r>
      <w:r w:rsidRPr="001C06E6">
        <w:rPr>
          <w:rFonts w:cs="Book Antiqua"/>
        </w:rPr>
        <w:t>products entering Australia, to support the state and territory ban on the use, supply,</w:t>
      </w:r>
      <w:r>
        <w:rPr>
          <w:rFonts w:cs="Book Antiqua"/>
        </w:rPr>
        <w:t xml:space="preserve"> </w:t>
      </w:r>
      <w:r w:rsidRPr="001C06E6">
        <w:rPr>
          <w:rFonts w:cs="Book Antiqua"/>
        </w:rPr>
        <w:t>and manufacture of engineered stone which will take effect in most jurisdictions from 1</w:t>
      </w:r>
      <w:r>
        <w:rPr>
          <w:rFonts w:cs="Book Antiqua"/>
        </w:rPr>
        <w:t> </w:t>
      </w:r>
      <w:r w:rsidRPr="001C06E6">
        <w:rPr>
          <w:rFonts w:cs="Book Antiqua"/>
        </w:rPr>
        <w:t>July</w:t>
      </w:r>
      <w:r>
        <w:rPr>
          <w:rFonts w:cs="Book Antiqua"/>
        </w:rPr>
        <w:t> </w:t>
      </w:r>
      <w:r w:rsidRPr="001C06E6">
        <w:rPr>
          <w:rFonts w:cs="Book Antiqua"/>
        </w:rPr>
        <w:t>2024, with limited exemptions for certain legacy contracts.</w:t>
      </w:r>
      <w:r>
        <w:rPr>
          <w:rFonts w:cs="Book Antiqua"/>
        </w:rPr>
        <w:t xml:space="preserve"> </w:t>
      </w:r>
    </w:p>
    <w:p w14:paraId="0DA20CA9" w14:textId="77777777" w:rsidR="0012790E" w:rsidRDefault="0012790E">
      <w:pPr>
        <w:pStyle w:val="Normal2"/>
        <w:rPr>
          <w:rFonts w:cs="Book Antiqua"/>
        </w:rPr>
      </w:pPr>
      <w:r w:rsidRPr="001C06E6">
        <w:rPr>
          <w:rFonts w:cs="Book Antiqua"/>
        </w:rPr>
        <w:t xml:space="preserve">This measure is estimated to have a negligible impact on receipts from </w:t>
      </w:r>
      <w:r>
        <w:rPr>
          <w:rFonts w:cs="Book Antiqua"/>
        </w:rPr>
        <w:t>2024–25</w:t>
      </w:r>
      <w:r w:rsidRPr="001C06E6">
        <w:rPr>
          <w:rFonts w:cs="Book Antiqua"/>
        </w:rPr>
        <w:t>.</w:t>
      </w:r>
      <w:r>
        <w:rPr>
          <w:rFonts w:cs="Book Antiqua"/>
        </w:rPr>
        <w:t xml:space="preserve"> </w:t>
      </w:r>
    </w:p>
    <w:p w14:paraId="1CCC5862" w14:textId="77777777" w:rsidR="0012790E" w:rsidRPr="001C06E6" w:rsidRDefault="0012790E">
      <w:pPr>
        <w:pStyle w:val="MeasureTitle"/>
        <w:rPr>
          <w:b w:val="0"/>
          <w:bCs/>
        </w:rPr>
      </w:pPr>
      <w:r w:rsidRPr="001C06E6">
        <w:rPr>
          <w:bCs/>
        </w:rPr>
        <w:t>Extending Broome Employment Services</w:t>
      </w:r>
    </w:p>
    <w:p w14:paraId="666768CA"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84742C1" w14:textId="77777777">
        <w:tc>
          <w:tcPr>
            <w:tcW w:w="2497" w:type="dxa"/>
            <w:tcBorders>
              <w:top w:val="single" w:sz="4" w:space="0" w:color="293F5B"/>
              <w:bottom w:val="single" w:sz="4" w:space="0" w:color="293F5B"/>
            </w:tcBorders>
            <w:shd w:val="clear" w:color="auto" w:fill="auto"/>
          </w:tcPr>
          <w:p w14:paraId="282BE846"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377A8592"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262F818"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9D4AA8D"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E9FCA8C"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32A4934" w14:textId="77777777" w:rsidR="0012790E" w:rsidRPr="001C06E6" w:rsidRDefault="0012790E">
            <w:pPr>
              <w:pStyle w:val="MeasureTableYearHeadings"/>
              <w:keepNext/>
            </w:pPr>
            <w:r w:rsidRPr="001C06E6">
              <w:t>2027</w:t>
            </w:r>
            <w:r>
              <w:noBreakHyphen/>
            </w:r>
            <w:r w:rsidRPr="001C06E6">
              <w:t>28</w:t>
            </w:r>
          </w:p>
        </w:tc>
      </w:tr>
      <w:tr w:rsidR="0012790E" w:rsidRPr="001C06E6" w14:paraId="0AE154F5" w14:textId="77777777">
        <w:tc>
          <w:tcPr>
            <w:tcW w:w="2497" w:type="dxa"/>
            <w:tcBorders>
              <w:top w:val="single" w:sz="4" w:space="0" w:color="293F5B"/>
              <w:bottom w:val="single" w:sz="4" w:space="0" w:color="293F5B"/>
            </w:tcBorders>
            <w:shd w:val="clear" w:color="auto" w:fill="auto"/>
          </w:tcPr>
          <w:p w14:paraId="10D8D16A"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68E6872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EDCC7F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6F09A9D" w14:textId="77777777" w:rsidR="0012790E" w:rsidRPr="001C06E6" w:rsidRDefault="0012790E">
            <w:pPr>
              <w:pStyle w:val="MeasureTableDataRightAlignedwith2ptsspacing"/>
              <w:keepNext/>
            </w:pPr>
            <w:r>
              <w:t xml:space="preserve">1.2 </w:t>
            </w:r>
          </w:p>
        </w:tc>
        <w:tc>
          <w:tcPr>
            <w:tcW w:w="1045" w:type="dxa"/>
            <w:tcBorders>
              <w:top w:val="single" w:sz="4" w:space="0" w:color="293F5B"/>
              <w:bottom w:val="single" w:sz="4" w:space="0" w:color="293F5B"/>
            </w:tcBorders>
            <w:shd w:val="clear" w:color="auto" w:fill="auto"/>
          </w:tcPr>
          <w:p w14:paraId="776835F3" w14:textId="77777777" w:rsidR="0012790E" w:rsidRPr="001C06E6" w:rsidRDefault="0012790E">
            <w:pPr>
              <w:pStyle w:val="MeasureTableDataRightAlignedwith2ptsspacing"/>
              <w:keepNext/>
            </w:pPr>
            <w:r>
              <w:t xml:space="preserve">1.7 </w:t>
            </w:r>
          </w:p>
        </w:tc>
        <w:tc>
          <w:tcPr>
            <w:tcW w:w="1045" w:type="dxa"/>
            <w:tcBorders>
              <w:top w:val="single" w:sz="4" w:space="0" w:color="293F5B"/>
              <w:bottom w:val="single" w:sz="4" w:space="0" w:color="293F5B"/>
            </w:tcBorders>
            <w:shd w:val="clear" w:color="auto" w:fill="auto"/>
          </w:tcPr>
          <w:p w14:paraId="73EA9EF7" w14:textId="77777777" w:rsidR="0012790E" w:rsidRPr="001C06E6" w:rsidRDefault="0012790E">
            <w:pPr>
              <w:pStyle w:val="MeasureTableDataRightAlignedwith2ptsspacing"/>
              <w:keepNext/>
            </w:pPr>
            <w:r>
              <w:t xml:space="preserve">0.7 </w:t>
            </w:r>
          </w:p>
        </w:tc>
      </w:tr>
    </w:tbl>
    <w:p w14:paraId="0184EBC9" w14:textId="77777777" w:rsidR="0012790E" w:rsidRPr="001C06E6" w:rsidRDefault="0012790E">
      <w:pPr>
        <w:keepNext/>
        <w:widowControl w:val="0"/>
        <w:spacing w:line="184" w:lineRule="exact"/>
        <w:rPr>
          <w:color w:val="000000"/>
          <w:sz w:val="16"/>
          <w:szCs w:val="16"/>
          <w:lang w:val="en-AU"/>
        </w:rPr>
      </w:pPr>
    </w:p>
    <w:p w14:paraId="63563B02" w14:textId="14B5D2B4" w:rsidR="0012790E" w:rsidRDefault="0012790E" w:rsidP="54937204">
      <w:pPr>
        <w:pStyle w:val="Normal2"/>
        <w:rPr>
          <w:rFonts w:cs="Book Antiqua"/>
          <w:lang w:val="en-US"/>
        </w:rPr>
      </w:pPr>
      <w:r w:rsidRPr="54937204">
        <w:rPr>
          <w:rFonts w:cs="Book Antiqua"/>
          <w:lang w:val="en-US"/>
        </w:rPr>
        <w:t>The Government will provide $3.7 million over three years from 2025–26 to extend the Broome Employment Services trial for two years to 30 June 2027 to support continuity of employment services and to analyse findings of the trial to ensure future service delivery arrangements in the Broome employment region are responsive to the needs of the local</w:t>
      </w:r>
      <w:r w:rsidR="00EA2BDB">
        <w:rPr>
          <w:rFonts w:cs="Book Antiqua"/>
          <w:lang w:val="en-US"/>
        </w:rPr>
        <w:t> </w:t>
      </w:r>
      <w:r w:rsidRPr="54937204">
        <w:rPr>
          <w:rFonts w:cs="Book Antiqua"/>
          <w:lang w:val="en-US"/>
        </w:rPr>
        <w:t xml:space="preserve">community. </w:t>
      </w:r>
    </w:p>
    <w:p w14:paraId="7E22B662" w14:textId="77777777" w:rsidR="0012790E" w:rsidRDefault="0012790E" w:rsidP="54937204">
      <w:pPr>
        <w:pStyle w:val="Normal2"/>
        <w:rPr>
          <w:rFonts w:cs="Book Antiqua"/>
          <w:lang w:val="en-US"/>
        </w:rPr>
      </w:pPr>
      <w:r w:rsidRPr="54937204">
        <w:rPr>
          <w:rFonts w:cs="Book Antiqua"/>
          <w:lang w:val="en-US"/>
        </w:rPr>
        <w:t xml:space="preserve">The cost of this measure will be met from savings identified in the Employment and Workplace Relations portfolio. </w:t>
      </w:r>
    </w:p>
    <w:p w14:paraId="14BBC02B" w14:textId="77777777" w:rsidR="0012790E" w:rsidRDefault="0012790E" w:rsidP="54937204">
      <w:pPr>
        <w:pStyle w:val="Normal2"/>
        <w:rPr>
          <w:rFonts w:cs="Book Antiqua"/>
          <w:lang w:val="en-US"/>
        </w:rPr>
      </w:pPr>
      <w:r w:rsidRPr="54937204">
        <w:rPr>
          <w:rFonts w:cs="Book Antiqua"/>
          <w:lang w:val="en-US"/>
        </w:rPr>
        <w:t xml:space="preserve">This measure extends the Broome Employment Services component of the 2023–24 Budget measure titled </w:t>
      </w:r>
      <w:r w:rsidRPr="54937204">
        <w:rPr>
          <w:rFonts w:cs="Book Antiqua"/>
          <w:i/>
          <w:iCs/>
          <w:lang w:val="en-US"/>
        </w:rPr>
        <w:t>Boosting Employment Support</w:t>
      </w:r>
      <w:r w:rsidRPr="54937204">
        <w:rPr>
          <w:rFonts w:cs="Book Antiqua"/>
          <w:lang w:val="en-US"/>
        </w:rPr>
        <w:t xml:space="preserve">. </w:t>
      </w:r>
    </w:p>
    <w:p w14:paraId="01C80120" w14:textId="77777777" w:rsidR="0012790E" w:rsidRPr="001C06E6" w:rsidRDefault="0012790E">
      <w:pPr>
        <w:pStyle w:val="MeasureTitle"/>
        <w:rPr>
          <w:b w:val="0"/>
          <w:bCs/>
        </w:rPr>
      </w:pPr>
      <w:r w:rsidRPr="001C06E6">
        <w:rPr>
          <w:bCs/>
        </w:rPr>
        <w:t>First Nations Prison to Employment Program</w:t>
      </w:r>
    </w:p>
    <w:p w14:paraId="70DFD162"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4D19E5E3" w14:textId="77777777">
        <w:tc>
          <w:tcPr>
            <w:tcW w:w="2497" w:type="dxa"/>
            <w:tcBorders>
              <w:top w:val="single" w:sz="4" w:space="0" w:color="293F5B"/>
              <w:bottom w:val="single" w:sz="4" w:space="0" w:color="293F5B"/>
            </w:tcBorders>
            <w:shd w:val="clear" w:color="auto" w:fill="auto"/>
          </w:tcPr>
          <w:p w14:paraId="5570959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B287FED"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BC08369"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37E2497"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94E9FB3"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85196FA" w14:textId="77777777" w:rsidR="0012790E" w:rsidRPr="001C06E6" w:rsidRDefault="0012790E">
            <w:pPr>
              <w:pStyle w:val="MeasureTableYearHeadings"/>
              <w:keepNext/>
            </w:pPr>
            <w:r w:rsidRPr="001C06E6">
              <w:t>2027</w:t>
            </w:r>
            <w:r>
              <w:noBreakHyphen/>
            </w:r>
            <w:r w:rsidRPr="001C06E6">
              <w:t>28</w:t>
            </w:r>
          </w:p>
        </w:tc>
      </w:tr>
      <w:tr w:rsidR="0012790E" w:rsidRPr="001C06E6" w14:paraId="784295BE" w14:textId="77777777">
        <w:tc>
          <w:tcPr>
            <w:tcW w:w="2497" w:type="dxa"/>
            <w:tcBorders>
              <w:top w:val="single" w:sz="4" w:space="0" w:color="293F5B"/>
              <w:bottom w:val="single" w:sz="4" w:space="0" w:color="293F5B"/>
            </w:tcBorders>
            <w:shd w:val="clear" w:color="auto" w:fill="auto"/>
          </w:tcPr>
          <w:p w14:paraId="759512F9"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7305CEA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0D66BD5" w14:textId="77777777" w:rsidR="0012790E" w:rsidRPr="001C06E6" w:rsidRDefault="0012790E">
            <w:pPr>
              <w:pStyle w:val="MeasureTableDataRightAlignedwith2ptsspacing"/>
              <w:keepNext/>
            </w:pPr>
            <w:r>
              <w:t xml:space="preserve">8.7 </w:t>
            </w:r>
          </w:p>
        </w:tc>
        <w:tc>
          <w:tcPr>
            <w:tcW w:w="1045" w:type="dxa"/>
            <w:tcBorders>
              <w:top w:val="single" w:sz="4" w:space="0" w:color="293F5B"/>
              <w:bottom w:val="single" w:sz="4" w:space="0" w:color="293F5B"/>
            </w:tcBorders>
            <w:shd w:val="clear" w:color="auto" w:fill="auto"/>
          </w:tcPr>
          <w:p w14:paraId="7CF3B200" w14:textId="77777777" w:rsidR="0012790E" w:rsidRPr="001C06E6" w:rsidRDefault="0012790E">
            <w:pPr>
              <w:pStyle w:val="MeasureTableDataRightAlignedwith2ptsspacing"/>
              <w:keepNext/>
            </w:pPr>
            <w:r>
              <w:t xml:space="preserve">19.6 </w:t>
            </w:r>
          </w:p>
        </w:tc>
        <w:tc>
          <w:tcPr>
            <w:tcW w:w="1045" w:type="dxa"/>
            <w:tcBorders>
              <w:top w:val="single" w:sz="4" w:space="0" w:color="293F5B"/>
              <w:bottom w:val="single" w:sz="4" w:space="0" w:color="293F5B"/>
            </w:tcBorders>
            <w:shd w:val="clear" w:color="auto" w:fill="auto"/>
          </w:tcPr>
          <w:p w14:paraId="2C00B239" w14:textId="77777777" w:rsidR="0012790E" w:rsidRPr="001C06E6" w:rsidRDefault="0012790E">
            <w:pPr>
              <w:pStyle w:val="MeasureTableDataRightAlignedwith2ptsspacing"/>
              <w:keepNext/>
            </w:pPr>
            <w:r>
              <w:t xml:space="preserve">15.9 </w:t>
            </w:r>
          </w:p>
        </w:tc>
        <w:tc>
          <w:tcPr>
            <w:tcW w:w="1045" w:type="dxa"/>
            <w:tcBorders>
              <w:top w:val="single" w:sz="4" w:space="0" w:color="293F5B"/>
              <w:bottom w:val="single" w:sz="4" w:space="0" w:color="293F5B"/>
            </w:tcBorders>
            <w:shd w:val="clear" w:color="auto" w:fill="auto"/>
          </w:tcPr>
          <w:p w14:paraId="31C1F0E0" w14:textId="77777777" w:rsidR="0012790E" w:rsidRPr="001C06E6" w:rsidRDefault="0012790E">
            <w:pPr>
              <w:pStyle w:val="MeasureTableDataRightAlignedwith2ptsspacing"/>
              <w:keepNext/>
            </w:pPr>
            <w:r>
              <w:t xml:space="preserve">15.5 </w:t>
            </w:r>
          </w:p>
        </w:tc>
      </w:tr>
      <w:tr w:rsidR="0012790E" w:rsidRPr="001C06E6" w14:paraId="10BAD584" w14:textId="77777777">
        <w:tc>
          <w:tcPr>
            <w:tcW w:w="2497" w:type="dxa"/>
            <w:tcBorders>
              <w:top w:val="single" w:sz="4" w:space="0" w:color="293F5B"/>
              <w:bottom w:val="single" w:sz="4" w:space="0" w:color="293F5B"/>
            </w:tcBorders>
            <w:shd w:val="clear" w:color="auto" w:fill="auto"/>
          </w:tcPr>
          <w:p w14:paraId="2D778818"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5DACD41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A523CBE" w14:textId="77777777" w:rsidR="0012790E" w:rsidRPr="001C06E6" w:rsidRDefault="0012790E">
            <w:pPr>
              <w:pStyle w:val="MeasureTableDataRightAlignedwith2ptsspacing"/>
              <w:keepNext/>
            </w:pPr>
            <w:r w:rsidRPr="001C06E6">
              <w:t>6.8</w:t>
            </w:r>
          </w:p>
        </w:tc>
        <w:tc>
          <w:tcPr>
            <w:tcW w:w="1045" w:type="dxa"/>
            <w:tcBorders>
              <w:top w:val="single" w:sz="4" w:space="0" w:color="293F5B"/>
              <w:bottom w:val="single" w:sz="4" w:space="0" w:color="293F5B"/>
            </w:tcBorders>
            <w:shd w:val="clear" w:color="auto" w:fill="auto"/>
          </w:tcPr>
          <w:p w14:paraId="4FF1278E" w14:textId="77777777" w:rsidR="0012790E" w:rsidRPr="001C06E6" w:rsidRDefault="0012790E">
            <w:pPr>
              <w:pStyle w:val="MeasureTableDataRightAlignedwith2ptsspacing"/>
              <w:keepNext/>
            </w:pPr>
            <w:r w:rsidRPr="001C06E6">
              <w:t>3.3</w:t>
            </w:r>
          </w:p>
        </w:tc>
        <w:tc>
          <w:tcPr>
            <w:tcW w:w="1045" w:type="dxa"/>
            <w:tcBorders>
              <w:top w:val="single" w:sz="4" w:space="0" w:color="293F5B"/>
              <w:bottom w:val="single" w:sz="4" w:space="0" w:color="293F5B"/>
            </w:tcBorders>
            <w:shd w:val="clear" w:color="auto" w:fill="auto"/>
          </w:tcPr>
          <w:p w14:paraId="718746F4" w14:textId="77777777" w:rsidR="0012790E" w:rsidRPr="001C06E6" w:rsidRDefault="0012790E">
            <w:pPr>
              <w:pStyle w:val="MeasureTableDataRightAlignedwith2ptsspacing"/>
              <w:keepNext/>
            </w:pPr>
            <w:r w:rsidRPr="001C06E6">
              <w:t>3.2</w:t>
            </w:r>
          </w:p>
        </w:tc>
        <w:tc>
          <w:tcPr>
            <w:tcW w:w="1045" w:type="dxa"/>
            <w:tcBorders>
              <w:top w:val="single" w:sz="4" w:space="0" w:color="293F5B"/>
              <w:bottom w:val="single" w:sz="4" w:space="0" w:color="293F5B"/>
            </w:tcBorders>
            <w:shd w:val="clear" w:color="auto" w:fill="auto"/>
          </w:tcPr>
          <w:p w14:paraId="6DB9ECB5" w14:textId="77777777" w:rsidR="0012790E" w:rsidRPr="001C06E6" w:rsidRDefault="0012790E">
            <w:pPr>
              <w:pStyle w:val="MeasureTableDataRightAlignedwith2ptsspacing"/>
              <w:keepNext/>
            </w:pPr>
            <w:r w:rsidRPr="001C06E6">
              <w:t>3.2</w:t>
            </w:r>
          </w:p>
        </w:tc>
      </w:tr>
      <w:tr w:rsidR="0012790E" w:rsidRPr="001C06E6" w14:paraId="5E757C45" w14:textId="77777777">
        <w:tc>
          <w:tcPr>
            <w:tcW w:w="2497" w:type="dxa"/>
            <w:tcBorders>
              <w:top w:val="single" w:sz="4" w:space="0" w:color="293F5B"/>
              <w:bottom w:val="single" w:sz="4" w:space="0" w:color="293F5B"/>
            </w:tcBorders>
            <w:shd w:val="clear" w:color="auto" w:fill="auto"/>
          </w:tcPr>
          <w:p w14:paraId="6A9DE2DF"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46156E83"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F3D67D7" w14:textId="77777777" w:rsidR="0012790E" w:rsidRPr="001C06E6" w:rsidRDefault="0012790E">
            <w:pPr>
              <w:pStyle w:val="Totaldatarowrightaligned"/>
              <w:keepNext/>
            </w:pPr>
            <w:r w:rsidRPr="001C06E6">
              <w:t>15.5</w:t>
            </w:r>
          </w:p>
        </w:tc>
        <w:tc>
          <w:tcPr>
            <w:tcW w:w="1045" w:type="dxa"/>
            <w:tcBorders>
              <w:top w:val="single" w:sz="4" w:space="0" w:color="293F5B"/>
              <w:bottom w:val="single" w:sz="4" w:space="0" w:color="293F5B"/>
            </w:tcBorders>
            <w:shd w:val="clear" w:color="auto" w:fill="auto"/>
          </w:tcPr>
          <w:p w14:paraId="31C56B30" w14:textId="77777777" w:rsidR="0012790E" w:rsidRPr="001C06E6" w:rsidRDefault="0012790E">
            <w:pPr>
              <w:pStyle w:val="Totaldatarowrightaligned"/>
              <w:keepNext/>
            </w:pPr>
            <w:r w:rsidRPr="001C06E6">
              <w:t>22.8</w:t>
            </w:r>
          </w:p>
        </w:tc>
        <w:tc>
          <w:tcPr>
            <w:tcW w:w="1045" w:type="dxa"/>
            <w:tcBorders>
              <w:top w:val="single" w:sz="4" w:space="0" w:color="293F5B"/>
              <w:bottom w:val="single" w:sz="4" w:space="0" w:color="293F5B"/>
            </w:tcBorders>
            <w:shd w:val="clear" w:color="auto" w:fill="auto"/>
          </w:tcPr>
          <w:p w14:paraId="7DADE03C" w14:textId="77777777" w:rsidR="0012790E" w:rsidRPr="001C06E6" w:rsidRDefault="0012790E">
            <w:pPr>
              <w:pStyle w:val="Totaldatarowrightaligned"/>
              <w:keepNext/>
            </w:pPr>
            <w:r w:rsidRPr="001C06E6">
              <w:t>19.1</w:t>
            </w:r>
          </w:p>
        </w:tc>
        <w:tc>
          <w:tcPr>
            <w:tcW w:w="1045" w:type="dxa"/>
            <w:tcBorders>
              <w:top w:val="single" w:sz="4" w:space="0" w:color="293F5B"/>
              <w:bottom w:val="single" w:sz="4" w:space="0" w:color="293F5B"/>
            </w:tcBorders>
            <w:shd w:val="clear" w:color="auto" w:fill="auto"/>
          </w:tcPr>
          <w:p w14:paraId="128048CC" w14:textId="77777777" w:rsidR="0012790E" w:rsidRPr="001C06E6" w:rsidRDefault="0012790E">
            <w:pPr>
              <w:pStyle w:val="Totaldatarowrightaligned"/>
              <w:keepNext/>
            </w:pPr>
            <w:r w:rsidRPr="001C06E6">
              <w:t>18.7</w:t>
            </w:r>
          </w:p>
        </w:tc>
      </w:tr>
    </w:tbl>
    <w:p w14:paraId="5C2D4BD1"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50C26837" w14:textId="77777777" w:rsidR="0012790E" w:rsidRDefault="0012790E" w:rsidP="54937204">
      <w:pPr>
        <w:pStyle w:val="Normal2"/>
        <w:rPr>
          <w:rFonts w:cs="Book Antiqua"/>
          <w:lang w:val="en-US"/>
        </w:rPr>
      </w:pPr>
      <w:r w:rsidRPr="54937204">
        <w:rPr>
          <w:rFonts w:cs="Book Antiqua"/>
          <w:lang w:val="en-US"/>
        </w:rPr>
        <w:t>The Government will provide $76.2 million over five years from 2023–24 (and $18.7 million per year ongoing) to implement a new voluntary prison to employment transition program for First Nations people aged 15 years and over who are incarcerated with a known release date or are on remand. The program will be progressively rolled out from 1 July 2025. The new program will support the economic security of First Nations people by providing pre</w:t>
      </w:r>
      <w:r>
        <w:rPr>
          <w:rFonts w:cs="Book Antiqua"/>
        </w:rPr>
        <w:noBreakHyphen/>
      </w:r>
      <w:r w:rsidRPr="54937204">
        <w:rPr>
          <w:rFonts w:cs="Book Antiqua"/>
          <w:lang w:val="en-US"/>
        </w:rPr>
        <w:t>release and post</w:t>
      </w:r>
      <w:r>
        <w:rPr>
          <w:rFonts w:cs="Book Antiqua"/>
        </w:rPr>
        <w:noBreakHyphen/>
      </w:r>
      <w:r w:rsidRPr="54937204">
        <w:rPr>
          <w:rFonts w:cs="Book Antiqua"/>
          <w:lang w:val="en-US"/>
        </w:rPr>
        <w:t>release support services to assist them to reintegrate into their communities and prepare to enter or re</w:t>
      </w:r>
      <w:r>
        <w:rPr>
          <w:rFonts w:cs="Book Antiqua"/>
        </w:rPr>
        <w:noBreakHyphen/>
      </w:r>
      <w:r w:rsidRPr="54937204">
        <w:rPr>
          <w:rFonts w:cs="Book Antiqua"/>
          <w:lang w:val="en-US"/>
        </w:rPr>
        <w:t>enter the labour market, and will:</w:t>
      </w:r>
    </w:p>
    <w:p w14:paraId="4D24F746" w14:textId="77777777" w:rsidR="0012790E" w:rsidRDefault="0012790E">
      <w:pPr>
        <w:pStyle w:val="Bullet"/>
      </w:pPr>
      <w:r w:rsidRPr="001C06E6">
        <w:t>introduce and support a greater diversity of service providers, including First Nations organisations that have strong local connections and capability to deliver trauma</w:t>
      </w:r>
      <w:r>
        <w:noBreakHyphen/>
      </w:r>
      <w:r w:rsidRPr="001C06E6">
        <w:t>informed and culturally safe mentoring and assistance to First Nations people</w:t>
      </w:r>
      <w:r>
        <w:t xml:space="preserve"> </w:t>
      </w:r>
    </w:p>
    <w:p w14:paraId="1E2F047C" w14:textId="443DE86E" w:rsidR="0012790E" w:rsidRDefault="0012790E">
      <w:pPr>
        <w:pStyle w:val="Bullet"/>
      </w:pPr>
      <w:r w:rsidRPr="001C06E6">
        <w:t>provide funding to support the National Indigenous Employment and Training Alliance to operate as a First Nations employment services peak body and help build the capacity of the Aboriginal community</w:t>
      </w:r>
      <w:r>
        <w:noBreakHyphen/>
      </w:r>
      <w:r w:rsidRPr="001C06E6">
        <w:t>controlled sector as they prepare for the new</w:t>
      </w:r>
      <w:r w:rsidR="00EA2BDB">
        <w:t> </w:t>
      </w:r>
      <w:r w:rsidRPr="001C06E6">
        <w:t>program</w:t>
      </w:r>
      <w:r>
        <w:t xml:space="preserve"> </w:t>
      </w:r>
    </w:p>
    <w:p w14:paraId="0CCBCA8A" w14:textId="77777777" w:rsidR="0012790E" w:rsidRDefault="0012790E">
      <w:pPr>
        <w:pStyle w:val="Bullet"/>
      </w:pPr>
      <w:r w:rsidRPr="001C06E6">
        <w:t>establish a grant process to support small</w:t>
      </w:r>
      <w:r>
        <w:noBreakHyphen/>
      </w:r>
      <w:r w:rsidRPr="001C06E6">
        <w:t>scale prison</w:t>
      </w:r>
      <w:r>
        <w:noBreakHyphen/>
      </w:r>
      <w:r w:rsidRPr="001C06E6">
        <w:t>to</w:t>
      </w:r>
      <w:r>
        <w:noBreakHyphen/>
      </w:r>
      <w:r w:rsidRPr="001C06E6">
        <w:t>work projects that support job creation opportunities for First Nations participants.</w:t>
      </w:r>
      <w:r>
        <w:t xml:space="preserve"> </w:t>
      </w:r>
    </w:p>
    <w:p w14:paraId="0125BA2C" w14:textId="77777777" w:rsidR="0012790E" w:rsidRDefault="0012790E">
      <w:pPr>
        <w:pStyle w:val="Normal2"/>
        <w:rPr>
          <w:rFonts w:cs="Book Antiqua"/>
        </w:rPr>
      </w:pPr>
      <w:r w:rsidRPr="001C06E6">
        <w:rPr>
          <w:rFonts w:cs="Book Antiqua"/>
        </w:rPr>
        <w:t xml:space="preserve">This program will replace the </w:t>
      </w:r>
      <w:r w:rsidRPr="001C06E6">
        <w:rPr>
          <w:rFonts w:cs="Book Antiqua"/>
          <w:i/>
          <w:iCs/>
        </w:rPr>
        <w:t>Time to Work Employment Service</w:t>
      </w:r>
      <w:r w:rsidRPr="001C06E6">
        <w:rPr>
          <w:rFonts w:cs="Book Antiqua"/>
        </w:rPr>
        <w:t xml:space="preserve"> program.</w:t>
      </w:r>
      <w:r>
        <w:rPr>
          <w:rFonts w:cs="Book Antiqua"/>
        </w:rPr>
        <w:t xml:space="preserve"> </w:t>
      </w:r>
    </w:p>
    <w:p w14:paraId="1F63D9A4" w14:textId="77777777" w:rsidR="0012790E" w:rsidRDefault="0012790E" w:rsidP="54937204">
      <w:pPr>
        <w:pStyle w:val="Normal2"/>
        <w:rPr>
          <w:rFonts w:cs="Book Antiqua"/>
          <w:lang w:val="en-US"/>
        </w:rPr>
      </w:pPr>
      <w:r w:rsidRPr="54937204">
        <w:rPr>
          <w:rFonts w:cs="Book Antiqua"/>
          <w:lang w:val="en-US"/>
        </w:rPr>
        <w:t xml:space="preserve">The cost of this measure will be met from savings identified in the Employment and Workplace Relations portfolio. This measure builds on the Employment White Paper. </w:t>
      </w:r>
    </w:p>
    <w:p w14:paraId="54A13023" w14:textId="77777777" w:rsidR="0012790E" w:rsidRPr="001C06E6" w:rsidRDefault="0012790E">
      <w:pPr>
        <w:pStyle w:val="MeasureTitle"/>
        <w:rPr>
          <w:b w:val="0"/>
          <w:bCs/>
        </w:rPr>
      </w:pPr>
      <w:r w:rsidRPr="001C06E6">
        <w:rPr>
          <w:bCs/>
        </w:rPr>
        <w:t>Further Support for the Vocational Education and Training System</w:t>
      </w:r>
    </w:p>
    <w:p w14:paraId="46C07F9A"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F839AAB" w14:textId="77777777">
        <w:tc>
          <w:tcPr>
            <w:tcW w:w="2497" w:type="dxa"/>
            <w:tcBorders>
              <w:top w:val="single" w:sz="4" w:space="0" w:color="293F5B"/>
              <w:bottom w:val="single" w:sz="4" w:space="0" w:color="293F5B"/>
            </w:tcBorders>
            <w:shd w:val="clear" w:color="auto" w:fill="auto"/>
          </w:tcPr>
          <w:p w14:paraId="61EC00AC"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35E2BC7F"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56663132"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297A3BEF"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515A0176"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4F6EA35" w14:textId="77777777" w:rsidR="0012790E" w:rsidRPr="001C06E6" w:rsidRDefault="0012790E">
            <w:pPr>
              <w:pStyle w:val="MeasureTableYearHeadings"/>
              <w:keepNext/>
            </w:pPr>
            <w:r w:rsidRPr="001C06E6">
              <w:t>2027</w:t>
            </w:r>
            <w:r>
              <w:noBreakHyphen/>
            </w:r>
            <w:r w:rsidRPr="001C06E6">
              <w:t>28</w:t>
            </w:r>
          </w:p>
        </w:tc>
      </w:tr>
      <w:tr w:rsidR="0012790E" w:rsidRPr="001C06E6" w14:paraId="5BD4CF20" w14:textId="77777777">
        <w:tc>
          <w:tcPr>
            <w:tcW w:w="2497" w:type="dxa"/>
            <w:tcBorders>
              <w:top w:val="single" w:sz="4" w:space="0" w:color="293F5B"/>
              <w:bottom w:val="single" w:sz="4" w:space="0" w:color="293F5B"/>
            </w:tcBorders>
            <w:shd w:val="clear" w:color="auto" w:fill="auto"/>
          </w:tcPr>
          <w:p w14:paraId="46D15A6D"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6886EC4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B24249C" w14:textId="77777777" w:rsidR="0012790E" w:rsidRPr="001C06E6" w:rsidRDefault="0012790E">
            <w:pPr>
              <w:pStyle w:val="MeasureTableDataRightAlignedwith2ptsspacing"/>
              <w:keepNext/>
            </w:pPr>
            <w:r>
              <w:t xml:space="preserve">25.0 </w:t>
            </w:r>
          </w:p>
        </w:tc>
        <w:tc>
          <w:tcPr>
            <w:tcW w:w="1045" w:type="dxa"/>
            <w:tcBorders>
              <w:top w:val="single" w:sz="4" w:space="0" w:color="293F5B"/>
              <w:bottom w:val="single" w:sz="4" w:space="0" w:color="293F5B"/>
            </w:tcBorders>
            <w:shd w:val="clear" w:color="auto" w:fill="auto"/>
          </w:tcPr>
          <w:p w14:paraId="549D37F5" w14:textId="77777777" w:rsidR="0012790E" w:rsidRPr="001C06E6" w:rsidRDefault="0012790E">
            <w:pPr>
              <w:pStyle w:val="MeasureTableDataRightAlignedwith2ptsspacing"/>
              <w:keepNext/>
            </w:pPr>
            <w:r>
              <w:t xml:space="preserve">0.8 </w:t>
            </w:r>
          </w:p>
        </w:tc>
        <w:tc>
          <w:tcPr>
            <w:tcW w:w="1045" w:type="dxa"/>
            <w:tcBorders>
              <w:top w:val="single" w:sz="4" w:space="0" w:color="293F5B"/>
              <w:bottom w:val="single" w:sz="4" w:space="0" w:color="293F5B"/>
            </w:tcBorders>
            <w:shd w:val="clear" w:color="auto" w:fill="auto"/>
          </w:tcPr>
          <w:p w14:paraId="2E789031" w14:textId="77777777" w:rsidR="0012790E" w:rsidRPr="001C06E6" w:rsidRDefault="0012790E">
            <w:pPr>
              <w:pStyle w:val="MeasureTableDataRightAlignedwith2ptsspacing"/>
              <w:keepNext/>
            </w:pPr>
            <w:r>
              <w:t xml:space="preserve">0.4 </w:t>
            </w:r>
          </w:p>
        </w:tc>
        <w:tc>
          <w:tcPr>
            <w:tcW w:w="1045" w:type="dxa"/>
            <w:tcBorders>
              <w:top w:val="single" w:sz="4" w:space="0" w:color="293F5B"/>
              <w:bottom w:val="single" w:sz="4" w:space="0" w:color="293F5B"/>
            </w:tcBorders>
            <w:shd w:val="clear" w:color="auto" w:fill="auto"/>
          </w:tcPr>
          <w:p w14:paraId="624067A3" w14:textId="77777777" w:rsidR="0012790E" w:rsidRPr="001C06E6" w:rsidRDefault="0012790E">
            <w:pPr>
              <w:pStyle w:val="MeasureTableDataRightAlignedwith2ptsspacing"/>
              <w:keepNext/>
            </w:pPr>
            <w:r>
              <w:t xml:space="preserve">.. </w:t>
            </w:r>
          </w:p>
        </w:tc>
      </w:tr>
    </w:tbl>
    <w:p w14:paraId="0E1AE295" w14:textId="77777777" w:rsidR="0012790E" w:rsidRPr="001C06E6" w:rsidRDefault="0012790E">
      <w:pPr>
        <w:keepNext/>
        <w:widowControl w:val="0"/>
        <w:spacing w:line="184" w:lineRule="exact"/>
        <w:rPr>
          <w:color w:val="000000"/>
          <w:sz w:val="16"/>
          <w:szCs w:val="16"/>
          <w:lang w:val="en-AU"/>
        </w:rPr>
      </w:pPr>
    </w:p>
    <w:p w14:paraId="38732D72" w14:textId="77777777" w:rsidR="0012790E" w:rsidRDefault="0012790E" w:rsidP="54937204">
      <w:pPr>
        <w:pStyle w:val="Normal2"/>
        <w:rPr>
          <w:rFonts w:cs="Book Antiqua"/>
          <w:lang w:val="en-US"/>
        </w:rPr>
      </w:pPr>
      <w:r w:rsidRPr="54937204">
        <w:rPr>
          <w:rFonts w:cs="Book Antiqua"/>
          <w:lang w:val="en-US"/>
        </w:rPr>
        <w:t>The Government will provide $26.1 million over four years from 2024–25 for the Skills and Training portfolio to contribute to a strong and effective Vocational Education and Training system, continue structural reforms, and maximise returns on previous skills and training investments and commitments. Funding includes:</w:t>
      </w:r>
    </w:p>
    <w:p w14:paraId="35A3348C" w14:textId="77777777" w:rsidR="0012790E" w:rsidRDefault="0012790E">
      <w:pPr>
        <w:pStyle w:val="Bullet"/>
      </w:pPr>
      <w:r w:rsidRPr="001C06E6">
        <w:t>$10.6</w:t>
      </w:r>
      <w:r>
        <w:t> </w:t>
      </w:r>
      <w:r w:rsidRPr="001C06E6">
        <w:t xml:space="preserve">million over four years from </w:t>
      </w:r>
      <w:r>
        <w:t>2024–25</w:t>
      </w:r>
      <w:r w:rsidRPr="001C06E6">
        <w:t xml:space="preserve"> (and $1.0</w:t>
      </w:r>
      <w:r>
        <w:t> </w:t>
      </w:r>
      <w:r w:rsidRPr="001C06E6">
        <w:t>million per year ongoing) for the implementation of a reporting solution for the Australian Skills Guarantee</w:t>
      </w:r>
      <w:r>
        <w:t xml:space="preserve"> </w:t>
      </w:r>
    </w:p>
    <w:p w14:paraId="5123B94C" w14:textId="77777777" w:rsidR="0012790E" w:rsidRDefault="0012790E">
      <w:pPr>
        <w:pStyle w:val="Bullet"/>
      </w:pPr>
      <w:r w:rsidRPr="001C06E6">
        <w:t>$9.5</w:t>
      </w:r>
      <w:r>
        <w:t> </w:t>
      </w:r>
      <w:r w:rsidRPr="001C06E6">
        <w:t xml:space="preserve">million in </w:t>
      </w:r>
      <w:r>
        <w:t>2024–25</w:t>
      </w:r>
      <w:r w:rsidRPr="001C06E6">
        <w:t xml:space="preserve"> in additional funding for Jobs and Skills Australia’s continued provision of advice on Australia’s labour market, skills and training needs</w:t>
      </w:r>
      <w:r>
        <w:t xml:space="preserve"> </w:t>
      </w:r>
    </w:p>
    <w:p w14:paraId="62887BAA" w14:textId="77777777" w:rsidR="0012790E" w:rsidRDefault="0012790E">
      <w:pPr>
        <w:pStyle w:val="Bullet"/>
      </w:pPr>
      <w:r w:rsidRPr="001C06E6">
        <w:t>$6.1</w:t>
      </w:r>
      <w:r>
        <w:t> </w:t>
      </w:r>
      <w:r w:rsidRPr="001C06E6">
        <w:t xml:space="preserve">million in </w:t>
      </w:r>
      <w:r>
        <w:t>2024–25</w:t>
      </w:r>
      <w:r w:rsidRPr="001C06E6">
        <w:t xml:space="preserve"> in additional funding for the National Careers Institute to continue its role in supporting Australians to access targeted careers information</w:t>
      </w:r>
      <w:r>
        <w:t xml:space="preserve"> </w:t>
      </w:r>
    </w:p>
    <w:p w14:paraId="28FD078B" w14:textId="77777777" w:rsidR="0012790E" w:rsidRDefault="0012790E">
      <w:pPr>
        <w:pStyle w:val="Bullet"/>
      </w:pPr>
      <w:r w:rsidRPr="001C06E6">
        <w:t>$2.9</w:t>
      </w:r>
      <w:r>
        <w:t> </w:t>
      </w:r>
      <w:r w:rsidRPr="001C06E6">
        <w:t xml:space="preserve">million in </w:t>
      </w:r>
      <w:r>
        <w:t>2024–25</w:t>
      </w:r>
      <w:r w:rsidRPr="001C06E6">
        <w:t xml:space="preserve"> in reprofiled funding for continued implementation work with the states and territories on the 5</w:t>
      </w:r>
      <w:r>
        <w:noBreakHyphen/>
      </w:r>
      <w:r w:rsidRPr="001C06E6">
        <w:t>year National Skills Agreement that commenced on 1</w:t>
      </w:r>
      <w:r>
        <w:t> </w:t>
      </w:r>
      <w:r w:rsidRPr="001C06E6">
        <w:t>January</w:t>
      </w:r>
      <w:r>
        <w:t> </w:t>
      </w:r>
      <w:r w:rsidRPr="001C06E6">
        <w:t>2024.</w:t>
      </w:r>
      <w:r>
        <w:t xml:space="preserve"> </w:t>
      </w:r>
    </w:p>
    <w:p w14:paraId="0E1730B9" w14:textId="2579FD5C" w:rsidR="0012790E" w:rsidRDefault="0012790E" w:rsidP="54937204">
      <w:pPr>
        <w:pStyle w:val="Normal2"/>
        <w:rPr>
          <w:rFonts w:cs="Book Antiqua"/>
          <w:lang w:val="en-US"/>
        </w:rPr>
      </w:pPr>
      <w:r w:rsidRPr="54937204">
        <w:rPr>
          <w:rFonts w:cs="Book Antiqua"/>
          <w:lang w:val="en-US"/>
        </w:rPr>
        <w:t>The Government will also progress a business case to develop a modern ICT solution for</w:t>
      </w:r>
      <w:r w:rsidR="00EA2BDB">
        <w:rPr>
          <w:rFonts w:cs="Book Antiqua"/>
          <w:lang w:val="en-US"/>
        </w:rPr>
        <w:t> </w:t>
      </w:r>
      <w:r w:rsidRPr="54937204">
        <w:rPr>
          <w:rFonts w:cs="Book Antiqua"/>
          <w:lang w:val="en-US"/>
        </w:rPr>
        <w:t>the assessment of trade skills for skilled migrants by Trades Recognition Australia. A</w:t>
      </w:r>
      <w:r w:rsidR="00EA2BDB">
        <w:rPr>
          <w:rFonts w:cs="Book Antiqua"/>
          <w:lang w:val="en-US"/>
        </w:rPr>
        <w:t> </w:t>
      </w:r>
      <w:r w:rsidRPr="54937204">
        <w:rPr>
          <w:rFonts w:cs="Book Antiqua"/>
          <w:lang w:val="en-US"/>
        </w:rPr>
        <w:t>modern ICT solution will make skilled workers more rapidly available to employers and</w:t>
      </w:r>
      <w:r w:rsidR="00EA2BDB">
        <w:rPr>
          <w:rFonts w:cs="Book Antiqua"/>
          <w:lang w:val="en-US"/>
        </w:rPr>
        <w:t> </w:t>
      </w:r>
      <w:r w:rsidRPr="54937204">
        <w:rPr>
          <w:rFonts w:cs="Book Antiqua"/>
          <w:lang w:val="en-US"/>
        </w:rPr>
        <w:t xml:space="preserve">support delivery of the Government’s migration and skilled workforce objectives. </w:t>
      </w:r>
    </w:p>
    <w:p w14:paraId="2AB4D8CA"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savings identified in the Employment and Workplace Relations portfolio. </w:t>
      </w:r>
    </w:p>
    <w:p w14:paraId="76ED7DF8" w14:textId="0D910BC3" w:rsidR="0012790E" w:rsidRDefault="0012790E">
      <w:pPr>
        <w:pStyle w:val="Normal2"/>
        <w:rPr>
          <w:rFonts w:cs="Book Antiqua"/>
        </w:rPr>
      </w:pPr>
      <w:r w:rsidRPr="001C06E6">
        <w:rPr>
          <w:rFonts w:cs="Book Antiqua"/>
        </w:rPr>
        <w:t xml:space="preserve">This measure builds on the </w:t>
      </w:r>
      <w:r>
        <w:rPr>
          <w:rFonts w:cs="Book Antiqua"/>
        </w:rPr>
        <w:t>2022–23</w:t>
      </w:r>
      <w:r w:rsidRPr="001C06E6">
        <w:rPr>
          <w:rFonts w:cs="Book Antiqua"/>
        </w:rPr>
        <w:t xml:space="preserve"> October Budget measure titled </w:t>
      </w:r>
      <w:r w:rsidRPr="001C06E6">
        <w:rPr>
          <w:rFonts w:cs="Book Antiqua"/>
          <w:i/>
          <w:iCs/>
        </w:rPr>
        <w:t>Jobs and Skills</w:t>
      </w:r>
      <w:r>
        <w:rPr>
          <w:rFonts w:cs="Book Antiqua"/>
          <w:i/>
          <w:iCs/>
        </w:rPr>
        <w:t xml:space="preserve"> </w:t>
      </w:r>
      <w:r w:rsidRPr="001C06E6">
        <w:rPr>
          <w:rFonts w:cs="Book Antiqua"/>
          <w:i/>
          <w:iCs/>
        </w:rPr>
        <w:t>Australia – establishment</w:t>
      </w:r>
      <w:r w:rsidRPr="001C06E6">
        <w:rPr>
          <w:rFonts w:cs="Book Antiqua"/>
        </w:rPr>
        <w:t xml:space="preserve">; and the </w:t>
      </w:r>
      <w:r>
        <w:rPr>
          <w:rFonts w:cs="Book Antiqua"/>
        </w:rPr>
        <w:t>2023–24 </w:t>
      </w:r>
      <w:r w:rsidRPr="001C06E6">
        <w:rPr>
          <w:rFonts w:cs="Book Antiqua"/>
        </w:rPr>
        <w:t xml:space="preserve">Budget measures titled </w:t>
      </w:r>
      <w:r w:rsidRPr="001C06E6">
        <w:rPr>
          <w:rFonts w:cs="Book Antiqua"/>
          <w:i/>
          <w:iCs/>
        </w:rPr>
        <w:t>Australian Skills</w:t>
      </w:r>
      <w:r>
        <w:rPr>
          <w:rFonts w:cs="Book Antiqua"/>
          <w:i/>
          <w:iCs/>
        </w:rPr>
        <w:t xml:space="preserve"> </w:t>
      </w:r>
      <w:r w:rsidRPr="001C06E6">
        <w:rPr>
          <w:rFonts w:cs="Book Antiqua"/>
          <w:i/>
          <w:iCs/>
        </w:rPr>
        <w:t>Guarantee – implementation</w:t>
      </w:r>
      <w:r w:rsidRPr="001C06E6">
        <w:rPr>
          <w:rFonts w:cs="Book Antiqua"/>
        </w:rPr>
        <w:t xml:space="preserve"> and </w:t>
      </w:r>
      <w:r w:rsidRPr="001C06E6">
        <w:rPr>
          <w:rFonts w:cs="Book Antiqua"/>
          <w:i/>
          <w:iCs/>
        </w:rPr>
        <w:t xml:space="preserve">National Careers Institute – continuation, </w:t>
      </w:r>
      <w:r w:rsidRPr="001C06E6">
        <w:rPr>
          <w:rFonts w:cs="Book Antiqua"/>
        </w:rPr>
        <w:t>and on the</w:t>
      </w:r>
      <w:r>
        <w:rPr>
          <w:rFonts w:cs="Book Antiqua"/>
        </w:rPr>
        <w:t xml:space="preserve"> </w:t>
      </w:r>
      <w:r w:rsidRPr="001C06E6">
        <w:rPr>
          <w:rFonts w:cs="Book Antiqua"/>
        </w:rPr>
        <w:t>Employment White</w:t>
      </w:r>
      <w:r w:rsidR="00EA2BDB">
        <w:rPr>
          <w:rFonts w:cs="Book Antiqua"/>
        </w:rPr>
        <w:t> </w:t>
      </w:r>
      <w:r w:rsidRPr="001C06E6">
        <w:rPr>
          <w:rFonts w:cs="Book Antiqua"/>
        </w:rPr>
        <w:t>Paper.</w:t>
      </w:r>
      <w:r>
        <w:rPr>
          <w:rFonts w:cs="Book Antiqua"/>
        </w:rPr>
        <w:t xml:space="preserve"> </w:t>
      </w:r>
    </w:p>
    <w:p w14:paraId="4A155BC6" w14:textId="71598436" w:rsidR="00213D7A" w:rsidRPr="00F319D9" w:rsidRDefault="00213D7A">
      <w:pPr>
        <w:pStyle w:val="Normal2"/>
        <w:rPr>
          <w:rFonts w:cs="Book Antiqua"/>
          <w:i/>
          <w:iCs/>
        </w:rPr>
      </w:pPr>
      <w:r>
        <w:rPr>
          <w:rFonts w:cs="Book Antiqua"/>
        </w:rPr>
        <w:t xml:space="preserve">See also the related payment measure titled </w:t>
      </w:r>
      <w:r>
        <w:rPr>
          <w:rFonts w:cs="Book Antiqua"/>
          <w:i/>
          <w:iCs/>
        </w:rPr>
        <w:t>Promoting TAFE and VET Pathways</w:t>
      </w:r>
      <w:r w:rsidR="00D76B62">
        <w:rPr>
          <w:rFonts w:cs="Book Antiqua"/>
          <w:i/>
          <w:iCs/>
        </w:rPr>
        <w:t>.</w:t>
      </w:r>
    </w:p>
    <w:p w14:paraId="100682F7" w14:textId="77777777" w:rsidR="0012790E" w:rsidRPr="001C06E6" w:rsidRDefault="0012790E">
      <w:pPr>
        <w:pStyle w:val="MeasureTitle"/>
        <w:rPr>
          <w:b w:val="0"/>
          <w:bCs/>
        </w:rPr>
      </w:pPr>
      <w:r w:rsidRPr="001C06E6">
        <w:rPr>
          <w:bCs/>
        </w:rPr>
        <w:t>Promoting TAFE and VET Pathways</w:t>
      </w:r>
    </w:p>
    <w:p w14:paraId="64DAF88C"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3D58439" w14:textId="77777777">
        <w:tc>
          <w:tcPr>
            <w:tcW w:w="2497" w:type="dxa"/>
            <w:tcBorders>
              <w:top w:val="single" w:sz="4" w:space="0" w:color="293F5B"/>
              <w:bottom w:val="single" w:sz="4" w:space="0" w:color="293F5B"/>
            </w:tcBorders>
            <w:shd w:val="clear" w:color="auto" w:fill="auto"/>
          </w:tcPr>
          <w:p w14:paraId="3F7E0341"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04F99C5"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8CB0D81"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0D20021"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35BCBE8"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3AA3590" w14:textId="77777777" w:rsidR="0012790E" w:rsidRPr="001C06E6" w:rsidRDefault="0012790E">
            <w:pPr>
              <w:pStyle w:val="MeasureTableYearHeadings"/>
              <w:keepNext/>
            </w:pPr>
            <w:r w:rsidRPr="001C06E6">
              <w:t>2027</w:t>
            </w:r>
            <w:r>
              <w:noBreakHyphen/>
            </w:r>
            <w:r w:rsidRPr="001C06E6">
              <w:t>28</w:t>
            </w:r>
          </w:p>
        </w:tc>
      </w:tr>
      <w:tr w:rsidR="0012790E" w:rsidRPr="001C06E6" w14:paraId="6BEE87AA" w14:textId="77777777">
        <w:tc>
          <w:tcPr>
            <w:tcW w:w="2497" w:type="dxa"/>
            <w:tcBorders>
              <w:top w:val="single" w:sz="4" w:space="0" w:color="293F5B"/>
              <w:bottom w:val="single" w:sz="4" w:space="0" w:color="293F5B"/>
            </w:tcBorders>
            <w:shd w:val="clear" w:color="auto" w:fill="auto"/>
          </w:tcPr>
          <w:p w14:paraId="313E26F2"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3868DA2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9859B2E" w14:textId="77777777" w:rsidR="0012790E" w:rsidRPr="001C06E6" w:rsidRDefault="0012790E">
            <w:pPr>
              <w:pStyle w:val="MeasureTableDataRightAlignedwith2ptsspacing"/>
              <w:keepNext/>
            </w:pPr>
            <w:r>
              <w:t xml:space="preserve">4.4 </w:t>
            </w:r>
          </w:p>
        </w:tc>
        <w:tc>
          <w:tcPr>
            <w:tcW w:w="1045" w:type="dxa"/>
            <w:tcBorders>
              <w:top w:val="single" w:sz="4" w:space="0" w:color="293F5B"/>
              <w:bottom w:val="single" w:sz="4" w:space="0" w:color="293F5B"/>
            </w:tcBorders>
            <w:shd w:val="clear" w:color="auto" w:fill="auto"/>
          </w:tcPr>
          <w:p w14:paraId="059EF01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D6DFEB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FD1BA8D" w14:textId="77777777" w:rsidR="0012790E" w:rsidRPr="001C06E6" w:rsidRDefault="0012790E">
            <w:pPr>
              <w:pStyle w:val="MeasureTableDataRightAlignedwith2ptsspacing"/>
              <w:keepNext/>
            </w:pPr>
            <w:r>
              <w:t xml:space="preserve">- </w:t>
            </w:r>
          </w:p>
        </w:tc>
      </w:tr>
    </w:tbl>
    <w:p w14:paraId="38D779CC" w14:textId="77777777" w:rsidR="0012790E" w:rsidRPr="001C06E6" w:rsidRDefault="0012790E">
      <w:pPr>
        <w:keepNext/>
        <w:widowControl w:val="0"/>
        <w:spacing w:line="184" w:lineRule="exact"/>
        <w:rPr>
          <w:color w:val="000000"/>
          <w:sz w:val="16"/>
          <w:szCs w:val="16"/>
          <w:lang w:val="en-AU"/>
        </w:rPr>
      </w:pPr>
    </w:p>
    <w:p w14:paraId="3D685675" w14:textId="77777777" w:rsidR="0012790E" w:rsidRDefault="0012790E" w:rsidP="54937204">
      <w:pPr>
        <w:pStyle w:val="Normal2"/>
        <w:rPr>
          <w:rFonts w:cs="Book Antiqua"/>
          <w:lang w:val="en-US"/>
        </w:rPr>
      </w:pPr>
      <w:r w:rsidRPr="54937204">
        <w:rPr>
          <w:rFonts w:cs="Book Antiqua"/>
          <w:lang w:val="en-US"/>
        </w:rPr>
        <w:t>The Government will provide $4.4 million in 2024–25 to drive demand for Vocational Education and Training (VET) in support of delivering the workforce required to meet Australia’s future skills needs. This will include delivering strategic communications to increase the appeal of VET for students, parents and teachers, and extending community awareness of Fee</w:t>
      </w:r>
      <w:r>
        <w:rPr>
          <w:rFonts w:cs="Book Antiqua"/>
        </w:rPr>
        <w:noBreakHyphen/>
      </w:r>
      <w:r w:rsidRPr="54937204">
        <w:rPr>
          <w:rFonts w:cs="Book Antiqua"/>
          <w:lang w:val="en-US"/>
        </w:rPr>
        <w:t>Free TAFE courses in areas of high skills needs which has ensured strong uptake of Fee</w:t>
      </w:r>
      <w:r>
        <w:rPr>
          <w:rFonts w:cs="Book Antiqua"/>
        </w:rPr>
        <w:noBreakHyphen/>
      </w:r>
      <w:r w:rsidRPr="54937204">
        <w:rPr>
          <w:rFonts w:cs="Book Antiqua"/>
          <w:lang w:val="en-US"/>
        </w:rPr>
        <w:t xml:space="preserve">Free TAFE places to date. </w:t>
      </w:r>
    </w:p>
    <w:p w14:paraId="66C9AE0E"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savings identified in the Employment and Workplace Relations portfolio. </w:t>
      </w:r>
    </w:p>
    <w:p w14:paraId="622729F9" w14:textId="77777777" w:rsidR="0012790E" w:rsidRDefault="0012790E" w:rsidP="54937204">
      <w:pPr>
        <w:pStyle w:val="Normal2"/>
        <w:rPr>
          <w:rFonts w:cs="Book Antiqua"/>
          <w:lang w:val="en-US"/>
        </w:rPr>
      </w:pPr>
      <w:r w:rsidRPr="54937204">
        <w:rPr>
          <w:rFonts w:cs="Book Antiqua"/>
          <w:lang w:val="en-US"/>
        </w:rPr>
        <w:t xml:space="preserve">This measure builds on the 2022–23 October Budget measure titled </w:t>
      </w:r>
      <w:r w:rsidRPr="54937204">
        <w:rPr>
          <w:rFonts w:cs="Book Antiqua"/>
          <w:i/>
          <w:iCs/>
          <w:lang w:val="en-US"/>
        </w:rPr>
        <w:t>Vocational Education – Fee</w:t>
      </w:r>
      <w:r>
        <w:rPr>
          <w:rFonts w:cs="Book Antiqua"/>
          <w:i/>
          <w:iCs/>
        </w:rPr>
        <w:noBreakHyphen/>
      </w:r>
      <w:r w:rsidRPr="54937204">
        <w:rPr>
          <w:rFonts w:cs="Book Antiqua"/>
          <w:i/>
          <w:iCs/>
          <w:lang w:val="en-US"/>
        </w:rPr>
        <w:t xml:space="preserve">Free TAFE and TAFE Technology Fund, </w:t>
      </w:r>
      <w:r w:rsidRPr="54937204">
        <w:rPr>
          <w:rFonts w:cs="Book Antiqua"/>
          <w:lang w:val="en-US"/>
        </w:rPr>
        <w:t xml:space="preserve">and on the Employment White Paper. </w:t>
      </w:r>
    </w:p>
    <w:p w14:paraId="13821BF6" w14:textId="77777777" w:rsidR="0012790E" w:rsidRDefault="0012790E">
      <w:pPr>
        <w:pStyle w:val="Normal2"/>
        <w:rPr>
          <w:rFonts w:cs="Book Antiqua"/>
        </w:rPr>
      </w:pPr>
      <w:r w:rsidRPr="001C06E6">
        <w:rPr>
          <w:rFonts w:cs="Book Antiqua"/>
        </w:rPr>
        <w:t xml:space="preserve">See also the related payment measure titled </w:t>
      </w:r>
      <w:r w:rsidRPr="001C06E6">
        <w:rPr>
          <w:rFonts w:cs="Book Antiqua"/>
          <w:i/>
          <w:iCs/>
        </w:rPr>
        <w:t>Further Support for the Vocational</w:t>
      </w:r>
      <w:r>
        <w:rPr>
          <w:rFonts w:cs="Book Antiqua"/>
          <w:i/>
          <w:iCs/>
        </w:rPr>
        <w:t xml:space="preserve"> </w:t>
      </w:r>
      <w:r w:rsidRPr="001C06E6">
        <w:rPr>
          <w:rFonts w:cs="Book Antiqua"/>
          <w:i/>
          <w:iCs/>
        </w:rPr>
        <w:t>Education and Training System</w:t>
      </w:r>
      <w:r w:rsidRPr="001C06E6">
        <w:rPr>
          <w:rFonts w:cs="Book Antiqua"/>
        </w:rPr>
        <w:t>.</w:t>
      </w:r>
      <w:r>
        <w:rPr>
          <w:rFonts w:cs="Book Antiqua"/>
        </w:rPr>
        <w:t xml:space="preserve"> </w:t>
      </w:r>
    </w:p>
    <w:p w14:paraId="0177726E" w14:textId="77777777" w:rsidR="0012790E" w:rsidRPr="001C06E6" w:rsidRDefault="0012790E">
      <w:pPr>
        <w:pStyle w:val="MeasureTitle"/>
        <w:rPr>
          <w:b w:val="0"/>
          <w:bCs/>
        </w:rPr>
      </w:pPr>
      <w:r w:rsidRPr="001C06E6">
        <w:rPr>
          <w:bCs/>
        </w:rPr>
        <w:t>Workplace Relations</w:t>
      </w:r>
    </w:p>
    <w:p w14:paraId="5E6D9311"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A7A2FA6" w14:textId="77777777">
        <w:tc>
          <w:tcPr>
            <w:tcW w:w="2497" w:type="dxa"/>
            <w:tcBorders>
              <w:top w:val="single" w:sz="4" w:space="0" w:color="293F5B"/>
              <w:bottom w:val="single" w:sz="4" w:space="0" w:color="293F5B"/>
            </w:tcBorders>
            <w:shd w:val="clear" w:color="auto" w:fill="auto"/>
          </w:tcPr>
          <w:p w14:paraId="2CAFDA5B"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1589891"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EE1E5C3"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B386A0A"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E48F9BE"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0A1CE76" w14:textId="77777777" w:rsidR="0012790E" w:rsidRPr="001C06E6" w:rsidRDefault="0012790E">
            <w:pPr>
              <w:pStyle w:val="MeasureTableYearHeadings"/>
              <w:keepNext/>
            </w:pPr>
            <w:r w:rsidRPr="001C06E6">
              <w:t>2027</w:t>
            </w:r>
            <w:r>
              <w:noBreakHyphen/>
            </w:r>
            <w:r w:rsidRPr="001C06E6">
              <w:t>28</w:t>
            </w:r>
          </w:p>
        </w:tc>
      </w:tr>
      <w:tr w:rsidR="0012790E" w:rsidRPr="001C06E6" w14:paraId="035D963C" w14:textId="77777777">
        <w:tc>
          <w:tcPr>
            <w:tcW w:w="2497" w:type="dxa"/>
            <w:tcBorders>
              <w:top w:val="single" w:sz="4" w:space="0" w:color="293F5B"/>
              <w:bottom w:val="single" w:sz="4" w:space="0" w:color="293F5B"/>
            </w:tcBorders>
            <w:shd w:val="clear" w:color="auto" w:fill="auto"/>
          </w:tcPr>
          <w:p w14:paraId="1C82E8A5"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6523D21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A408A03" w14:textId="77777777" w:rsidR="0012790E" w:rsidRPr="001C06E6" w:rsidRDefault="0012790E">
            <w:pPr>
              <w:pStyle w:val="MeasureTableDataRightAlignedwith2ptsspacing"/>
              <w:keepNext/>
            </w:pPr>
            <w:r>
              <w:t xml:space="preserve">13.2 </w:t>
            </w:r>
          </w:p>
        </w:tc>
        <w:tc>
          <w:tcPr>
            <w:tcW w:w="1045" w:type="dxa"/>
            <w:tcBorders>
              <w:top w:val="single" w:sz="4" w:space="0" w:color="293F5B"/>
              <w:bottom w:val="single" w:sz="4" w:space="0" w:color="293F5B"/>
            </w:tcBorders>
            <w:shd w:val="clear" w:color="auto" w:fill="auto"/>
          </w:tcPr>
          <w:p w14:paraId="08FB6903" w14:textId="77777777" w:rsidR="0012790E" w:rsidRPr="001C06E6" w:rsidRDefault="0012790E">
            <w:pPr>
              <w:pStyle w:val="MeasureTableDataRightAlignedwith2ptsspacing"/>
              <w:keepNext/>
            </w:pPr>
            <w:r>
              <w:t xml:space="preserve">27.4 </w:t>
            </w:r>
          </w:p>
        </w:tc>
        <w:tc>
          <w:tcPr>
            <w:tcW w:w="1045" w:type="dxa"/>
            <w:tcBorders>
              <w:top w:val="single" w:sz="4" w:space="0" w:color="293F5B"/>
              <w:bottom w:val="single" w:sz="4" w:space="0" w:color="293F5B"/>
            </w:tcBorders>
            <w:shd w:val="clear" w:color="auto" w:fill="auto"/>
          </w:tcPr>
          <w:p w14:paraId="2FF85C5A" w14:textId="77777777" w:rsidR="0012790E" w:rsidRPr="001C06E6" w:rsidRDefault="0012790E">
            <w:pPr>
              <w:pStyle w:val="MeasureTableDataRightAlignedwith2ptsspacing"/>
              <w:keepNext/>
            </w:pPr>
            <w:r>
              <w:t xml:space="preserve">29.1 </w:t>
            </w:r>
          </w:p>
        </w:tc>
        <w:tc>
          <w:tcPr>
            <w:tcW w:w="1045" w:type="dxa"/>
            <w:tcBorders>
              <w:top w:val="single" w:sz="4" w:space="0" w:color="293F5B"/>
              <w:bottom w:val="single" w:sz="4" w:space="0" w:color="293F5B"/>
            </w:tcBorders>
            <w:shd w:val="clear" w:color="auto" w:fill="auto"/>
          </w:tcPr>
          <w:p w14:paraId="65FBAE60" w14:textId="77777777" w:rsidR="0012790E" w:rsidRPr="001C06E6" w:rsidRDefault="0012790E">
            <w:pPr>
              <w:pStyle w:val="MeasureTableDataRightAlignedwith2ptsspacing"/>
              <w:keepNext/>
            </w:pPr>
            <w:r>
              <w:t xml:space="preserve">29.2 </w:t>
            </w:r>
          </w:p>
        </w:tc>
      </w:tr>
      <w:tr w:rsidR="0012790E" w:rsidRPr="001C06E6" w14:paraId="1C873CF9" w14:textId="77777777">
        <w:tc>
          <w:tcPr>
            <w:tcW w:w="2497" w:type="dxa"/>
            <w:tcBorders>
              <w:top w:val="single" w:sz="4" w:space="0" w:color="293F5B"/>
              <w:bottom w:val="single" w:sz="4" w:space="0" w:color="293F5B"/>
            </w:tcBorders>
            <w:shd w:val="clear" w:color="auto" w:fill="auto"/>
          </w:tcPr>
          <w:p w14:paraId="38592ADA" w14:textId="77777777" w:rsidR="0012790E" w:rsidRPr="001C06E6" w:rsidRDefault="0012790E">
            <w:pPr>
              <w:pStyle w:val="MeasureTableHeadingleftalignedwith2ptsspacing"/>
              <w:keepNext/>
            </w:pPr>
            <w:r>
              <w:t xml:space="preserve">Office of the Fair Work Ombudsman </w:t>
            </w:r>
          </w:p>
        </w:tc>
        <w:tc>
          <w:tcPr>
            <w:tcW w:w="1045" w:type="dxa"/>
            <w:tcBorders>
              <w:top w:val="single" w:sz="4" w:space="0" w:color="293F5B"/>
              <w:bottom w:val="single" w:sz="4" w:space="0" w:color="293F5B"/>
            </w:tcBorders>
            <w:shd w:val="clear" w:color="auto" w:fill="auto"/>
          </w:tcPr>
          <w:p w14:paraId="4FCDC9B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4C0F14A" w14:textId="77777777" w:rsidR="0012790E" w:rsidRPr="001C06E6" w:rsidRDefault="0012790E">
            <w:pPr>
              <w:pStyle w:val="MeasureTableDataRightAlignedwith2ptsspacing"/>
              <w:keepNext/>
            </w:pPr>
            <w:r>
              <w:t xml:space="preserve">8.6 </w:t>
            </w:r>
          </w:p>
        </w:tc>
        <w:tc>
          <w:tcPr>
            <w:tcW w:w="1045" w:type="dxa"/>
            <w:tcBorders>
              <w:top w:val="single" w:sz="4" w:space="0" w:color="293F5B"/>
              <w:bottom w:val="single" w:sz="4" w:space="0" w:color="293F5B"/>
            </w:tcBorders>
            <w:shd w:val="clear" w:color="auto" w:fill="auto"/>
          </w:tcPr>
          <w:p w14:paraId="18F55C02" w14:textId="77777777" w:rsidR="0012790E" w:rsidRPr="001C06E6" w:rsidRDefault="0012790E">
            <w:pPr>
              <w:pStyle w:val="MeasureTableDataRightAlignedwith2ptsspacing"/>
              <w:keepNext/>
            </w:pPr>
            <w:r>
              <w:t xml:space="preserve">6.3 </w:t>
            </w:r>
          </w:p>
        </w:tc>
        <w:tc>
          <w:tcPr>
            <w:tcW w:w="1045" w:type="dxa"/>
            <w:tcBorders>
              <w:top w:val="single" w:sz="4" w:space="0" w:color="293F5B"/>
              <w:bottom w:val="single" w:sz="4" w:space="0" w:color="293F5B"/>
            </w:tcBorders>
            <w:shd w:val="clear" w:color="auto" w:fill="auto"/>
          </w:tcPr>
          <w:p w14:paraId="17D76E14" w14:textId="77777777" w:rsidR="0012790E" w:rsidRPr="001C06E6" w:rsidRDefault="0012790E">
            <w:pPr>
              <w:pStyle w:val="MeasureTableDataRightAlignedwith2ptsspacing"/>
              <w:keepNext/>
            </w:pPr>
            <w:r>
              <w:t xml:space="preserve">8.1 </w:t>
            </w:r>
          </w:p>
        </w:tc>
        <w:tc>
          <w:tcPr>
            <w:tcW w:w="1045" w:type="dxa"/>
            <w:tcBorders>
              <w:top w:val="single" w:sz="4" w:space="0" w:color="293F5B"/>
              <w:bottom w:val="single" w:sz="4" w:space="0" w:color="293F5B"/>
            </w:tcBorders>
            <w:shd w:val="clear" w:color="auto" w:fill="auto"/>
          </w:tcPr>
          <w:p w14:paraId="3EA6B554" w14:textId="77777777" w:rsidR="0012790E" w:rsidRPr="001C06E6" w:rsidRDefault="0012790E">
            <w:pPr>
              <w:pStyle w:val="MeasureTableDataRightAlignedwith2ptsspacing"/>
              <w:keepNext/>
            </w:pPr>
            <w:r>
              <w:t xml:space="preserve">8.3 </w:t>
            </w:r>
          </w:p>
        </w:tc>
      </w:tr>
      <w:tr w:rsidR="0012790E" w:rsidRPr="001C06E6" w14:paraId="78CCD5BB" w14:textId="77777777">
        <w:tc>
          <w:tcPr>
            <w:tcW w:w="2497" w:type="dxa"/>
            <w:tcBorders>
              <w:top w:val="single" w:sz="4" w:space="0" w:color="293F5B"/>
              <w:bottom w:val="single" w:sz="4" w:space="0" w:color="293F5B"/>
            </w:tcBorders>
            <w:shd w:val="clear" w:color="auto" w:fill="auto"/>
          </w:tcPr>
          <w:p w14:paraId="0B3ACDB0"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69F1996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495D9CE" w14:textId="77777777" w:rsidR="0012790E" w:rsidRPr="001C06E6" w:rsidRDefault="0012790E">
            <w:pPr>
              <w:pStyle w:val="MeasureTableDataRightAlignedwith2ptsspacing"/>
              <w:keepNext/>
            </w:pPr>
            <w:r w:rsidRPr="001C06E6">
              <w:t>2.0</w:t>
            </w:r>
          </w:p>
        </w:tc>
        <w:tc>
          <w:tcPr>
            <w:tcW w:w="1045" w:type="dxa"/>
            <w:tcBorders>
              <w:top w:val="single" w:sz="4" w:space="0" w:color="293F5B"/>
              <w:bottom w:val="single" w:sz="4" w:space="0" w:color="293F5B"/>
            </w:tcBorders>
            <w:shd w:val="clear" w:color="auto" w:fill="auto"/>
          </w:tcPr>
          <w:p w14:paraId="33D19D3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B87FCE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AFDE1D0" w14:textId="77777777" w:rsidR="0012790E" w:rsidRPr="001C06E6" w:rsidRDefault="0012790E">
            <w:pPr>
              <w:pStyle w:val="MeasureTableDataRightAlignedwith2ptsspacing"/>
              <w:keepNext/>
            </w:pPr>
            <w:r w:rsidRPr="001C06E6">
              <w:t>-</w:t>
            </w:r>
          </w:p>
        </w:tc>
      </w:tr>
      <w:tr w:rsidR="0012790E" w:rsidRPr="001C06E6" w14:paraId="7CC79BF7" w14:textId="77777777">
        <w:tc>
          <w:tcPr>
            <w:tcW w:w="2497" w:type="dxa"/>
            <w:tcBorders>
              <w:top w:val="single" w:sz="4" w:space="0" w:color="293F5B"/>
              <w:bottom w:val="single" w:sz="4" w:space="0" w:color="293F5B"/>
            </w:tcBorders>
            <w:shd w:val="clear" w:color="auto" w:fill="auto"/>
          </w:tcPr>
          <w:p w14:paraId="653059CC"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0AF1D27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A249DAF" w14:textId="77777777" w:rsidR="0012790E" w:rsidRPr="001C06E6" w:rsidRDefault="0012790E">
            <w:pPr>
              <w:pStyle w:val="MeasureTableDataRightAlignedwith2ptsspacing"/>
              <w:keepNext/>
            </w:pPr>
            <w:r w:rsidRPr="001C06E6">
              <w:t>1.1</w:t>
            </w:r>
          </w:p>
        </w:tc>
        <w:tc>
          <w:tcPr>
            <w:tcW w:w="1045" w:type="dxa"/>
            <w:tcBorders>
              <w:top w:val="single" w:sz="4" w:space="0" w:color="293F5B"/>
              <w:bottom w:val="single" w:sz="4" w:space="0" w:color="293F5B"/>
            </w:tcBorders>
            <w:shd w:val="clear" w:color="auto" w:fill="auto"/>
          </w:tcPr>
          <w:p w14:paraId="69C23D14" w14:textId="77777777" w:rsidR="0012790E" w:rsidRPr="001C06E6" w:rsidRDefault="0012790E">
            <w:pPr>
              <w:pStyle w:val="MeasureTableDataRightAlignedwith2ptsspacing"/>
              <w:keepNext/>
            </w:pPr>
            <w:r w:rsidRPr="001C06E6">
              <w:t>6.7</w:t>
            </w:r>
          </w:p>
        </w:tc>
        <w:tc>
          <w:tcPr>
            <w:tcW w:w="1045" w:type="dxa"/>
            <w:tcBorders>
              <w:top w:val="single" w:sz="4" w:space="0" w:color="293F5B"/>
              <w:bottom w:val="single" w:sz="4" w:space="0" w:color="293F5B"/>
            </w:tcBorders>
            <w:shd w:val="clear" w:color="auto" w:fill="auto"/>
          </w:tcPr>
          <w:p w14:paraId="5BAE27DE" w14:textId="77777777" w:rsidR="0012790E" w:rsidRPr="001C06E6" w:rsidRDefault="0012790E">
            <w:pPr>
              <w:pStyle w:val="MeasureTableDataRightAlignedwith2ptsspacing"/>
              <w:keepNext/>
            </w:pPr>
            <w:r w:rsidRPr="001C06E6">
              <w:t>15.5</w:t>
            </w:r>
          </w:p>
        </w:tc>
        <w:tc>
          <w:tcPr>
            <w:tcW w:w="1045" w:type="dxa"/>
            <w:tcBorders>
              <w:top w:val="single" w:sz="4" w:space="0" w:color="293F5B"/>
              <w:bottom w:val="single" w:sz="4" w:space="0" w:color="293F5B"/>
            </w:tcBorders>
            <w:shd w:val="clear" w:color="auto" w:fill="auto"/>
          </w:tcPr>
          <w:p w14:paraId="433C564D" w14:textId="77777777" w:rsidR="0012790E" w:rsidRPr="001C06E6" w:rsidRDefault="0012790E">
            <w:pPr>
              <w:pStyle w:val="MeasureTableDataRightAlignedwith2ptsspacing"/>
              <w:keepNext/>
            </w:pPr>
            <w:r w:rsidRPr="001C06E6">
              <w:t>21.2</w:t>
            </w:r>
          </w:p>
        </w:tc>
      </w:tr>
      <w:tr w:rsidR="0012790E" w:rsidRPr="001C06E6" w14:paraId="0A78F378" w14:textId="77777777">
        <w:tc>
          <w:tcPr>
            <w:tcW w:w="2497" w:type="dxa"/>
            <w:tcBorders>
              <w:top w:val="single" w:sz="4" w:space="0" w:color="293F5B"/>
              <w:bottom w:val="single" w:sz="4" w:space="0" w:color="293F5B"/>
            </w:tcBorders>
            <w:shd w:val="clear" w:color="auto" w:fill="auto"/>
          </w:tcPr>
          <w:p w14:paraId="10B74453"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61C4E5B6"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9AD74D8" w14:textId="77777777" w:rsidR="0012790E" w:rsidRPr="001C06E6" w:rsidRDefault="0012790E">
            <w:pPr>
              <w:pStyle w:val="Totaldatarowrightaligned"/>
              <w:keepNext/>
            </w:pPr>
            <w:r w:rsidRPr="001C06E6">
              <w:t>24.9</w:t>
            </w:r>
          </w:p>
        </w:tc>
        <w:tc>
          <w:tcPr>
            <w:tcW w:w="1045" w:type="dxa"/>
            <w:tcBorders>
              <w:top w:val="single" w:sz="4" w:space="0" w:color="293F5B"/>
              <w:bottom w:val="single" w:sz="4" w:space="0" w:color="293F5B"/>
            </w:tcBorders>
            <w:shd w:val="clear" w:color="auto" w:fill="auto"/>
          </w:tcPr>
          <w:p w14:paraId="6E687ABA" w14:textId="77777777" w:rsidR="0012790E" w:rsidRPr="001C06E6" w:rsidRDefault="0012790E">
            <w:pPr>
              <w:pStyle w:val="Totaldatarowrightaligned"/>
              <w:keepNext/>
            </w:pPr>
            <w:r w:rsidRPr="001C06E6">
              <w:t>40.3</w:t>
            </w:r>
          </w:p>
        </w:tc>
        <w:tc>
          <w:tcPr>
            <w:tcW w:w="1045" w:type="dxa"/>
            <w:tcBorders>
              <w:top w:val="single" w:sz="4" w:space="0" w:color="293F5B"/>
              <w:bottom w:val="single" w:sz="4" w:space="0" w:color="293F5B"/>
            </w:tcBorders>
            <w:shd w:val="clear" w:color="auto" w:fill="auto"/>
          </w:tcPr>
          <w:p w14:paraId="39391FDE" w14:textId="77777777" w:rsidR="0012790E" w:rsidRPr="001C06E6" w:rsidRDefault="0012790E">
            <w:pPr>
              <w:pStyle w:val="Totaldatarowrightaligned"/>
              <w:keepNext/>
            </w:pPr>
            <w:r w:rsidRPr="001C06E6">
              <w:t>52.6</w:t>
            </w:r>
          </w:p>
        </w:tc>
        <w:tc>
          <w:tcPr>
            <w:tcW w:w="1045" w:type="dxa"/>
            <w:tcBorders>
              <w:top w:val="single" w:sz="4" w:space="0" w:color="293F5B"/>
              <w:bottom w:val="single" w:sz="4" w:space="0" w:color="293F5B"/>
            </w:tcBorders>
            <w:shd w:val="clear" w:color="auto" w:fill="auto"/>
          </w:tcPr>
          <w:p w14:paraId="5F884982" w14:textId="77777777" w:rsidR="0012790E" w:rsidRPr="001C06E6" w:rsidRDefault="0012790E">
            <w:pPr>
              <w:pStyle w:val="Totaldatarowrightaligned"/>
              <w:keepNext/>
            </w:pPr>
            <w:r w:rsidRPr="001C06E6">
              <w:t>58.7</w:t>
            </w:r>
          </w:p>
        </w:tc>
      </w:tr>
      <w:tr w:rsidR="0012790E" w:rsidRPr="001C06E6" w14:paraId="286A2C9B" w14:textId="77777777">
        <w:tc>
          <w:tcPr>
            <w:tcW w:w="2497" w:type="dxa"/>
            <w:tcBorders>
              <w:top w:val="single" w:sz="4" w:space="0" w:color="293F5B"/>
            </w:tcBorders>
            <w:shd w:val="clear" w:color="auto" w:fill="auto"/>
          </w:tcPr>
          <w:p w14:paraId="5D210401"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56A38A28" w14:textId="77777777" w:rsidR="0012790E" w:rsidRPr="001C06E6" w:rsidRDefault="0012790E">
            <w:pPr>
              <w:pStyle w:val="AgencyName"/>
              <w:keepNext/>
            </w:pPr>
          </w:p>
        </w:tc>
        <w:tc>
          <w:tcPr>
            <w:tcW w:w="1045" w:type="dxa"/>
            <w:tcBorders>
              <w:top w:val="single" w:sz="4" w:space="0" w:color="293F5B"/>
            </w:tcBorders>
            <w:shd w:val="clear" w:color="auto" w:fill="auto"/>
          </w:tcPr>
          <w:p w14:paraId="5AF7FAAB" w14:textId="77777777" w:rsidR="0012790E" w:rsidRPr="001C06E6" w:rsidRDefault="0012790E">
            <w:pPr>
              <w:pStyle w:val="AgencyName"/>
              <w:keepNext/>
            </w:pPr>
          </w:p>
        </w:tc>
        <w:tc>
          <w:tcPr>
            <w:tcW w:w="1045" w:type="dxa"/>
            <w:tcBorders>
              <w:top w:val="single" w:sz="4" w:space="0" w:color="293F5B"/>
            </w:tcBorders>
            <w:shd w:val="clear" w:color="auto" w:fill="auto"/>
          </w:tcPr>
          <w:p w14:paraId="76585FAA" w14:textId="77777777" w:rsidR="0012790E" w:rsidRPr="001C06E6" w:rsidRDefault="0012790E">
            <w:pPr>
              <w:pStyle w:val="AgencyName"/>
              <w:keepNext/>
            </w:pPr>
          </w:p>
        </w:tc>
        <w:tc>
          <w:tcPr>
            <w:tcW w:w="1045" w:type="dxa"/>
            <w:tcBorders>
              <w:top w:val="single" w:sz="4" w:space="0" w:color="293F5B"/>
            </w:tcBorders>
            <w:shd w:val="clear" w:color="auto" w:fill="auto"/>
          </w:tcPr>
          <w:p w14:paraId="375AEC07" w14:textId="77777777" w:rsidR="0012790E" w:rsidRPr="001C06E6" w:rsidRDefault="0012790E">
            <w:pPr>
              <w:pStyle w:val="AgencyName"/>
              <w:keepNext/>
            </w:pPr>
          </w:p>
        </w:tc>
        <w:tc>
          <w:tcPr>
            <w:tcW w:w="1045" w:type="dxa"/>
            <w:tcBorders>
              <w:top w:val="single" w:sz="4" w:space="0" w:color="293F5B"/>
            </w:tcBorders>
            <w:shd w:val="clear" w:color="auto" w:fill="auto"/>
          </w:tcPr>
          <w:p w14:paraId="361D9858" w14:textId="77777777" w:rsidR="0012790E" w:rsidRPr="001C06E6" w:rsidRDefault="0012790E">
            <w:pPr>
              <w:pStyle w:val="AgencyName"/>
              <w:keepNext/>
            </w:pPr>
          </w:p>
        </w:tc>
      </w:tr>
      <w:tr w:rsidR="0012790E" w:rsidRPr="001C06E6" w14:paraId="09224B27" w14:textId="77777777">
        <w:tc>
          <w:tcPr>
            <w:tcW w:w="2497" w:type="dxa"/>
            <w:tcBorders>
              <w:bottom w:val="single" w:sz="4" w:space="0" w:color="293F5B"/>
            </w:tcBorders>
            <w:shd w:val="clear" w:color="auto" w:fill="auto"/>
          </w:tcPr>
          <w:p w14:paraId="0C3DF879" w14:textId="77777777" w:rsidR="0012790E" w:rsidRPr="001C06E6" w:rsidRDefault="0012790E">
            <w:pPr>
              <w:pStyle w:val="AgencyNamewith2ptsspacing"/>
              <w:keepNext/>
            </w:pPr>
            <w:r>
              <w:t xml:space="preserve">Department of Employment and Workplace Relations </w:t>
            </w:r>
          </w:p>
        </w:tc>
        <w:tc>
          <w:tcPr>
            <w:tcW w:w="1045" w:type="dxa"/>
            <w:tcBorders>
              <w:bottom w:val="single" w:sz="4" w:space="0" w:color="293F5B"/>
            </w:tcBorders>
            <w:shd w:val="clear" w:color="auto" w:fill="auto"/>
          </w:tcPr>
          <w:p w14:paraId="4071FC58"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6FEA9342" w14:textId="77777777" w:rsidR="0012790E" w:rsidRPr="001C06E6" w:rsidRDefault="0012790E">
            <w:pPr>
              <w:pStyle w:val="Measuretabledatarightaligneditalics"/>
              <w:keepNext/>
            </w:pPr>
            <w:r>
              <w:t xml:space="preserve">2.4 </w:t>
            </w:r>
          </w:p>
        </w:tc>
        <w:tc>
          <w:tcPr>
            <w:tcW w:w="1045" w:type="dxa"/>
            <w:tcBorders>
              <w:bottom w:val="single" w:sz="4" w:space="0" w:color="293F5B"/>
            </w:tcBorders>
            <w:shd w:val="clear" w:color="auto" w:fill="auto"/>
          </w:tcPr>
          <w:p w14:paraId="15203C45" w14:textId="77777777" w:rsidR="0012790E" w:rsidRPr="001C06E6" w:rsidRDefault="0012790E">
            <w:pPr>
              <w:pStyle w:val="Measuretabledatarightaligneditalics"/>
              <w:keepNext/>
            </w:pPr>
            <w:r>
              <w:t xml:space="preserve">5.0 </w:t>
            </w:r>
          </w:p>
        </w:tc>
        <w:tc>
          <w:tcPr>
            <w:tcW w:w="1045" w:type="dxa"/>
            <w:tcBorders>
              <w:bottom w:val="single" w:sz="4" w:space="0" w:color="293F5B"/>
            </w:tcBorders>
            <w:shd w:val="clear" w:color="auto" w:fill="auto"/>
          </w:tcPr>
          <w:p w14:paraId="10B4EF1F" w14:textId="77777777" w:rsidR="0012790E" w:rsidRPr="001C06E6" w:rsidRDefault="0012790E">
            <w:pPr>
              <w:pStyle w:val="Measuretabledatarightaligneditalics"/>
              <w:keepNext/>
            </w:pPr>
            <w:r>
              <w:t xml:space="preserve">9.4 </w:t>
            </w:r>
          </w:p>
        </w:tc>
        <w:tc>
          <w:tcPr>
            <w:tcW w:w="1045" w:type="dxa"/>
            <w:tcBorders>
              <w:bottom w:val="single" w:sz="4" w:space="0" w:color="293F5B"/>
            </w:tcBorders>
            <w:shd w:val="clear" w:color="auto" w:fill="auto"/>
          </w:tcPr>
          <w:p w14:paraId="084639C1" w14:textId="77777777" w:rsidR="0012790E" w:rsidRPr="001C06E6" w:rsidRDefault="0012790E">
            <w:pPr>
              <w:pStyle w:val="Measuretabledatarightaligneditalics"/>
              <w:keepNext/>
            </w:pPr>
            <w:r>
              <w:t xml:space="preserve">13.3 </w:t>
            </w:r>
          </w:p>
        </w:tc>
      </w:tr>
      <w:tr w:rsidR="0012790E" w:rsidRPr="001C06E6" w14:paraId="3E1712C7" w14:textId="77777777">
        <w:tc>
          <w:tcPr>
            <w:tcW w:w="2497" w:type="dxa"/>
            <w:tcBorders>
              <w:top w:val="single" w:sz="4" w:space="0" w:color="293F5B"/>
              <w:bottom w:val="single" w:sz="4" w:space="0" w:color="293F5B"/>
            </w:tcBorders>
            <w:shd w:val="clear" w:color="auto" w:fill="auto"/>
          </w:tcPr>
          <w:p w14:paraId="03A9C6D4" w14:textId="77777777" w:rsidR="0012790E" w:rsidRPr="001C06E6" w:rsidRDefault="0012790E">
            <w:pPr>
              <w:pStyle w:val="AgencyName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233D5436"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02D46101" w14:textId="77777777" w:rsidR="0012790E" w:rsidRPr="001C06E6" w:rsidRDefault="0012790E">
            <w:pPr>
              <w:pStyle w:val="Measuretabledatarightaligneditalics"/>
              <w:keepNext/>
            </w:pPr>
            <w:r w:rsidRPr="001C06E6">
              <w:t>2.3</w:t>
            </w:r>
          </w:p>
        </w:tc>
        <w:tc>
          <w:tcPr>
            <w:tcW w:w="1045" w:type="dxa"/>
            <w:tcBorders>
              <w:top w:val="single" w:sz="4" w:space="0" w:color="293F5B"/>
              <w:bottom w:val="single" w:sz="4" w:space="0" w:color="293F5B"/>
            </w:tcBorders>
            <w:shd w:val="clear" w:color="auto" w:fill="auto"/>
          </w:tcPr>
          <w:p w14:paraId="289A1E7C" w14:textId="77777777" w:rsidR="0012790E" w:rsidRPr="001C06E6" w:rsidRDefault="0012790E">
            <w:pPr>
              <w:pStyle w:val="Measuretabledatarightaligneditalics"/>
              <w:keepNext/>
            </w:pPr>
            <w:r w:rsidRPr="001C06E6">
              <w:t>12.3</w:t>
            </w:r>
          </w:p>
        </w:tc>
        <w:tc>
          <w:tcPr>
            <w:tcW w:w="1045" w:type="dxa"/>
            <w:tcBorders>
              <w:top w:val="single" w:sz="4" w:space="0" w:color="293F5B"/>
              <w:bottom w:val="single" w:sz="4" w:space="0" w:color="293F5B"/>
            </w:tcBorders>
            <w:shd w:val="clear" w:color="auto" w:fill="auto"/>
          </w:tcPr>
          <w:p w14:paraId="3B903A97" w14:textId="77777777" w:rsidR="0012790E" w:rsidRPr="001C06E6" w:rsidRDefault="0012790E">
            <w:pPr>
              <w:pStyle w:val="Measuretabledatarightaligneditalics"/>
              <w:keepNext/>
            </w:pPr>
            <w:r w:rsidRPr="001C06E6">
              <w:t>22.3</w:t>
            </w:r>
          </w:p>
        </w:tc>
        <w:tc>
          <w:tcPr>
            <w:tcW w:w="1045" w:type="dxa"/>
            <w:tcBorders>
              <w:top w:val="single" w:sz="4" w:space="0" w:color="293F5B"/>
              <w:bottom w:val="single" w:sz="4" w:space="0" w:color="293F5B"/>
            </w:tcBorders>
            <w:shd w:val="clear" w:color="auto" w:fill="auto"/>
          </w:tcPr>
          <w:p w14:paraId="27247E89" w14:textId="77777777" w:rsidR="0012790E" w:rsidRPr="001C06E6" w:rsidRDefault="0012790E">
            <w:pPr>
              <w:pStyle w:val="Measuretabledatarightaligneditalics"/>
              <w:keepNext/>
            </w:pPr>
            <w:r w:rsidRPr="001C06E6">
              <w:t>26.2</w:t>
            </w:r>
          </w:p>
        </w:tc>
      </w:tr>
      <w:tr w:rsidR="0012790E" w:rsidRPr="001C06E6" w14:paraId="5E09C894" w14:textId="77777777">
        <w:tc>
          <w:tcPr>
            <w:tcW w:w="2497" w:type="dxa"/>
            <w:tcBorders>
              <w:top w:val="single" w:sz="4" w:space="0" w:color="293F5B"/>
              <w:bottom w:val="single" w:sz="4" w:space="0" w:color="293F5B"/>
            </w:tcBorders>
            <w:shd w:val="clear" w:color="auto" w:fill="auto"/>
          </w:tcPr>
          <w:p w14:paraId="1638414D" w14:textId="77777777" w:rsidR="0012790E" w:rsidRPr="001C06E6" w:rsidRDefault="0012790E">
            <w:pPr>
              <w:pStyle w:val="AgencyNamewith2ptsspacing"/>
              <w:keepNext/>
            </w:pPr>
            <w:r>
              <w:t xml:space="preserve">Office of the Fair Work Ombudsman </w:t>
            </w:r>
          </w:p>
        </w:tc>
        <w:tc>
          <w:tcPr>
            <w:tcW w:w="1045" w:type="dxa"/>
            <w:tcBorders>
              <w:top w:val="single" w:sz="4" w:space="0" w:color="293F5B"/>
              <w:bottom w:val="single" w:sz="4" w:space="0" w:color="293F5B"/>
            </w:tcBorders>
            <w:shd w:val="clear" w:color="auto" w:fill="auto"/>
          </w:tcPr>
          <w:p w14:paraId="072DD4C2"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0447C948" w14:textId="77777777" w:rsidR="0012790E" w:rsidRPr="001C06E6" w:rsidRDefault="0012790E">
            <w:pPr>
              <w:pStyle w:val="Measuretabledatarightaligneditalics"/>
              <w:keepNext/>
            </w:pPr>
            <w:r>
              <w:t xml:space="preserve">-2.4 </w:t>
            </w:r>
          </w:p>
        </w:tc>
        <w:tc>
          <w:tcPr>
            <w:tcW w:w="1045" w:type="dxa"/>
            <w:tcBorders>
              <w:top w:val="single" w:sz="4" w:space="0" w:color="293F5B"/>
              <w:bottom w:val="single" w:sz="4" w:space="0" w:color="293F5B"/>
            </w:tcBorders>
            <w:shd w:val="clear" w:color="auto" w:fill="auto"/>
          </w:tcPr>
          <w:p w14:paraId="5101887A" w14:textId="77777777" w:rsidR="0012790E" w:rsidRPr="001C06E6" w:rsidRDefault="0012790E">
            <w:pPr>
              <w:pStyle w:val="Measuretabledatarightaligneditalics"/>
              <w:keepNext/>
            </w:pPr>
            <w:r>
              <w:t xml:space="preserve">-5.4 </w:t>
            </w:r>
          </w:p>
        </w:tc>
        <w:tc>
          <w:tcPr>
            <w:tcW w:w="1045" w:type="dxa"/>
            <w:tcBorders>
              <w:top w:val="single" w:sz="4" w:space="0" w:color="293F5B"/>
              <w:bottom w:val="single" w:sz="4" w:space="0" w:color="293F5B"/>
            </w:tcBorders>
            <w:shd w:val="clear" w:color="auto" w:fill="auto"/>
          </w:tcPr>
          <w:p w14:paraId="42DD8870" w14:textId="77777777" w:rsidR="0012790E" w:rsidRPr="001C06E6" w:rsidRDefault="0012790E">
            <w:pPr>
              <w:pStyle w:val="Measuretabledatarightaligneditalics"/>
              <w:keepNext/>
            </w:pPr>
            <w:r>
              <w:t xml:space="preserve">-3.9 </w:t>
            </w:r>
          </w:p>
        </w:tc>
        <w:tc>
          <w:tcPr>
            <w:tcW w:w="1045" w:type="dxa"/>
            <w:tcBorders>
              <w:top w:val="single" w:sz="4" w:space="0" w:color="293F5B"/>
              <w:bottom w:val="single" w:sz="4" w:space="0" w:color="293F5B"/>
            </w:tcBorders>
            <w:shd w:val="clear" w:color="auto" w:fill="auto"/>
          </w:tcPr>
          <w:p w14:paraId="47C7FB8A" w14:textId="77777777" w:rsidR="0012790E" w:rsidRPr="001C06E6" w:rsidRDefault="0012790E">
            <w:pPr>
              <w:pStyle w:val="Measuretabledatarightaligneditalics"/>
              <w:keepNext/>
            </w:pPr>
            <w:r>
              <w:t xml:space="preserve">-3.9 </w:t>
            </w:r>
          </w:p>
        </w:tc>
      </w:tr>
      <w:tr w:rsidR="0012790E" w:rsidRPr="001C06E6" w14:paraId="586313F6" w14:textId="77777777">
        <w:tc>
          <w:tcPr>
            <w:tcW w:w="2497" w:type="dxa"/>
            <w:tcBorders>
              <w:top w:val="single" w:sz="4" w:space="0" w:color="293F5B"/>
              <w:bottom w:val="single" w:sz="4" w:space="0" w:color="293F5B"/>
            </w:tcBorders>
            <w:shd w:val="clear" w:color="auto" w:fill="auto"/>
          </w:tcPr>
          <w:p w14:paraId="3860C1BD" w14:textId="77777777" w:rsidR="0012790E" w:rsidRPr="001C06E6" w:rsidRDefault="0012790E">
            <w:pPr>
              <w:pStyle w:val="Totalrowitalicsleftaligned"/>
              <w:keepNext/>
            </w:pPr>
            <w:r w:rsidRPr="001C06E6">
              <w:t>Total – Receipts</w:t>
            </w:r>
          </w:p>
        </w:tc>
        <w:tc>
          <w:tcPr>
            <w:tcW w:w="1045" w:type="dxa"/>
            <w:tcBorders>
              <w:top w:val="single" w:sz="4" w:space="0" w:color="293F5B"/>
              <w:bottom w:val="single" w:sz="4" w:space="0" w:color="293F5B"/>
            </w:tcBorders>
            <w:shd w:val="clear" w:color="auto" w:fill="auto"/>
          </w:tcPr>
          <w:p w14:paraId="72F53FAE"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4598F61D" w14:textId="77777777" w:rsidR="0012790E" w:rsidRPr="001C06E6" w:rsidRDefault="0012790E">
            <w:pPr>
              <w:pStyle w:val="Totalrowitalicsrightaligned"/>
              <w:keepNext/>
            </w:pPr>
            <w:r w:rsidRPr="001C06E6">
              <w:t>2.3</w:t>
            </w:r>
          </w:p>
        </w:tc>
        <w:tc>
          <w:tcPr>
            <w:tcW w:w="1045" w:type="dxa"/>
            <w:tcBorders>
              <w:top w:val="single" w:sz="4" w:space="0" w:color="293F5B"/>
              <w:bottom w:val="single" w:sz="4" w:space="0" w:color="293F5B"/>
            </w:tcBorders>
            <w:shd w:val="clear" w:color="auto" w:fill="auto"/>
          </w:tcPr>
          <w:p w14:paraId="182692C6" w14:textId="77777777" w:rsidR="0012790E" w:rsidRPr="001C06E6" w:rsidRDefault="0012790E">
            <w:pPr>
              <w:pStyle w:val="Totalrowitalicsrightaligned"/>
              <w:keepNext/>
            </w:pPr>
            <w:r w:rsidRPr="001C06E6">
              <w:t>12.0</w:t>
            </w:r>
          </w:p>
        </w:tc>
        <w:tc>
          <w:tcPr>
            <w:tcW w:w="1045" w:type="dxa"/>
            <w:tcBorders>
              <w:top w:val="single" w:sz="4" w:space="0" w:color="293F5B"/>
              <w:bottom w:val="single" w:sz="4" w:space="0" w:color="293F5B"/>
            </w:tcBorders>
            <w:shd w:val="clear" w:color="auto" w:fill="auto"/>
          </w:tcPr>
          <w:p w14:paraId="1AD98069" w14:textId="77777777" w:rsidR="0012790E" w:rsidRPr="001C06E6" w:rsidRDefault="0012790E">
            <w:pPr>
              <w:pStyle w:val="Totalrowitalicsrightaligned"/>
              <w:keepNext/>
            </w:pPr>
            <w:r w:rsidRPr="001C06E6">
              <w:t>27.9</w:t>
            </w:r>
          </w:p>
        </w:tc>
        <w:tc>
          <w:tcPr>
            <w:tcW w:w="1045" w:type="dxa"/>
            <w:tcBorders>
              <w:top w:val="single" w:sz="4" w:space="0" w:color="293F5B"/>
              <w:bottom w:val="single" w:sz="4" w:space="0" w:color="293F5B"/>
            </w:tcBorders>
            <w:shd w:val="clear" w:color="auto" w:fill="auto"/>
          </w:tcPr>
          <w:p w14:paraId="252004C1" w14:textId="77777777" w:rsidR="0012790E" w:rsidRPr="001C06E6" w:rsidRDefault="0012790E">
            <w:pPr>
              <w:pStyle w:val="Totalrowitalicsrightaligned"/>
              <w:keepNext/>
            </w:pPr>
            <w:r w:rsidRPr="001C06E6">
              <w:t>35.6</w:t>
            </w:r>
          </w:p>
        </w:tc>
      </w:tr>
    </w:tbl>
    <w:p w14:paraId="6C01B8E1" w14:textId="77777777" w:rsidR="0012790E" w:rsidRPr="001C06E6" w:rsidRDefault="0012790E">
      <w:pPr>
        <w:keepNext/>
        <w:widowControl w:val="0"/>
        <w:tabs>
          <w:tab w:val="right" w:pos="3536"/>
          <w:tab w:val="right" w:pos="4579"/>
          <w:tab w:val="right" w:pos="5622"/>
          <w:tab w:val="right" w:pos="6664"/>
          <w:tab w:val="right" w:pos="7707"/>
        </w:tabs>
        <w:spacing w:line="184" w:lineRule="exact"/>
        <w:rPr>
          <w:i/>
          <w:iCs/>
          <w:color w:val="000000"/>
          <w:sz w:val="16"/>
          <w:szCs w:val="16"/>
          <w:lang w:val="en-AU"/>
        </w:rPr>
      </w:pPr>
    </w:p>
    <w:p w14:paraId="191E7AE3" w14:textId="77777777" w:rsidR="0012790E" w:rsidRDefault="0012790E">
      <w:pPr>
        <w:pStyle w:val="Normal2"/>
        <w:rPr>
          <w:rFonts w:cs="Book Antiqua"/>
        </w:rPr>
      </w:pPr>
      <w:r w:rsidRPr="001C06E6">
        <w:rPr>
          <w:rFonts w:cs="Book Antiqua"/>
        </w:rPr>
        <w:t>The Government will provide $111.8</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(and $12.4</w:t>
      </w:r>
      <w:r>
        <w:rPr>
          <w:rFonts w:cs="Book Antiqua"/>
        </w:rPr>
        <w:t> </w:t>
      </w:r>
      <w:r w:rsidRPr="001C06E6">
        <w:rPr>
          <w:rFonts w:cs="Book Antiqua"/>
        </w:rPr>
        <w:t>million per year ongoing) to support the progression of the Government’s workplace</w:t>
      </w:r>
      <w:r>
        <w:rPr>
          <w:rFonts w:cs="Book Antiqua"/>
        </w:rPr>
        <w:t xml:space="preserve"> </w:t>
      </w:r>
      <w:r w:rsidRPr="001C06E6">
        <w:rPr>
          <w:rFonts w:cs="Book Antiqua"/>
        </w:rPr>
        <w:t>relations agenda. Funding includes:</w:t>
      </w:r>
    </w:p>
    <w:p w14:paraId="415D26B7" w14:textId="77777777" w:rsidR="0012790E" w:rsidRDefault="0012790E">
      <w:pPr>
        <w:pStyle w:val="Bullet"/>
      </w:pPr>
      <w:r w:rsidRPr="001C06E6">
        <w:t>$60.0</w:t>
      </w:r>
      <w:r>
        <w:t> </w:t>
      </w:r>
      <w:r w:rsidRPr="001C06E6">
        <w:t xml:space="preserve">million over four years from </w:t>
      </w:r>
      <w:r>
        <w:t>2024–25</w:t>
      </w:r>
      <w:r w:rsidRPr="001C06E6">
        <w:t xml:space="preserve"> to increase the Productivity, Education and Training Fund to support practical activities by employer and worker representatives to boost workplace productivity and engage in tripartite cooperation. This will also support workplaces to implement policy changes such as the introduction of payday superannuation</w:t>
      </w:r>
      <w:r>
        <w:t xml:space="preserve"> </w:t>
      </w:r>
    </w:p>
    <w:p w14:paraId="2DA30290" w14:textId="77777777" w:rsidR="0012790E" w:rsidRDefault="0012790E">
      <w:pPr>
        <w:pStyle w:val="Bullet"/>
      </w:pPr>
      <w:r w:rsidRPr="001C06E6">
        <w:t>$27.5</w:t>
      </w:r>
      <w:r>
        <w:t> </w:t>
      </w:r>
      <w:r w:rsidRPr="001C06E6">
        <w:t xml:space="preserve">million over four years from </w:t>
      </w:r>
      <w:r>
        <w:t>2024–25</w:t>
      </w:r>
      <w:r w:rsidRPr="001C06E6">
        <w:t xml:space="preserve"> (and $7.0</w:t>
      </w:r>
      <w:r>
        <w:t> </w:t>
      </w:r>
      <w:r w:rsidRPr="001C06E6">
        <w:t>million per year ongoing) to enable the Office of the Fair Work Ombudsman to continue targeting non</w:t>
      </w:r>
      <w:r>
        <w:noBreakHyphen/>
      </w:r>
      <w:r w:rsidRPr="001C06E6">
        <w:t xml:space="preserve">compliance with the </w:t>
      </w:r>
      <w:r w:rsidRPr="001C06E6">
        <w:rPr>
          <w:i/>
          <w:iCs/>
        </w:rPr>
        <w:t xml:space="preserve">Fair Work Act 2009 </w:t>
      </w:r>
      <w:r w:rsidRPr="001C06E6">
        <w:t>by large corporate employers</w:t>
      </w:r>
      <w:r>
        <w:t xml:space="preserve"> </w:t>
      </w:r>
    </w:p>
    <w:p w14:paraId="61A61E1C" w14:textId="77777777" w:rsidR="0012790E" w:rsidRDefault="0012790E">
      <w:pPr>
        <w:pStyle w:val="Bullet"/>
      </w:pPr>
      <w:r w:rsidRPr="001C06E6">
        <w:t>$20.5</w:t>
      </w:r>
      <w:r>
        <w:t> </w:t>
      </w:r>
      <w:r w:rsidRPr="001C06E6">
        <w:t xml:space="preserve">million over four years from </w:t>
      </w:r>
      <w:r>
        <w:t>2024–25</w:t>
      </w:r>
      <w:r w:rsidRPr="001C06E6">
        <w:t xml:space="preserve"> (and $5.1</w:t>
      </w:r>
      <w:r>
        <w:t> </w:t>
      </w:r>
      <w:r w:rsidRPr="001C06E6">
        <w:t>million per year ongoing) to boost funding for the Office of the Fair Work Ombudsman to support small business employers to comply with recent changes to workplace laws</w:t>
      </w:r>
      <w:r>
        <w:t xml:space="preserve"> </w:t>
      </w:r>
    </w:p>
    <w:p w14:paraId="3CDE032C" w14:textId="77777777" w:rsidR="0012790E" w:rsidRDefault="0012790E">
      <w:pPr>
        <w:pStyle w:val="Bullet"/>
        <w:rPr>
          <w:iCs/>
        </w:rPr>
      </w:pPr>
      <w:r w:rsidRPr="001C06E6">
        <w:t>$2.0</w:t>
      </w:r>
      <w:r>
        <w:t> </w:t>
      </w:r>
      <w:r w:rsidRPr="001C06E6">
        <w:t xml:space="preserve">million in </w:t>
      </w:r>
      <w:r>
        <w:t>2024–25</w:t>
      </w:r>
      <w:r w:rsidRPr="001C06E6">
        <w:t xml:space="preserve"> for the Victorian Government to establish a project office</w:t>
      </w:r>
      <w:r>
        <w:t xml:space="preserve"> </w:t>
      </w:r>
      <w:r w:rsidRPr="001C06E6">
        <w:t>and progress a national labour hire regulation model through harmonisation of state and territory laws. Costs will be partially offset by $1.2</w:t>
      </w:r>
      <w:r>
        <w:t> </w:t>
      </w:r>
      <w:r w:rsidRPr="001C06E6">
        <w:t xml:space="preserve">million by not proceeding with the Office of the Fair Work Ombudsman </w:t>
      </w:r>
      <w:r>
        <w:t>2019–20 </w:t>
      </w:r>
      <w:r w:rsidRPr="001C06E6">
        <w:t xml:space="preserve">Budget measure titled </w:t>
      </w:r>
      <w:r w:rsidRPr="001C06E6">
        <w:rPr>
          <w:i/>
          <w:iCs/>
        </w:rPr>
        <w:t>Protecting Vulnerable Workers – National Labour Hire Registration Scheme and other measures</w:t>
      </w:r>
      <w:r>
        <w:rPr>
          <w:iCs/>
        </w:rPr>
        <w:t xml:space="preserve"> </w:t>
      </w:r>
    </w:p>
    <w:p w14:paraId="2C2C7126" w14:textId="77777777" w:rsidR="0012790E" w:rsidRDefault="0012790E">
      <w:pPr>
        <w:pStyle w:val="Bullet"/>
      </w:pPr>
      <w:r w:rsidRPr="001C06E6">
        <w:t>$1.5</w:t>
      </w:r>
      <w:r>
        <w:t> </w:t>
      </w:r>
      <w:r w:rsidRPr="001C06E6">
        <w:t xml:space="preserve">million over four years from </w:t>
      </w:r>
      <w:r>
        <w:t>2024–25</w:t>
      </w:r>
      <w:r w:rsidRPr="001C06E6">
        <w:t xml:space="preserve"> (and $0.4</w:t>
      </w:r>
      <w:r>
        <w:t> </w:t>
      </w:r>
      <w:r w:rsidRPr="001C06E6">
        <w:t>million per year ongoing) to establish a Family and Injured Workers Advisory Committee</w:t>
      </w:r>
      <w:r>
        <w:t xml:space="preserve"> </w:t>
      </w:r>
    </w:p>
    <w:p w14:paraId="3FFD8131" w14:textId="77777777" w:rsidR="0012790E" w:rsidRDefault="0012790E">
      <w:pPr>
        <w:pStyle w:val="Bullet"/>
      </w:pPr>
      <w:r w:rsidRPr="001C06E6">
        <w:t>$1.5</w:t>
      </w:r>
      <w:r>
        <w:t> </w:t>
      </w:r>
      <w:r w:rsidRPr="001C06E6">
        <w:t xml:space="preserve">million over two years from </w:t>
      </w:r>
      <w:r>
        <w:t>2024–25</w:t>
      </w:r>
      <w:r w:rsidRPr="001C06E6">
        <w:t xml:space="preserve"> to expand the scope of the review of the </w:t>
      </w:r>
      <w:r w:rsidRPr="001C06E6">
        <w:rPr>
          <w:i/>
          <w:iCs/>
        </w:rPr>
        <w:t>Safety, Rehabilitation and Compensation Act 1988</w:t>
      </w:r>
      <w:r w:rsidRPr="001C06E6">
        <w:t xml:space="preserve"> by engaging an independent expert panel.</w:t>
      </w:r>
      <w:r>
        <w:t xml:space="preserve"> </w:t>
      </w:r>
    </w:p>
    <w:p w14:paraId="7B520C17" w14:textId="77777777" w:rsidR="0012790E" w:rsidRDefault="0012790E">
      <w:pPr>
        <w:pStyle w:val="Normal2"/>
        <w:rPr>
          <w:rFonts w:cs="Book Antiqua"/>
        </w:rPr>
      </w:pPr>
      <w:r w:rsidRPr="001C06E6">
        <w:rPr>
          <w:rFonts w:cs="Book Antiqua"/>
        </w:rPr>
        <w:t xml:space="preserve">The Government will also recalibrate the </w:t>
      </w:r>
      <w:r w:rsidRPr="001C06E6">
        <w:rPr>
          <w:rFonts w:cs="Book Antiqua"/>
          <w:i/>
          <w:iCs/>
        </w:rPr>
        <w:t>Fair Entitlements Guarantee Recovery</w:t>
      </w:r>
      <w:r>
        <w:rPr>
          <w:rFonts w:cs="Book Antiqua"/>
          <w:i/>
          <w:iCs/>
        </w:rPr>
        <w:t xml:space="preserve"> </w:t>
      </w:r>
      <w:r w:rsidRPr="001C06E6">
        <w:rPr>
          <w:rFonts w:cs="Book Antiqua"/>
          <w:i/>
          <w:iCs/>
        </w:rPr>
        <w:t>Program</w:t>
      </w:r>
      <w:r w:rsidRPr="001C06E6">
        <w:rPr>
          <w:rFonts w:cs="Book Antiqua"/>
        </w:rPr>
        <w:t xml:space="preserve"> to pursue unpaid superannuation entitlements owed by employers in</w:t>
      </w:r>
      <w:r>
        <w:rPr>
          <w:rFonts w:cs="Book Antiqua"/>
        </w:rPr>
        <w:t xml:space="preserve"> </w:t>
      </w:r>
      <w:r w:rsidRPr="001C06E6">
        <w:rPr>
          <w:rFonts w:cs="Book Antiqua"/>
        </w:rPr>
        <w:t>liquidation or bankruptcy from 1</w:t>
      </w:r>
      <w:r>
        <w:rPr>
          <w:rFonts w:cs="Book Antiqua"/>
        </w:rPr>
        <w:t> </w:t>
      </w:r>
      <w:r w:rsidRPr="001C06E6">
        <w:rPr>
          <w:rFonts w:cs="Book Antiqua"/>
        </w:rPr>
        <w:t>July</w:t>
      </w:r>
      <w:r>
        <w:rPr>
          <w:rFonts w:cs="Book Antiqua"/>
        </w:rPr>
        <w:t> </w:t>
      </w:r>
      <w:r w:rsidRPr="001C06E6">
        <w:rPr>
          <w:rFonts w:cs="Book Antiqua"/>
        </w:rPr>
        <w:t>2024. This will achieve efficiencies of $13.0</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(and $29.9</w:t>
      </w:r>
      <w:r>
        <w:rPr>
          <w:rFonts w:cs="Book Antiqua"/>
        </w:rPr>
        <w:t> </w:t>
      </w:r>
      <w:r w:rsidRPr="001C06E6">
        <w:rPr>
          <w:rFonts w:cs="Book Antiqua"/>
        </w:rPr>
        <w:t>million over the medium term) through</w:t>
      </w:r>
      <w:r>
        <w:rPr>
          <w:rFonts w:cs="Book Antiqua"/>
        </w:rPr>
        <w:t xml:space="preserve"> </w:t>
      </w:r>
      <w:r w:rsidRPr="001C06E6">
        <w:rPr>
          <w:rFonts w:cs="Book Antiqua"/>
        </w:rPr>
        <w:t>an expected increase in tax receipts of $63.1</w:t>
      </w:r>
      <w:r>
        <w:rPr>
          <w:rFonts w:cs="Book Antiqua"/>
        </w:rPr>
        <w:t> </w:t>
      </w:r>
      <w:r w:rsidRPr="001C06E6">
        <w:rPr>
          <w:rFonts w:cs="Book Antiqua"/>
        </w:rPr>
        <w:t xml:space="preserve">million over four years from </w:t>
      </w:r>
      <w:r>
        <w:rPr>
          <w:rFonts w:cs="Book Antiqua"/>
        </w:rPr>
        <w:t xml:space="preserve">2024–25 </w:t>
      </w:r>
      <w:r w:rsidRPr="001C06E6">
        <w:rPr>
          <w:rFonts w:cs="Book Antiqua"/>
        </w:rPr>
        <w:t>(and $114.4</w:t>
      </w:r>
      <w:r>
        <w:rPr>
          <w:rFonts w:cs="Book Antiqua"/>
        </w:rPr>
        <w:t> </w:t>
      </w:r>
      <w:r w:rsidRPr="001C06E6">
        <w:rPr>
          <w:rFonts w:cs="Book Antiqua"/>
        </w:rPr>
        <w:t>million over the medium term), with $44.4</w:t>
      </w:r>
      <w:r>
        <w:rPr>
          <w:rFonts w:cs="Book Antiqua"/>
        </w:rPr>
        <w:t> </w:t>
      </w:r>
      <w:r w:rsidRPr="001C06E6">
        <w:rPr>
          <w:rFonts w:cs="Book Antiqua"/>
        </w:rPr>
        <w:t>million over four years from</w:t>
      </w:r>
      <w:r>
        <w:rPr>
          <w:rFonts w:cs="Book Antiqua"/>
        </w:rPr>
        <w:t xml:space="preserve"> 2024–25</w:t>
      </w:r>
      <w:r w:rsidRPr="001C06E6">
        <w:rPr>
          <w:rFonts w:cs="Book Antiqua"/>
        </w:rPr>
        <w:t xml:space="preserve"> (and $96.9</w:t>
      </w:r>
      <w:r>
        <w:rPr>
          <w:rFonts w:cs="Book Antiqua"/>
        </w:rPr>
        <w:t> </w:t>
      </w:r>
      <w:r w:rsidRPr="001C06E6">
        <w:rPr>
          <w:rFonts w:cs="Book Antiqua"/>
        </w:rPr>
        <w:t>million over the medium term) expected to be paid to</w:t>
      </w:r>
      <w:r>
        <w:rPr>
          <w:rFonts w:cs="Book Antiqua"/>
        </w:rPr>
        <w:t xml:space="preserve"> </w:t>
      </w:r>
      <w:r w:rsidRPr="001C06E6">
        <w:rPr>
          <w:rFonts w:cs="Book Antiqua"/>
        </w:rPr>
        <w:t>superannuation funds.</w:t>
      </w:r>
      <w:r>
        <w:rPr>
          <w:rFonts w:cs="Book Antiqua"/>
        </w:rPr>
        <w:t xml:space="preserve"> </w:t>
      </w:r>
    </w:p>
    <w:p w14:paraId="15A6BFA6" w14:textId="77777777" w:rsidR="0012790E" w:rsidRDefault="0012790E">
      <w:pPr>
        <w:pStyle w:val="Normal2"/>
        <w:rPr>
          <w:rFonts w:cs="Book Antiqua"/>
        </w:rPr>
      </w:pPr>
      <w:r w:rsidRPr="001C06E6">
        <w:rPr>
          <w:rFonts w:cs="Book Antiqua"/>
        </w:rPr>
        <w:t>The Treasury manages Commonwealth payments to the states and territories.</w:t>
      </w:r>
      <w:r>
        <w:rPr>
          <w:rFonts w:cs="Book Antiqua"/>
        </w:rPr>
        <w:t xml:space="preserve"> </w:t>
      </w:r>
    </w:p>
    <w:p w14:paraId="39130F5C" w14:textId="77777777" w:rsidR="0012790E" w:rsidRDefault="0012790E" w:rsidP="54937204">
      <w:pPr>
        <w:pStyle w:val="Normal2"/>
        <w:rPr>
          <w:rFonts w:cs="Book Antiqua"/>
          <w:lang w:val="en-US"/>
        </w:rPr>
      </w:pPr>
      <w:r w:rsidRPr="54937204">
        <w:rPr>
          <w:rFonts w:cs="Book Antiqua"/>
          <w:lang w:val="en-US"/>
        </w:rPr>
        <w:t xml:space="preserve">The residual cost of this measure will be met from savings identified in the Employment and Workplace Relations portfolio. </w:t>
      </w:r>
    </w:p>
    <w:p w14:paraId="2B40FDE9" w14:textId="77777777" w:rsidR="0012790E" w:rsidRDefault="0012790E">
      <w:pPr>
        <w:pStyle w:val="PortfolioName"/>
        <w:rPr>
          <w:bCs/>
          <w:szCs w:val="26"/>
        </w:rPr>
        <w:sectPr w:rsidR="0012790E" w:rsidSect="00EA5BFE">
          <w:pgSz w:w="11905" w:h="16837"/>
          <w:pgMar w:top="2835" w:right="2098" w:bottom="2466" w:left="2098" w:header="1814" w:footer="1814" w:gutter="0"/>
          <w:cols w:space="720"/>
          <w:noEndnote/>
          <w:docGrid w:linePitch="272"/>
        </w:sectPr>
      </w:pPr>
    </w:p>
    <w:p w14:paraId="7759A40A" w14:textId="77777777" w:rsidR="0012790E" w:rsidRPr="001C06E6" w:rsidRDefault="0012790E">
      <w:pPr>
        <w:pStyle w:val="PortfolioName"/>
      </w:pPr>
      <w:r w:rsidRPr="001C06E6">
        <w:rPr>
          <w:bCs/>
          <w:szCs w:val="26"/>
        </w:rPr>
        <w:t>Finance</w:t>
      </w:r>
    </w:p>
    <w:p w14:paraId="44F71004" w14:textId="77777777" w:rsidR="0012790E" w:rsidRPr="001C06E6" w:rsidRDefault="0012790E">
      <w:pPr>
        <w:pStyle w:val="MeasureTitle"/>
      </w:pPr>
      <w:r w:rsidRPr="001C06E6">
        <w:rPr>
          <w:bCs/>
        </w:rPr>
        <w:t>Digital ID</w:t>
      </w:r>
    </w:p>
    <w:p w14:paraId="552E3102"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955705D" w14:textId="77777777">
        <w:tc>
          <w:tcPr>
            <w:tcW w:w="2497" w:type="dxa"/>
            <w:tcBorders>
              <w:top w:val="single" w:sz="4" w:space="0" w:color="293F5B"/>
              <w:bottom w:val="single" w:sz="4" w:space="0" w:color="293F5B"/>
            </w:tcBorders>
            <w:shd w:val="clear" w:color="auto" w:fill="auto"/>
          </w:tcPr>
          <w:p w14:paraId="681B0579"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FADD470"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ABBB296"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DBF25E6"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91D9057"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E3744C0" w14:textId="77777777" w:rsidR="0012790E" w:rsidRPr="001C06E6" w:rsidRDefault="0012790E">
            <w:pPr>
              <w:pStyle w:val="MeasureTableYearHeadings"/>
              <w:keepNext/>
            </w:pPr>
            <w:r w:rsidRPr="001C06E6">
              <w:t>2027</w:t>
            </w:r>
            <w:r>
              <w:noBreakHyphen/>
            </w:r>
            <w:r w:rsidRPr="001C06E6">
              <w:t>28</w:t>
            </w:r>
          </w:p>
        </w:tc>
      </w:tr>
      <w:tr w:rsidR="0012790E" w:rsidRPr="001C06E6" w14:paraId="5E44C0DA" w14:textId="77777777">
        <w:tc>
          <w:tcPr>
            <w:tcW w:w="2497" w:type="dxa"/>
            <w:tcBorders>
              <w:top w:val="single" w:sz="4" w:space="0" w:color="293F5B"/>
              <w:bottom w:val="single" w:sz="4" w:space="0" w:color="293F5B"/>
            </w:tcBorders>
            <w:shd w:val="clear" w:color="auto" w:fill="auto"/>
          </w:tcPr>
          <w:p w14:paraId="4DC467F1"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02D45F5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8598D4E" w14:textId="77777777" w:rsidR="0012790E" w:rsidRPr="001C06E6" w:rsidRDefault="0012790E">
            <w:pPr>
              <w:pStyle w:val="MeasureTableDataRightAlignedwith2ptsspacing"/>
              <w:keepNext/>
            </w:pPr>
            <w:r w:rsidRPr="001C06E6">
              <w:t>82.6</w:t>
            </w:r>
          </w:p>
        </w:tc>
        <w:tc>
          <w:tcPr>
            <w:tcW w:w="1045" w:type="dxa"/>
            <w:tcBorders>
              <w:top w:val="single" w:sz="4" w:space="0" w:color="293F5B"/>
              <w:bottom w:val="single" w:sz="4" w:space="0" w:color="293F5B"/>
            </w:tcBorders>
            <w:shd w:val="clear" w:color="auto" w:fill="auto"/>
          </w:tcPr>
          <w:p w14:paraId="0E8EABE1" w14:textId="77777777" w:rsidR="0012790E" w:rsidRPr="001C06E6" w:rsidRDefault="0012790E">
            <w:pPr>
              <w:pStyle w:val="MeasureTableDataRightAlignedwith2ptsspacing"/>
              <w:keepNext/>
            </w:pPr>
            <w:r w:rsidRPr="001C06E6">
              <w:t>75.0</w:t>
            </w:r>
          </w:p>
        </w:tc>
        <w:tc>
          <w:tcPr>
            <w:tcW w:w="1045" w:type="dxa"/>
            <w:tcBorders>
              <w:top w:val="single" w:sz="4" w:space="0" w:color="293F5B"/>
              <w:bottom w:val="single" w:sz="4" w:space="0" w:color="293F5B"/>
            </w:tcBorders>
            <w:shd w:val="clear" w:color="auto" w:fill="auto"/>
          </w:tcPr>
          <w:p w14:paraId="1264863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57ED882" w14:textId="77777777" w:rsidR="0012790E" w:rsidRPr="001C06E6" w:rsidRDefault="0012790E">
            <w:pPr>
              <w:pStyle w:val="MeasureTableDataRightAlignedwith2ptsspacing"/>
              <w:keepNext/>
            </w:pPr>
            <w:r w:rsidRPr="001C06E6">
              <w:t>-</w:t>
            </w:r>
          </w:p>
        </w:tc>
      </w:tr>
      <w:tr w:rsidR="0012790E" w:rsidRPr="001C06E6" w14:paraId="47622456" w14:textId="77777777">
        <w:tc>
          <w:tcPr>
            <w:tcW w:w="2497" w:type="dxa"/>
            <w:tcBorders>
              <w:top w:val="single" w:sz="4" w:space="0" w:color="293F5B"/>
              <w:bottom w:val="single" w:sz="4" w:space="0" w:color="293F5B"/>
            </w:tcBorders>
            <w:shd w:val="clear" w:color="auto" w:fill="auto"/>
          </w:tcPr>
          <w:p w14:paraId="0EA74BEE"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4318B00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52673E2" w14:textId="77777777" w:rsidR="0012790E" w:rsidRPr="001C06E6" w:rsidRDefault="0012790E">
            <w:pPr>
              <w:pStyle w:val="MeasureTableDataRightAlignedwith2ptsspacing"/>
              <w:keepNext/>
            </w:pPr>
            <w:r w:rsidRPr="001C06E6">
              <w:t>35.4</w:t>
            </w:r>
          </w:p>
        </w:tc>
        <w:tc>
          <w:tcPr>
            <w:tcW w:w="1045" w:type="dxa"/>
            <w:tcBorders>
              <w:top w:val="single" w:sz="4" w:space="0" w:color="293F5B"/>
              <w:bottom w:val="single" w:sz="4" w:space="0" w:color="293F5B"/>
            </w:tcBorders>
            <w:shd w:val="clear" w:color="auto" w:fill="auto"/>
          </w:tcPr>
          <w:p w14:paraId="4F386F6E" w14:textId="77777777" w:rsidR="0012790E" w:rsidRPr="001C06E6" w:rsidRDefault="0012790E">
            <w:pPr>
              <w:pStyle w:val="MeasureTableDataRightAlignedwith2ptsspacing"/>
              <w:keepNext/>
            </w:pPr>
            <w:r w:rsidRPr="001C06E6">
              <w:t>22.0</w:t>
            </w:r>
          </w:p>
        </w:tc>
        <w:tc>
          <w:tcPr>
            <w:tcW w:w="1045" w:type="dxa"/>
            <w:tcBorders>
              <w:top w:val="single" w:sz="4" w:space="0" w:color="293F5B"/>
              <w:bottom w:val="single" w:sz="4" w:space="0" w:color="293F5B"/>
            </w:tcBorders>
            <w:shd w:val="clear" w:color="auto" w:fill="auto"/>
          </w:tcPr>
          <w:p w14:paraId="4317AFF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EC785BA" w14:textId="77777777" w:rsidR="0012790E" w:rsidRPr="001C06E6" w:rsidRDefault="0012790E">
            <w:pPr>
              <w:pStyle w:val="MeasureTableDataRightAlignedwith2ptsspacing"/>
              <w:keepNext/>
            </w:pPr>
            <w:r w:rsidRPr="001C06E6">
              <w:t>-</w:t>
            </w:r>
          </w:p>
        </w:tc>
      </w:tr>
      <w:tr w:rsidR="0012790E" w:rsidRPr="001C06E6" w14:paraId="69F5E691" w14:textId="77777777">
        <w:tc>
          <w:tcPr>
            <w:tcW w:w="2497" w:type="dxa"/>
            <w:tcBorders>
              <w:top w:val="single" w:sz="4" w:space="0" w:color="293F5B"/>
              <w:bottom w:val="single" w:sz="4" w:space="0" w:color="293F5B"/>
            </w:tcBorders>
            <w:shd w:val="clear" w:color="auto" w:fill="auto"/>
          </w:tcPr>
          <w:p w14:paraId="1B18C326"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20033C5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72F47B3" w14:textId="77777777" w:rsidR="0012790E" w:rsidRPr="001C06E6" w:rsidRDefault="0012790E">
            <w:pPr>
              <w:pStyle w:val="MeasureTableDataRightAlignedwith2ptsspacing"/>
              <w:keepNext/>
            </w:pPr>
            <w:r w:rsidRPr="001C06E6">
              <w:t>18.4</w:t>
            </w:r>
          </w:p>
        </w:tc>
        <w:tc>
          <w:tcPr>
            <w:tcW w:w="1045" w:type="dxa"/>
            <w:tcBorders>
              <w:top w:val="single" w:sz="4" w:space="0" w:color="293F5B"/>
              <w:bottom w:val="single" w:sz="4" w:space="0" w:color="293F5B"/>
            </w:tcBorders>
            <w:shd w:val="clear" w:color="auto" w:fill="auto"/>
          </w:tcPr>
          <w:p w14:paraId="2BDE734C" w14:textId="77777777" w:rsidR="0012790E" w:rsidRPr="001C06E6" w:rsidRDefault="0012790E">
            <w:pPr>
              <w:pStyle w:val="MeasureTableDataRightAlignedwith2ptsspacing"/>
              <w:keepNext/>
            </w:pPr>
            <w:r w:rsidRPr="001C06E6">
              <w:t>26.7</w:t>
            </w:r>
          </w:p>
        </w:tc>
        <w:tc>
          <w:tcPr>
            <w:tcW w:w="1045" w:type="dxa"/>
            <w:tcBorders>
              <w:top w:val="single" w:sz="4" w:space="0" w:color="293F5B"/>
              <w:bottom w:val="single" w:sz="4" w:space="0" w:color="293F5B"/>
            </w:tcBorders>
            <w:shd w:val="clear" w:color="auto" w:fill="auto"/>
          </w:tcPr>
          <w:p w14:paraId="0FF9F93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3DA54DA" w14:textId="77777777" w:rsidR="0012790E" w:rsidRPr="001C06E6" w:rsidRDefault="0012790E">
            <w:pPr>
              <w:pStyle w:val="MeasureTableDataRightAlignedwith2ptsspacing"/>
              <w:keepNext/>
            </w:pPr>
            <w:r w:rsidRPr="001C06E6">
              <w:t>-</w:t>
            </w:r>
          </w:p>
        </w:tc>
      </w:tr>
      <w:tr w:rsidR="0012790E" w:rsidRPr="001C06E6" w14:paraId="0D3DF998" w14:textId="77777777">
        <w:tc>
          <w:tcPr>
            <w:tcW w:w="2497" w:type="dxa"/>
            <w:tcBorders>
              <w:top w:val="single" w:sz="4" w:space="0" w:color="293F5B"/>
              <w:bottom w:val="single" w:sz="4" w:space="0" w:color="293F5B"/>
            </w:tcBorders>
            <w:shd w:val="clear" w:color="auto" w:fill="auto"/>
          </w:tcPr>
          <w:p w14:paraId="199B2B6F" w14:textId="77777777" w:rsidR="0012790E" w:rsidRPr="001C06E6" w:rsidRDefault="0012790E">
            <w:pPr>
              <w:pStyle w:val="MeasureTableHeadingleftalignedwith2ptsspacing"/>
              <w:keepNext/>
            </w:pPr>
            <w:r w:rsidRPr="001C06E6">
              <w:t>Attorney</w:t>
            </w:r>
            <w:r>
              <w:noBreakHyphen/>
            </w:r>
            <w:r w:rsidRPr="001C06E6">
              <w:t>General's Department</w:t>
            </w:r>
          </w:p>
        </w:tc>
        <w:tc>
          <w:tcPr>
            <w:tcW w:w="1045" w:type="dxa"/>
            <w:tcBorders>
              <w:top w:val="single" w:sz="4" w:space="0" w:color="293F5B"/>
              <w:bottom w:val="single" w:sz="4" w:space="0" w:color="293F5B"/>
            </w:tcBorders>
            <w:shd w:val="clear" w:color="auto" w:fill="auto"/>
          </w:tcPr>
          <w:p w14:paraId="70DE043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0555382" w14:textId="77777777" w:rsidR="0012790E" w:rsidRPr="001C06E6" w:rsidRDefault="0012790E">
            <w:pPr>
              <w:pStyle w:val="MeasureTableDataRightAlignedwith2ptsspacing"/>
              <w:keepNext/>
            </w:pPr>
            <w:r w:rsidRPr="001C06E6">
              <w:t>6.1</w:t>
            </w:r>
          </w:p>
        </w:tc>
        <w:tc>
          <w:tcPr>
            <w:tcW w:w="1045" w:type="dxa"/>
            <w:tcBorders>
              <w:top w:val="single" w:sz="4" w:space="0" w:color="293F5B"/>
              <w:bottom w:val="single" w:sz="4" w:space="0" w:color="293F5B"/>
            </w:tcBorders>
            <w:shd w:val="clear" w:color="auto" w:fill="auto"/>
          </w:tcPr>
          <w:p w14:paraId="3471504F" w14:textId="77777777" w:rsidR="0012790E" w:rsidRPr="001C06E6" w:rsidRDefault="0012790E">
            <w:pPr>
              <w:pStyle w:val="MeasureTableDataRightAlignedwith2ptsspacing"/>
              <w:keepNext/>
            </w:pPr>
            <w:r w:rsidRPr="001C06E6">
              <w:t>3.9</w:t>
            </w:r>
          </w:p>
        </w:tc>
        <w:tc>
          <w:tcPr>
            <w:tcW w:w="1045" w:type="dxa"/>
            <w:tcBorders>
              <w:top w:val="single" w:sz="4" w:space="0" w:color="293F5B"/>
              <w:bottom w:val="single" w:sz="4" w:space="0" w:color="293F5B"/>
            </w:tcBorders>
            <w:shd w:val="clear" w:color="auto" w:fill="auto"/>
          </w:tcPr>
          <w:p w14:paraId="7A22B55F" w14:textId="77777777" w:rsidR="0012790E" w:rsidRPr="001C06E6" w:rsidRDefault="0012790E">
            <w:pPr>
              <w:pStyle w:val="MeasureTableDataRightAlignedwith2ptsspacing"/>
              <w:keepNext/>
            </w:pPr>
            <w:r w:rsidRPr="001C06E6">
              <w:t>0.5</w:t>
            </w:r>
          </w:p>
        </w:tc>
        <w:tc>
          <w:tcPr>
            <w:tcW w:w="1045" w:type="dxa"/>
            <w:tcBorders>
              <w:top w:val="single" w:sz="4" w:space="0" w:color="293F5B"/>
              <w:bottom w:val="single" w:sz="4" w:space="0" w:color="293F5B"/>
            </w:tcBorders>
            <w:shd w:val="clear" w:color="auto" w:fill="auto"/>
          </w:tcPr>
          <w:p w14:paraId="2094F314" w14:textId="77777777" w:rsidR="0012790E" w:rsidRPr="001C06E6" w:rsidRDefault="0012790E">
            <w:pPr>
              <w:pStyle w:val="MeasureTableDataRightAlignedwith2ptsspacing"/>
              <w:keepNext/>
            </w:pPr>
            <w:r w:rsidRPr="001C06E6">
              <w:t>0.4</w:t>
            </w:r>
          </w:p>
        </w:tc>
      </w:tr>
      <w:tr w:rsidR="0012790E" w:rsidRPr="001C06E6" w14:paraId="46F7F225" w14:textId="77777777">
        <w:tc>
          <w:tcPr>
            <w:tcW w:w="2497" w:type="dxa"/>
            <w:tcBorders>
              <w:top w:val="single" w:sz="4" w:space="0" w:color="293F5B"/>
              <w:bottom w:val="single" w:sz="4" w:space="0" w:color="293F5B"/>
            </w:tcBorders>
            <w:shd w:val="clear" w:color="auto" w:fill="auto"/>
          </w:tcPr>
          <w:p w14:paraId="1D9CFFF5" w14:textId="77777777" w:rsidR="0012790E" w:rsidRPr="001C06E6" w:rsidRDefault="0012790E">
            <w:pPr>
              <w:pStyle w:val="MeasureTableHeadingleftalignedwith2ptsspacing"/>
              <w:keepNext/>
            </w:pPr>
            <w:r>
              <w:t xml:space="preserve">Office of the Australian Information Commissioner </w:t>
            </w:r>
          </w:p>
        </w:tc>
        <w:tc>
          <w:tcPr>
            <w:tcW w:w="1045" w:type="dxa"/>
            <w:tcBorders>
              <w:top w:val="single" w:sz="4" w:space="0" w:color="293F5B"/>
              <w:bottom w:val="single" w:sz="4" w:space="0" w:color="293F5B"/>
            </w:tcBorders>
            <w:shd w:val="clear" w:color="auto" w:fill="auto"/>
          </w:tcPr>
          <w:p w14:paraId="2B141546"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C80EBE8" w14:textId="77777777" w:rsidR="0012790E" w:rsidRPr="001C06E6" w:rsidRDefault="0012790E">
            <w:pPr>
              <w:pStyle w:val="MeasureTableDataRightAlignedwith2ptsspacing"/>
              <w:keepNext/>
            </w:pPr>
            <w:r>
              <w:t xml:space="preserve">5.6 </w:t>
            </w:r>
          </w:p>
        </w:tc>
        <w:tc>
          <w:tcPr>
            <w:tcW w:w="1045" w:type="dxa"/>
            <w:tcBorders>
              <w:top w:val="single" w:sz="4" w:space="0" w:color="293F5B"/>
              <w:bottom w:val="single" w:sz="4" w:space="0" w:color="293F5B"/>
            </w:tcBorders>
            <w:shd w:val="clear" w:color="auto" w:fill="auto"/>
          </w:tcPr>
          <w:p w14:paraId="38E6F614"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F7B2C1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3574B7F" w14:textId="77777777" w:rsidR="0012790E" w:rsidRPr="001C06E6" w:rsidRDefault="0012790E">
            <w:pPr>
              <w:pStyle w:val="MeasureTableDataRightAlignedwith2ptsspacing"/>
              <w:keepNext/>
            </w:pPr>
            <w:r>
              <w:t xml:space="preserve">- </w:t>
            </w:r>
          </w:p>
        </w:tc>
      </w:tr>
      <w:tr w:rsidR="0012790E" w:rsidRPr="001C06E6" w14:paraId="5A8E8E49" w14:textId="77777777">
        <w:tc>
          <w:tcPr>
            <w:tcW w:w="2497" w:type="dxa"/>
            <w:tcBorders>
              <w:top w:val="single" w:sz="4" w:space="0" w:color="293F5B"/>
              <w:bottom w:val="single" w:sz="4" w:space="0" w:color="293F5B"/>
            </w:tcBorders>
            <w:shd w:val="clear" w:color="auto" w:fill="auto"/>
          </w:tcPr>
          <w:p w14:paraId="31115952"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019C7D8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B8761C0" w14:textId="77777777" w:rsidR="0012790E" w:rsidRPr="001C06E6" w:rsidRDefault="0012790E">
            <w:pPr>
              <w:pStyle w:val="MeasureTableDataRightAlignedwith2ptsspacing"/>
              <w:keepNext/>
            </w:pPr>
            <w:r w:rsidRPr="001C06E6">
              <w:t>3.9</w:t>
            </w:r>
          </w:p>
        </w:tc>
        <w:tc>
          <w:tcPr>
            <w:tcW w:w="1045" w:type="dxa"/>
            <w:tcBorders>
              <w:top w:val="single" w:sz="4" w:space="0" w:color="293F5B"/>
              <w:bottom w:val="single" w:sz="4" w:space="0" w:color="293F5B"/>
            </w:tcBorders>
            <w:shd w:val="clear" w:color="auto" w:fill="auto"/>
          </w:tcPr>
          <w:p w14:paraId="43BE032E" w14:textId="77777777" w:rsidR="0012790E" w:rsidRPr="001C06E6" w:rsidRDefault="0012790E">
            <w:pPr>
              <w:pStyle w:val="MeasureTableDataRightAlignedwith2ptsspacing"/>
              <w:keepNext/>
            </w:pPr>
            <w:r w:rsidRPr="001C06E6">
              <w:t>4.0</w:t>
            </w:r>
          </w:p>
        </w:tc>
        <w:tc>
          <w:tcPr>
            <w:tcW w:w="1045" w:type="dxa"/>
            <w:tcBorders>
              <w:top w:val="single" w:sz="4" w:space="0" w:color="293F5B"/>
              <w:bottom w:val="single" w:sz="4" w:space="0" w:color="293F5B"/>
            </w:tcBorders>
            <w:shd w:val="clear" w:color="auto" w:fill="auto"/>
          </w:tcPr>
          <w:p w14:paraId="6B8CC77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2CCEC36" w14:textId="77777777" w:rsidR="0012790E" w:rsidRPr="001C06E6" w:rsidRDefault="0012790E">
            <w:pPr>
              <w:pStyle w:val="MeasureTableDataRightAlignedwith2ptsspacing"/>
              <w:keepNext/>
            </w:pPr>
            <w:r w:rsidRPr="001C06E6">
              <w:t>-</w:t>
            </w:r>
          </w:p>
        </w:tc>
      </w:tr>
      <w:tr w:rsidR="0012790E" w:rsidRPr="001C06E6" w14:paraId="4D328311" w14:textId="77777777">
        <w:tc>
          <w:tcPr>
            <w:tcW w:w="2497" w:type="dxa"/>
            <w:tcBorders>
              <w:top w:val="single" w:sz="4" w:space="0" w:color="293F5B"/>
              <w:bottom w:val="single" w:sz="4" w:space="0" w:color="293F5B"/>
            </w:tcBorders>
            <w:shd w:val="clear" w:color="auto" w:fill="auto"/>
          </w:tcPr>
          <w:p w14:paraId="29F568FA" w14:textId="77777777" w:rsidR="0012790E" w:rsidRPr="001C06E6" w:rsidRDefault="0012790E">
            <w:pPr>
              <w:pStyle w:val="MeasureTableHeadingleftalignedwith2ptsspacing"/>
              <w:keepNext/>
            </w:pPr>
            <w:r>
              <w:t xml:space="preserve">Australian Security Intelligence Organisation </w:t>
            </w:r>
          </w:p>
        </w:tc>
        <w:tc>
          <w:tcPr>
            <w:tcW w:w="1045" w:type="dxa"/>
            <w:tcBorders>
              <w:top w:val="single" w:sz="4" w:space="0" w:color="293F5B"/>
              <w:bottom w:val="single" w:sz="4" w:space="0" w:color="293F5B"/>
            </w:tcBorders>
            <w:shd w:val="clear" w:color="auto" w:fill="auto"/>
          </w:tcPr>
          <w:p w14:paraId="46C90C3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9E6B289" w14:textId="77777777" w:rsidR="0012790E" w:rsidRPr="001C06E6" w:rsidRDefault="0012790E">
            <w:pPr>
              <w:pStyle w:val="MeasureTableDataRightAlignedwith2ptsspacing"/>
              <w:keepNext/>
            </w:pPr>
            <w:r>
              <w:t xml:space="preserve">1.9 </w:t>
            </w:r>
          </w:p>
        </w:tc>
        <w:tc>
          <w:tcPr>
            <w:tcW w:w="1045" w:type="dxa"/>
            <w:tcBorders>
              <w:top w:val="single" w:sz="4" w:space="0" w:color="293F5B"/>
              <w:bottom w:val="single" w:sz="4" w:space="0" w:color="293F5B"/>
            </w:tcBorders>
            <w:shd w:val="clear" w:color="auto" w:fill="auto"/>
          </w:tcPr>
          <w:p w14:paraId="125C04B8" w14:textId="77777777" w:rsidR="0012790E" w:rsidRPr="001C06E6" w:rsidRDefault="0012790E">
            <w:pPr>
              <w:pStyle w:val="MeasureTableDataRightAlignedwith2ptsspacing"/>
              <w:keepNext/>
            </w:pPr>
            <w:r>
              <w:t xml:space="preserve">1.6 </w:t>
            </w:r>
          </w:p>
        </w:tc>
        <w:tc>
          <w:tcPr>
            <w:tcW w:w="1045" w:type="dxa"/>
            <w:tcBorders>
              <w:top w:val="single" w:sz="4" w:space="0" w:color="293F5B"/>
              <w:bottom w:val="single" w:sz="4" w:space="0" w:color="293F5B"/>
            </w:tcBorders>
            <w:shd w:val="clear" w:color="auto" w:fill="auto"/>
          </w:tcPr>
          <w:p w14:paraId="6F2DBD3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8C1C86B" w14:textId="77777777" w:rsidR="0012790E" w:rsidRPr="001C06E6" w:rsidRDefault="0012790E">
            <w:pPr>
              <w:pStyle w:val="MeasureTableDataRightAlignedwith2ptsspacing"/>
              <w:keepNext/>
            </w:pPr>
            <w:r>
              <w:t xml:space="preserve">- </w:t>
            </w:r>
          </w:p>
        </w:tc>
      </w:tr>
      <w:tr w:rsidR="0012790E" w:rsidRPr="001C06E6" w14:paraId="60A4D22D" w14:textId="77777777">
        <w:tc>
          <w:tcPr>
            <w:tcW w:w="2497" w:type="dxa"/>
            <w:tcBorders>
              <w:top w:val="single" w:sz="4" w:space="0" w:color="293F5B"/>
              <w:bottom w:val="single" w:sz="4" w:space="0" w:color="293F5B"/>
            </w:tcBorders>
            <w:shd w:val="clear" w:color="auto" w:fill="auto"/>
          </w:tcPr>
          <w:p w14:paraId="25DB06FB"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EA7A2EC"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60222C79" w14:textId="77777777" w:rsidR="0012790E" w:rsidRPr="001C06E6" w:rsidRDefault="0012790E">
            <w:pPr>
              <w:pStyle w:val="Totaldatarowrightaligned"/>
              <w:keepNext/>
            </w:pPr>
            <w:r w:rsidRPr="001C06E6">
              <w:t>153.9</w:t>
            </w:r>
          </w:p>
        </w:tc>
        <w:tc>
          <w:tcPr>
            <w:tcW w:w="1045" w:type="dxa"/>
            <w:tcBorders>
              <w:top w:val="single" w:sz="4" w:space="0" w:color="293F5B"/>
              <w:bottom w:val="single" w:sz="4" w:space="0" w:color="293F5B"/>
            </w:tcBorders>
            <w:shd w:val="clear" w:color="auto" w:fill="auto"/>
          </w:tcPr>
          <w:p w14:paraId="1A10F7A6" w14:textId="77777777" w:rsidR="0012790E" w:rsidRPr="001C06E6" w:rsidRDefault="0012790E">
            <w:pPr>
              <w:pStyle w:val="Totaldatarowrightaligned"/>
              <w:keepNext/>
            </w:pPr>
            <w:r w:rsidRPr="001C06E6">
              <w:t>133.2</w:t>
            </w:r>
          </w:p>
        </w:tc>
        <w:tc>
          <w:tcPr>
            <w:tcW w:w="1045" w:type="dxa"/>
            <w:tcBorders>
              <w:top w:val="single" w:sz="4" w:space="0" w:color="293F5B"/>
              <w:bottom w:val="single" w:sz="4" w:space="0" w:color="293F5B"/>
            </w:tcBorders>
            <w:shd w:val="clear" w:color="auto" w:fill="auto"/>
          </w:tcPr>
          <w:p w14:paraId="17F95F0B" w14:textId="77777777" w:rsidR="0012790E" w:rsidRPr="001C06E6" w:rsidRDefault="0012790E">
            <w:pPr>
              <w:pStyle w:val="Totaldatarowrightaligned"/>
              <w:keepNext/>
            </w:pPr>
            <w:r w:rsidRPr="001C06E6">
              <w:t>0.5</w:t>
            </w:r>
          </w:p>
        </w:tc>
        <w:tc>
          <w:tcPr>
            <w:tcW w:w="1045" w:type="dxa"/>
            <w:tcBorders>
              <w:top w:val="single" w:sz="4" w:space="0" w:color="293F5B"/>
              <w:bottom w:val="single" w:sz="4" w:space="0" w:color="293F5B"/>
            </w:tcBorders>
            <w:shd w:val="clear" w:color="auto" w:fill="auto"/>
          </w:tcPr>
          <w:p w14:paraId="54BFE443" w14:textId="77777777" w:rsidR="0012790E" w:rsidRPr="001C06E6" w:rsidRDefault="0012790E">
            <w:pPr>
              <w:pStyle w:val="Totaldatarowrightaligned"/>
              <w:keepNext/>
            </w:pPr>
            <w:r w:rsidRPr="001C06E6">
              <w:t>0.4</w:t>
            </w:r>
          </w:p>
        </w:tc>
      </w:tr>
    </w:tbl>
    <w:p w14:paraId="2E200182"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1CE6A70E" w14:textId="77777777" w:rsidR="0012790E" w:rsidRDefault="0012790E" w:rsidP="54937204">
      <w:pPr>
        <w:pStyle w:val="Normal2"/>
        <w:rPr>
          <w:rFonts w:cs="Book Antiqua"/>
          <w:lang w:val="en-US"/>
        </w:rPr>
      </w:pPr>
      <w:r w:rsidRPr="54937204">
        <w:rPr>
          <w:rFonts w:cs="Book Antiqua"/>
          <w:lang w:val="en-US"/>
        </w:rPr>
        <w:t>The Government will provide $288.1 million over four years from 2024–25 to support the initial delivery of the Digital ID system and support more Australians to realise Digital ID’s economic and privacy benefits. Funding includes:</w:t>
      </w:r>
    </w:p>
    <w:p w14:paraId="57A37ADB" w14:textId="77777777" w:rsidR="0012790E" w:rsidRDefault="0012790E">
      <w:pPr>
        <w:pStyle w:val="Bullet"/>
      </w:pPr>
      <w:r w:rsidRPr="001C06E6">
        <w:t>$155.6</w:t>
      </w:r>
      <w:r>
        <w:t> </w:t>
      </w:r>
      <w:r w:rsidRPr="001C06E6">
        <w:t xml:space="preserve">million over two years from </w:t>
      </w:r>
      <w:r>
        <w:t>2024–25</w:t>
      </w:r>
      <w:r w:rsidRPr="001C06E6">
        <w:t xml:space="preserve"> to the Australian Taxation Office (ATO) to continue operating and improving the Government’s Digital ID, myGovID, and the system which supports authorised access to a range of government business services</w:t>
      </w:r>
      <w:r>
        <w:t xml:space="preserve"> </w:t>
      </w:r>
    </w:p>
    <w:p w14:paraId="35AD1B4C" w14:textId="3E2CB11B" w:rsidR="0012790E" w:rsidRDefault="0012790E">
      <w:pPr>
        <w:pStyle w:val="Bullet"/>
      </w:pPr>
      <w:r w:rsidRPr="001C06E6">
        <w:t>$46.0</w:t>
      </w:r>
      <w:r>
        <w:t> </w:t>
      </w:r>
      <w:r w:rsidRPr="001C06E6">
        <w:t xml:space="preserve">million over two years from </w:t>
      </w:r>
      <w:r>
        <w:t>2024–25</w:t>
      </w:r>
      <w:r w:rsidRPr="001C06E6">
        <w:t xml:space="preserve"> to Services Australia to continue operating and improving the identity exchange which enables transactions across the </w:t>
      </w:r>
      <w:r>
        <w:t>Australian Government</w:t>
      </w:r>
      <w:r w:rsidRPr="001C06E6">
        <w:t xml:space="preserve"> Digital ID System and perform the function of Digital ID System Administrator</w:t>
      </w:r>
      <w:r>
        <w:t xml:space="preserve"> </w:t>
      </w:r>
    </w:p>
    <w:p w14:paraId="4CFCF020" w14:textId="77777777" w:rsidR="0012790E" w:rsidRDefault="0012790E">
      <w:pPr>
        <w:pStyle w:val="Bullet"/>
      </w:pPr>
      <w:r w:rsidRPr="001C06E6">
        <w:t>$35.2</w:t>
      </w:r>
      <w:r>
        <w:t> </w:t>
      </w:r>
      <w:r w:rsidRPr="001C06E6">
        <w:t xml:space="preserve">million over two years from </w:t>
      </w:r>
      <w:r>
        <w:t>2024–25</w:t>
      </w:r>
      <w:r w:rsidRPr="001C06E6">
        <w:t xml:space="preserve"> to the Department of Finance to continue policy leadership and governance of the Digital ID program</w:t>
      </w:r>
      <w:r>
        <w:t xml:space="preserve"> </w:t>
      </w:r>
    </w:p>
    <w:p w14:paraId="1E94DA56" w14:textId="77777777" w:rsidR="0012790E" w:rsidRDefault="0012790E">
      <w:pPr>
        <w:pStyle w:val="Bullet"/>
      </w:pPr>
      <w:r w:rsidRPr="001C06E6">
        <w:t>$23.4</w:t>
      </w:r>
      <w:r>
        <w:t> </w:t>
      </w:r>
      <w:r w:rsidRPr="001C06E6">
        <w:t xml:space="preserve">million over two years from </w:t>
      </w:r>
      <w:r>
        <w:t>2024–25</w:t>
      </w:r>
      <w:r w:rsidRPr="001C06E6">
        <w:t xml:space="preserve"> for the ATO, Department of Finance and </w:t>
      </w:r>
      <w:r w:rsidRPr="00EA2BDB">
        <w:rPr>
          <w:spacing w:val="-2"/>
        </w:rPr>
        <w:t>Services Australia to pilot the use of government digital wallets and verifiable credentials</w:t>
      </w:r>
      <w:r>
        <w:t xml:space="preserve"> </w:t>
      </w:r>
    </w:p>
    <w:p w14:paraId="4F88DF7F" w14:textId="77777777" w:rsidR="0012790E" w:rsidRDefault="0012790E">
      <w:pPr>
        <w:pStyle w:val="Bullet"/>
      </w:pPr>
      <w:r w:rsidRPr="001C06E6">
        <w:t>$11.0</w:t>
      </w:r>
      <w:r>
        <w:t> </w:t>
      </w:r>
      <w:r w:rsidRPr="001C06E6">
        <w:t xml:space="preserve">million over four years from </w:t>
      </w:r>
      <w:r>
        <w:t>2024–25</w:t>
      </w:r>
      <w:r w:rsidRPr="001C06E6">
        <w:t xml:space="preserve"> to the Attorney</w:t>
      </w:r>
      <w:r>
        <w:noBreakHyphen/>
      </w:r>
      <w:r w:rsidRPr="001C06E6">
        <w:t>General’s Department to further enhance the existing Credential Protection Register to support individuals to manage their digital credentials and protect against identity crime</w:t>
      </w:r>
      <w:r>
        <w:t xml:space="preserve"> </w:t>
      </w:r>
    </w:p>
    <w:p w14:paraId="50F2E533" w14:textId="77777777" w:rsidR="0012790E" w:rsidRDefault="0012790E">
      <w:pPr>
        <w:pStyle w:val="Bullet"/>
      </w:pPr>
      <w:r w:rsidRPr="001C06E6">
        <w:t>$7.8</w:t>
      </w:r>
      <w:r>
        <w:t> </w:t>
      </w:r>
      <w:r w:rsidRPr="001C06E6">
        <w:t xml:space="preserve">million over two years from </w:t>
      </w:r>
      <w:r>
        <w:t>2024–25</w:t>
      </w:r>
      <w:r w:rsidRPr="001C06E6">
        <w:t xml:space="preserve"> to the Treasury to deliver the data standards functions required under the Digital ID legislation</w:t>
      </w:r>
      <w:r>
        <w:t xml:space="preserve"> </w:t>
      </w:r>
    </w:p>
    <w:p w14:paraId="114FBC1B" w14:textId="77777777" w:rsidR="0012790E" w:rsidRDefault="0012790E">
      <w:pPr>
        <w:pStyle w:val="Bullet"/>
      </w:pPr>
      <w:r w:rsidRPr="001C06E6">
        <w:t>$5.6</w:t>
      </w:r>
      <w:r>
        <w:t> </w:t>
      </w:r>
      <w:r w:rsidRPr="001C06E6">
        <w:t xml:space="preserve">million in </w:t>
      </w:r>
      <w:r>
        <w:t>2024–25</w:t>
      </w:r>
      <w:r w:rsidRPr="001C06E6">
        <w:t xml:space="preserve"> to the Office of the Australian Information Commissioner to provide privacy oversight under the Digital ID legislation</w:t>
      </w:r>
      <w:r>
        <w:t xml:space="preserve"> </w:t>
      </w:r>
    </w:p>
    <w:p w14:paraId="3AF024D6" w14:textId="77777777" w:rsidR="0012790E" w:rsidRDefault="0012790E">
      <w:pPr>
        <w:pStyle w:val="Bullet"/>
      </w:pPr>
      <w:r w:rsidRPr="001C06E6">
        <w:t>$3.5</w:t>
      </w:r>
      <w:r>
        <w:t> </w:t>
      </w:r>
      <w:r w:rsidRPr="001C06E6">
        <w:t xml:space="preserve">million over two years from </w:t>
      </w:r>
      <w:r>
        <w:t>2024–25</w:t>
      </w:r>
      <w:r w:rsidRPr="001C06E6">
        <w:t xml:space="preserve"> to the Australian Security Intelligence Organisation to provide security assessments of entities seeking accreditation or participation in the </w:t>
      </w:r>
      <w:r>
        <w:t>Australian Government</w:t>
      </w:r>
      <w:r w:rsidRPr="001C06E6">
        <w:t xml:space="preserve"> Digital ID System.</w:t>
      </w:r>
      <w:r>
        <w:t xml:space="preserve"> </w:t>
      </w:r>
    </w:p>
    <w:p w14:paraId="29C1F518" w14:textId="7777777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 xml:space="preserve">MYEFO measure titled </w:t>
      </w:r>
      <w:r w:rsidRPr="001C06E6">
        <w:rPr>
          <w:rFonts w:cs="Book Antiqua"/>
          <w:i/>
          <w:iCs/>
        </w:rPr>
        <w:t>Digital ID</w:t>
      </w:r>
      <w:r w:rsidRPr="001C06E6">
        <w:rPr>
          <w:rFonts w:cs="Book Antiqua"/>
        </w:rPr>
        <w:t>. The</w:t>
      </w:r>
      <w:r>
        <w:rPr>
          <w:rFonts w:cs="Book Antiqua"/>
        </w:rPr>
        <w:t xml:space="preserve"> </w:t>
      </w:r>
      <w:r w:rsidRPr="001C06E6">
        <w:rPr>
          <w:rFonts w:cs="Book Antiqua"/>
        </w:rPr>
        <w:t>Government will consider future requirements for the program informed by the</w:t>
      </w:r>
      <w:r>
        <w:rPr>
          <w:rFonts w:cs="Book Antiqua"/>
        </w:rPr>
        <w:t xml:space="preserve"> </w:t>
      </w:r>
      <w:r w:rsidRPr="001C06E6">
        <w:rPr>
          <w:rFonts w:cs="Book Antiqua"/>
        </w:rPr>
        <w:t>passage of the legislation, the ongoing implementation of the system, the progression</w:t>
      </w:r>
      <w:r>
        <w:rPr>
          <w:rFonts w:cs="Book Antiqua"/>
        </w:rPr>
        <w:t xml:space="preserve"> </w:t>
      </w:r>
      <w:r w:rsidRPr="001C06E6">
        <w:rPr>
          <w:rFonts w:cs="Book Antiqua"/>
        </w:rPr>
        <w:t xml:space="preserve">of the phasing of the </w:t>
      </w:r>
      <w:r>
        <w:rPr>
          <w:rFonts w:cs="Book Antiqua"/>
        </w:rPr>
        <w:t>Australian Government</w:t>
      </w:r>
      <w:r w:rsidRPr="001C06E6">
        <w:rPr>
          <w:rFonts w:cs="Book Antiqua"/>
        </w:rPr>
        <w:t xml:space="preserve"> Digital ID System, and consideration of</w:t>
      </w:r>
      <w:r>
        <w:rPr>
          <w:rFonts w:cs="Book Antiqua"/>
        </w:rPr>
        <w:t xml:space="preserve"> </w:t>
      </w:r>
      <w:r w:rsidRPr="001C06E6">
        <w:rPr>
          <w:rFonts w:cs="Book Antiqua"/>
        </w:rPr>
        <w:t>the infrastructure and regulatory roles in the system.     </w:t>
      </w:r>
      <w:r>
        <w:rPr>
          <w:rFonts w:cs="Book Antiqua"/>
        </w:rPr>
        <w:t xml:space="preserve"> </w:t>
      </w:r>
    </w:p>
    <w:p w14:paraId="10E45AE9" w14:textId="77777777" w:rsidR="0012790E" w:rsidRPr="001C06E6" w:rsidRDefault="0012790E">
      <w:pPr>
        <w:pStyle w:val="MeasureTitle"/>
        <w:rPr>
          <w:b w:val="0"/>
          <w:bCs/>
        </w:rPr>
      </w:pPr>
      <w:r w:rsidRPr="001C06E6">
        <w:rPr>
          <w:bCs/>
        </w:rPr>
        <w:t>Equity Injection for Australian Naval Infrastructure</w:t>
      </w:r>
    </w:p>
    <w:p w14:paraId="2380512C"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BD22FC3" w14:textId="77777777">
        <w:tc>
          <w:tcPr>
            <w:tcW w:w="2497" w:type="dxa"/>
            <w:tcBorders>
              <w:top w:val="single" w:sz="4" w:space="0" w:color="293F5B"/>
              <w:bottom w:val="single" w:sz="4" w:space="0" w:color="293F5B"/>
            </w:tcBorders>
            <w:shd w:val="clear" w:color="auto" w:fill="auto"/>
          </w:tcPr>
          <w:p w14:paraId="0CB6C520"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AB522AF"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200670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47DF82D"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FA68E78"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3B46D4E" w14:textId="77777777" w:rsidR="0012790E" w:rsidRPr="001C06E6" w:rsidRDefault="0012790E">
            <w:pPr>
              <w:pStyle w:val="MeasureTableYearHeadings"/>
              <w:keepNext/>
            </w:pPr>
            <w:r w:rsidRPr="001C06E6">
              <w:t>2027</w:t>
            </w:r>
            <w:r>
              <w:noBreakHyphen/>
            </w:r>
            <w:r w:rsidRPr="001C06E6">
              <w:t>28</w:t>
            </w:r>
          </w:p>
        </w:tc>
      </w:tr>
      <w:tr w:rsidR="0012790E" w:rsidRPr="001C06E6" w14:paraId="62ED489B" w14:textId="77777777">
        <w:tc>
          <w:tcPr>
            <w:tcW w:w="2497" w:type="dxa"/>
            <w:tcBorders>
              <w:top w:val="single" w:sz="4" w:space="0" w:color="293F5B"/>
              <w:bottom w:val="single" w:sz="4" w:space="0" w:color="293F5B"/>
            </w:tcBorders>
            <w:shd w:val="clear" w:color="auto" w:fill="auto"/>
          </w:tcPr>
          <w:p w14:paraId="797F315D" w14:textId="77777777" w:rsidR="0012790E" w:rsidRPr="001C06E6" w:rsidRDefault="0012790E">
            <w:pPr>
              <w:pStyle w:val="MeasureTableHeadingleftalignedwith2ptsspacing"/>
              <w:keepNext/>
            </w:pPr>
            <w:r w:rsidRPr="001C06E6">
              <w:t>Department of Defence</w:t>
            </w:r>
          </w:p>
        </w:tc>
        <w:tc>
          <w:tcPr>
            <w:tcW w:w="1045" w:type="dxa"/>
            <w:tcBorders>
              <w:top w:val="single" w:sz="4" w:space="0" w:color="293F5B"/>
              <w:bottom w:val="single" w:sz="4" w:space="0" w:color="293F5B"/>
            </w:tcBorders>
            <w:shd w:val="clear" w:color="auto" w:fill="auto"/>
          </w:tcPr>
          <w:p w14:paraId="1F95C1C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F37FF61"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324D1165"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51A10B69"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2A3F8C12" w14:textId="77777777" w:rsidR="0012790E" w:rsidRPr="001C06E6" w:rsidRDefault="0012790E">
            <w:pPr>
              <w:pStyle w:val="MeasureTableDataRightAlignedwith2ptsspacing"/>
              <w:keepNext/>
            </w:pPr>
            <w:r w:rsidRPr="001C06E6">
              <w:t>nfp</w:t>
            </w:r>
          </w:p>
        </w:tc>
      </w:tr>
      <w:tr w:rsidR="0012790E" w:rsidRPr="001C06E6" w14:paraId="2229450B" w14:textId="77777777">
        <w:tc>
          <w:tcPr>
            <w:tcW w:w="2497" w:type="dxa"/>
            <w:tcBorders>
              <w:top w:val="single" w:sz="4" w:space="0" w:color="293F5B"/>
              <w:bottom w:val="single" w:sz="4" w:space="0" w:color="293F5B"/>
            </w:tcBorders>
            <w:shd w:val="clear" w:color="auto" w:fill="auto"/>
          </w:tcPr>
          <w:p w14:paraId="440759BF"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690ABC6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BEA3785"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4360D86F"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755C0279"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65D7C83A" w14:textId="77777777" w:rsidR="0012790E" w:rsidRPr="001C06E6" w:rsidRDefault="0012790E">
            <w:pPr>
              <w:pStyle w:val="MeasureTableDataRightAlignedwith2ptsspacing"/>
              <w:keepNext/>
            </w:pPr>
            <w:r w:rsidRPr="001C06E6">
              <w:t>nfp</w:t>
            </w:r>
          </w:p>
        </w:tc>
      </w:tr>
      <w:tr w:rsidR="0012790E" w:rsidRPr="001C06E6" w14:paraId="1858B8FD" w14:textId="77777777">
        <w:tc>
          <w:tcPr>
            <w:tcW w:w="2497" w:type="dxa"/>
            <w:tcBorders>
              <w:top w:val="single" w:sz="4" w:space="0" w:color="293F5B"/>
              <w:bottom w:val="single" w:sz="4" w:space="0" w:color="293F5B"/>
            </w:tcBorders>
            <w:shd w:val="clear" w:color="auto" w:fill="auto"/>
          </w:tcPr>
          <w:p w14:paraId="244A8706"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A2AA45B"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0F01339"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051E3539"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72EC7211"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73E0F660" w14:textId="77777777" w:rsidR="0012790E" w:rsidRPr="001C06E6" w:rsidRDefault="0012790E">
            <w:pPr>
              <w:pStyle w:val="Totaldatarowrightaligned"/>
              <w:keepNext/>
            </w:pPr>
            <w:r w:rsidRPr="001C06E6">
              <w:t>-</w:t>
            </w:r>
          </w:p>
        </w:tc>
      </w:tr>
    </w:tbl>
    <w:p w14:paraId="1EBD7BFB"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664A1D41" w14:textId="77777777" w:rsidR="0012790E" w:rsidRDefault="0012790E" w:rsidP="54937204">
      <w:pPr>
        <w:pStyle w:val="Normal2"/>
        <w:rPr>
          <w:rFonts w:cs="Book Antiqua"/>
          <w:lang w:val="en-US"/>
        </w:rPr>
      </w:pPr>
      <w:r w:rsidRPr="54937204">
        <w:rPr>
          <w:rFonts w:cs="Book Antiqua"/>
          <w:lang w:val="en-US"/>
        </w:rPr>
        <w:t>The Government will provide Australian Naval Infrastructure Pty Ltd (ANI) with an equity injection over four years from 2024–25 to progress priority construction and design works in support of the nuclear</w:t>
      </w:r>
      <w:r>
        <w:rPr>
          <w:rFonts w:cs="Book Antiqua"/>
        </w:rPr>
        <w:noBreakHyphen/>
      </w:r>
      <w:r w:rsidRPr="54937204">
        <w:rPr>
          <w:rFonts w:cs="Book Antiqua"/>
          <w:lang w:val="en-US"/>
        </w:rPr>
        <w:t xml:space="preserve">powered submarine construction yard in South Australia. </w:t>
      </w:r>
    </w:p>
    <w:p w14:paraId="445134FC" w14:textId="77777777" w:rsidR="0012790E" w:rsidRDefault="0012790E" w:rsidP="54937204">
      <w:pPr>
        <w:pStyle w:val="Normal2"/>
        <w:rPr>
          <w:rFonts w:cs="Book Antiqua"/>
          <w:lang w:val="en-US"/>
        </w:rPr>
      </w:pPr>
      <w:r w:rsidRPr="54937204">
        <w:rPr>
          <w:rFonts w:cs="Book Antiqua"/>
          <w:lang w:val="en-US"/>
        </w:rPr>
        <w:t xml:space="preserve">This measure builds on the 2023–24 Budget Measure </w:t>
      </w:r>
      <w:r w:rsidRPr="54937204">
        <w:rPr>
          <w:rFonts w:cs="Book Antiqua"/>
          <w:i/>
          <w:iCs/>
          <w:lang w:val="en-US"/>
        </w:rPr>
        <w:t>Nuclear</w:t>
      </w:r>
      <w:r>
        <w:rPr>
          <w:rFonts w:cs="Book Antiqua"/>
          <w:i/>
          <w:iCs/>
        </w:rPr>
        <w:noBreakHyphen/>
      </w:r>
      <w:r w:rsidRPr="54937204">
        <w:rPr>
          <w:rFonts w:cs="Book Antiqua"/>
          <w:i/>
          <w:iCs/>
          <w:lang w:val="en-US"/>
        </w:rPr>
        <w:t>Powered Submarine Program – initial implementation</w:t>
      </w:r>
      <w:r w:rsidRPr="54937204">
        <w:rPr>
          <w:rFonts w:cs="Book Antiqua"/>
          <w:lang w:val="en-US"/>
        </w:rPr>
        <w:t xml:space="preserve">. </w:t>
      </w:r>
    </w:p>
    <w:p w14:paraId="7A6A7060" w14:textId="77777777" w:rsidR="0012790E" w:rsidRDefault="0012790E" w:rsidP="54937204">
      <w:pPr>
        <w:pStyle w:val="Normal2"/>
        <w:rPr>
          <w:rFonts w:cs="Book Antiqua"/>
          <w:lang w:val="en-US"/>
        </w:rPr>
      </w:pPr>
      <w:r w:rsidRPr="54937204">
        <w:rPr>
          <w:rFonts w:cs="Book Antiqua"/>
          <w:lang w:val="en-US"/>
        </w:rPr>
        <w:t xml:space="preserve">The financial implications of this measure are commercially sensitive and not for publication (nfp) as disclosure would impair ANI’s position in negotiating contracts for these services. </w:t>
      </w:r>
    </w:p>
    <w:p w14:paraId="606601FE" w14:textId="77777777" w:rsidR="0012790E" w:rsidRPr="001C06E6" w:rsidRDefault="0012790E" w:rsidP="54937204">
      <w:pPr>
        <w:pStyle w:val="MeasureTitle"/>
        <w:rPr>
          <w:b w:val="0"/>
          <w:lang w:val="en-US"/>
        </w:rPr>
      </w:pPr>
      <w:r w:rsidRPr="54937204">
        <w:rPr>
          <w:lang w:val="en-US"/>
        </w:rPr>
        <w:t>Finance Portfolio – additional resourcing</w:t>
      </w:r>
    </w:p>
    <w:p w14:paraId="44675580"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49CA705" w14:textId="77777777">
        <w:tc>
          <w:tcPr>
            <w:tcW w:w="2497" w:type="dxa"/>
            <w:tcBorders>
              <w:top w:val="single" w:sz="4" w:space="0" w:color="293F5B"/>
              <w:bottom w:val="single" w:sz="4" w:space="0" w:color="293F5B"/>
            </w:tcBorders>
            <w:shd w:val="clear" w:color="auto" w:fill="auto"/>
          </w:tcPr>
          <w:p w14:paraId="4B47DC60"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EDE36A7"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DE36E19"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29038F39"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89A44E5"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151A7BC" w14:textId="77777777" w:rsidR="0012790E" w:rsidRPr="001C06E6" w:rsidRDefault="0012790E">
            <w:pPr>
              <w:pStyle w:val="MeasureTableYearHeadings"/>
              <w:keepNext/>
            </w:pPr>
            <w:r w:rsidRPr="001C06E6">
              <w:t>2027</w:t>
            </w:r>
            <w:r>
              <w:noBreakHyphen/>
            </w:r>
            <w:r w:rsidRPr="001C06E6">
              <w:t>28</w:t>
            </w:r>
          </w:p>
        </w:tc>
      </w:tr>
      <w:tr w:rsidR="0012790E" w:rsidRPr="001C06E6" w14:paraId="3CB051A9" w14:textId="77777777">
        <w:tc>
          <w:tcPr>
            <w:tcW w:w="2497" w:type="dxa"/>
            <w:tcBorders>
              <w:top w:val="single" w:sz="4" w:space="0" w:color="293F5B"/>
              <w:bottom w:val="single" w:sz="4" w:space="0" w:color="293F5B"/>
            </w:tcBorders>
            <w:shd w:val="clear" w:color="auto" w:fill="auto"/>
          </w:tcPr>
          <w:p w14:paraId="18C04ED9" w14:textId="77777777" w:rsidR="0012790E" w:rsidRPr="001C06E6" w:rsidRDefault="0012790E">
            <w:pPr>
              <w:pStyle w:val="MeasureTableHeadingleftalignedwith2ptsspacing"/>
              <w:keepNext/>
            </w:pPr>
            <w:r>
              <w:t xml:space="preserve">Australian Electoral Commission </w:t>
            </w:r>
          </w:p>
        </w:tc>
        <w:tc>
          <w:tcPr>
            <w:tcW w:w="1045" w:type="dxa"/>
            <w:tcBorders>
              <w:top w:val="single" w:sz="4" w:space="0" w:color="293F5B"/>
              <w:bottom w:val="single" w:sz="4" w:space="0" w:color="293F5B"/>
            </w:tcBorders>
            <w:shd w:val="clear" w:color="auto" w:fill="auto"/>
          </w:tcPr>
          <w:p w14:paraId="249DA11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E3ABDE9" w14:textId="77777777" w:rsidR="0012790E" w:rsidRPr="001C06E6" w:rsidRDefault="0012790E">
            <w:pPr>
              <w:pStyle w:val="MeasureTableDataRightAlignedwith2ptsspacing"/>
              <w:keepNext/>
            </w:pPr>
            <w:r>
              <w:t xml:space="preserve">6.5 </w:t>
            </w:r>
          </w:p>
        </w:tc>
        <w:tc>
          <w:tcPr>
            <w:tcW w:w="1045" w:type="dxa"/>
            <w:tcBorders>
              <w:top w:val="single" w:sz="4" w:space="0" w:color="293F5B"/>
              <w:bottom w:val="single" w:sz="4" w:space="0" w:color="293F5B"/>
            </w:tcBorders>
            <w:shd w:val="clear" w:color="auto" w:fill="auto"/>
          </w:tcPr>
          <w:p w14:paraId="3E946E75" w14:textId="77777777" w:rsidR="0012790E" w:rsidRPr="001C06E6" w:rsidRDefault="0012790E">
            <w:pPr>
              <w:pStyle w:val="MeasureTableDataRightAlignedwith2ptsspacing"/>
              <w:keepNext/>
            </w:pPr>
            <w:r>
              <w:t xml:space="preserve">6.4 </w:t>
            </w:r>
          </w:p>
        </w:tc>
        <w:tc>
          <w:tcPr>
            <w:tcW w:w="1045" w:type="dxa"/>
            <w:tcBorders>
              <w:top w:val="single" w:sz="4" w:space="0" w:color="293F5B"/>
              <w:bottom w:val="single" w:sz="4" w:space="0" w:color="293F5B"/>
            </w:tcBorders>
            <w:shd w:val="clear" w:color="auto" w:fill="auto"/>
          </w:tcPr>
          <w:p w14:paraId="5F5E5E0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24A6FD0" w14:textId="77777777" w:rsidR="0012790E" w:rsidRPr="001C06E6" w:rsidRDefault="0012790E">
            <w:pPr>
              <w:pStyle w:val="MeasureTableDataRightAlignedwith2ptsspacing"/>
              <w:keepNext/>
            </w:pPr>
            <w:r>
              <w:t xml:space="preserve">- </w:t>
            </w:r>
          </w:p>
        </w:tc>
      </w:tr>
      <w:tr w:rsidR="0012790E" w:rsidRPr="001C06E6" w14:paraId="0EAC6BC7" w14:textId="77777777">
        <w:tc>
          <w:tcPr>
            <w:tcW w:w="2497" w:type="dxa"/>
            <w:tcBorders>
              <w:top w:val="single" w:sz="4" w:space="0" w:color="293F5B"/>
              <w:bottom w:val="single" w:sz="4" w:space="0" w:color="293F5B"/>
            </w:tcBorders>
            <w:shd w:val="clear" w:color="auto" w:fill="auto"/>
          </w:tcPr>
          <w:p w14:paraId="533984BA"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60A5C69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2C03B5D" w14:textId="77777777" w:rsidR="0012790E" w:rsidRPr="001C06E6" w:rsidRDefault="0012790E">
            <w:pPr>
              <w:pStyle w:val="MeasureTableDataRightAlignedwith2ptsspacing"/>
              <w:keepNext/>
            </w:pPr>
            <w:r w:rsidRPr="001C06E6">
              <w:t>5.9</w:t>
            </w:r>
          </w:p>
        </w:tc>
        <w:tc>
          <w:tcPr>
            <w:tcW w:w="1045" w:type="dxa"/>
            <w:tcBorders>
              <w:top w:val="single" w:sz="4" w:space="0" w:color="293F5B"/>
              <w:bottom w:val="single" w:sz="4" w:space="0" w:color="293F5B"/>
            </w:tcBorders>
            <w:shd w:val="clear" w:color="auto" w:fill="auto"/>
          </w:tcPr>
          <w:p w14:paraId="33B23494" w14:textId="77777777" w:rsidR="0012790E" w:rsidRPr="001C06E6" w:rsidRDefault="0012790E">
            <w:pPr>
              <w:pStyle w:val="MeasureTableDataRightAlignedwith2ptsspacing"/>
              <w:keepNext/>
            </w:pPr>
            <w:r w:rsidRPr="001C06E6">
              <w:t>1.1</w:t>
            </w:r>
          </w:p>
        </w:tc>
        <w:tc>
          <w:tcPr>
            <w:tcW w:w="1045" w:type="dxa"/>
            <w:tcBorders>
              <w:top w:val="single" w:sz="4" w:space="0" w:color="293F5B"/>
              <w:bottom w:val="single" w:sz="4" w:space="0" w:color="293F5B"/>
            </w:tcBorders>
            <w:shd w:val="clear" w:color="auto" w:fill="auto"/>
          </w:tcPr>
          <w:p w14:paraId="5697EAC8" w14:textId="77777777" w:rsidR="0012790E" w:rsidRPr="001C06E6" w:rsidRDefault="0012790E">
            <w:pPr>
              <w:pStyle w:val="MeasureTableDataRightAlignedwith2ptsspacing"/>
              <w:keepNext/>
            </w:pPr>
            <w:r w:rsidRPr="001C06E6">
              <w:t>1.1</w:t>
            </w:r>
          </w:p>
        </w:tc>
        <w:tc>
          <w:tcPr>
            <w:tcW w:w="1045" w:type="dxa"/>
            <w:tcBorders>
              <w:top w:val="single" w:sz="4" w:space="0" w:color="293F5B"/>
              <w:bottom w:val="single" w:sz="4" w:space="0" w:color="293F5B"/>
            </w:tcBorders>
            <w:shd w:val="clear" w:color="auto" w:fill="auto"/>
          </w:tcPr>
          <w:p w14:paraId="1D16CC68" w14:textId="77777777" w:rsidR="0012790E" w:rsidRPr="001C06E6" w:rsidRDefault="0012790E">
            <w:pPr>
              <w:pStyle w:val="MeasureTableDataRightAlignedwith2ptsspacing"/>
              <w:keepNext/>
            </w:pPr>
            <w:r w:rsidRPr="001C06E6">
              <w:t>1.1</w:t>
            </w:r>
          </w:p>
        </w:tc>
      </w:tr>
      <w:tr w:rsidR="0012790E" w:rsidRPr="001C06E6" w14:paraId="683A5839" w14:textId="77777777">
        <w:tc>
          <w:tcPr>
            <w:tcW w:w="2497" w:type="dxa"/>
            <w:tcBorders>
              <w:top w:val="single" w:sz="4" w:space="0" w:color="293F5B"/>
              <w:bottom w:val="single" w:sz="4" w:space="0" w:color="293F5B"/>
            </w:tcBorders>
            <w:shd w:val="clear" w:color="auto" w:fill="auto"/>
          </w:tcPr>
          <w:p w14:paraId="07AF7B67" w14:textId="77777777" w:rsidR="0012790E" w:rsidRPr="001C06E6" w:rsidRDefault="0012790E">
            <w:pPr>
              <w:pStyle w:val="MeasureTableHeadingleftalignedwith2ptsspacing"/>
              <w:keepNext/>
            </w:pPr>
            <w:r w:rsidRPr="001C06E6">
              <w:t>Digital Transformation Agency</w:t>
            </w:r>
          </w:p>
        </w:tc>
        <w:tc>
          <w:tcPr>
            <w:tcW w:w="1045" w:type="dxa"/>
            <w:tcBorders>
              <w:top w:val="single" w:sz="4" w:space="0" w:color="293F5B"/>
              <w:bottom w:val="single" w:sz="4" w:space="0" w:color="293F5B"/>
            </w:tcBorders>
            <w:shd w:val="clear" w:color="auto" w:fill="auto"/>
          </w:tcPr>
          <w:p w14:paraId="721DC42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AFC0787" w14:textId="77777777" w:rsidR="0012790E" w:rsidRPr="001C06E6" w:rsidRDefault="0012790E">
            <w:pPr>
              <w:pStyle w:val="MeasureTableDataRightAlignedwith2ptsspacing"/>
              <w:keepNext/>
            </w:pPr>
            <w:r w:rsidRPr="001C06E6">
              <w:t>3.3</w:t>
            </w:r>
          </w:p>
        </w:tc>
        <w:tc>
          <w:tcPr>
            <w:tcW w:w="1045" w:type="dxa"/>
            <w:tcBorders>
              <w:top w:val="single" w:sz="4" w:space="0" w:color="293F5B"/>
              <w:bottom w:val="single" w:sz="4" w:space="0" w:color="293F5B"/>
            </w:tcBorders>
            <w:shd w:val="clear" w:color="auto" w:fill="auto"/>
          </w:tcPr>
          <w:p w14:paraId="31B9B8C2" w14:textId="77777777" w:rsidR="0012790E" w:rsidRPr="001C06E6" w:rsidRDefault="0012790E">
            <w:pPr>
              <w:pStyle w:val="MeasureTableDataRightAlignedwith2ptsspacing"/>
              <w:keepNext/>
            </w:pPr>
            <w:r w:rsidRPr="001C06E6">
              <w:t>3.4</w:t>
            </w:r>
          </w:p>
        </w:tc>
        <w:tc>
          <w:tcPr>
            <w:tcW w:w="1045" w:type="dxa"/>
            <w:tcBorders>
              <w:top w:val="single" w:sz="4" w:space="0" w:color="293F5B"/>
              <w:bottom w:val="single" w:sz="4" w:space="0" w:color="293F5B"/>
            </w:tcBorders>
            <w:shd w:val="clear" w:color="auto" w:fill="auto"/>
          </w:tcPr>
          <w:p w14:paraId="3CF1C7E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28F22E4" w14:textId="77777777" w:rsidR="0012790E" w:rsidRPr="001C06E6" w:rsidRDefault="0012790E">
            <w:pPr>
              <w:pStyle w:val="MeasureTableDataRightAlignedwith2ptsspacing"/>
              <w:keepNext/>
            </w:pPr>
            <w:r w:rsidRPr="001C06E6">
              <w:t>-</w:t>
            </w:r>
          </w:p>
        </w:tc>
      </w:tr>
      <w:tr w:rsidR="0012790E" w:rsidRPr="001C06E6" w14:paraId="6B2C9F0B" w14:textId="77777777">
        <w:tc>
          <w:tcPr>
            <w:tcW w:w="2497" w:type="dxa"/>
            <w:tcBorders>
              <w:top w:val="single" w:sz="4" w:space="0" w:color="293F5B"/>
              <w:bottom w:val="single" w:sz="4" w:space="0" w:color="293F5B"/>
            </w:tcBorders>
            <w:shd w:val="clear" w:color="auto" w:fill="auto"/>
          </w:tcPr>
          <w:p w14:paraId="215762EB" w14:textId="77777777" w:rsidR="0012790E" w:rsidRPr="001C06E6" w:rsidRDefault="0012790E">
            <w:pPr>
              <w:pStyle w:val="MeasureTableHeadingleftalignedwith2ptsspacing"/>
              <w:keepNext/>
            </w:pPr>
            <w:r>
              <w:t xml:space="preserve">Independent Parliamentary Expenses Authority </w:t>
            </w:r>
          </w:p>
        </w:tc>
        <w:tc>
          <w:tcPr>
            <w:tcW w:w="1045" w:type="dxa"/>
            <w:tcBorders>
              <w:top w:val="single" w:sz="4" w:space="0" w:color="293F5B"/>
              <w:bottom w:val="single" w:sz="4" w:space="0" w:color="293F5B"/>
            </w:tcBorders>
            <w:shd w:val="clear" w:color="auto" w:fill="auto"/>
          </w:tcPr>
          <w:p w14:paraId="307A8D8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894BB80" w14:textId="77777777" w:rsidR="0012790E" w:rsidRPr="001C06E6" w:rsidRDefault="0012790E">
            <w:pPr>
              <w:pStyle w:val="MeasureTableDataRightAlignedwith2ptsspacing"/>
              <w:keepNext/>
            </w:pPr>
            <w:r>
              <w:t xml:space="preserve">1.5 </w:t>
            </w:r>
          </w:p>
        </w:tc>
        <w:tc>
          <w:tcPr>
            <w:tcW w:w="1045" w:type="dxa"/>
            <w:tcBorders>
              <w:top w:val="single" w:sz="4" w:space="0" w:color="293F5B"/>
              <w:bottom w:val="single" w:sz="4" w:space="0" w:color="293F5B"/>
            </w:tcBorders>
            <w:shd w:val="clear" w:color="auto" w:fill="auto"/>
          </w:tcPr>
          <w:p w14:paraId="2CEA0B92"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9CAB35C"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04FA9A9" w14:textId="77777777" w:rsidR="0012790E" w:rsidRPr="001C06E6" w:rsidRDefault="0012790E">
            <w:pPr>
              <w:pStyle w:val="MeasureTableDataRightAlignedwith2ptsspacing"/>
              <w:keepNext/>
            </w:pPr>
            <w:r>
              <w:t xml:space="preserve">- </w:t>
            </w:r>
          </w:p>
        </w:tc>
      </w:tr>
      <w:tr w:rsidR="0012790E" w:rsidRPr="001C06E6" w14:paraId="0B9D34D4" w14:textId="77777777">
        <w:tc>
          <w:tcPr>
            <w:tcW w:w="2497" w:type="dxa"/>
            <w:tcBorders>
              <w:top w:val="single" w:sz="4" w:space="0" w:color="293F5B"/>
              <w:bottom w:val="single" w:sz="4" w:space="0" w:color="293F5B"/>
            </w:tcBorders>
            <w:shd w:val="clear" w:color="auto" w:fill="auto"/>
          </w:tcPr>
          <w:p w14:paraId="29DE635B"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396655C"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4BBB6951" w14:textId="77777777" w:rsidR="0012790E" w:rsidRPr="001C06E6" w:rsidRDefault="0012790E">
            <w:pPr>
              <w:pStyle w:val="Totaldatarowrightaligned"/>
              <w:keepNext/>
            </w:pPr>
            <w:r w:rsidRPr="001C06E6">
              <w:t>17.3</w:t>
            </w:r>
          </w:p>
        </w:tc>
        <w:tc>
          <w:tcPr>
            <w:tcW w:w="1045" w:type="dxa"/>
            <w:tcBorders>
              <w:top w:val="single" w:sz="4" w:space="0" w:color="293F5B"/>
              <w:bottom w:val="single" w:sz="4" w:space="0" w:color="293F5B"/>
            </w:tcBorders>
            <w:shd w:val="clear" w:color="auto" w:fill="auto"/>
          </w:tcPr>
          <w:p w14:paraId="6FC41BAB" w14:textId="77777777" w:rsidR="0012790E" w:rsidRPr="001C06E6" w:rsidRDefault="0012790E">
            <w:pPr>
              <w:pStyle w:val="Totaldatarowrightaligned"/>
              <w:keepNext/>
            </w:pPr>
            <w:r w:rsidRPr="001C06E6">
              <w:t>10.8</w:t>
            </w:r>
          </w:p>
        </w:tc>
        <w:tc>
          <w:tcPr>
            <w:tcW w:w="1045" w:type="dxa"/>
            <w:tcBorders>
              <w:top w:val="single" w:sz="4" w:space="0" w:color="293F5B"/>
              <w:bottom w:val="single" w:sz="4" w:space="0" w:color="293F5B"/>
            </w:tcBorders>
            <w:shd w:val="clear" w:color="auto" w:fill="auto"/>
          </w:tcPr>
          <w:p w14:paraId="516667C1" w14:textId="77777777" w:rsidR="0012790E" w:rsidRPr="001C06E6" w:rsidRDefault="0012790E">
            <w:pPr>
              <w:pStyle w:val="Totaldatarowrightaligned"/>
              <w:keepNext/>
            </w:pPr>
            <w:r w:rsidRPr="001C06E6">
              <w:t>1.1</w:t>
            </w:r>
          </w:p>
        </w:tc>
        <w:tc>
          <w:tcPr>
            <w:tcW w:w="1045" w:type="dxa"/>
            <w:tcBorders>
              <w:top w:val="single" w:sz="4" w:space="0" w:color="293F5B"/>
              <w:bottom w:val="single" w:sz="4" w:space="0" w:color="293F5B"/>
            </w:tcBorders>
            <w:shd w:val="clear" w:color="auto" w:fill="auto"/>
          </w:tcPr>
          <w:p w14:paraId="60A74209" w14:textId="77777777" w:rsidR="0012790E" w:rsidRPr="001C06E6" w:rsidRDefault="0012790E">
            <w:pPr>
              <w:pStyle w:val="Totaldatarowrightaligned"/>
              <w:keepNext/>
            </w:pPr>
            <w:r w:rsidRPr="001C06E6">
              <w:t>1.1</w:t>
            </w:r>
          </w:p>
        </w:tc>
      </w:tr>
    </w:tbl>
    <w:p w14:paraId="29006F86"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10C33E9A" w14:textId="77777777" w:rsidR="0012790E" w:rsidRDefault="0012790E">
      <w:pPr>
        <w:pStyle w:val="Normal2"/>
        <w:rPr>
          <w:rFonts w:cs="Book Antiqua"/>
        </w:rPr>
      </w:pPr>
      <w:r w:rsidRPr="001C06E6">
        <w:rPr>
          <w:rFonts w:cs="Book Antiqua"/>
        </w:rPr>
        <w:t>The Government will provide $32.5</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(and $1.4</w:t>
      </w:r>
      <w:r>
        <w:rPr>
          <w:rFonts w:cs="Book Antiqua"/>
        </w:rPr>
        <w:t> </w:t>
      </w:r>
      <w:r w:rsidRPr="001C06E6">
        <w:rPr>
          <w:rFonts w:cs="Book Antiqua"/>
        </w:rPr>
        <w:t>million per year ongoing) to support the delivery of Government priorities in the</w:t>
      </w:r>
      <w:r>
        <w:rPr>
          <w:rFonts w:cs="Book Antiqua"/>
        </w:rPr>
        <w:t xml:space="preserve"> </w:t>
      </w:r>
      <w:r w:rsidRPr="001C06E6">
        <w:rPr>
          <w:rFonts w:cs="Book Antiqua"/>
        </w:rPr>
        <w:t>Finance portfolio. Funding includes:</w:t>
      </w:r>
    </w:p>
    <w:p w14:paraId="2D454209" w14:textId="77777777" w:rsidR="0012790E" w:rsidRDefault="0012790E">
      <w:pPr>
        <w:pStyle w:val="Bullet"/>
      </w:pPr>
      <w:r w:rsidRPr="001C06E6">
        <w:t>$12.9</w:t>
      </w:r>
      <w:r>
        <w:t> </w:t>
      </w:r>
      <w:r w:rsidRPr="001C06E6">
        <w:t xml:space="preserve">million over two years from </w:t>
      </w:r>
      <w:r>
        <w:t>2024–25</w:t>
      </w:r>
      <w:r w:rsidRPr="001C06E6">
        <w:t xml:space="preserve"> to the Australian Electoral Commission to extend its activities to promote Indigenous enrolment and electoral participation</w:t>
      </w:r>
      <w:r>
        <w:t xml:space="preserve"> </w:t>
      </w:r>
    </w:p>
    <w:p w14:paraId="55030D90" w14:textId="77777777" w:rsidR="0012790E" w:rsidRDefault="0012790E">
      <w:pPr>
        <w:pStyle w:val="Bullet"/>
      </w:pPr>
      <w:r w:rsidRPr="001C06E6">
        <w:t>$9.2</w:t>
      </w:r>
      <w:r>
        <w:t> </w:t>
      </w:r>
      <w:r w:rsidRPr="001C06E6">
        <w:t xml:space="preserve">million over four years from </w:t>
      </w:r>
      <w:r>
        <w:t>2024–25</w:t>
      </w:r>
      <w:r w:rsidRPr="001C06E6">
        <w:t xml:space="preserve"> (and $1.1</w:t>
      </w:r>
      <w:r>
        <w:t> </w:t>
      </w:r>
      <w:r w:rsidRPr="001C06E6">
        <w:t xml:space="preserve">million per year ongoing) to the Commonwealth Superannuation Corporation and the Department of Finance to implement the </w:t>
      </w:r>
      <w:r>
        <w:t>2023–24 </w:t>
      </w:r>
      <w:r w:rsidRPr="001C06E6">
        <w:t xml:space="preserve">Budget measure </w:t>
      </w:r>
      <w:r w:rsidRPr="001C06E6">
        <w:rPr>
          <w:i/>
          <w:iCs/>
        </w:rPr>
        <w:t xml:space="preserve">Better Targeted Superannuation Concessions </w:t>
      </w:r>
      <w:r w:rsidRPr="001C06E6">
        <w:t>for members of the Commonwealth defined</w:t>
      </w:r>
      <w:r>
        <w:t xml:space="preserve"> </w:t>
      </w:r>
      <w:r w:rsidRPr="001C06E6">
        <w:t>benefit superannuation schemes</w:t>
      </w:r>
      <w:r>
        <w:t xml:space="preserve"> </w:t>
      </w:r>
    </w:p>
    <w:p w14:paraId="712C334A" w14:textId="77777777" w:rsidR="0012790E" w:rsidRDefault="0012790E">
      <w:pPr>
        <w:pStyle w:val="Bullet"/>
      </w:pPr>
      <w:r w:rsidRPr="001C06E6">
        <w:t>$6.7</w:t>
      </w:r>
      <w:r>
        <w:t> </w:t>
      </w:r>
      <w:r w:rsidRPr="001C06E6">
        <w:t xml:space="preserve">million over two years from </w:t>
      </w:r>
      <w:r>
        <w:t>2024–25</w:t>
      </w:r>
      <w:r w:rsidRPr="001C06E6">
        <w:t xml:space="preserve"> to the Digital Transformation Agency to provide assurance, monitoring and remediation advice for the Government’s major digital and ICT investments</w:t>
      </w:r>
      <w:r>
        <w:t xml:space="preserve"> </w:t>
      </w:r>
    </w:p>
    <w:p w14:paraId="47B87FE4" w14:textId="77777777" w:rsidR="0012790E" w:rsidRDefault="0012790E">
      <w:pPr>
        <w:pStyle w:val="Bullet"/>
        <w:rPr>
          <w:iCs/>
        </w:rPr>
      </w:pPr>
      <w:r w:rsidRPr="001C06E6">
        <w:t>$2.1</w:t>
      </w:r>
      <w:r>
        <w:t> </w:t>
      </w:r>
      <w:r w:rsidRPr="001C06E6">
        <w:t xml:space="preserve">million over four years from </w:t>
      </w:r>
      <w:r>
        <w:t>2024–25</w:t>
      </w:r>
      <w:r w:rsidRPr="001C06E6">
        <w:t xml:space="preserve"> (and $0.2</w:t>
      </w:r>
      <w:r>
        <w:t> </w:t>
      </w:r>
      <w:r w:rsidRPr="001C06E6">
        <w:t xml:space="preserve">million per year ongoing) to the Department of Finance to support accurate calculation and reporting of greenhouse gas emissions data from government operations as part of the </w:t>
      </w:r>
      <w:r w:rsidRPr="001C06E6">
        <w:rPr>
          <w:i/>
          <w:iCs/>
        </w:rPr>
        <w:t>Net Zero in Government Operations Strategy</w:t>
      </w:r>
      <w:r>
        <w:rPr>
          <w:iCs/>
        </w:rPr>
        <w:t xml:space="preserve"> </w:t>
      </w:r>
    </w:p>
    <w:p w14:paraId="0C0F17C9" w14:textId="77777777" w:rsidR="0012790E" w:rsidRDefault="0012790E">
      <w:pPr>
        <w:pStyle w:val="Bullet"/>
      </w:pPr>
      <w:r w:rsidRPr="001C06E6">
        <w:t>$1.5</w:t>
      </w:r>
      <w:r>
        <w:t> </w:t>
      </w:r>
      <w:r w:rsidRPr="001C06E6">
        <w:t xml:space="preserve">million in </w:t>
      </w:r>
      <w:r>
        <w:t>2024–25</w:t>
      </w:r>
      <w:r w:rsidRPr="001C06E6">
        <w:t xml:space="preserve"> to the Independent Parliamentary Expenses Authority to continue to provide client services to federal parliamentarians and their staff and to support its public reporting functions.</w:t>
      </w:r>
      <w:r>
        <w:t xml:space="preserve"> </w:t>
      </w:r>
    </w:p>
    <w:p w14:paraId="3A103836"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within the existing resourcing of the Department of Finance. </w:t>
      </w:r>
    </w:p>
    <w:p w14:paraId="1B494051" w14:textId="7777777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 xml:space="preserve">MYEFO measures </w:t>
      </w:r>
      <w:r w:rsidRPr="001C06E6">
        <w:rPr>
          <w:rFonts w:cs="Book Antiqua"/>
          <w:i/>
          <w:iCs/>
        </w:rPr>
        <w:t>Climate Action in Government</w:t>
      </w:r>
      <w:r>
        <w:rPr>
          <w:rFonts w:cs="Book Antiqua"/>
          <w:i/>
          <w:iCs/>
        </w:rPr>
        <w:t xml:space="preserve"> </w:t>
      </w:r>
      <w:r w:rsidRPr="001C06E6">
        <w:rPr>
          <w:rFonts w:cs="Book Antiqua"/>
          <w:i/>
          <w:iCs/>
        </w:rPr>
        <w:t>Operations</w:t>
      </w:r>
      <w:r w:rsidRPr="001C06E6">
        <w:rPr>
          <w:rFonts w:cs="Book Antiqua"/>
        </w:rPr>
        <w:t xml:space="preserve"> and </w:t>
      </w:r>
      <w:r w:rsidRPr="001C06E6">
        <w:rPr>
          <w:rFonts w:cs="Book Antiqua"/>
          <w:i/>
          <w:iCs/>
        </w:rPr>
        <w:t>Strengthening Digital Assurance</w:t>
      </w:r>
      <w:r w:rsidRPr="001C06E6">
        <w:rPr>
          <w:rFonts w:cs="Book Antiqua"/>
        </w:rPr>
        <w:t>.</w:t>
      </w:r>
      <w:r>
        <w:rPr>
          <w:rFonts w:cs="Book Antiqua"/>
        </w:rPr>
        <w:t xml:space="preserve"> </w:t>
      </w:r>
    </w:p>
    <w:p w14:paraId="64352EF4" w14:textId="77777777" w:rsidR="0012790E" w:rsidRPr="001C06E6" w:rsidRDefault="0012790E">
      <w:pPr>
        <w:pStyle w:val="MeasureTitle"/>
        <w:rPr>
          <w:b w:val="0"/>
          <w:bCs/>
        </w:rPr>
      </w:pPr>
      <w:r w:rsidRPr="001C06E6">
        <w:rPr>
          <w:bCs/>
        </w:rPr>
        <w:t>Initial funding for the Independent Parliamentary Standards Commission</w:t>
      </w:r>
    </w:p>
    <w:p w14:paraId="67572413"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A8C38CE" w14:textId="77777777">
        <w:tc>
          <w:tcPr>
            <w:tcW w:w="2497" w:type="dxa"/>
            <w:tcBorders>
              <w:top w:val="single" w:sz="4" w:space="0" w:color="293F5B"/>
              <w:bottom w:val="single" w:sz="4" w:space="0" w:color="293F5B"/>
            </w:tcBorders>
            <w:shd w:val="clear" w:color="auto" w:fill="auto"/>
          </w:tcPr>
          <w:p w14:paraId="150FDA27"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C30B734"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3F0FFBD"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F8FB1D4"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6A5E662"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5842BAD" w14:textId="77777777" w:rsidR="0012790E" w:rsidRPr="001C06E6" w:rsidRDefault="0012790E">
            <w:pPr>
              <w:pStyle w:val="MeasureTableYearHeadings"/>
              <w:keepNext/>
            </w:pPr>
            <w:r w:rsidRPr="001C06E6">
              <w:t>2027</w:t>
            </w:r>
            <w:r>
              <w:noBreakHyphen/>
            </w:r>
            <w:r w:rsidRPr="001C06E6">
              <w:t>28</w:t>
            </w:r>
          </w:p>
        </w:tc>
      </w:tr>
      <w:tr w:rsidR="0012790E" w:rsidRPr="001C06E6" w14:paraId="649AB033" w14:textId="77777777">
        <w:tc>
          <w:tcPr>
            <w:tcW w:w="2497" w:type="dxa"/>
            <w:tcBorders>
              <w:top w:val="single" w:sz="4" w:space="0" w:color="293F5B"/>
              <w:bottom w:val="single" w:sz="4" w:space="0" w:color="293F5B"/>
            </w:tcBorders>
            <w:shd w:val="clear" w:color="auto" w:fill="auto"/>
          </w:tcPr>
          <w:p w14:paraId="306C1014" w14:textId="77777777" w:rsidR="0012790E" w:rsidRPr="001C06E6" w:rsidRDefault="0012790E">
            <w:pPr>
              <w:pStyle w:val="MeasureTableHeadingleftalignedwith2ptsspacing"/>
              <w:keepNext/>
            </w:pPr>
            <w:r>
              <w:t xml:space="preserve">Parliamentary Workplace Support Service </w:t>
            </w:r>
          </w:p>
        </w:tc>
        <w:tc>
          <w:tcPr>
            <w:tcW w:w="1045" w:type="dxa"/>
            <w:tcBorders>
              <w:top w:val="single" w:sz="4" w:space="0" w:color="293F5B"/>
              <w:bottom w:val="single" w:sz="4" w:space="0" w:color="293F5B"/>
            </w:tcBorders>
            <w:shd w:val="clear" w:color="auto" w:fill="auto"/>
          </w:tcPr>
          <w:p w14:paraId="3CB18F8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2DD0E96" w14:textId="77777777" w:rsidR="0012790E" w:rsidRPr="001C06E6" w:rsidRDefault="0012790E">
            <w:pPr>
              <w:pStyle w:val="MeasureTableDataRightAlignedwith2ptsspacing"/>
              <w:keepNext/>
            </w:pPr>
            <w:r>
              <w:t xml:space="preserve">3.8 </w:t>
            </w:r>
          </w:p>
        </w:tc>
        <w:tc>
          <w:tcPr>
            <w:tcW w:w="1045" w:type="dxa"/>
            <w:tcBorders>
              <w:top w:val="single" w:sz="4" w:space="0" w:color="293F5B"/>
              <w:bottom w:val="single" w:sz="4" w:space="0" w:color="293F5B"/>
            </w:tcBorders>
            <w:shd w:val="clear" w:color="auto" w:fill="auto"/>
          </w:tcPr>
          <w:p w14:paraId="7585355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25CCBF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D0A70EB" w14:textId="77777777" w:rsidR="0012790E" w:rsidRPr="001C06E6" w:rsidRDefault="0012790E">
            <w:pPr>
              <w:pStyle w:val="MeasureTableDataRightAlignedwith2ptsspacing"/>
              <w:keepNext/>
            </w:pPr>
            <w:r>
              <w:t xml:space="preserve">- </w:t>
            </w:r>
          </w:p>
        </w:tc>
      </w:tr>
      <w:tr w:rsidR="0012790E" w:rsidRPr="001C06E6" w14:paraId="2D982964" w14:textId="77777777">
        <w:tc>
          <w:tcPr>
            <w:tcW w:w="2497" w:type="dxa"/>
            <w:tcBorders>
              <w:top w:val="single" w:sz="4" w:space="0" w:color="293F5B"/>
              <w:bottom w:val="single" w:sz="4" w:space="0" w:color="293F5B"/>
            </w:tcBorders>
            <w:shd w:val="clear" w:color="auto" w:fill="auto"/>
          </w:tcPr>
          <w:p w14:paraId="1D6683A6"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00D5391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EFC13A1" w14:textId="77777777" w:rsidR="0012790E" w:rsidRPr="001C06E6" w:rsidRDefault="0012790E">
            <w:pPr>
              <w:pStyle w:val="MeasureTableDataRightAlignedwith2ptsspacing"/>
              <w:keepNext/>
            </w:pPr>
            <w:r w:rsidRPr="001C06E6">
              <w:t>1.5</w:t>
            </w:r>
          </w:p>
        </w:tc>
        <w:tc>
          <w:tcPr>
            <w:tcW w:w="1045" w:type="dxa"/>
            <w:tcBorders>
              <w:top w:val="single" w:sz="4" w:space="0" w:color="293F5B"/>
              <w:bottom w:val="single" w:sz="4" w:space="0" w:color="293F5B"/>
            </w:tcBorders>
            <w:shd w:val="clear" w:color="auto" w:fill="auto"/>
          </w:tcPr>
          <w:p w14:paraId="7789CD05" w14:textId="77777777" w:rsidR="0012790E" w:rsidRPr="001C06E6" w:rsidRDefault="0012790E">
            <w:pPr>
              <w:pStyle w:val="MeasureTableDataRightAlignedwith2ptsspacing"/>
              <w:keepNext/>
            </w:pPr>
            <w:r w:rsidRPr="001C06E6">
              <w:t>1.6</w:t>
            </w:r>
          </w:p>
        </w:tc>
        <w:tc>
          <w:tcPr>
            <w:tcW w:w="1045" w:type="dxa"/>
            <w:tcBorders>
              <w:top w:val="single" w:sz="4" w:space="0" w:color="293F5B"/>
              <w:bottom w:val="single" w:sz="4" w:space="0" w:color="293F5B"/>
            </w:tcBorders>
            <w:shd w:val="clear" w:color="auto" w:fill="auto"/>
          </w:tcPr>
          <w:p w14:paraId="7C8B33BC" w14:textId="77777777" w:rsidR="0012790E" w:rsidRPr="001C06E6" w:rsidRDefault="0012790E">
            <w:pPr>
              <w:pStyle w:val="MeasureTableDataRightAlignedwith2ptsspacing"/>
              <w:keepNext/>
            </w:pPr>
            <w:r w:rsidRPr="001C06E6">
              <w:t>0.8</w:t>
            </w:r>
          </w:p>
        </w:tc>
        <w:tc>
          <w:tcPr>
            <w:tcW w:w="1045" w:type="dxa"/>
            <w:tcBorders>
              <w:top w:val="single" w:sz="4" w:space="0" w:color="293F5B"/>
              <w:bottom w:val="single" w:sz="4" w:space="0" w:color="293F5B"/>
            </w:tcBorders>
            <w:shd w:val="clear" w:color="auto" w:fill="auto"/>
          </w:tcPr>
          <w:p w14:paraId="034C9FB9" w14:textId="77777777" w:rsidR="0012790E" w:rsidRPr="001C06E6" w:rsidRDefault="0012790E">
            <w:pPr>
              <w:pStyle w:val="MeasureTableDataRightAlignedwith2ptsspacing"/>
              <w:keepNext/>
            </w:pPr>
            <w:r w:rsidRPr="001C06E6">
              <w:t>0.8</w:t>
            </w:r>
          </w:p>
        </w:tc>
      </w:tr>
      <w:tr w:rsidR="0012790E" w:rsidRPr="001C06E6" w14:paraId="1E209680" w14:textId="77777777">
        <w:tc>
          <w:tcPr>
            <w:tcW w:w="2497" w:type="dxa"/>
            <w:tcBorders>
              <w:top w:val="single" w:sz="4" w:space="0" w:color="293F5B"/>
              <w:bottom w:val="single" w:sz="4" w:space="0" w:color="293F5B"/>
            </w:tcBorders>
            <w:shd w:val="clear" w:color="auto" w:fill="auto"/>
          </w:tcPr>
          <w:p w14:paraId="4178A91D" w14:textId="77777777" w:rsidR="0012790E" w:rsidRPr="001C06E6" w:rsidRDefault="0012790E">
            <w:pPr>
              <w:pStyle w:val="MeasureTableHeadingleftalignedwith2ptsspacing"/>
              <w:keepNext/>
            </w:pPr>
            <w:r>
              <w:t xml:space="preserve">Department of the Prime Minister and Cabinet </w:t>
            </w:r>
          </w:p>
        </w:tc>
        <w:tc>
          <w:tcPr>
            <w:tcW w:w="1045" w:type="dxa"/>
            <w:tcBorders>
              <w:top w:val="single" w:sz="4" w:space="0" w:color="293F5B"/>
              <w:bottom w:val="single" w:sz="4" w:space="0" w:color="293F5B"/>
            </w:tcBorders>
            <w:shd w:val="clear" w:color="auto" w:fill="auto"/>
          </w:tcPr>
          <w:p w14:paraId="4CFC8877"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F0C0949" w14:textId="77777777" w:rsidR="0012790E" w:rsidRPr="001C06E6" w:rsidRDefault="0012790E">
            <w:pPr>
              <w:pStyle w:val="MeasureTableDataRightAlignedwith2ptsspacing"/>
              <w:keepNext/>
            </w:pPr>
            <w:r>
              <w:t xml:space="preserve">1.5 </w:t>
            </w:r>
          </w:p>
        </w:tc>
        <w:tc>
          <w:tcPr>
            <w:tcW w:w="1045" w:type="dxa"/>
            <w:tcBorders>
              <w:top w:val="single" w:sz="4" w:space="0" w:color="293F5B"/>
              <w:bottom w:val="single" w:sz="4" w:space="0" w:color="293F5B"/>
            </w:tcBorders>
            <w:shd w:val="clear" w:color="auto" w:fill="auto"/>
          </w:tcPr>
          <w:p w14:paraId="5BCCF70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12CD81F"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06C19A5" w14:textId="77777777" w:rsidR="0012790E" w:rsidRPr="001C06E6" w:rsidRDefault="0012790E">
            <w:pPr>
              <w:pStyle w:val="MeasureTableDataRightAlignedwith2ptsspacing"/>
              <w:keepNext/>
            </w:pPr>
            <w:r>
              <w:t xml:space="preserve">- </w:t>
            </w:r>
          </w:p>
        </w:tc>
      </w:tr>
      <w:tr w:rsidR="0012790E" w:rsidRPr="001C06E6" w14:paraId="47C2EC93" w14:textId="77777777">
        <w:tc>
          <w:tcPr>
            <w:tcW w:w="2497" w:type="dxa"/>
            <w:tcBorders>
              <w:top w:val="single" w:sz="4" w:space="0" w:color="293F5B"/>
              <w:bottom w:val="single" w:sz="4" w:space="0" w:color="293F5B"/>
            </w:tcBorders>
            <w:shd w:val="clear" w:color="auto" w:fill="auto"/>
          </w:tcPr>
          <w:p w14:paraId="633A71E2"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42FCC95"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48C85608" w14:textId="77777777" w:rsidR="0012790E" w:rsidRPr="001C06E6" w:rsidRDefault="0012790E">
            <w:pPr>
              <w:pStyle w:val="Totaldatarowrightaligned"/>
              <w:keepNext/>
            </w:pPr>
            <w:r w:rsidRPr="001C06E6">
              <w:t>6.8</w:t>
            </w:r>
          </w:p>
        </w:tc>
        <w:tc>
          <w:tcPr>
            <w:tcW w:w="1045" w:type="dxa"/>
            <w:tcBorders>
              <w:top w:val="single" w:sz="4" w:space="0" w:color="293F5B"/>
              <w:bottom w:val="single" w:sz="4" w:space="0" w:color="293F5B"/>
            </w:tcBorders>
            <w:shd w:val="clear" w:color="auto" w:fill="auto"/>
          </w:tcPr>
          <w:p w14:paraId="48994BF2" w14:textId="77777777" w:rsidR="0012790E" w:rsidRPr="001C06E6" w:rsidRDefault="0012790E">
            <w:pPr>
              <w:pStyle w:val="Totaldatarowrightaligned"/>
              <w:keepNext/>
            </w:pPr>
            <w:r w:rsidRPr="001C06E6">
              <w:t>1.6</w:t>
            </w:r>
          </w:p>
        </w:tc>
        <w:tc>
          <w:tcPr>
            <w:tcW w:w="1045" w:type="dxa"/>
            <w:tcBorders>
              <w:top w:val="single" w:sz="4" w:space="0" w:color="293F5B"/>
              <w:bottom w:val="single" w:sz="4" w:space="0" w:color="293F5B"/>
            </w:tcBorders>
            <w:shd w:val="clear" w:color="auto" w:fill="auto"/>
          </w:tcPr>
          <w:p w14:paraId="3C0350FD" w14:textId="77777777" w:rsidR="0012790E" w:rsidRPr="001C06E6" w:rsidRDefault="0012790E">
            <w:pPr>
              <w:pStyle w:val="Totaldatarowrightaligned"/>
              <w:keepNext/>
            </w:pPr>
            <w:r w:rsidRPr="001C06E6">
              <w:t>0.8</w:t>
            </w:r>
          </w:p>
        </w:tc>
        <w:tc>
          <w:tcPr>
            <w:tcW w:w="1045" w:type="dxa"/>
            <w:tcBorders>
              <w:top w:val="single" w:sz="4" w:space="0" w:color="293F5B"/>
              <w:bottom w:val="single" w:sz="4" w:space="0" w:color="293F5B"/>
            </w:tcBorders>
            <w:shd w:val="clear" w:color="auto" w:fill="auto"/>
          </w:tcPr>
          <w:p w14:paraId="6646DE16" w14:textId="77777777" w:rsidR="0012790E" w:rsidRPr="001C06E6" w:rsidRDefault="0012790E">
            <w:pPr>
              <w:pStyle w:val="Totaldatarowrightaligned"/>
              <w:keepNext/>
            </w:pPr>
            <w:r w:rsidRPr="001C06E6">
              <w:t>0.8</w:t>
            </w:r>
          </w:p>
        </w:tc>
      </w:tr>
    </w:tbl>
    <w:p w14:paraId="1BFAA38A"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79609A54" w14:textId="77777777" w:rsidR="0012790E" w:rsidRDefault="0012790E" w:rsidP="54937204">
      <w:pPr>
        <w:pStyle w:val="Normal2"/>
        <w:rPr>
          <w:rFonts w:cs="Book Antiqua"/>
          <w:lang w:val="en-US"/>
        </w:rPr>
      </w:pPr>
      <w:r w:rsidRPr="54937204">
        <w:rPr>
          <w:rFonts w:cs="Book Antiqua"/>
          <w:lang w:val="en-US"/>
        </w:rPr>
        <w:t>The Government will provide $10.0 million over four years from 2024–25 (and $0.8 million per year ongoing) to establish the Independent Parliamentary Standards Commission (IPSC) and make Commonwealth parliamentary workplaces safer and more respectful. Funding includes:</w:t>
      </w:r>
    </w:p>
    <w:p w14:paraId="0A0D875F" w14:textId="6A83929C" w:rsidR="0012790E" w:rsidRDefault="0012790E">
      <w:pPr>
        <w:pStyle w:val="Bullet"/>
      </w:pPr>
      <w:r w:rsidRPr="001C06E6">
        <w:t>$3.8</w:t>
      </w:r>
      <w:r>
        <w:t> </w:t>
      </w:r>
      <w:r w:rsidRPr="001C06E6">
        <w:t xml:space="preserve">million in </w:t>
      </w:r>
      <w:r>
        <w:t>2024–25</w:t>
      </w:r>
      <w:r w:rsidRPr="001C06E6">
        <w:t xml:space="preserve"> to the Parliamentary Workplace Support Service for initial funding to establish the IPSC from 1</w:t>
      </w:r>
      <w:r>
        <w:t> </w:t>
      </w:r>
      <w:r w:rsidRPr="001C06E6">
        <w:t>October</w:t>
      </w:r>
      <w:r>
        <w:t> </w:t>
      </w:r>
      <w:r w:rsidRPr="001C06E6">
        <w:t>2024</w:t>
      </w:r>
      <w:r w:rsidR="00EB4E2D">
        <w:t>,</w:t>
      </w:r>
      <w:r>
        <w:t xml:space="preserve"> </w:t>
      </w:r>
      <w:r w:rsidR="00EB4E2D">
        <w:t>subject to the passage of legislation</w:t>
      </w:r>
    </w:p>
    <w:p w14:paraId="440F0EEB" w14:textId="77777777" w:rsidR="0012790E" w:rsidRDefault="0012790E">
      <w:pPr>
        <w:pStyle w:val="Bullet"/>
      </w:pPr>
      <w:r w:rsidRPr="001C06E6">
        <w:t>$2.9</w:t>
      </w:r>
      <w:r>
        <w:t> </w:t>
      </w:r>
      <w:r w:rsidRPr="001C06E6">
        <w:t xml:space="preserve">million over four years from </w:t>
      </w:r>
      <w:r>
        <w:t>2024–25</w:t>
      </w:r>
      <w:r w:rsidRPr="001C06E6">
        <w:t xml:space="preserve"> (and $0.8</w:t>
      </w:r>
      <w:r>
        <w:t> </w:t>
      </w:r>
      <w:r w:rsidRPr="001C06E6">
        <w:t xml:space="preserve">million per year ongoing) to align </w:t>
      </w:r>
      <w:r w:rsidRPr="00EA2BDB">
        <w:rPr>
          <w:spacing w:val="-2"/>
        </w:rPr>
        <w:t xml:space="preserve">insurance arrangements for all employees under the </w:t>
      </w:r>
      <w:r w:rsidRPr="00EA2BDB">
        <w:rPr>
          <w:i/>
          <w:spacing w:val="-2"/>
        </w:rPr>
        <w:t>Members of Parliament (Staff) Act 1984</w:t>
      </w:r>
      <w:r w:rsidRPr="00EA2BDB">
        <w:rPr>
          <w:spacing w:val="-2"/>
        </w:rPr>
        <w:t xml:space="preserve"> </w:t>
      </w:r>
      <w:r w:rsidRPr="001C06E6">
        <w:t>with current arrangements for other Commonwealth employees and Ministerial staff</w:t>
      </w:r>
      <w:r>
        <w:t xml:space="preserve"> </w:t>
      </w:r>
    </w:p>
    <w:p w14:paraId="10BC2B2F" w14:textId="77777777" w:rsidR="0012790E" w:rsidRDefault="0012790E">
      <w:pPr>
        <w:pStyle w:val="Bullet"/>
        <w:rPr>
          <w:iCs/>
        </w:rPr>
      </w:pPr>
      <w:r w:rsidRPr="001C06E6">
        <w:t>$1.8</w:t>
      </w:r>
      <w:r>
        <w:t> </w:t>
      </w:r>
      <w:r w:rsidRPr="001C06E6">
        <w:t xml:space="preserve">million over two years from </w:t>
      </w:r>
      <w:r>
        <w:t>2024–25</w:t>
      </w:r>
      <w:r w:rsidRPr="001C06E6">
        <w:t xml:space="preserve"> to the Department of Finance to support reviews of the implementation of the Set the Standard report and of the </w:t>
      </w:r>
      <w:r w:rsidRPr="001C06E6">
        <w:rPr>
          <w:i/>
          <w:iCs/>
        </w:rPr>
        <w:t>Parliamentary Workplace Support Service Act 2023</w:t>
      </w:r>
      <w:r>
        <w:rPr>
          <w:iCs/>
        </w:rPr>
        <w:t xml:space="preserve"> </w:t>
      </w:r>
    </w:p>
    <w:p w14:paraId="1DD16D70" w14:textId="77777777" w:rsidR="0012790E" w:rsidRDefault="0012790E">
      <w:pPr>
        <w:pStyle w:val="Bullet"/>
      </w:pPr>
      <w:r w:rsidRPr="001C06E6">
        <w:t>$1.5</w:t>
      </w:r>
      <w:r>
        <w:t> </w:t>
      </w:r>
      <w:r w:rsidRPr="001C06E6">
        <w:t xml:space="preserve">million in </w:t>
      </w:r>
      <w:r>
        <w:t>2024–25</w:t>
      </w:r>
      <w:r w:rsidRPr="001C06E6">
        <w:t xml:space="preserve"> to the Department of the </w:t>
      </w:r>
      <w:r>
        <w:t>Prime Minister and Cabinet</w:t>
      </w:r>
      <w:r w:rsidRPr="001C06E6">
        <w:t xml:space="preserve"> to finalise implementation of the Set the Standard report, including to support the establishment of the IPSC.</w:t>
      </w:r>
      <w:r>
        <w:t xml:space="preserve"> </w:t>
      </w:r>
    </w:p>
    <w:p w14:paraId="0660207B" w14:textId="77777777" w:rsidR="0012790E" w:rsidRDefault="0012790E" w:rsidP="54937204">
      <w:pPr>
        <w:pStyle w:val="Normal2"/>
        <w:rPr>
          <w:rFonts w:cs="Book Antiqua"/>
          <w:lang w:val="en-US"/>
        </w:rPr>
      </w:pPr>
      <w:r w:rsidRPr="54937204">
        <w:rPr>
          <w:rFonts w:cs="Book Antiqua"/>
          <w:lang w:val="en-US"/>
        </w:rPr>
        <w:t xml:space="preserve">This measure builds on the 2023–24 Budget measure titled </w:t>
      </w:r>
      <w:r w:rsidRPr="54937204">
        <w:rPr>
          <w:rFonts w:cs="Book Antiqua"/>
          <w:i/>
          <w:iCs/>
          <w:lang w:val="en-US"/>
        </w:rPr>
        <w:t>Improving the Culture of Parliamentary Workplaces</w:t>
      </w:r>
      <w:r w:rsidRPr="54937204">
        <w:rPr>
          <w:rFonts w:cs="Book Antiqua"/>
          <w:lang w:val="en-US"/>
        </w:rPr>
        <w:t xml:space="preserve">. The Government will consider future funding for the IPSC after the legislation to establish the IPSC has been settled. </w:t>
      </w:r>
    </w:p>
    <w:p w14:paraId="30CACA67" w14:textId="77777777" w:rsidR="0012790E" w:rsidRPr="001C06E6" w:rsidRDefault="0012790E" w:rsidP="54937204">
      <w:pPr>
        <w:pStyle w:val="MeasureTitle"/>
        <w:rPr>
          <w:b w:val="0"/>
          <w:lang w:val="en-US"/>
        </w:rPr>
      </w:pPr>
      <w:r w:rsidRPr="54937204">
        <w:rPr>
          <w:lang w:val="en-US"/>
        </w:rPr>
        <w:t>Parliamentary Expenses Management System – additional funding</w:t>
      </w:r>
    </w:p>
    <w:p w14:paraId="6EC3A257"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8F378E0" w14:textId="77777777">
        <w:tc>
          <w:tcPr>
            <w:tcW w:w="2497" w:type="dxa"/>
            <w:tcBorders>
              <w:top w:val="single" w:sz="4" w:space="0" w:color="293F5B"/>
              <w:bottom w:val="single" w:sz="4" w:space="0" w:color="293F5B"/>
            </w:tcBorders>
            <w:shd w:val="clear" w:color="auto" w:fill="auto"/>
          </w:tcPr>
          <w:p w14:paraId="6237C409"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06884C9"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4BABBA2"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ABCFA8F"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EE52F72"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959E6AE" w14:textId="77777777" w:rsidR="0012790E" w:rsidRPr="001C06E6" w:rsidRDefault="0012790E">
            <w:pPr>
              <w:pStyle w:val="MeasureTableYearHeadings"/>
              <w:keepNext/>
            </w:pPr>
            <w:r w:rsidRPr="001C06E6">
              <w:t>2027</w:t>
            </w:r>
            <w:r>
              <w:noBreakHyphen/>
            </w:r>
            <w:r w:rsidRPr="001C06E6">
              <w:t>28</w:t>
            </w:r>
          </w:p>
        </w:tc>
      </w:tr>
      <w:tr w:rsidR="0012790E" w:rsidRPr="001C06E6" w14:paraId="339BB1B4" w14:textId="77777777">
        <w:tc>
          <w:tcPr>
            <w:tcW w:w="2497" w:type="dxa"/>
            <w:tcBorders>
              <w:top w:val="single" w:sz="4" w:space="0" w:color="293F5B"/>
              <w:bottom w:val="single" w:sz="4" w:space="0" w:color="293F5B"/>
            </w:tcBorders>
            <w:shd w:val="clear" w:color="auto" w:fill="auto"/>
          </w:tcPr>
          <w:p w14:paraId="5F711725"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1091C44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322B4F9" w14:textId="77777777" w:rsidR="0012790E" w:rsidRPr="001C06E6" w:rsidRDefault="0012790E">
            <w:pPr>
              <w:pStyle w:val="MeasureTableDataRightAlignedwith2ptsspacing"/>
              <w:keepNext/>
            </w:pPr>
            <w:r w:rsidRPr="001C06E6">
              <w:t>4.9</w:t>
            </w:r>
          </w:p>
        </w:tc>
        <w:tc>
          <w:tcPr>
            <w:tcW w:w="1045" w:type="dxa"/>
            <w:tcBorders>
              <w:top w:val="single" w:sz="4" w:space="0" w:color="293F5B"/>
              <w:bottom w:val="single" w:sz="4" w:space="0" w:color="293F5B"/>
            </w:tcBorders>
            <w:shd w:val="clear" w:color="auto" w:fill="auto"/>
          </w:tcPr>
          <w:p w14:paraId="2585999D" w14:textId="77777777" w:rsidR="0012790E" w:rsidRPr="001C06E6" w:rsidRDefault="0012790E">
            <w:pPr>
              <w:pStyle w:val="MeasureTableDataRightAlignedwith2ptsspacing"/>
              <w:keepNext/>
            </w:pPr>
            <w:r w:rsidRPr="001C06E6">
              <w:t>4.9</w:t>
            </w:r>
          </w:p>
        </w:tc>
        <w:tc>
          <w:tcPr>
            <w:tcW w:w="1045" w:type="dxa"/>
            <w:tcBorders>
              <w:top w:val="single" w:sz="4" w:space="0" w:color="293F5B"/>
              <w:bottom w:val="single" w:sz="4" w:space="0" w:color="293F5B"/>
            </w:tcBorders>
            <w:shd w:val="clear" w:color="auto" w:fill="auto"/>
          </w:tcPr>
          <w:p w14:paraId="1162D7C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7FBD80A" w14:textId="77777777" w:rsidR="0012790E" w:rsidRPr="001C06E6" w:rsidRDefault="0012790E">
            <w:pPr>
              <w:pStyle w:val="MeasureTableDataRightAlignedwith2ptsspacing"/>
              <w:keepNext/>
            </w:pPr>
            <w:r w:rsidRPr="001C06E6">
              <w:t>-</w:t>
            </w:r>
          </w:p>
        </w:tc>
      </w:tr>
    </w:tbl>
    <w:p w14:paraId="76FD1776"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6679F83C" w14:textId="16D73A46" w:rsidR="0012790E" w:rsidRDefault="0012790E" w:rsidP="54937204">
      <w:pPr>
        <w:pStyle w:val="Normal2"/>
        <w:rPr>
          <w:rFonts w:cs="Book Antiqua"/>
          <w:lang w:val="en-US"/>
        </w:rPr>
      </w:pPr>
      <w:r w:rsidRPr="54937204">
        <w:rPr>
          <w:rFonts w:cs="Book Antiqua"/>
          <w:lang w:val="en-US"/>
        </w:rPr>
        <w:t xml:space="preserve">The Government will provide additional funding of $9.8 million over two years from </w:t>
      </w:r>
      <w:r w:rsidR="003E4EA1">
        <w:rPr>
          <w:rFonts w:cs="Book Antiqua"/>
          <w:lang w:val="en-US"/>
        </w:rPr>
        <w:br/>
      </w:r>
      <w:r w:rsidRPr="54937204">
        <w:rPr>
          <w:rFonts w:cs="Book Antiqua"/>
          <w:lang w:val="en-US"/>
        </w:rPr>
        <w:t xml:space="preserve">2024–25 for systems development to further support clients of the Parliamentary Expenses Management System. </w:t>
      </w:r>
    </w:p>
    <w:p w14:paraId="70350510" w14:textId="49D3B88C" w:rsidR="0012790E" w:rsidRDefault="0012790E" w:rsidP="54937204">
      <w:pPr>
        <w:pStyle w:val="Normal2"/>
        <w:rPr>
          <w:rFonts w:cs="Book Antiqua"/>
          <w:lang w:val="en-US"/>
        </w:rPr>
      </w:pPr>
      <w:r w:rsidRPr="54937204">
        <w:rPr>
          <w:rFonts w:cs="Book Antiqua"/>
          <w:lang w:val="en-US"/>
        </w:rPr>
        <w:t xml:space="preserve">This measure builds on the 2023–24 Budget measure titled </w:t>
      </w:r>
      <w:r w:rsidRPr="54937204">
        <w:rPr>
          <w:rFonts w:cs="Book Antiqua"/>
          <w:i/>
          <w:iCs/>
          <w:lang w:val="en-US"/>
        </w:rPr>
        <w:t>Finance Portfolio – additional</w:t>
      </w:r>
      <w:r w:rsidR="00EA2BDB">
        <w:rPr>
          <w:rFonts w:cs="Book Antiqua"/>
          <w:i/>
          <w:iCs/>
          <w:lang w:val="en-US"/>
        </w:rPr>
        <w:t> </w:t>
      </w:r>
      <w:r w:rsidRPr="54937204">
        <w:rPr>
          <w:rFonts w:cs="Book Antiqua"/>
          <w:i/>
          <w:iCs/>
          <w:lang w:val="en-US"/>
        </w:rPr>
        <w:t>resourcing</w:t>
      </w:r>
      <w:r w:rsidRPr="54937204">
        <w:rPr>
          <w:rFonts w:cs="Book Antiqua"/>
          <w:lang w:val="en-US"/>
        </w:rPr>
        <w:t xml:space="preserve">. </w:t>
      </w:r>
    </w:p>
    <w:p w14:paraId="7FED4449" w14:textId="77777777" w:rsidR="0012790E" w:rsidRPr="001C06E6" w:rsidRDefault="0012790E">
      <w:pPr>
        <w:pStyle w:val="MeasureTitle"/>
        <w:rPr>
          <w:b w:val="0"/>
          <w:bCs/>
        </w:rPr>
      </w:pPr>
      <w:r w:rsidRPr="001C06E6">
        <w:rPr>
          <w:bCs/>
        </w:rPr>
        <w:t>Snowy Hydro Limited</w:t>
      </w:r>
    </w:p>
    <w:p w14:paraId="4C619EBA"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5094EFC" w14:textId="77777777">
        <w:tc>
          <w:tcPr>
            <w:tcW w:w="2497" w:type="dxa"/>
            <w:tcBorders>
              <w:top w:val="single" w:sz="4" w:space="0" w:color="293F5B"/>
              <w:bottom w:val="single" w:sz="4" w:space="0" w:color="293F5B"/>
            </w:tcBorders>
            <w:shd w:val="clear" w:color="auto" w:fill="auto"/>
          </w:tcPr>
          <w:p w14:paraId="5813294C"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2243FBE"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3AE54E1"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1FB3B7F"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E261F13"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782EEA0" w14:textId="77777777" w:rsidR="0012790E" w:rsidRPr="001C06E6" w:rsidRDefault="0012790E">
            <w:pPr>
              <w:pStyle w:val="MeasureTableYearHeadings"/>
              <w:keepNext/>
            </w:pPr>
            <w:r w:rsidRPr="001C06E6">
              <w:t>2027</w:t>
            </w:r>
            <w:r>
              <w:noBreakHyphen/>
            </w:r>
            <w:r w:rsidRPr="001C06E6">
              <w:t>28</w:t>
            </w:r>
          </w:p>
        </w:tc>
      </w:tr>
      <w:tr w:rsidR="0012790E" w:rsidRPr="001C06E6" w14:paraId="4120B984" w14:textId="77777777">
        <w:tc>
          <w:tcPr>
            <w:tcW w:w="2497" w:type="dxa"/>
            <w:tcBorders>
              <w:top w:val="single" w:sz="4" w:space="0" w:color="293F5B"/>
              <w:bottom w:val="single" w:sz="4" w:space="0" w:color="293F5B"/>
            </w:tcBorders>
            <w:shd w:val="clear" w:color="auto" w:fill="auto"/>
          </w:tcPr>
          <w:p w14:paraId="4127F1BD"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3471B17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8B2A303" w14:textId="77777777" w:rsidR="0012790E" w:rsidRPr="001C06E6" w:rsidRDefault="0012790E">
            <w:pPr>
              <w:pStyle w:val="MeasureTableDataRightAlignedwith2ptsspacing"/>
              <w:keepNext/>
            </w:pPr>
            <w:r w:rsidRPr="001C06E6">
              <w:t>0.8</w:t>
            </w:r>
          </w:p>
        </w:tc>
        <w:tc>
          <w:tcPr>
            <w:tcW w:w="1045" w:type="dxa"/>
            <w:tcBorders>
              <w:top w:val="single" w:sz="4" w:space="0" w:color="293F5B"/>
              <w:bottom w:val="single" w:sz="4" w:space="0" w:color="293F5B"/>
            </w:tcBorders>
            <w:shd w:val="clear" w:color="auto" w:fill="auto"/>
          </w:tcPr>
          <w:p w14:paraId="48247013" w14:textId="77777777" w:rsidR="0012790E" w:rsidRPr="001C06E6" w:rsidRDefault="0012790E">
            <w:pPr>
              <w:pStyle w:val="MeasureTableDataRightAlignedwith2ptsspacing"/>
              <w:keepNext/>
            </w:pPr>
            <w:r w:rsidRPr="001C06E6">
              <w:t>0.4</w:t>
            </w:r>
          </w:p>
        </w:tc>
        <w:tc>
          <w:tcPr>
            <w:tcW w:w="1045" w:type="dxa"/>
            <w:tcBorders>
              <w:top w:val="single" w:sz="4" w:space="0" w:color="293F5B"/>
              <w:bottom w:val="single" w:sz="4" w:space="0" w:color="293F5B"/>
            </w:tcBorders>
            <w:shd w:val="clear" w:color="auto" w:fill="auto"/>
          </w:tcPr>
          <w:p w14:paraId="38EC5568" w14:textId="77777777" w:rsidR="0012790E" w:rsidRPr="001C06E6" w:rsidRDefault="0012790E">
            <w:pPr>
              <w:pStyle w:val="MeasureTableDataRightAlignedwith2ptsspacing"/>
              <w:keepNext/>
            </w:pPr>
            <w:r w:rsidRPr="001C06E6">
              <w:t>0.4</w:t>
            </w:r>
          </w:p>
        </w:tc>
        <w:tc>
          <w:tcPr>
            <w:tcW w:w="1045" w:type="dxa"/>
            <w:tcBorders>
              <w:top w:val="single" w:sz="4" w:space="0" w:color="293F5B"/>
              <w:bottom w:val="single" w:sz="4" w:space="0" w:color="293F5B"/>
            </w:tcBorders>
            <w:shd w:val="clear" w:color="auto" w:fill="auto"/>
          </w:tcPr>
          <w:p w14:paraId="5D953BB7" w14:textId="77777777" w:rsidR="0012790E" w:rsidRPr="001C06E6" w:rsidRDefault="0012790E">
            <w:pPr>
              <w:pStyle w:val="MeasureTableDataRightAlignedwith2ptsspacing"/>
              <w:keepNext/>
            </w:pPr>
            <w:r w:rsidRPr="001C06E6">
              <w:t>0.4</w:t>
            </w:r>
          </w:p>
        </w:tc>
      </w:tr>
      <w:tr w:rsidR="0012790E" w:rsidRPr="001C06E6" w14:paraId="0006EE92" w14:textId="77777777">
        <w:tc>
          <w:tcPr>
            <w:tcW w:w="2497" w:type="dxa"/>
            <w:tcBorders>
              <w:top w:val="single" w:sz="4" w:space="0" w:color="293F5B"/>
              <w:bottom w:val="single" w:sz="4" w:space="0" w:color="293F5B"/>
            </w:tcBorders>
            <w:shd w:val="clear" w:color="auto" w:fill="auto"/>
          </w:tcPr>
          <w:p w14:paraId="1F79D539"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1FF59E23"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CC0618F" w14:textId="77777777" w:rsidR="0012790E" w:rsidRPr="001C06E6" w:rsidRDefault="0012790E">
            <w:pPr>
              <w:pStyle w:val="MeasureTableDataRightAlignedwith2ptsspacing"/>
              <w:keepNext/>
            </w:pPr>
            <w:r>
              <w:t xml:space="preserve">0.4   </w:t>
            </w:r>
          </w:p>
        </w:tc>
        <w:tc>
          <w:tcPr>
            <w:tcW w:w="1045" w:type="dxa"/>
            <w:tcBorders>
              <w:top w:val="single" w:sz="4" w:space="0" w:color="293F5B"/>
              <w:bottom w:val="single" w:sz="4" w:space="0" w:color="293F5B"/>
            </w:tcBorders>
            <w:shd w:val="clear" w:color="auto" w:fill="auto"/>
          </w:tcPr>
          <w:p w14:paraId="6B6B714E" w14:textId="77777777" w:rsidR="0012790E" w:rsidRPr="001C06E6" w:rsidRDefault="0012790E">
            <w:pPr>
              <w:pStyle w:val="MeasureTableDataRightAlignedwith2ptsspacing"/>
              <w:keepNext/>
            </w:pPr>
            <w:r>
              <w:t xml:space="preserve">0.4   </w:t>
            </w:r>
          </w:p>
        </w:tc>
        <w:tc>
          <w:tcPr>
            <w:tcW w:w="1045" w:type="dxa"/>
            <w:tcBorders>
              <w:top w:val="single" w:sz="4" w:space="0" w:color="293F5B"/>
              <w:bottom w:val="single" w:sz="4" w:space="0" w:color="293F5B"/>
            </w:tcBorders>
            <w:shd w:val="clear" w:color="auto" w:fill="auto"/>
          </w:tcPr>
          <w:p w14:paraId="13E6ACAF" w14:textId="77777777" w:rsidR="0012790E" w:rsidRPr="001C06E6" w:rsidRDefault="0012790E">
            <w:pPr>
              <w:pStyle w:val="MeasureTableDataRightAlignedwith2ptsspacing"/>
              <w:keepNext/>
            </w:pPr>
            <w:r>
              <w:t xml:space="preserve">0.4   </w:t>
            </w:r>
          </w:p>
        </w:tc>
        <w:tc>
          <w:tcPr>
            <w:tcW w:w="1045" w:type="dxa"/>
            <w:tcBorders>
              <w:top w:val="single" w:sz="4" w:space="0" w:color="293F5B"/>
              <w:bottom w:val="single" w:sz="4" w:space="0" w:color="293F5B"/>
            </w:tcBorders>
            <w:shd w:val="clear" w:color="auto" w:fill="auto"/>
          </w:tcPr>
          <w:p w14:paraId="137B660E" w14:textId="77777777" w:rsidR="0012790E" w:rsidRPr="001C06E6" w:rsidRDefault="0012790E">
            <w:pPr>
              <w:pStyle w:val="MeasureTableDataRightAlignedwith2ptsspacing"/>
              <w:keepNext/>
            </w:pPr>
            <w:r>
              <w:t xml:space="preserve">0.4   </w:t>
            </w:r>
          </w:p>
        </w:tc>
      </w:tr>
      <w:tr w:rsidR="0012790E" w:rsidRPr="001C06E6" w14:paraId="4FA7E2CA" w14:textId="77777777">
        <w:tc>
          <w:tcPr>
            <w:tcW w:w="2497" w:type="dxa"/>
            <w:tcBorders>
              <w:top w:val="single" w:sz="4" w:space="0" w:color="293F5B"/>
              <w:bottom w:val="single" w:sz="4" w:space="0" w:color="293F5B"/>
            </w:tcBorders>
            <w:shd w:val="clear" w:color="auto" w:fill="auto"/>
          </w:tcPr>
          <w:p w14:paraId="24FB1575"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4F72E8BF"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0657B431" w14:textId="77777777" w:rsidR="0012790E" w:rsidRPr="001C06E6" w:rsidRDefault="0012790E">
            <w:pPr>
              <w:pStyle w:val="Totaldatarowrightaligned"/>
              <w:keepNext/>
            </w:pPr>
            <w:r w:rsidRPr="001C06E6">
              <w:t>1.3</w:t>
            </w:r>
          </w:p>
        </w:tc>
        <w:tc>
          <w:tcPr>
            <w:tcW w:w="1045" w:type="dxa"/>
            <w:tcBorders>
              <w:top w:val="single" w:sz="4" w:space="0" w:color="293F5B"/>
              <w:bottom w:val="single" w:sz="4" w:space="0" w:color="293F5B"/>
            </w:tcBorders>
            <w:shd w:val="clear" w:color="auto" w:fill="auto"/>
          </w:tcPr>
          <w:p w14:paraId="6DA8763E" w14:textId="77777777" w:rsidR="0012790E" w:rsidRPr="001C06E6" w:rsidRDefault="0012790E">
            <w:pPr>
              <w:pStyle w:val="Totaldatarowrightaligned"/>
              <w:keepNext/>
            </w:pPr>
            <w:r w:rsidRPr="001C06E6">
              <w:t>0.7</w:t>
            </w:r>
          </w:p>
        </w:tc>
        <w:tc>
          <w:tcPr>
            <w:tcW w:w="1045" w:type="dxa"/>
            <w:tcBorders>
              <w:top w:val="single" w:sz="4" w:space="0" w:color="293F5B"/>
              <w:bottom w:val="single" w:sz="4" w:space="0" w:color="293F5B"/>
            </w:tcBorders>
            <w:shd w:val="clear" w:color="auto" w:fill="auto"/>
          </w:tcPr>
          <w:p w14:paraId="72CD1C6F" w14:textId="77777777" w:rsidR="0012790E" w:rsidRPr="001C06E6" w:rsidRDefault="0012790E">
            <w:pPr>
              <w:pStyle w:val="Totaldatarowrightaligned"/>
              <w:keepNext/>
            </w:pPr>
            <w:r w:rsidRPr="001C06E6">
              <w:t>0.8</w:t>
            </w:r>
          </w:p>
        </w:tc>
        <w:tc>
          <w:tcPr>
            <w:tcW w:w="1045" w:type="dxa"/>
            <w:tcBorders>
              <w:top w:val="single" w:sz="4" w:space="0" w:color="293F5B"/>
              <w:bottom w:val="single" w:sz="4" w:space="0" w:color="293F5B"/>
            </w:tcBorders>
            <w:shd w:val="clear" w:color="auto" w:fill="auto"/>
          </w:tcPr>
          <w:p w14:paraId="41C8CE87" w14:textId="77777777" w:rsidR="0012790E" w:rsidRPr="001C06E6" w:rsidRDefault="0012790E">
            <w:pPr>
              <w:pStyle w:val="Totaldatarowrightaligned"/>
              <w:keepNext/>
            </w:pPr>
            <w:r w:rsidRPr="001C06E6">
              <w:t>0.8</w:t>
            </w:r>
          </w:p>
        </w:tc>
      </w:tr>
      <w:tr w:rsidR="0012790E" w:rsidRPr="001C06E6" w14:paraId="368263D3" w14:textId="77777777">
        <w:tc>
          <w:tcPr>
            <w:tcW w:w="2497" w:type="dxa"/>
            <w:tcBorders>
              <w:top w:val="single" w:sz="4" w:space="0" w:color="293F5B"/>
            </w:tcBorders>
            <w:shd w:val="clear" w:color="auto" w:fill="auto"/>
          </w:tcPr>
          <w:p w14:paraId="76B43FBD"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7BFE2620" w14:textId="77777777" w:rsidR="0012790E" w:rsidRPr="001C06E6" w:rsidRDefault="0012790E">
            <w:pPr>
              <w:pStyle w:val="AgencyName"/>
              <w:keepNext/>
            </w:pPr>
          </w:p>
        </w:tc>
        <w:tc>
          <w:tcPr>
            <w:tcW w:w="1045" w:type="dxa"/>
            <w:tcBorders>
              <w:top w:val="single" w:sz="4" w:space="0" w:color="293F5B"/>
            </w:tcBorders>
            <w:shd w:val="clear" w:color="auto" w:fill="auto"/>
          </w:tcPr>
          <w:p w14:paraId="60098C30" w14:textId="77777777" w:rsidR="0012790E" w:rsidRPr="001C06E6" w:rsidRDefault="0012790E">
            <w:pPr>
              <w:pStyle w:val="AgencyName"/>
              <w:keepNext/>
            </w:pPr>
          </w:p>
        </w:tc>
        <w:tc>
          <w:tcPr>
            <w:tcW w:w="1045" w:type="dxa"/>
            <w:tcBorders>
              <w:top w:val="single" w:sz="4" w:space="0" w:color="293F5B"/>
            </w:tcBorders>
            <w:shd w:val="clear" w:color="auto" w:fill="auto"/>
          </w:tcPr>
          <w:p w14:paraId="6954034C" w14:textId="77777777" w:rsidR="0012790E" w:rsidRPr="001C06E6" w:rsidRDefault="0012790E">
            <w:pPr>
              <w:pStyle w:val="AgencyName"/>
              <w:keepNext/>
            </w:pPr>
          </w:p>
        </w:tc>
        <w:tc>
          <w:tcPr>
            <w:tcW w:w="1045" w:type="dxa"/>
            <w:tcBorders>
              <w:top w:val="single" w:sz="4" w:space="0" w:color="293F5B"/>
            </w:tcBorders>
            <w:shd w:val="clear" w:color="auto" w:fill="auto"/>
          </w:tcPr>
          <w:p w14:paraId="570F7019" w14:textId="77777777" w:rsidR="0012790E" w:rsidRPr="001C06E6" w:rsidRDefault="0012790E">
            <w:pPr>
              <w:pStyle w:val="AgencyName"/>
              <w:keepNext/>
            </w:pPr>
          </w:p>
        </w:tc>
        <w:tc>
          <w:tcPr>
            <w:tcW w:w="1045" w:type="dxa"/>
            <w:tcBorders>
              <w:top w:val="single" w:sz="4" w:space="0" w:color="293F5B"/>
            </w:tcBorders>
            <w:shd w:val="clear" w:color="auto" w:fill="auto"/>
          </w:tcPr>
          <w:p w14:paraId="064C41BB" w14:textId="77777777" w:rsidR="0012790E" w:rsidRPr="001C06E6" w:rsidRDefault="0012790E">
            <w:pPr>
              <w:pStyle w:val="AgencyName"/>
              <w:keepNext/>
            </w:pPr>
          </w:p>
        </w:tc>
      </w:tr>
      <w:tr w:rsidR="0012790E" w:rsidRPr="001C06E6" w14:paraId="100DE476" w14:textId="77777777">
        <w:tc>
          <w:tcPr>
            <w:tcW w:w="2497" w:type="dxa"/>
            <w:tcBorders>
              <w:bottom w:val="single" w:sz="4" w:space="0" w:color="293F5B"/>
            </w:tcBorders>
            <w:shd w:val="clear" w:color="auto" w:fill="auto"/>
          </w:tcPr>
          <w:p w14:paraId="433C54AB" w14:textId="77777777" w:rsidR="0012790E" w:rsidRPr="001C06E6" w:rsidRDefault="0012790E" w:rsidP="002079A9">
            <w:pPr>
              <w:pStyle w:val="AgencyNamewith2ptsspacing"/>
            </w:pPr>
            <w:r w:rsidRPr="001C06E6">
              <w:t xml:space="preserve">Department of </w:t>
            </w:r>
            <w:r w:rsidRPr="002079A9">
              <w:t>Finance</w:t>
            </w:r>
          </w:p>
        </w:tc>
        <w:tc>
          <w:tcPr>
            <w:tcW w:w="1045" w:type="dxa"/>
            <w:tcBorders>
              <w:bottom w:val="single" w:sz="4" w:space="0" w:color="293F5B"/>
            </w:tcBorders>
            <w:shd w:val="clear" w:color="auto" w:fill="auto"/>
          </w:tcPr>
          <w:p w14:paraId="7C88F4BE"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2D2207F3" w14:textId="77777777" w:rsidR="0012790E" w:rsidRPr="001C06E6" w:rsidRDefault="0012790E">
            <w:pPr>
              <w:pStyle w:val="Measuretabledatarightaligneditalics"/>
              <w:keepNext/>
            </w:pPr>
            <w:r w:rsidRPr="001C06E6">
              <w:t>nfp</w:t>
            </w:r>
          </w:p>
        </w:tc>
        <w:tc>
          <w:tcPr>
            <w:tcW w:w="1045" w:type="dxa"/>
            <w:tcBorders>
              <w:bottom w:val="single" w:sz="4" w:space="0" w:color="293F5B"/>
            </w:tcBorders>
            <w:shd w:val="clear" w:color="auto" w:fill="auto"/>
          </w:tcPr>
          <w:p w14:paraId="0D97B08D" w14:textId="77777777" w:rsidR="0012790E" w:rsidRPr="001C06E6" w:rsidRDefault="0012790E">
            <w:pPr>
              <w:pStyle w:val="Measuretabledatarightaligneditalics"/>
              <w:keepNext/>
            </w:pPr>
            <w:r w:rsidRPr="001C06E6">
              <w:t>nfp</w:t>
            </w:r>
          </w:p>
        </w:tc>
        <w:tc>
          <w:tcPr>
            <w:tcW w:w="1045" w:type="dxa"/>
            <w:tcBorders>
              <w:bottom w:val="single" w:sz="4" w:space="0" w:color="293F5B"/>
            </w:tcBorders>
            <w:shd w:val="clear" w:color="auto" w:fill="auto"/>
          </w:tcPr>
          <w:p w14:paraId="0F5CB857" w14:textId="77777777" w:rsidR="0012790E" w:rsidRPr="001C06E6" w:rsidRDefault="0012790E">
            <w:pPr>
              <w:pStyle w:val="Measuretabledatarightaligneditalics"/>
              <w:keepNext/>
            </w:pPr>
            <w:r w:rsidRPr="001C06E6">
              <w:t>nfp</w:t>
            </w:r>
          </w:p>
        </w:tc>
        <w:tc>
          <w:tcPr>
            <w:tcW w:w="1045" w:type="dxa"/>
            <w:tcBorders>
              <w:bottom w:val="single" w:sz="4" w:space="0" w:color="293F5B"/>
            </w:tcBorders>
            <w:shd w:val="clear" w:color="auto" w:fill="auto"/>
          </w:tcPr>
          <w:p w14:paraId="73188E09" w14:textId="77777777" w:rsidR="0012790E" w:rsidRPr="001C06E6" w:rsidRDefault="0012790E">
            <w:pPr>
              <w:pStyle w:val="Measuretabledatarightaligneditalics"/>
              <w:keepNext/>
            </w:pPr>
            <w:r w:rsidRPr="001C06E6">
              <w:t>nfp</w:t>
            </w:r>
          </w:p>
        </w:tc>
      </w:tr>
    </w:tbl>
    <w:p w14:paraId="000239A5" w14:textId="77777777" w:rsidR="0012790E" w:rsidRPr="001C06E6" w:rsidRDefault="0012790E">
      <w:pPr>
        <w:keepNext/>
        <w:widowControl w:val="0"/>
        <w:tabs>
          <w:tab w:val="right" w:pos="3536"/>
          <w:tab w:val="right" w:pos="4579"/>
          <w:tab w:val="right" w:pos="5622"/>
          <w:tab w:val="right" w:pos="6664"/>
          <w:tab w:val="right" w:pos="7707"/>
        </w:tabs>
        <w:spacing w:line="240" w:lineRule="exact"/>
        <w:rPr>
          <w:i/>
          <w:iCs/>
          <w:color w:val="000000"/>
          <w:sz w:val="16"/>
          <w:szCs w:val="16"/>
          <w:lang w:val="en-AU"/>
        </w:rPr>
      </w:pPr>
    </w:p>
    <w:p w14:paraId="706A19F3" w14:textId="77777777" w:rsidR="0012790E" w:rsidRDefault="0012790E" w:rsidP="54937204">
      <w:pPr>
        <w:pStyle w:val="Normal2"/>
        <w:rPr>
          <w:rFonts w:cs="Book Antiqua"/>
          <w:lang w:val="en-US"/>
        </w:rPr>
      </w:pPr>
      <w:r w:rsidRPr="54937204">
        <w:rPr>
          <w:rFonts w:cs="Book Antiqua"/>
          <w:lang w:val="en-US"/>
        </w:rPr>
        <w:t>The Government will provide $7.1 billion over four years from 2024–25 to Snowy Hydro Limited to support continued construction of Snowy 2.0. Funding includes:</w:t>
      </w:r>
    </w:p>
    <w:p w14:paraId="31726329" w14:textId="2E267397" w:rsidR="0012790E" w:rsidRDefault="0012790E">
      <w:pPr>
        <w:pStyle w:val="Bullet"/>
      </w:pPr>
      <w:r w:rsidRPr="001C06E6">
        <w:t xml:space="preserve">a $4.5 billion construction period loan over four years from </w:t>
      </w:r>
      <w:r>
        <w:t>2024–25</w:t>
      </w:r>
      <w:r w:rsidRPr="001C06E6">
        <w:t xml:space="preserve">, provided on commercial terms and expected to be refinanced by Snowy Hydro Limited from </w:t>
      </w:r>
      <w:r w:rsidR="006B7A83">
        <w:br/>
      </w:r>
      <w:r>
        <w:t>2029–30</w:t>
      </w:r>
      <w:r w:rsidRPr="001C06E6">
        <w:t xml:space="preserve"> onwards once Snowy 2.0 is operational</w:t>
      </w:r>
      <w:r>
        <w:t xml:space="preserve"> </w:t>
      </w:r>
    </w:p>
    <w:p w14:paraId="0C52E21B" w14:textId="77777777" w:rsidR="0012790E" w:rsidRDefault="0012790E">
      <w:pPr>
        <w:pStyle w:val="Bullet"/>
      </w:pPr>
      <w:r w:rsidRPr="001C06E6">
        <w:t xml:space="preserve">$2.6 billion in equity over two years from </w:t>
      </w:r>
      <w:r>
        <w:t>2024–25</w:t>
      </w:r>
      <w:r w:rsidRPr="001C06E6">
        <w:t>.</w:t>
      </w:r>
      <w:r>
        <w:t xml:space="preserve"> </w:t>
      </w:r>
    </w:p>
    <w:p w14:paraId="62B8E0DA" w14:textId="77777777" w:rsidR="0012790E" w:rsidRDefault="0012790E">
      <w:pPr>
        <w:pStyle w:val="Normal2"/>
        <w:rPr>
          <w:rFonts w:cs="Book Antiqua"/>
        </w:rPr>
      </w:pPr>
      <w:r w:rsidRPr="001C06E6">
        <w:rPr>
          <w:rFonts w:cs="Book Antiqua"/>
        </w:rPr>
        <w:t>The Government will also provide:</w:t>
      </w:r>
    </w:p>
    <w:p w14:paraId="6996EA21" w14:textId="77777777" w:rsidR="0012790E" w:rsidRDefault="0012790E">
      <w:pPr>
        <w:pStyle w:val="Bullet"/>
      </w:pPr>
      <w:r w:rsidRPr="001C06E6">
        <w:t xml:space="preserve">$2.0 million over four years from </w:t>
      </w:r>
      <w:r>
        <w:t>2024–25</w:t>
      </w:r>
      <w:r w:rsidRPr="001C06E6">
        <w:t xml:space="preserve"> (and $2.4 million from </w:t>
      </w:r>
      <w:r>
        <w:t>2028–29</w:t>
      </w:r>
      <w:r w:rsidRPr="001C06E6">
        <w:t xml:space="preserve"> to </w:t>
      </w:r>
      <w:r>
        <w:t>2033–34</w:t>
      </w:r>
      <w:r w:rsidRPr="001C06E6">
        <w:t>) to the Department of Finance to administer the loan</w:t>
      </w:r>
      <w:r>
        <w:t xml:space="preserve"> </w:t>
      </w:r>
    </w:p>
    <w:p w14:paraId="5DA0D325" w14:textId="77777777" w:rsidR="0012790E" w:rsidRDefault="0012790E">
      <w:pPr>
        <w:pStyle w:val="Bullet"/>
      </w:pPr>
      <w:r w:rsidRPr="001C06E6">
        <w:t>$1.5</w:t>
      </w:r>
      <w:r>
        <w:t> </w:t>
      </w:r>
      <w:r w:rsidRPr="001C06E6">
        <w:t xml:space="preserve">million over four years from </w:t>
      </w:r>
      <w:r>
        <w:t>2024–25</w:t>
      </w:r>
      <w:r w:rsidRPr="001C06E6">
        <w:t xml:space="preserve"> (and $0.4</w:t>
      </w:r>
      <w:r>
        <w:t> </w:t>
      </w:r>
      <w:r w:rsidRPr="001C06E6">
        <w:t>million per year ongoing) to the Department of Climate Change, Energy, the Environment and Water to administer the equity investment.</w:t>
      </w:r>
      <w:r>
        <w:t xml:space="preserve"> </w:t>
      </w:r>
    </w:p>
    <w:p w14:paraId="7DD12680" w14:textId="77777777" w:rsidR="0012790E" w:rsidRDefault="0012790E" w:rsidP="54937204">
      <w:pPr>
        <w:pStyle w:val="Normal2"/>
        <w:rPr>
          <w:rFonts w:cs="Book Antiqua"/>
          <w:lang w:val="en-US"/>
        </w:rPr>
      </w:pPr>
      <w:r w:rsidRPr="54937204">
        <w:rPr>
          <w:rFonts w:cs="Book Antiqua"/>
          <w:lang w:val="en-US"/>
        </w:rPr>
        <w:t xml:space="preserve">Interest receipts for this measure are commercially sensitive and not for publication (nfp) as disclosure would impair Snowy Hydro’s negotiating position with third parties. </w:t>
      </w:r>
    </w:p>
    <w:p w14:paraId="5BBF0A90" w14:textId="77777777" w:rsidR="0012790E" w:rsidRDefault="0012790E">
      <w:pPr>
        <w:pStyle w:val="PortfolioName"/>
        <w:rPr>
          <w:bCs/>
          <w:szCs w:val="26"/>
        </w:rPr>
        <w:sectPr w:rsidR="0012790E" w:rsidSect="00EA5BFE">
          <w:pgSz w:w="11905" w:h="16837"/>
          <w:pgMar w:top="2835" w:right="2098" w:bottom="2466" w:left="2098" w:header="1814" w:footer="1814" w:gutter="0"/>
          <w:cols w:space="720"/>
          <w:noEndnote/>
          <w:docGrid w:linePitch="272"/>
        </w:sectPr>
      </w:pPr>
    </w:p>
    <w:p w14:paraId="4B051F23" w14:textId="77777777" w:rsidR="0012790E" w:rsidRPr="001C06E6" w:rsidRDefault="0012790E">
      <w:pPr>
        <w:pStyle w:val="PortfolioName"/>
      </w:pPr>
      <w:r w:rsidRPr="001C06E6">
        <w:rPr>
          <w:bCs/>
          <w:szCs w:val="26"/>
        </w:rPr>
        <w:t>Foreign Affairs and Trade</w:t>
      </w:r>
    </w:p>
    <w:p w14:paraId="1E885FFA" w14:textId="77777777" w:rsidR="0012790E" w:rsidRPr="001C06E6" w:rsidRDefault="0012790E">
      <w:pPr>
        <w:pStyle w:val="MeasureTitle"/>
      </w:pPr>
      <w:r w:rsidRPr="54937204">
        <w:rPr>
          <w:lang w:val="en-US"/>
        </w:rPr>
        <w:t>Australia</w:t>
      </w:r>
      <w:r>
        <w:rPr>
          <w:bCs/>
        </w:rPr>
        <w:noBreakHyphen/>
      </w:r>
      <w:r w:rsidRPr="54937204">
        <w:rPr>
          <w:lang w:val="en-US"/>
        </w:rPr>
        <w:t>France Enhanced Relations</w:t>
      </w:r>
    </w:p>
    <w:p w14:paraId="70D6C0A0"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600CA1A" w14:textId="77777777">
        <w:tc>
          <w:tcPr>
            <w:tcW w:w="2497" w:type="dxa"/>
            <w:tcBorders>
              <w:top w:val="single" w:sz="4" w:space="0" w:color="293F5B"/>
              <w:bottom w:val="single" w:sz="4" w:space="0" w:color="293F5B"/>
            </w:tcBorders>
            <w:shd w:val="clear" w:color="auto" w:fill="auto"/>
          </w:tcPr>
          <w:p w14:paraId="79A8ACE9"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6FE7156"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A4ED278"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CED4AD1"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65C0C43"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44F6C76" w14:textId="77777777" w:rsidR="0012790E" w:rsidRPr="001C06E6" w:rsidRDefault="0012790E">
            <w:pPr>
              <w:pStyle w:val="MeasureTableYearHeadings"/>
              <w:keepNext/>
            </w:pPr>
            <w:r w:rsidRPr="001C06E6">
              <w:t>2027</w:t>
            </w:r>
            <w:r>
              <w:noBreakHyphen/>
            </w:r>
            <w:r w:rsidRPr="001C06E6">
              <w:t>28</w:t>
            </w:r>
          </w:p>
        </w:tc>
      </w:tr>
      <w:tr w:rsidR="0012790E" w:rsidRPr="001C06E6" w14:paraId="789CCDCA" w14:textId="77777777">
        <w:tc>
          <w:tcPr>
            <w:tcW w:w="2497" w:type="dxa"/>
            <w:tcBorders>
              <w:top w:val="single" w:sz="4" w:space="0" w:color="293F5B"/>
              <w:bottom w:val="single" w:sz="4" w:space="0" w:color="293F5B"/>
            </w:tcBorders>
            <w:shd w:val="clear" w:color="auto" w:fill="auto"/>
          </w:tcPr>
          <w:p w14:paraId="57561C1D" w14:textId="77777777" w:rsidR="0012790E" w:rsidRPr="001C06E6" w:rsidRDefault="0012790E">
            <w:pPr>
              <w:pStyle w:val="MeasureTableHeadingleftalignedwith2ptsspacing"/>
              <w:keepNext/>
            </w:pPr>
            <w:r>
              <w:t xml:space="preserve">Department of Foreign Affairs and Trade </w:t>
            </w:r>
          </w:p>
        </w:tc>
        <w:tc>
          <w:tcPr>
            <w:tcW w:w="1045" w:type="dxa"/>
            <w:tcBorders>
              <w:top w:val="single" w:sz="4" w:space="0" w:color="293F5B"/>
              <w:bottom w:val="single" w:sz="4" w:space="0" w:color="293F5B"/>
            </w:tcBorders>
            <w:shd w:val="clear" w:color="auto" w:fill="auto"/>
          </w:tcPr>
          <w:p w14:paraId="1D81681E" w14:textId="060625C6" w:rsidR="0012790E" w:rsidRPr="001C06E6" w:rsidRDefault="00946208">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088409BD" w14:textId="34E3D6C6" w:rsidR="0012790E" w:rsidRPr="001C06E6" w:rsidRDefault="00946208">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4C764C09" w14:textId="23B34C76" w:rsidR="0012790E" w:rsidRPr="001C06E6" w:rsidRDefault="00946208">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714FCDD5" w14:textId="30891F3D" w:rsidR="0012790E" w:rsidRPr="001C06E6" w:rsidRDefault="00946208">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1D98590B" w14:textId="17802EDF" w:rsidR="0012790E" w:rsidRPr="001C06E6" w:rsidRDefault="00946208">
            <w:pPr>
              <w:pStyle w:val="MeasureTableDataRightAlignedwith2ptsspacing"/>
              <w:keepNext/>
            </w:pPr>
            <w:r>
              <w:t>-</w:t>
            </w:r>
            <w:r w:rsidR="0012790E">
              <w:t xml:space="preserve"> </w:t>
            </w:r>
          </w:p>
        </w:tc>
      </w:tr>
      <w:tr w:rsidR="0012790E" w:rsidRPr="001C06E6" w14:paraId="34009815" w14:textId="77777777">
        <w:tc>
          <w:tcPr>
            <w:tcW w:w="2497" w:type="dxa"/>
            <w:tcBorders>
              <w:top w:val="single" w:sz="4" w:space="0" w:color="293F5B"/>
              <w:bottom w:val="single" w:sz="4" w:space="0" w:color="293F5B"/>
            </w:tcBorders>
            <w:shd w:val="clear" w:color="auto" w:fill="auto"/>
          </w:tcPr>
          <w:p w14:paraId="328FB392"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4DE8C52D" w14:textId="2B92CDF8" w:rsidR="0012790E" w:rsidRPr="001C06E6" w:rsidRDefault="00946208">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75E120B8" w14:textId="39F47C56" w:rsidR="0012790E" w:rsidRPr="001C06E6" w:rsidRDefault="00946208">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58B116B9" w14:textId="7352AF87" w:rsidR="0012790E" w:rsidRPr="001C06E6" w:rsidRDefault="00946208">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1CC195FE" w14:textId="4624C867" w:rsidR="0012790E" w:rsidRPr="001C06E6" w:rsidRDefault="00946208">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49A4027F" w14:textId="77777777" w:rsidR="0012790E" w:rsidRPr="001C06E6" w:rsidRDefault="0012790E">
            <w:pPr>
              <w:pStyle w:val="MeasureTableDataRightAlignedwith2ptsspacing"/>
              <w:keepNext/>
            </w:pPr>
            <w:r>
              <w:t xml:space="preserve">-   </w:t>
            </w:r>
          </w:p>
        </w:tc>
      </w:tr>
      <w:tr w:rsidR="0012790E" w:rsidRPr="001C06E6" w14:paraId="043668CF" w14:textId="77777777">
        <w:tc>
          <w:tcPr>
            <w:tcW w:w="2497" w:type="dxa"/>
            <w:tcBorders>
              <w:top w:val="single" w:sz="4" w:space="0" w:color="293F5B"/>
              <w:bottom w:val="single" w:sz="4" w:space="0" w:color="293F5B"/>
            </w:tcBorders>
            <w:shd w:val="clear" w:color="auto" w:fill="auto"/>
          </w:tcPr>
          <w:p w14:paraId="15D71E38"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78AF13D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F994CF0" w14:textId="0C28E2B9" w:rsidR="0012790E" w:rsidRPr="001C06E6" w:rsidRDefault="00895BB1">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67297C9C" w14:textId="178E9BBE" w:rsidR="0012790E" w:rsidRPr="001C06E6" w:rsidRDefault="00895BB1">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3D9E5C64" w14:textId="54F974E8" w:rsidR="0012790E" w:rsidRPr="001C06E6" w:rsidRDefault="00895BB1">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7F4B3B7F" w14:textId="0106BA8F" w:rsidR="0012790E" w:rsidRPr="001C06E6" w:rsidRDefault="00895BB1">
            <w:pPr>
              <w:pStyle w:val="MeasureTableDataRightAlignedwith2ptsspacing"/>
              <w:keepNext/>
            </w:pPr>
            <w:r>
              <w:t>-</w:t>
            </w:r>
          </w:p>
        </w:tc>
      </w:tr>
      <w:tr w:rsidR="0012790E" w:rsidRPr="001C06E6" w14:paraId="76B73407" w14:textId="77777777">
        <w:tc>
          <w:tcPr>
            <w:tcW w:w="2497" w:type="dxa"/>
            <w:tcBorders>
              <w:top w:val="single" w:sz="4" w:space="0" w:color="293F5B"/>
              <w:bottom w:val="single" w:sz="4" w:space="0" w:color="293F5B"/>
            </w:tcBorders>
            <w:shd w:val="clear" w:color="auto" w:fill="auto"/>
          </w:tcPr>
          <w:p w14:paraId="63E5C248"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005B33BB"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45DC2BCE"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2A895162"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7103F2C4"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F85450F" w14:textId="77777777" w:rsidR="0012790E" w:rsidRPr="001C06E6" w:rsidRDefault="0012790E">
            <w:pPr>
              <w:pStyle w:val="Totaldatarowrightaligned"/>
              <w:keepNext/>
            </w:pPr>
            <w:r w:rsidRPr="001C06E6">
              <w:t>-</w:t>
            </w:r>
          </w:p>
        </w:tc>
      </w:tr>
    </w:tbl>
    <w:p w14:paraId="6D53D9BD"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44D528C3" w14:textId="77777777" w:rsidR="0012790E" w:rsidRDefault="0012790E" w:rsidP="54937204">
      <w:pPr>
        <w:pStyle w:val="Normal2"/>
        <w:rPr>
          <w:rFonts w:cs="Book Antiqua"/>
          <w:lang w:val="en-US"/>
        </w:rPr>
      </w:pPr>
      <w:r w:rsidRPr="54937204">
        <w:rPr>
          <w:rFonts w:cs="Book Antiqua"/>
          <w:lang w:val="en-US"/>
        </w:rPr>
        <w:t>The Government will provide $20.7 million over five years from 2023–24 (and $3.9 million per year ongoing) to deliver the Australia</w:t>
      </w:r>
      <w:r>
        <w:rPr>
          <w:rFonts w:cs="Book Antiqua"/>
        </w:rPr>
        <w:noBreakHyphen/>
      </w:r>
      <w:r w:rsidRPr="54937204">
        <w:rPr>
          <w:rFonts w:cs="Book Antiqua"/>
          <w:lang w:val="en-US"/>
        </w:rPr>
        <w:t>France Roadmap. The roadmap establishes a new agenda for bilateral cooperation across defence and security, resilience and climate action, and education and culture. This measure will support:</w:t>
      </w:r>
    </w:p>
    <w:p w14:paraId="4089997B" w14:textId="77777777" w:rsidR="0012790E" w:rsidRDefault="0012790E">
      <w:pPr>
        <w:pStyle w:val="Bullet"/>
      </w:pPr>
      <w:r w:rsidRPr="001C06E6">
        <w:t>an Australia</w:t>
      </w:r>
      <w:r>
        <w:noBreakHyphen/>
      </w:r>
      <w:r w:rsidRPr="001C06E6">
        <w:t>France Centre of Excellence for the Indo</w:t>
      </w:r>
      <w:r>
        <w:noBreakHyphen/>
      </w:r>
      <w:r w:rsidRPr="001C06E6">
        <w:t>Pacific, including the Indo</w:t>
      </w:r>
      <w:r>
        <w:noBreakHyphen/>
      </w:r>
      <w:r w:rsidRPr="001C06E6">
        <w:t>Pacific Studies Program, to support academic and professional engagement on security and defence trends to shape policymaking to respond to Indo</w:t>
      </w:r>
      <w:r>
        <w:noBreakHyphen/>
      </w:r>
      <w:r w:rsidRPr="001C06E6">
        <w:t>Pacific needs, and establishment of the France</w:t>
      </w:r>
      <w:r>
        <w:noBreakHyphen/>
      </w:r>
      <w:r w:rsidRPr="001C06E6">
        <w:t>Australia Centre for Energy Transition to support regional climate goals</w:t>
      </w:r>
      <w:r>
        <w:t xml:space="preserve"> </w:t>
      </w:r>
    </w:p>
    <w:p w14:paraId="79D1D8F3" w14:textId="77777777" w:rsidR="0012790E" w:rsidRDefault="0012790E">
      <w:pPr>
        <w:pStyle w:val="Bullet"/>
      </w:pPr>
      <w:r w:rsidRPr="001C06E6">
        <w:t>expansion of the Australia Awards program in the French Pacific territories</w:t>
      </w:r>
      <w:r>
        <w:t xml:space="preserve"> </w:t>
      </w:r>
    </w:p>
    <w:p w14:paraId="027CD73F" w14:textId="77777777" w:rsidR="0012790E" w:rsidRDefault="0012790E">
      <w:pPr>
        <w:pStyle w:val="Bullet"/>
      </w:pPr>
      <w:r w:rsidRPr="001C06E6">
        <w:t>an annual Hawke</w:t>
      </w:r>
      <w:r>
        <w:noBreakHyphen/>
      </w:r>
      <w:r w:rsidRPr="001C06E6">
        <w:t>Rocard Medal for Outstanding Achievement in Protecting the Antarctic Environment</w:t>
      </w:r>
      <w:r>
        <w:t xml:space="preserve"> </w:t>
      </w:r>
    </w:p>
    <w:p w14:paraId="0A5A2DD5" w14:textId="77777777" w:rsidR="0012790E" w:rsidRDefault="0012790E">
      <w:pPr>
        <w:pStyle w:val="Bullet"/>
      </w:pPr>
      <w:r w:rsidRPr="001C06E6">
        <w:t>enhanced Australian cultural promotion in France</w:t>
      </w:r>
      <w:r>
        <w:t xml:space="preserve"> </w:t>
      </w:r>
    </w:p>
    <w:p w14:paraId="409D02B9" w14:textId="6F02CBB0" w:rsidR="0012790E" w:rsidRDefault="0012790E">
      <w:pPr>
        <w:pStyle w:val="Bullet"/>
      </w:pPr>
      <w:r w:rsidRPr="001C06E6">
        <w:t>sharing of expertise on hosting major sporting events, with a focus on inclusivity and</w:t>
      </w:r>
      <w:r w:rsidR="00EA2BDB">
        <w:t> </w:t>
      </w:r>
      <w:r w:rsidRPr="001C06E6">
        <w:t>sustainability.</w:t>
      </w:r>
      <w:r>
        <w:t xml:space="preserve"> </w:t>
      </w:r>
    </w:p>
    <w:p w14:paraId="627E4278" w14:textId="77777777" w:rsidR="0012790E" w:rsidRDefault="0012790E" w:rsidP="54937204">
      <w:pPr>
        <w:pStyle w:val="Normal2"/>
        <w:rPr>
          <w:rFonts w:cs="Book Antiqua"/>
          <w:lang w:val="en-US"/>
        </w:rPr>
      </w:pPr>
      <w:r w:rsidRPr="54937204">
        <w:rPr>
          <w:rFonts w:cs="Book Antiqua"/>
          <w:lang w:val="en-US"/>
        </w:rPr>
        <w:t xml:space="preserve">Funding for this measure has already been provided for by the Government. </w:t>
      </w:r>
    </w:p>
    <w:p w14:paraId="20C8ED42" w14:textId="77777777" w:rsidR="0012790E" w:rsidRPr="001C06E6" w:rsidRDefault="0012790E">
      <w:pPr>
        <w:pStyle w:val="MeasureTitle"/>
        <w:rPr>
          <w:b w:val="0"/>
          <w:bCs/>
        </w:rPr>
      </w:pPr>
      <w:r w:rsidRPr="001C06E6">
        <w:rPr>
          <w:bCs/>
        </w:rPr>
        <w:t>Enhancing Pacific Infrastructure and Engagement</w:t>
      </w:r>
    </w:p>
    <w:p w14:paraId="5742B386"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A6204A3" w14:textId="77777777">
        <w:tc>
          <w:tcPr>
            <w:tcW w:w="2497" w:type="dxa"/>
            <w:tcBorders>
              <w:top w:val="single" w:sz="4" w:space="0" w:color="293F5B"/>
              <w:bottom w:val="single" w:sz="4" w:space="0" w:color="293F5B"/>
            </w:tcBorders>
            <w:shd w:val="clear" w:color="auto" w:fill="auto"/>
          </w:tcPr>
          <w:p w14:paraId="34EDFE83"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949B179"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0B2A262F"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B078787"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AE73790"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34B49FC" w14:textId="77777777" w:rsidR="0012790E" w:rsidRPr="001C06E6" w:rsidRDefault="0012790E">
            <w:pPr>
              <w:pStyle w:val="MeasureTableYearHeadings"/>
              <w:keepNext/>
            </w:pPr>
            <w:r w:rsidRPr="001C06E6">
              <w:t>2027</w:t>
            </w:r>
            <w:r>
              <w:noBreakHyphen/>
            </w:r>
            <w:r w:rsidRPr="001C06E6">
              <w:t>28</w:t>
            </w:r>
          </w:p>
        </w:tc>
      </w:tr>
      <w:tr w:rsidR="0012790E" w:rsidRPr="001C06E6" w14:paraId="5E5A15B5" w14:textId="77777777">
        <w:tc>
          <w:tcPr>
            <w:tcW w:w="2497" w:type="dxa"/>
            <w:tcBorders>
              <w:top w:val="single" w:sz="4" w:space="0" w:color="293F5B"/>
              <w:bottom w:val="single" w:sz="4" w:space="0" w:color="293F5B"/>
            </w:tcBorders>
            <w:shd w:val="clear" w:color="auto" w:fill="auto"/>
          </w:tcPr>
          <w:p w14:paraId="4D58D4FB" w14:textId="77777777" w:rsidR="0012790E" w:rsidRPr="001C06E6" w:rsidRDefault="0012790E">
            <w:pPr>
              <w:pStyle w:val="MeasureTableHeadingleftalignedwith2ptsspacing"/>
              <w:keepNext/>
            </w:pPr>
            <w:r w:rsidRPr="001C06E6">
              <w:t>Australian Federal Police</w:t>
            </w:r>
          </w:p>
        </w:tc>
        <w:tc>
          <w:tcPr>
            <w:tcW w:w="1045" w:type="dxa"/>
            <w:tcBorders>
              <w:top w:val="single" w:sz="4" w:space="0" w:color="293F5B"/>
              <w:bottom w:val="single" w:sz="4" w:space="0" w:color="293F5B"/>
            </w:tcBorders>
            <w:shd w:val="clear" w:color="auto" w:fill="auto"/>
          </w:tcPr>
          <w:p w14:paraId="63EF6D0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335DF08" w14:textId="77777777" w:rsidR="0012790E" w:rsidRPr="001C06E6" w:rsidRDefault="0012790E">
            <w:pPr>
              <w:pStyle w:val="MeasureTableDataRightAlignedwith2ptsspacing"/>
              <w:keepNext/>
            </w:pPr>
            <w:r w:rsidRPr="001C06E6">
              <w:t>5.5</w:t>
            </w:r>
          </w:p>
        </w:tc>
        <w:tc>
          <w:tcPr>
            <w:tcW w:w="1045" w:type="dxa"/>
            <w:tcBorders>
              <w:top w:val="single" w:sz="4" w:space="0" w:color="293F5B"/>
              <w:bottom w:val="single" w:sz="4" w:space="0" w:color="293F5B"/>
            </w:tcBorders>
            <w:shd w:val="clear" w:color="auto" w:fill="auto"/>
          </w:tcPr>
          <w:p w14:paraId="74BA390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72ABCF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D9F9669" w14:textId="77777777" w:rsidR="0012790E" w:rsidRPr="001C06E6" w:rsidRDefault="0012790E">
            <w:pPr>
              <w:pStyle w:val="MeasureTableDataRightAlignedwith2ptsspacing"/>
              <w:keepNext/>
            </w:pPr>
            <w:r w:rsidRPr="001C06E6">
              <w:t>-</w:t>
            </w:r>
          </w:p>
        </w:tc>
      </w:tr>
      <w:tr w:rsidR="0012790E" w:rsidRPr="001C06E6" w14:paraId="7BE71E4E" w14:textId="77777777">
        <w:tc>
          <w:tcPr>
            <w:tcW w:w="2497" w:type="dxa"/>
            <w:tcBorders>
              <w:top w:val="single" w:sz="4" w:space="0" w:color="293F5B"/>
              <w:bottom w:val="single" w:sz="4" w:space="0" w:color="293F5B"/>
            </w:tcBorders>
            <w:shd w:val="clear" w:color="auto" w:fill="auto"/>
          </w:tcPr>
          <w:p w14:paraId="40FF993F" w14:textId="77777777" w:rsidR="0012790E" w:rsidRPr="001C06E6" w:rsidRDefault="0012790E">
            <w:pPr>
              <w:pStyle w:val="MeasureTableHeadingleftalignedwith2ptsspacing"/>
              <w:keepNext/>
            </w:pPr>
            <w:r>
              <w:t xml:space="preserve">Export Finance and Insurance Corporation (National Interest component) </w:t>
            </w:r>
          </w:p>
        </w:tc>
        <w:tc>
          <w:tcPr>
            <w:tcW w:w="1045" w:type="dxa"/>
            <w:tcBorders>
              <w:top w:val="single" w:sz="4" w:space="0" w:color="293F5B"/>
              <w:bottom w:val="single" w:sz="4" w:space="0" w:color="293F5B"/>
            </w:tcBorders>
            <w:shd w:val="clear" w:color="auto" w:fill="auto"/>
          </w:tcPr>
          <w:p w14:paraId="28A6CD38"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221BB430"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1BDC5CEC"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6FE58826"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53A4FF68" w14:textId="77777777" w:rsidR="0012790E" w:rsidRPr="001C06E6" w:rsidRDefault="0012790E">
            <w:pPr>
              <w:pStyle w:val="MeasureTableDataRightAlignedwith2ptsspacing"/>
              <w:keepNext/>
            </w:pPr>
            <w:r>
              <w:t xml:space="preserve">nfp   </w:t>
            </w:r>
          </w:p>
        </w:tc>
      </w:tr>
      <w:tr w:rsidR="0012790E" w:rsidRPr="001C06E6" w14:paraId="6E1E82A2" w14:textId="77777777">
        <w:tc>
          <w:tcPr>
            <w:tcW w:w="2497" w:type="dxa"/>
            <w:tcBorders>
              <w:top w:val="single" w:sz="4" w:space="0" w:color="293F5B"/>
              <w:bottom w:val="single" w:sz="4" w:space="0" w:color="293F5B"/>
            </w:tcBorders>
            <w:shd w:val="clear" w:color="auto" w:fill="auto"/>
          </w:tcPr>
          <w:p w14:paraId="6C829B42" w14:textId="77777777" w:rsidR="0012790E" w:rsidRPr="001C06E6" w:rsidRDefault="0012790E">
            <w:pPr>
              <w:pStyle w:val="MeasureTableHeadingleftalignedwith2ptsspacing"/>
              <w:keepNext/>
            </w:pPr>
            <w:r>
              <w:t xml:space="preserve">Department of Foreign Affairs and Trade </w:t>
            </w:r>
          </w:p>
        </w:tc>
        <w:tc>
          <w:tcPr>
            <w:tcW w:w="1045" w:type="dxa"/>
            <w:tcBorders>
              <w:top w:val="single" w:sz="4" w:space="0" w:color="293F5B"/>
              <w:bottom w:val="single" w:sz="4" w:space="0" w:color="293F5B"/>
            </w:tcBorders>
            <w:shd w:val="clear" w:color="auto" w:fill="auto"/>
          </w:tcPr>
          <w:p w14:paraId="698B15CE"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17D07028"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326B6CB9"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5E36C5E7"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765320CE" w14:textId="77777777" w:rsidR="0012790E" w:rsidRPr="001C06E6" w:rsidRDefault="0012790E">
            <w:pPr>
              <w:pStyle w:val="MeasureTableDataRightAlignedwith2ptsspacing"/>
              <w:keepNext/>
            </w:pPr>
            <w:r>
              <w:t xml:space="preserve">nfp </w:t>
            </w:r>
          </w:p>
        </w:tc>
      </w:tr>
      <w:tr w:rsidR="0012790E" w:rsidRPr="001C06E6" w14:paraId="47A8BF00" w14:textId="77777777">
        <w:tc>
          <w:tcPr>
            <w:tcW w:w="2497" w:type="dxa"/>
            <w:tcBorders>
              <w:top w:val="single" w:sz="4" w:space="0" w:color="293F5B"/>
              <w:bottom w:val="single" w:sz="4" w:space="0" w:color="293F5B"/>
            </w:tcBorders>
            <w:shd w:val="clear" w:color="auto" w:fill="auto"/>
          </w:tcPr>
          <w:p w14:paraId="23866E2D"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773D686B"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09DBDA4B" w14:textId="77777777" w:rsidR="0012790E" w:rsidRPr="001C06E6" w:rsidRDefault="0012790E">
            <w:pPr>
              <w:pStyle w:val="Totaldatarowrightaligned"/>
              <w:keepNext/>
            </w:pPr>
            <w:r w:rsidRPr="001C06E6">
              <w:t>5.5</w:t>
            </w:r>
          </w:p>
        </w:tc>
        <w:tc>
          <w:tcPr>
            <w:tcW w:w="1045" w:type="dxa"/>
            <w:tcBorders>
              <w:top w:val="single" w:sz="4" w:space="0" w:color="293F5B"/>
              <w:bottom w:val="single" w:sz="4" w:space="0" w:color="293F5B"/>
            </w:tcBorders>
            <w:shd w:val="clear" w:color="auto" w:fill="auto"/>
          </w:tcPr>
          <w:p w14:paraId="525227D1"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4CE5C16"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6BAF85B1" w14:textId="77777777" w:rsidR="0012790E" w:rsidRPr="001C06E6" w:rsidRDefault="0012790E">
            <w:pPr>
              <w:pStyle w:val="Totaldatarowrightaligned"/>
              <w:keepNext/>
            </w:pPr>
            <w:r w:rsidRPr="001C06E6">
              <w:t>-</w:t>
            </w:r>
          </w:p>
        </w:tc>
      </w:tr>
      <w:tr w:rsidR="0012790E" w:rsidRPr="001C06E6" w14:paraId="5DC4C848" w14:textId="77777777">
        <w:tc>
          <w:tcPr>
            <w:tcW w:w="2497" w:type="dxa"/>
            <w:tcBorders>
              <w:top w:val="single" w:sz="4" w:space="0" w:color="293F5B"/>
            </w:tcBorders>
            <w:shd w:val="clear" w:color="auto" w:fill="auto"/>
          </w:tcPr>
          <w:p w14:paraId="2FB44BD3"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32CDBBEA" w14:textId="77777777" w:rsidR="0012790E" w:rsidRPr="001C06E6" w:rsidRDefault="0012790E">
            <w:pPr>
              <w:pStyle w:val="AgencyName"/>
              <w:keepNext/>
            </w:pPr>
          </w:p>
        </w:tc>
        <w:tc>
          <w:tcPr>
            <w:tcW w:w="1045" w:type="dxa"/>
            <w:tcBorders>
              <w:top w:val="single" w:sz="4" w:space="0" w:color="293F5B"/>
            </w:tcBorders>
            <w:shd w:val="clear" w:color="auto" w:fill="auto"/>
          </w:tcPr>
          <w:p w14:paraId="19AEC6D1" w14:textId="77777777" w:rsidR="0012790E" w:rsidRPr="001C06E6" w:rsidRDefault="0012790E">
            <w:pPr>
              <w:pStyle w:val="AgencyName"/>
              <w:keepNext/>
            </w:pPr>
          </w:p>
        </w:tc>
        <w:tc>
          <w:tcPr>
            <w:tcW w:w="1045" w:type="dxa"/>
            <w:tcBorders>
              <w:top w:val="single" w:sz="4" w:space="0" w:color="293F5B"/>
            </w:tcBorders>
            <w:shd w:val="clear" w:color="auto" w:fill="auto"/>
          </w:tcPr>
          <w:p w14:paraId="610E0C5A" w14:textId="77777777" w:rsidR="0012790E" w:rsidRPr="001C06E6" w:rsidRDefault="0012790E">
            <w:pPr>
              <w:pStyle w:val="AgencyName"/>
              <w:keepNext/>
            </w:pPr>
          </w:p>
        </w:tc>
        <w:tc>
          <w:tcPr>
            <w:tcW w:w="1045" w:type="dxa"/>
            <w:tcBorders>
              <w:top w:val="single" w:sz="4" w:space="0" w:color="293F5B"/>
            </w:tcBorders>
            <w:shd w:val="clear" w:color="auto" w:fill="auto"/>
          </w:tcPr>
          <w:p w14:paraId="72FCBD06" w14:textId="77777777" w:rsidR="0012790E" w:rsidRPr="001C06E6" w:rsidRDefault="0012790E">
            <w:pPr>
              <w:pStyle w:val="AgencyName"/>
              <w:keepNext/>
            </w:pPr>
          </w:p>
        </w:tc>
        <w:tc>
          <w:tcPr>
            <w:tcW w:w="1045" w:type="dxa"/>
            <w:tcBorders>
              <w:top w:val="single" w:sz="4" w:space="0" w:color="293F5B"/>
            </w:tcBorders>
            <w:shd w:val="clear" w:color="auto" w:fill="auto"/>
          </w:tcPr>
          <w:p w14:paraId="64EC7155" w14:textId="77777777" w:rsidR="0012790E" w:rsidRPr="001C06E6" w:rsidRDefault="0012790E">
            <w:pPr>
              <w:pStyle w:val="AgencyName"/>
              <w:keepNext/>
            </w:pPr>
          </w:p>
        </w:tc>
      </w:tr>
      <w:tr w:rsidR="0012790E" w:rsidRPr="001C06E6" w14:paraId="2379117A" w14:textId="77777777">
        <w:tc>
          <w:tcPr>
            <w:tcW w:w="2497" w:type="dxa"/>
            <w:tcBorders>
              <w:bottom w:val="single" w:sz="4" w:space="0" w:color="293F5B"/>
            </w:tcBorders>
            <w:shd w:val="clear" w:color="auto" w:fill="auto"/>
          </w:tcPr>
          <w:p w14:paraId="61445C67" w14:textId="77777777" w:rsidR="0012790E" w:rsidRPr="001C06E6" w:rsidRDefault="0012790E">
            <w:pPr>
              <w:pStyle w:val="AgencyNamewith2ptsspacing"/>
              <w:keepNext/>
            </w:pPr>
            <w:r>
              <w:t xml:space="preserve">Export Finance and Insurance Corporation (National Interest component) </w:t>
            </w:r>
          </w:p>
        </w:tc>
        <w:tc>
          <w:tcPr>
            <w:tcW w:w="1045" w:type="dxa"/>
            <w:tcBorders>
              <w:bottom w:val="single" w:sz="4" w:space="0" w:color="293F5B"/>
            </w:tcBorders>
            <w:shd w:val="clear" w:color="auto" w:fill="auto"/>
          </w:tcPr>
          <w:p w14:paraId="1699CAFD" w14:textId="77777777" w:rsidR="0012790E" w:rsidRPr="001C06E6" w:rsidRDefault="0012790E">
            <w:pPr>
              <w:pStyle w:val="Measuretabledatarightaligneditalics"/>
              <w:keepNext/>
            </w:pPr>
            <w:r>
              <w:t xml:space="preserve">nfp   </w:t>
            </w:r>
          </w:p>
        </w:tc>
        <w:tc>
          <w:tcPr>
            <w:tcW w:w="1045" w:type="dxa"/>
            <w:tcBorders>
              <w:bottom w:val="single" w:sz="4" w:space="0" w:color="293F5B"/>
            </w:tcBorders>
            <w:shd w:val="clear" w:color="auto" w:fill="auto"/>
          </w:tcPr>
          <w:p w14:paraId="250D1125" w14:textId="77777777" w:rsidR="0012790E" w:rsidRPr="001C06E6" w:rsidRDefault="0012790E">
            <w:pPr>
              <w:pStyle w:val="Measuretabledatarightaligneditalics"/>
              <w:keepNext/>
            </w:pPr>
            <w:r>
              <w:t xml:space="preserve">nfp   </w:t>
            </w:r>
          </w:p>
        </w:tc>
        <w:tc>
          <w:tcPr>
            <w:tcW w:w="1045" w:type="dxa"/>
            <w:tcBorders>
              <w:bottom w:val="single" w:sz="4" w:space="0" w:color="293F5B"/>
            </w:tcBorders>
            <w:shd w:val="clear" w:color="auto" w:fill="auto"/>
          </w:tcPr>
          <w:p w14:paraId="01578BFE" w14:textId="77777777" w:rsidR="0012790E" w:rsidRPr="001C06E6" w:rsidRDefault="0012790E">
            <w:pPr>
              <w:pStyle w:val="Measuretabledatarightaligneditalics"/>
              <w:keepNext/>
            </w:pPr>
            <w:r>
              <w:t xml:space="preserve">nfp   </w:t>
            </w:r>
          </w:p>
        </w:tc>
        <w:tc>
          <w:tcPr>
            <w:tcW w:w="1045" w:type="dxa"/>
            <w:tcBorders>
              <w:bottom w:val="single" w:sz="4" w:space="0" w:color="293F5B"/>
            </w:tcBorders>
            <w:shd w:val="clear" w:color="auto" w:fill="auto"/>
          </w:tcPr>
          <w:p w14:paraId="16A230B2" w14:textId="77777777" w:rsidR="0012790E" w:rsidRPr="001C06E6" w:rsidRDefault="0012790E">
            <w:pPr>
              <w:pStyle w:val="Measuretabledatarightaligneditalics"/>
              <w:keepNext/>
            </w:pPr>
            <w:r>
              <w:t xml:space="preserve">nfp   </w:t>
            </w:r>
          </w:p>
        </w:tc>
        <w:tc>
          <w:tcPr>
            <w:tcW w:w="1045" w:type="dxa"/>
            <w:tcBorders>
              <w:bottom w:val="single" w:sz="4" w:space="0" w:color="293F5B"/>
            </w:tcBorders>
            <w:shd w:val="clear" w:color="auto" w:fill="auto"/>
          </w:tcPr>
          <w:p w14:paraId="6732D097" w14:textId="77777777" w:rsidR="0012790E" w:rsidRPr="001C06E6" w:rsidRDefault="0012790E">
            <w:pPr>
              <w:pStyle w:val="Measuretabledatarightaligneditalics"/>
              <w:keepNext/>
            </w:pPr>
            <w:r>
              <w:t xml:space="preserve">nfp   </w:t>
            </w:r>
          </w:p>
        </w:tc>
      </w:tr>
    </w:tbl>
    <w:p w14:paraId="76A04497" w14:textId="77777777" w:rsidR="0012790E" w:rsidRPr="001C06E6" w:rsidRDefault="0012790E">
      <w:pPr>
        <w:keepNext/>
        <w:widowControl w:val="0"/>
        <w:spacing w:line="184" w:lineRule="exact"/>
        <w:rPr>
          <w:i/>
          <w:iCs/>
          <w:color w:val="000000"/>
          <w:sz w:val="16"/>
          <w:szCs w:val="16"/>
          <w:lang w:val="en-AU"/>
        </w:rPr>
      </w:pPr>
    </w:p>
    <w:p w14:paraId="7D745BCC" w14:textId="77777777" w:rsidR="0012790E" w:rsidRDefault="0012790E">
      <w:pPr>
        <w:pStyle w:val="Normal2"/>
        <w:rPr>
          <w:rFonts w:cs="Book Antiqua"/>
        </w:rPr>
      </w:pPr>
      <w:r w:rsidRPr="001C06E6">
        <w:rPr>
          <w:rFonts w:cs="Book Antiqua"/>
        </w:rPr>
        <w:t>The Government will provide $206.5</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(and $6.9</w:t>
      </w:r>
      <w:r>
        <w:rPr>
          <w:rFonts w:cs="Book Antiqua"/>
        </w:rPr>
        <w:t> </w:t>
      </w:r>
      <w:r w:rsidRPr="001C06E6">
        <w:rPr>
          <w:rFonts w:cs="Book Antiqua"/>
        </w:rPr>
        <w:t>million per year ongoing) to enhance Australia’s presence in Pacific Island countries</w:t>
      </w:r>
      <w:r>
        <w:rPr>
          <w:rFonts w:cs="Book Antiqua"/>
        </w:rPr>
        <w:t xml:space="preserve"> </w:t>
      </w:r>
      <w:r w:rsidRPr="001C06E6">
        <w:rPr>
          <w:rFonts w:cs="Book Antiqua"/>
        </w:rPr>
        <w:t>and ability to support the Pacific family. Funding includes:</w:t>
      </w:r>
    </w:p>
    <w:p w14:paraId="73F2A68E" w14:textId="77777777" w:rsidR="0012790E" w:rsidRDefault="0012790E">
      <w:pPr>
        <w:pStyle w:val="Bullet"/>
      </w:pPr>
      <w:r w:rsidRPr="001C06E6">
        <w:t>$160.4</w:t>
      </w:r>
      <w:r>
        <w:t> </w:t>
      </w:r>
      <w:r w:rsidRPr="001C06E6">
        <w:t xml:space="preserve">million over four years from </w:t>
      </w:r>
      <w:r>
        <w:t>2024–25</w:t>
      </w:r>
      <w:r w:rsidRPr="001C06E6">
        <w:t xml:space="preserve"> ($237.3</w:t>
      </w:r>
      <w:r>
        <w:t> </w:t>
      </w:r>
      <w:r w:rsidRPr="001C06E6">
        <w:t xml:space="preserve">million from </w:t>
      </w:r>
      <w:r>
        <w:t>2028–29</w:t>
      </w:r>
      <w:r w:rsidRPr="001C06E6">
        <w:t xml:space="preserve"> to </w:t>
      </w:r>
      <w:r>
        <w:t>2033–34</w:t>
      </w:r>
      <w:r w:rsidRPr="001C06E6">
        <w:t>) for enhancement and expansion of property at Pacific posts to support a larger presence in the Pacific</w:t>
      </w:r>
      <w:r>
        <w:t xml:space="preserve"> </w:t>
      </w:r>
    </w:p>
    <w:p w14:paraId="3EEC82C2" w14:textId="77777777" w:rsidR="0012790E" w:rsidRDefault="0012790E">
      <w:pPr>
        <w:pStyle w:val="Bullet"/>
      </w:pPr>
      <w:r w:rsidRPr="001C06E6">
        <w:t>$40.6</w:t>
      </w:r>
      <w:r>
        <w:t> </w:t>
      </w:r>
      <w:r w:rsidRPr="001C06E6">
        <w:t xml:space="preserve">million over four years from </w:t>
      </w:r>
      <w:r>
        <w:t>2024–25</w:t>
      </w:r>
      <w:r w:rsidRPr="001C06E6">
        <w:t xml:space="preserve"> and $1.2</w:t>
      </w:r>
      <w:r>
        <w:t> </w:t>
      </w:r>
      <w:r w:rsidRPr="001C06E6">
        <w:t xml:space="preserve">million per year ongoing from </w:t>
      </w:r>
      <w:r>
        <w:t>2028–29</w:t>
      </w:r>
      <w:r w:rsidRPr="001C06E6">
        <w:t xml:space="preserve"> to relocate and expand the leased Australian Consulate General Chancery in Honolulu</w:t>
      </w:r>
      <w:r>
        <w:t xml:space="preserve"> </w:t>
      </w:r>
    </w:p>
    <w:p w14:paraId="126118FB" w14:textId="77777777" w:rsidR="0012790E" w:rsidRDefault="0012790E">
      <w:pPr>
        <w:pStyle w:val="Bullet"/>
      </w:pPr>
      <w:r w:rsidRPr="001C06E6">
        <w:t>$5.5</w:t>
      </w:r>
      <w:r>
        <w:t> </w:t>
      </w:r>
      <w:r w:rsidRPr="001C06E6">
        <w:t xml:space="preserve">million in </w:t>
      </w:r>
      <w:r>
        <w:t>2024–25</w:t>
      </w:r>
      <w:r w:rsidRPr="001C06E6">
        <w:t xml:space="preserve"> to extend the Australian Federal Police deployment to the </w:t>
      </w:r>
      <w:r w:rsidRPr="001C06E6">
        <w:rPr>
          <w:i/>
          <w:iCs/>
        </w:rPr>
        <w:t>Solomons International Assistance Force</w:t>
      </w:r>
      <w:r w:rsidRPr="001C06E6">
        <w:t>.</w:t>
      </w:r>
      <w:r>
        <w:t xml:space="preserve"> </w:t>
      </w:r>
    </w:p>
    <w:p w14:paraId="32081A1E" w14:textId="77777777" w:rsidR="0012790E" w:rsidRDefault="0012790E" w:rsidP="54937204">
      <w:pPr>
        <w:pStyle w:val="Normal2"/>
        <w:rPr>
          <w:rFonts w:cs="Book Antiqua"/>
          <w:lang w:val="en-US"/>
        </w:rPr>
      </w:pPr>
      <w:r w:rsidRPr="54937204">
        <w:rPr>
          <w:rFonts w:cs="Book Antiqua"/>
          <w:lang w:val="en-US"/>
        </w:rPr>
        <w:t xml:space="preserve">The Government will also provide a financing package through the Australian Infrastructure Financing Facility for the Pacific to support the development of telecommunications infrastructure in the Solomon Islands. The financial implications of this project are not for publication (nfp) as this would disclose individual financing arrangements with third parties. </w:t>
      </w:r>
    </w:p>
    <w:p w14:paraId="7BDECEEE"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within the existing resources of the Department of Foreign Affairs and Trade. </w:t>
      </w:r>
    </w:p>
    <w:p w14:paraId="2DB57F17" w14:textId="77777777" w:rsidR="0012790E" w:rsidRDefault="0012790E">
      <w:pPr>
        <w:pStyle w:val="Normal2"/>
        <w:rPr>
          <w:rFonts w:cs="Book Antiqua"/>
        </w:rPr>
      </w:pPr>
      <w:r w:rsidRPr="001C06E6">
        <w:rPr>
          <w:rFonts w:cs="Book Antiqua"/>
        </w:rPr>
        <w:t>The Government has already provided partial funding for this measure.</w:t>
      </w:r>
      <w:r>
        <w:rPr>
          <w:rFonts w:cs="Book Antiqua"/>
        </w:rPr>
        <w:t xml:space="preserve"> </w:t>
      </w:r>
    </w:p>
    <w:p w14:paraId="26D96E4C" w14:textId="2DD33A84" w:rsidR="0012790E" w:rsidRPr="001C06E6" w:rsidRDefault="0012790E">
      <w:pPr>
        <w:pStyle w:val="Normal2"/>
        <w:rPr>
          <w:rFonts w:cs="Book Antiqua"/>
          <w:iCs/>
        </w:rPr>
      </w:pPr>
      <w:r w:rsidRPr="001C06E6">
        <w:rPr>
          <w:rFonts w:cs="Book Antiqua"/>
        </w:rPr>
        <w:t xml:space="preserve">This measure builds on the </w:t>
      </w:r>
      <w:r>
        <w:rPr>
          <w:rFonts w:cs="Book Antiqua"/>
        </w:rPr>
        <w:t>2023–24 </w:t>
      </w:r>
      <w:r w:rsidRPr="001C06E6">
        <w:rPr>
          <w:rFonts w:cs="Book Antiqua"/>
        </w:rPr>
        <w:t xml:space="preserve">MYEFO measures titled </w:t>
      </w:r>
      <w:r w:rsidRPr="001C06E6">
        <w:rPr>
          <w:rFonts w:cs="Book Antiqua"/>
          <w:i/>
          <w:iCs/>
        </w:rPr>
        <w:t>Enhancing Pacific</w:t>
      </w:r>
      <w:r>
        <w:rPr>
          <w:rFonts w:cs="Book Antiqua"/>
          <w:i/>
          <w:iCs/>
        </w:rPr>
        <w:t xml:space="preserve"> </w:t>
      </w:r>
      <w:r w:rsidRPr="001C06E6">
        <w:rPr>
          <w:rFonts w:cs="Book Antiqua"/>
          <w:i/>
          <w:iCs/>
        </w:rPr>
        <w:t>Engagement</w:t>
      </w:r>
      <w:r w:rsidR="003E4EA1">
        <w:rPr>
          <w:rFonts w:cs="Book Antiqua"/>
          <w:i/>
          <w:iCs/>
        </w:rPr>
        <w:t> </w:t>
      </w:r>
      <w:r w:rsidRPr="001C06E6">
        <w:rPr>
          <w:rFonts w:cs="Book Antiqua"/>
          <w:i/>
          <w:iCs/>
        </w:rPr>
        <w:t>and Australian Infrastructure Financing Facility for the Pacific – PNG</w:t>
      </w:r>
      <w:r>
        <w:rPr>
          <w:rFonts w:cs="Book Antiqua"/>
          <w:i/>
          <w:iCs/>
        </w:rPr>
        <w:t xml:space="preserve"> </w:t>
      </w:r>
      <w:r w:rsidRPr="001C06E6">
        <w:rPr>
          <w:rFonts w:cs="Book Antiqua"/>
          <w:i/>
          <w:iCs/>
        </w:rPr>
        <w:t>loan</w:t>
      </w:r>
      <w:r w:rsidRPr="001C06E6">
        <w:rPr>
          <w:rFonts w:cs="Book Antiqua"/>
        </w:rPr>
        <w:t xml:space="preserve"> and the</w:t>
      </w:r>
      <w:r w:rsidR="003E4EA1">
        <w:rPr>
          <w:rFonts w:cs="Book Antiqua"/>
        </w:rPr>
        <w:t> </w:t>
      </w:r>
      <w:r>
        <w:rPr>
          <w:rFonts w:cs="Book Antiqua"/>
        </w:rPr>
        <w:t>2023–24 </w:t>
      </w:r>
      <w:r w:rsidRPr="001C06E6">
        <w:rPr>
          <w:rFonts w:cs="Book Antiqua"/>
        </w:rPr>
        <w:t xml:space="preserve">Budget measure titled </w:t>
      </w:r>
      <w:r w:rsidRPr="001C06E6">
        <w:rPr>
          <w:rFonts w:cs="Book Antiqua"/>
          <w:i/>
          <w:iCs/>
        </w:rPr>
        <w:t>Enhancing Pacific Engagement.</w:t>
      </w:r>
      <w:r>
        <w:rPr>
          <w:rFonts w:cs="Book Antiqua"/>
          <w:i/>
          <w:iCs/>
        </w:rPr>
        <w:t xml:space="preserve"> </w:t>
      </w:r>
    </w:p>
    <w:p w14:paraId="7E692462" w14:textId="77777777" w:rsidR="0012790E" w:rsidRPr="001C06E6" w:rsidRDefault="0012790E">
      <w:pPr>
        <w:pStyle w:val="MeasureTitle"/>
        <w:rPr>
          <w:b w:val="0"/>
          <w:bCs/>
        </w:rPr>
      </w:pPr>
      <w:r w:rsidRPr="001C06E6">
        <w:rPr>
          <w:bCs/>
        </w:rPr>
        <w:t>Fast</w:t>
      </w:r>
      <w:r>
        <w:rPr>
          <w:bCs/>
        </w:rPr>
        <w:noBreakHyphen/>
      </w:r>
      <w:r w:rsidRPr="001C06E6">
        <w:rPr>
          <w:bCs/>
        </w:rPr>
        <w:t>Track Passport</w:t>
      </w:r>
      <w:r>
        <w:rPr>
          <w:bCs/>
        </w:rPr>
        <w:t xml:space="preserve"> – </w:t>
      </w:r>
      <w:r w:rsidRPr="001C06E6">
        <w:rPr>
          <w:bCs/>
        </w:rPr>
        <w:t>establishment</w:t>
      </w:r>
    </w:p>
    <w:p w14:paraId="22A5CE72"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BBF5A69" w14:textId="77777777">
        <w:tc>
          <w:tcPr>
            <w:tcW w:w="2497" w:type="dxa"/>
            <w:tcBorders>
              <w:top w:val="single" w:sz="4" w:space="0" w:color="293F5B"/>
              <w:bottom w:val="single" w:sz="4" w:space="0" w:color="293F5B"/>
            </w:tcBorders>
            <w:shd w:val="clear" w:color="auto" w:fill="auto"/>
          </w:tcPr>
          <w:p w14:paraId="4DEDB538"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334DFBF6"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51C7E54E"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CB4D279"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FFB76CD"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D096047" w14:textId="77777777" w:rsidR="0012790E" w:rsidRPr="001C06E6" w:rsidRDefault="0012790E">
            <w:pPr>
              <w:pStyle w:val="MeasureTableYearHeadings"/>
              <w:keepNext/>
            </w:pPr>
            <w:r w:rsidRPr="001C06E6">
              <w:t>2027</w:t>
            </w:r>
            <w:r>
              <w:noBreakHyphen/>
            </w:r>
            <w:r w:rsidRPr="001C06E6">
              <w:t>28</w:t>
            </w:r>
          </w:p>
        </w:tc>
      </w:tr>
      <w:tr w:rsidR="0012790E" w:rsidRPr="001C06E6" w14:paraId="15E5CE27" w14:textId="77777777">
        <w:tc>
          <w:tcPr>
            <w:tcW w:w="2497" w:type="dxa"/>
            <w:tcBorders>
              <w:top w:val="single" w:sz="4" w:space="0" w:color="293F5B"/>
              <w:bottom w:val="single" w:sz="4" w:space="0" w:color="293F5B"/>
            </w:tcBorders>
            <w:shd w:val="clear" w:color="auto" w:fill="auto"/>
          </w:tcPr>
          <w:p w14:paraId="56FC4715" w14:textId="77777777" w:rsidR="0012790E" w:rsidRPr="001C06E6" w:rsidRDefault="0012790E">
            <w:pPr>
              <w:pStyle w:val="MeasureTableHeadingleftalignedwith2ptsspacing"/>
              <w:keepNext/>
            </w:pPr>
            <w:r>
              <w:t xml:space="preserve">Department of Foreign Affairs and Trade </w:t>
            </w:r>
          </w:p>
        </w:tc>
        <w:tc>
          <w:tcPr>
            <w:tcW w:w="1045" w:type="dxa"/>
            <w:tcBorders>
              <w:top w:val="single" w:sz="4" w:space="0" w:color="293F5B"/>
              <w:bottom w:val="single" w:sz="4" w:space="0" w:color="293F5B"/>
            </w:tcBorders>
            <w:shd w:val="clear" w:color="auto" w:fill="auto"/>
          </w:tcPr>
          <w:p w14:paraId="273FE1C6"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8C5270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E77C117"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3375F0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E44866D" w14:textId="77777777" w:rsidR="0012790E" w:rsidRPr="001C06E6" w:rsidRDefault="0012790E">
            <w:pPr>
              <w:pStyle w:val="MeasureTableDataRightAlignedwith2ptsspacing"/>
              <w:keepNext/>
            </w:pPr>
            <w:r>
              <w:t xml:space="preserve">- </w:t>
            </w:r>
          </w:p>
        </w:tc>
      </w:tr>
      <w:tr w:rsidR="0012790E" w:rsidRPr="001C06E6" w14:paraId="5AE9852B" w14:textId="77777777">
        <w:tc>
          <w:tcPr>
            <w:tcW w:w="2497" w:type="dxa"/>
            <w:tcBorders>
              <w:top w:val="single" w:sz="4" w:space="0" w:color="293F5B"/>
            </w:tcBorders>
            <w:shd w:val="clear" w:color="auto" w:fill="auto"/>
          </w:tcPr>
          <w:p w14:paraId="2C227DBE"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423EB81E" w14:textId="77777777" w:rsidR="0012790E" w:rsidRPr="001C06E6" w:rsidRDefault="0012790E">
            <w:pPr>
              <w:pStyle w:val="AgencyName"/>
              <w:keepNext/>
            </w:pPr>
          </w:p>
        </w:tc>
        <w:tc>
          <w:tcPr>
            <w:tcW w:w="1045" w:type="dxa"/>
            <w:tcBorders>
              <w:top w:val="single" w:sz="4" w:space="0" w:color="293F5B"/>
            </w:tcBorders>
            <w:shd w:val="clear" w:color="auto" w:fill="auto"/>
          </w:tcPr>
          <w:p w14:paraId="7B2A256C" w14:textId="77777777" w:rsidR="0012790E" w:rsidRPr="001C06E6" w:rsidRDefault="0012790E">
            <w:pPr>
              <w:pStyle w:val="AgencyName"/>
              <w:keepNext/>
            </w:pPr>
          </w:p>
        </w:tc>
        <w:tc>
          <w:tcPr>
            <w:tcW w:w="1045" w:type="dxa"/>
            <w:tcBorders>
              <w:top w:val="single" w:sz="4" w:space="0" w:color="293F5B"/>
            </w:tcBorders>
            <w:shd w:val="clear" w:color="auto" w:fill="auto"/>
          </w:tcPr>
          <w:p w14:paraId="1AEA87DD" w14:textId="77777777" w:rsidR="0012790E" w:rsidRPr="001C06E6" w:rsidRDefault="0012790E">
            <w:pPr>
              <w:pStyle w:val="AgencyName"/>
              <w:keepNext/>
            </w:pPr>
          </w:p>
        </w:tc>
        <w:tc>
          <w:tcPr>
            <w:tcW w:w="1045" w:type="dxa"/>
            <w:tcBorders>
              <w:top w:val="single" w:sz="4" w:space="0" w:color="293F5B"/>
            </w:tcBorders>
            <w:shd w:val="clear" w:color="auto" w:fill="auto"/>
          </w:tcPr>
          <w:p w14:paraId="326AE4DB" w14:textId="77777777" w:rsidR="0012790E" w:rsidRPr="001C06E6" w:rsidRDefault="0012790E">
            <w:pPr>
              <w:pStyle w:val="AgencyName"/>
              <w:keepNext/>
            </w:pPr>
          </w:p>
        </w:tc>
        <w:tc>
          <w:tcPr>
            <w:tcW w:w="1045" w:type="dxa"/>
            <w:tcBorders>
              <w:top w:val="single" w:sz="4" w:space="0" w:color="293F5B"/>
            </w:tcBorders>
            <w:shd w:val="clear" w:color="auto" w:fill="auto"/>
          </w:tcPr>
          <w:p w14:paraId="49DA688B" w14:textId="77777777" w:rsidR="0012790E" w:rsidRPr="001C06E6" w:rsidRDefault="0012790E">
            <w:pPr>
              <w:pStyle w:val="AgencyName"/>
              <w:keepNext/>
            </w:pPr>
          </w:p>
        </w:tc>
      </w:tr>
      <w:tr w:rsidR="0012790E" w:rsidRPr="001C06E6" w14:paraId="59BB2B3C" w14:textId="77777777">
        <w:tc>
          <w:tcPr>
            <w:tcW w:w="2497" w:type="dxa"/>
            <w:tcBorders>
              <w:bottom w:val="single" w:sz="4" w:space="0" w:color="293F5B"/>
            </w:tcBorders>
            <w:shd w:val="clear" w:color="auto" w:fill="auto"/>
          </w:tcPr>
          <w:p w14:paraId="4BA6B94F" w14:textId="77777777" w:rsidR="0012790E" w:rsidRPr="001C06E6" w:rsidRDefault="0012790E">
            <w:pPr>
              <w:pStyle w:val="AgencyNamewith2ptsspacing"/>
              <w:keepNext/>
            </w:pPr>
            <w:r>
              <w:t xml:space="preserve">Department of Foreign Affairs and Trade </w:t>
            </w:r>
          </w:p>
        </w:tc>
        <w:tc>
          <w:tcPr>
            <w:tcW w:w="1045" w:type="dxa"/>
            <w:tcBorders>
              <w:bottom w:val="single" w:sz="4" w:space="0" w:color="293F5B"/>
            </w:tcBorders>
            <w:shd w:val="clear" w:color="auto" w:fill="auto"/>
          </w:tcPr>
          <w:p w14:paraId="561FDABF"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1F17C36E"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6DB117F8"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3DF16A19"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71801539" w14:textId="77777777" w:rsidR="0012790E" w:rsidRPr="001C06E6" w:rsidRDefault="0012790E">
            <w:pPr>
              <w:pStyle w:val="Measuretabledatarightaligneditalics"/>
              <w:keepNext/>
            </w:pPr>
            <w:r>
              <w:t xml:space="preserve">- </w:t>
            </w:r>
          </w:p>
        </w:tc>
      </w:tr>
    </w:tbl>
    <w:p w14:paraId="7C767CA0" w14:textId="77777777" w:rsidR="0012790E" w:rsidRPr="001C06E6" w:rsidRDefault="0012790E">
      <w:pPr>
        <w:keepNext/>
        <w:widowControl w:val="0"/>
        <w:spacing w:line="184" w:lineRule="exact"/>
        <w:rPr>
          <w:i/>
          <w:iCs/>
          <w:color w:val="000000"/>
          <w:sz w:val="16"/>
          <w:szCs w:val="16"/>
          <w:lang w:val="en-AU"/>
        </w:rPr>
      </w:pPr>
    </w:p>
    <w:p w14:paraId="6898128A" w14:textId="77777777" w:rsidR="0012790E" w:rsidRDefault="0012790E" w:rsidP="54937204">
      <w:pPr>
        <w:pStyle w:val="Normal2"/>
        <w:rPr>
          <w:rFonts w:cs="Book Antiqua"/>
          <w:lang w:val="en-US"/>
        </w:rPr>
      </w:pPr>
      <w:r w:rsidRPr="54937204">
        <w:rPr>
          <w:rFonts w:cs="Book Antiqua"/>
          <w:lang w:val="en-US"/>
        </w:rPr>
        <w:t>The Government will establish new fast</w:t>
      </w:r>
      <w:r>
        <w:rPr>
          <w:rFonts w:cs="Book Antiqua"/>
        </w:rPr>
        <w:noBreakHyphen/>
      </w:r>
      <w:r w:rsidRPr="54937204">
        <w:rPr>
          <w:rFonts w:cs="Book Antiqua"/>
          <w:lang w:val="en-US"/>
        </w:rPr>
        <w:t>track processing of passports to commence on 1 July 2024. Fast</w:t>
      </w:r>
      <w:r>
        <w:rPr>
          <w:rFonts w:cs="Book Antiqua"/>
        </w:rPr>
        <w:noBreakHyphen/>
      </w:r>
      <w:r w:rsidRPr="54937204">
        <w:rPr>
          <w:rFonts w:cs="Book Antiqua"/>
          <w:lang w:val="en-US"/>
        </w:rPr>
        <w:t xml:space="preserve">track passport applications will be processed in five business days for an additional fee of $100. </w:t>
      </w:r>
    </w:p>
    <w:p w14:paraId="2D0C2142" w14:textId="77777777" w:rsidR="0012790E" w:rsidRDefault="0012790E">
      <w:pPr>
        <w:pStyle w:val="Normal2"/>
        <w:rPr>
          <w:rFonts w:cs="Book Antiqua"/>
        </w:rPr>
      </w:pPr>
      <w:r w:rsidRPr="001C06E6">
        <w:rPr>
          <w:rFonts w:cs="Book Antiqua"/>
        </w:rPr>
        <w:t>The measure is estimated to increase receipts by $27.4</w:t>
      </w:r>
      <w:r>
        <w:rPr>
          <w:rFonts w:cs="Book Antiqua"/>
        </w:rPr>
        <w:t> </w:t>
      </w:r>
      <w:r w:rsidRPr="001C06E6">
        <w:rPr>
          <w:rFonts w:cs="Book Antiqua"/>
        </w:rPr>
        <w:t>million over five years from</w:t>
      </w:r>
      <w:r>
        <w:rPr>
          <w:rFonts w:cs="Book Antiqua"/>
        </w:rPr>
        <w:t xml:space="preserve"> 2023–24</w:t>
      </w:r>
      <w:r w:rsidRPr="001C06E6">
        <w:rPr>
          <w:rFonts w:cs="Book Antiqua"/>
        </w:rPr>
        <w:t xml:space="preserve"> and will be directed to support priorities in the Foreign Affairs and Trade</w:t>
      </w:r>
      <w:r>
        <w:rPr>
          <w:rFonts w:cs="Book Antiqua"/>
        </w:rPr>
        <w:t xml:space="preserve"> </w:t>
      </w:r>
      <w:r w:rsidRPr="001C06E6">
        <w:rPr>
          <w:rFonts w:cs="Book Antiqua"/>
        </w:rPr>
        <w:t>portfolio.</w:t>
      </w:r>
      <w:r>
        <w:rPr>
          <w:rFonts w:cs="Book Antiqua"/>
        </w:rPr>
        <w:t xml:space="preserve"> </w:t>
      </w:r>
    </w:p>
    <w:p w14:paraId="4564B4BF" w14:textId="77777777" w:rsidR="0012790E" w:rsidRDefault="0012790E" w:rsidP="54937204">
      <w:pPr>
        <w:pStyle w:val="Normal2"/>
        <w:rPr>
          <w:rFonts w:cs="Book Antiqua"/>
          <w:lang w:val="en-US"/>
        </w:rPr>
      </w:pPr>
      <w:r w:rsidRPr="54937204">
        <w:rPr>
          <w:rFonts w:cs="Book Antiqua"/>
          <w:lang w:val="en-US"/>
        </w:rPr>
        <w:t xml:space="preserve">The Government has already provided funding and recognised revenue for this measure. </w:t>
      </w:r>
    </w:p>
    <w:p w14:paraId="4376E013" w14:textId="77777777" w:rsidR="0012790E" w:rsidRPr="001C06E6" w:rsidRDefault="0012790E">
      <w:pPr>
        <w:pStyle w:val="MeasureTitle"/>
        <w:rPr>
          <w:b w:val="0"/>
          <w:bCs/>
        </w:rPr>
      </w:pPr>
      <w:r w:rsidRPr="001C06E6">
        <w:rPr>
          <w:bCs/>
        </w:rPr>
        <w:t>International Climate Finance</w:t>
      </w:r>
    </w:p>
    <w:p w14:paraId="427F06D4"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36BD217" w14:textId="77777777">
        <w:tc>
          <w:tcPr>
            <w:tcW w:w="2497" w:type="dxa"/>
            <w:tcBorders>
              <w:top w:val="single" w:sz="4" w:space="0" w:color="293F5B"/>
              <w:bottom w:val="single" w:sz="4" w:space="0" w:color="293F5B"/>
            </w:tcBorders>
            <w:shd w:val="clear" w:color="auto" w:fill="auto"/>
          </w:tcPr>
          <w:p w14:paraId="1E35C943"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076C571"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7813912"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3774A24"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26448C7"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C48E452" w14:textId="77777777" w:rsidR="0012790E" w:rsidRPr="001C06E6" w:rsidRDefault="0012790E">
            <w:pPr>
              <w:pStyle w:val="MeasureTableYearHeadings"/>
              <w:keepNext/>
            </w:pPr>
            <w:r w:rsidRPr="001C06E6">
              <w:t>2027</w:t>
            </w:r>
            <w:r>
              <w:noBreakHyphen/>
            </w:r>
            <w:r w:rsidRPr="001C06E6">
              <w:t>28</w:t>
            </w:r>
          </w:p>
        </w:tc>
      </w:tr>
      <w:tr w:rsidR="0012790E" w:rsidRPr="001C06E6" w14:paraId="5579BE92" w14:textId="77777777">
        <w:tc>
          <w:tcPr>
            <w:tcW w:w="2497" w:type="dxa"/>
            <w:tcBorders>
              <w:top w:val="single" w:sz="4" w:space="0" w:color="293F5B"/>
              <w:bottom w:val="single" w:sz="4" w:space="0" w:color="293F5B"/>
            </w:tcBorders>
            <w:shd w:val="clear" w:color="auto" w:fill="auto"/>
          </w:tcPr>
          <w:p w14:paraId="4A678DF4" w14:textId="77777777" w:rsidR="0012790E" w:rsidRPr="001C06E6" w:rsidRDefault="0012790E">
            <w:pPr>
              <w:pStyle w:val="MeasureTableHeadingleftalignedwith2ptsspacing"/>
              <w:keepNext/>
            </w:pPr>
            <w:r>
              <w:t xml:space="preserve">Department of Foreign Affairs and Trade </w:t>
            </w:r>
          </w:p>
        </w:tc>
        <w:tc>
          <w:tcPr>
            <w:tcW w:w="1045" w:type="dxa"/>
            <w:tcBorders>
              <w:top w:val="single" w:sz="4" w:space="0" w:color="293F5B"/>
              <w:bottom w:val="single" w:sz="4" w:space="0" w:color="293F5B"/>
            </w:tcBorders>
            <w:shd w:val="clear" w:color="auto" w:fill="auto"/>
          </w:tcPr>
          <w:p w14:paraId="01BD9C1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218E428" w14:textId="77777777" w:rsidR="0012790E" w:rsidRPr="001C06E6" w:rsidRDefault="0012790E">
            <w:pPr>
              <w:pStyle w:val="MeasureTableDataRightAlignedwith2ptsspacing"/>
              <w:keepNext/>
            </w:pPr>
            <w:r>
              <w:t xml:space="preserve">15.0 </w:t>
            </w:r>
          </w:p>
        </w:tc>
        <w:tc>
          <w:tcPr>
            <w:tcW w:w="1045" w:type="dxa"/>
            <w:tcBorders>
              <w:top w:val="single" w:sz="4" w:space="0" w:color="293F5B"/>
              <w:bottom w:val="single" w:sz="4" w:space="0" w:color="293F5B"/>
            </w:tcBorders>
            <w:shd w:val="clear" w:color="auto" w:fill="auto"/>
          </w:tcPr>
          <w:p w14:paraId="6FF5C446"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27797EF" w14:textId="77777777" w:rsidR="0012790E" w:rsidRPr="001C06E6" w:rsidRDefault="0012790E">
            <w:pPr>
              <w:pStyle w:val="MeasureTableDataRightAlignedwith2ptsspacing"/>
              <w:keepNext/>
            </w:pPr>
            <w:r>
              <w:t xml:space="preserve">25.0 </w:t>
            </w:r>
          </w:p>
        </w:tc>
        <w:tc>
          <w:tcPr>
            <w:tcW w:w="1045" w:type="dxa"/>
            <w:tcBorders>
              <w:top w:val="single" w:sz="4" w:space="0" w:color="293F5B"/>
              <w:bottom w:val="single" w:sz="4" w:space="0" w:color="293F5B"/>
            </w:tcBorders>
            <w:shd w:val="clear" w:color="auto" w:fill="auto"/>
          </w:tcPr>
          <w:p w14:paraId="010C71E3" w14:textId="77777777" w:rsidR="0012790E" w:rsidRPr="001C06E6" w:rsidRDefault="0012790E">
            <w:pPr>
              <w:pStyle w:val="MeasureTableDataRightAlignedwith2ptsspacing"/>
              <w:keepNext/>
            </w:pPr>
            <w:r>
              <w:t xml:space="preserve">25.0 </w:t>
            </w:r>
          </w:p>
        </w:tc>
      </w:tr>
    </w:tbl>
    <w:p w14:paraId="3A90CE38" w14:textId="77777777" w:rsidR="0012790E" w:rsidRPr="001C06E6" w:rsidRDefault="0012790E">
      <w:pPr>
        <w:keepNext/>
        <w:widowControl w:val="0"/>
        <w:spacing w:line="184" w:lineRule="exact"/>
        <w:rPr>
          <w:color w:val="000000"/>
          <w:sz w:val="16"/>
          <w:szCs w:val="16"/>
          <w:lang w:val="en-AU"/>
        </w:rPr>
      </w:pPr>
    </w:p>
    <w:p w14:paraId="6043FDDA" w14:textId="77777777" w:rsidR="0012790E" w:rsidRDefault="0012790E">
      <w:pPr>
        <w:pStyle w:val="Normal2"/>
        <w:rPr>
          <w:rFonts w:cs="Book Antiqua"/>
        </w:rPr>
      </w:pPr>
      <w:r w:rsidRPr="001C06E6">
        <w:rPr>
          <w:rFonts w:cs="Book Antiqua"/>
        </w:rPr>
        <w:t>The Government will provide $150.0</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in</w:t>
      </w:r>
      <w:r>
        <w:rPr>
          <w:rFonts w:cs="Book Antiqua"/>
        </w:rPr>
        <w:t xml:space="preserve"> </w:t>
      </w:r>
      <w:r w:rsidRPr="001C06E6">
        <w:rPr>
          <w:rFonts w:cs="Book Antiqua"/>
        </w:rPr>
        <w:t>contributions to international climate financing funds. Funding includes:</w:t>
      </w:r>
    </w:p>
    <w:p w14:paraId="2B6E8749" w14:textId="77777777" w:rsidR="0012790E" w:rsidRDefault="0012790E">
      <w:pPr>
        <w:pStyle w:val="Bullet"/>
      </w:pPr>
      <w:r w:rsidRPr="001C06E6">
        <w:t>$100.0</w:t>
      </w:r>
      <w:r>
        <w:t> </w:t>
      </w:r>
      <w:r w:rsidRPr="001C06E6">
        <w:t xml:space="preserve">million over three years from </w:t>
      </w:r>
      <w:r>
        <w:t>2024–25</w:t>
      </w:r>
      <w:r w:rsidRPr="001C06E6">
        <w:t xml:space="preserve"> as an investment in the Pacific Resilience Facility, an initiative endorsed by the Pacific Islands Forum Leaders, to fund small scale climate and disaster resilience projects in the Pacific</w:t>
      </w:r>
      <w:r>
        <w:t xml:space="preserve"> </w:t>
      </w:r>
    </w:p>
    <w:p w14:paraId="4A48D55C" w14:textId="77777777" w:rsidR="0012790E" w:rsidRDefault="0012790E">
      <w:pPr>
        <w:pStyle w:val="Bullet"/>
      </w:pPr>
      <w:r w:rsidRPr="001C06E6">
        <w:t>$50.0</w:t>
      </w:r>
      <w:r>
        <w:t> </w:t>
      </w:r>
      <w:r w:rsidRPr="001C06E6">
        <w:t xml:space="preserve">million over two years from </w:t>
      </w:r>
      <w:r>
        <w:t>2026–27</w:t>
      </w:r>
      <w:r w:rsidRPr="001C06E6">
        <w:t xml:space="preserve"> to the United Nations Framework Convention on Climate Change Green Climate Fund to assist developing countries in adaptation and mitigation practices to counter climate change.</w:t>
      </w:r>
      <w:r>
        <w:t xml:space="preserve"> </w:t>
      </w:r>
    </w:p>
    <w:p w14:paraId="672DFC17"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within the existing resourcing of the Department of Foreign Affairs and Trade. </w:t>
      </w:r>
    </w:p>
    <w:p w14:paraId="6A2CFE1B" w14:textId="77777777" w:rsidR="0012790E" w:rsidRPr="001C06E6" w:rsidRDefault="0012790E">
      <w:pPr>
        <w:pStyle w:val="MeasureTitle"/>
        <w:rPr>
          <w:b w:val="0"/>
          <w:bCs/>
        </w:rPr>
      </w:pPr>
      <w:r w:rsidRPr="001C06E6">
        <w:rPr>
          <w:bCs/>
        </w:rPr>
        <w:t>Maintaining Support for an Effective Foreign Service</w:t>
      </w:r>
    </w:p>
    <w:p w14:paraId="5B1D4665"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A8BA76C" w14:textId="77777777">
        <w:tc>
          <w:tcPr>
            <w:tcW w:w="2497" w:type="dxa"/>
            <w:tcBorders>
              <w:top w:val="single" w:sz="4" w:space="0" w:color="293F5B"/>
              <w:bottom w:val="single" w:sz="4" w:space="0" w:color="293F5B"/>
            </w:tcBorders>
            <w:shd w:val="clear" w:color="auto" w:fill="auto"/>
          </w:tcPr>
          <w:p w14:paraId="0D2282D0"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0010B2E"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3169E3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5C111F4"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ADAA125"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064EAAC" w14:textId="77777777" w:rsidR="0012790E" w:rsidRPr="001C06E6" w:rsidRDefault="0012790E">
            <w:pPr>
              <w:pStyle w:val="MeasureTableYearHeadings"/>
              <w:keepNext/>
            </w:pPr>
            <w:r w:rsidRPr="001C06E6">
              <w:t>2027</w:t>
            </w:r>
            <w:r>
              <w:noBreakHyphen/>
            </w:r>
            <w:r w:rsidRPr="001C06E6">
              <w:t>28</w:t>
            </w:r>
          </w:p>
        </w:tc>
      </w:tr>
      <w:tr w:rsidR="0012790E" w:rsidRPr="001C06E6" w14:paraId="0BF1A866" w14:textId="77777777">
        <w:tc>
          <w:tcPr>
            <w:tcW w:w="2497" w:type="dxa"/>
            <w:tcBorders>
              <w:top w:val="single" w:sz="4" w:space="0" w:color="293F5B"/>
              <w:bottom w:val="single" w:sz="4" w:space="0" w:color="293F5B"/>
            </w:tcBorders>
            <w:shd w:val="clear" w:color="auto" w:fill="auto"/>
          </w:tcPr>
          <w:p w14:paraId="7AA29307" w14:textId="77777777" w:rsidR="0012790E" w:rsidRPr="001C06E6" w:rsidRDefault="0012790E">
            <w:pPr>
              <w:pStyle w:val="MeasureTableHeadingleftalignedwith2ptsspacing"/>
              <w:keepNext/>
            </w:pPr>
            <w:r>
              <w:t xml:space="preserve">Department of Foreign Affairs and Trade </w:t>
            </w:r>
          </w:p>
        </w:tc>
        <w:tc>
          <w:tcPr>
            <w:tcW w:w="1045" w:type="dxa"/>
            <w:tcBorders>
              <w:top w:val="single" w:sz="4" w:space="0" w:color="293F5B"/>
              <w:bottom w:val="single" w:sz="4" w:space="0" w:color="293F5B"/>
            </w:tcBorders>
            <w:shd w:val="clear" w:color="auto" w:fill="auto"/>
          </w:tcPr>
          <w:p w14:paraId="49EF679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0668D17" w14:textId="77777777" w:rsidR="0012790E" w:rsidRPr="001C06E6" w:rsidRDefault="0012790E">
            <w:pPr>
              <w:pStyle w:val="MeasureTableDataRightAlignedwith2ptsspacing"/>
              <w:keepNext/>
            </w:pPr>
            <w:r>
              <w:t xml:space="preserve">77.2 </w:t>
            </w:r>
          </w:p>
        </w:tc>
        <w:tc>
          <w:tcPr>
            <w:tcW w:w="1045" w:type="dxa"/>
            <w:tcBorders>
              <w:top w:val="single" w:sz="4" w:space="0" w:color="293F5B"/>
              <w:bottom w:val="single" w:sz="4" w:space="0" w:color="293F5B"/>
            </w:tcBorders>
            <w:shd w:val="clear" w:color="auto" w:fill="auto"/>
          </w:tcPr>
          <w:p w14:paraId="793F4E6B" w14:textId="77777777" w:rsidR="0012790E" w:rsidRPr="001C06E6" w:rsidRDefault="0012790E">
            <w:pPr>
              <w:pStyle w:val="MeasureTableDataRightAlignedwith2ptsspacing"/>
              <w:keepNext/>
            </w:pPr>
            <w:r>
              <w:t xml:space="preserve">74.9 </w:t>
            </w:r>
          </w:p>
        </w:tc>
        <w:tc>
          <w:tcPr>
            <w:tcW w:w="1045" w:type="dxa"/>
            <w:tcBorders>
              <w:top w:val="single" w:sz="4" w:space="0" w:color="293F5B"/>
              <w:bottom w:val="single" w:sz="4" w:space="0" w:color="293F5B"/>
            </w:tcBorders>
            <w:shd w:val="clear" w:color="auto" w:fill="auto"/>
          </w:tcPr>
          <w:p w14:paraId="0CB05F61" w14:textId="77777777" w:rsidR="0012790E" w:rsidRPr="001C06E6" w:rsidRDefault="0012790E">
            <w:pPr>
              <w:pStyle w:val="MeasureTableDataRightAlignedwith2ptsspacing"/>
              <w:keepNext/>
            </w:pPr>
            <w:r>
              <w:t xml:space="preserve">50.1 </w:t>
            </w:r>
          </w:p>
        </w:tc>
        <w:tc>
          <w:tcPr>
            <w:tcW w:w="1045" w:type="dxa"/>
            <w:tcBorders>
              <w:top w:val="single" w:sz="4" w:space="0" w:color="293F5B"/>
              <w:bottom w:val="single" w:sz="4" w:space="0" w:color="293F5B"/>
            </w:tcBorders>
            <w:shd w:val="clear" w:color="auto" w:fill="auto"/>
          </w:tcPr>
          <w:p w14:paraId="6547BB84" w14:textId="77777777" w:rsidR="0012790E" w:rsidRPr="001C06E6" w:rsidRDefault="0012790E">
            <w:pPr>
              <w:pStyle w:val="MeasureTableDataRightAlignedwith2ptsspacing"/>
              <w:keepNext/>
            </w:pPr>
            <w:r>
              <w:t xml:space="preserve">48.4 </w:t>
            </w:r>
          </w:p>
        </w:tc>
      </w:tr>
      <w:tr w:rsidR="0012790E" w:rsidRPr="001C06E6" w14:paraId="253979D6" w14:textId="77777777">
        <w:tc>
          <w:tcPr>
            <w:tcW w:w="2497" w:type="dxa"/>
            <w:tcBorders>
              <w:top w:val="single" w:sz="4" w:space="0" w:color="293F5B"/>
              <w:bottom w:val="single" w:sz="4" w:space="0" w:color="293F5B"/>
            </w:tcBorders>
            <w:shd w:val="clear" w:color="auto" w:fill="auto"/>
          </w:tcPr>
          <w:p w14:paraId="50D604AE"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3D7E66D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53B5770" w14:textId="77777777" w:rsidR="0012790E" w:rsidRPr="001C06E6" w:rsidRDefault="0012790E">
            <w:pPr>
              <w:pStyle w:val="MeasureTableDataRightAlignedwith2ptsspacing"/>
              <w:keepNext/>
            </w:pPr>
            <w:r w:rsidRPr="001C06E6">
              <w:t>0.3</w:t>
            </w:r>
          </w:p>
        </w:tc>
        <w:tc>
          <w:tcPr>
            <w:tcW w:w="1045" w:type="dxa"/>
            <w:tcBorders>
              <w:top w:val="single" w:sz="4" w:space="0" w:color="293F5B"/>
              <w:bottom w:val="single" w:sz="4" w:space="0" w:color="293F5B"/>
            </w:tcBorders>
            <w:shd w:val="clear" w:color="auto" w:fill="auto"/>
          </w:tcPr>
          <w:p w14:paraId="409632AA" w14:textId="77777777" w:rsidR="0012790E" w:rsidRPr="001C06E6" w:rsidRDefault="0012790E">
            <w:pPr>
              <w:pStyle w:val="MeasureTableDataRightAlignedwith2ptsspacing"/>
              <w:keepNext/>
            </w:pPr>
            <w:r w:rsidRPr="001C06E6">
              <w:t>0.3</w:t>
            </w:r>
          </w:p>
        </w:tc>
        <w:tc>
          <w:tcPr>
            <w:tcW w:w="1045" w:type="dxa"/>
            <w:tcBorders>
              <w:top w:val="single" w:sz="4" w:space="0" w:color="293F5B"/>
              <w:bottom w:val="single" w:sz="4" w:space="0" w:color="293F5B"/>
            </w:tcBorders>
            <w:shd w:val="clear" w:color="auto" w:fill="auto"/>
          </w:tcPr>
          <w:p w14:paraId="5D226877" w14:textId="77777777" w:rsidR="0012790E" w:rsidRPr="001C06E6" w:rsidRDefault="0012790E">
            <w:pPr>
              <w:pStyle w:val="MeasureTableDataRightAlignedwith2ptsspacing"/>
              <w:keepNext/>
            </w:pPr>
            <w:r w:rsidRPr="001C06E6">
              <w:t>0.3</w:t>
            </w:r>
          </w:p>
        </w:tc>
        <w:tc>
          <w:tcPr>
            <w:tcW w:w="1045" w:type="dxa"/>
            <w:tcBorders>
              <w:top w:val="single" w:sz="4" w:space="0" w:color="293F5B"/>
              <w:bottom w:val="single" w:sz="4" w:space="0" w:color="293F5B"/>
            </w:tcBorders>
            <w:shd w:val="clear" w:color="auto" w:fill="auto"/>
          </w:tcPr>
          <w:p w14:paraId="0C0E8CBA" w14:textId="77777777" w:rsidR="0012790E" w:rsidRPr="001C06E6" w:rsidRDefault="0012790E">
            <w:pPr>
              <w:pStyle w:val="MeasureTableDataRightAlignedwith2ptsspacing"/>
              <w:keepNext/>
            </w:pPr>
            <w:r w:rsidRPr="001C06E6">
              <w:t>0.3</w:t>
            </w:r>
          </w:p>
        </w:tc>
      </w:tr>
      <w:tr w:rsidR="0012790E" w:rsidRPr="001C06E6" w14:paraId="4BBC4251" w14:textId="77777777">
        <w:tc>
          <w:tcPr>
            <w:tcW w:w="2497" w:type="dxa"/>
            <w:tcBorders>
              <w:top w:val="single" w:sz="4" w:space="0" w:color="293F5B"/>
              <w:bottom w:val="single" w:sz="4" w:space="0" w:color="293F5B"/>
            </w:tcBorders>
            <w:shd w:val="clear" w:color="auto" w:fill="auto"/>
          </w:tcPr>
          <w:p w14:paraId="2903DE69" w14:textId="77777777" w:rsidR="0012790E" w:rsidRPr="001C06E6" w:rsidRDefault="0012790E">
            <w:pPr>
              <w:pStyle w:val="MeasureTableHeadingleftalignedwith2ptsspacing"/>
              <w:keepNext/>
            </w:pPr>
            <w:r>
              <w:t xml:space="preserve">Office of the Director of Public Prosecutions </w:t>
            </w:r>
          </w:p>
        </w:tc>
        <w:tc>
          <w:tcPr>
            <w:tcW w:w="1045" w:type="dxa"/>
            <w:tcBorders>
              <w:top w:val="single" w:sz="4" w:space="0" w:color="293F5B"/>
              <w:bottom w:val="single" w:sz="4" w:space="0" w:color="293F5B"/>
            </w:tcBorders>
            <w:shd w:val="clear" w:color="auto" w:fill="auto"/>
          </w:tcPr>
          <w:p w14:paraId="1478298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0DEE408" w14:textId="77777777" w:rsidR="0012790E" w:rsidRPr="001C06E6" w:rsidRDefault="0012790E">
            <w:pPr>
              <w:pStyle w:val="MeasureTableDataRightAlignedwith2ptsspacing"/>
              <w:keepNext/>
            </w:pPr>
            <w:r>
              <w:t xml:space="preserve">0.2 </w:t>
            </w:r>
          </w:p>
        </w:tc>
        <w:tc>
          <w:tcPr>
            <w:tcW w:w="1045" w:type="dxa"/>
            <w:tcBorders>
              <w:top w:val="single" w:sz="4" w:space="0" w:color="293F5B"/>
              <w:bottom w:val="single" w:sz="4" w:space="0" w:color="293F5B"/>
            </w:tcBorders>
            <w:shd w:val="clear" w:color="auto" w:fill="auto"/>
          </w:tcPr>
          <w:p w14:paraId="61DEF0A1" w14:textId="77777777" w:rsidR="0012790E" w:rsidRPr="001C06E6" w:rsidRDefault="0012790E">
            <w:pPr>
              <w:pStyle w:val="MeasureTableDataRightAlignedwith2ptsspacing"/>
              <w:keepNext/>
            </w:pPr>
            <w:r>
              <w:t xml:space="preserve">0.3 </w:t>
            </w:r>
          </w:p>
        </w:tc>
        <w:tc>
          <w:tcPr>
            <w:tcW w:w="1045" w:type="dxa"/>
            <w:tcBorders>
              <w:top w:val="single" w:sz="4" w:space="0" w:color="293F5B"/>
              <w:bottom w:val="single" w:sz="4" w:space="0" w:color="293F5B"/>
            </w:tcBorders>
            <w:shd w:val="clear" w:color="auto" w:fill="auto"/>
          </w:tcPr>
          <w:p w14:paraId="40C235A4" w14:textId="77777777" w:rsidR="0012790E" w:rsidRPr="001C06E6" w:rsidRDefault="0012790E">
            <w:pPr>
              <w:pStyle w:val="MeasureTableDataRightAlignedwith2ptsspacing"/>
              <w:keepNext/>
            </w:pPr>
            <w:r>
              <w:t xml:space="preserve">0.4 </w:t>
            </w:r>
          </w:p>
        </w:tc>
        <w:tc>
          <w:tcPr>
            <w:tcW w:w="1045" w:type="dxa"/>
            <w:tcBorders>
              <w:top w:val="single" w:sz="4" w:space="0" w:color="293F5B"/>
              <w:bottom w:val="single" w:sz="4" w:space="0" w:color="293F5B"/>
            </w:tcBorders>
            <w:shd w:val="clear" w:color="auto" w:fill="auto"/>
          </w:tcPr>
          <w:p w14:paraId="7590B6A8" w14:textId="77777777" w:rsidR="0012790E" w:rsidRPr="001C06E6" w:rsidRDefault="0012790E">
            <w:pPr>
              <w:pStyle w:val="MeasureTableDataRightAlignedwith2ptsspacing"/>
              <w:keepNext/>
            </w:pPr>
            <w:r>
              <w:t xml:space="preserve">0.4 </w:t>
            </w:r>
          </w:p>
        </w:tc>
      </w:tr>
      <w:tr w:rsidR="0012790E" w:rsidRPr="001C06E6" w14:paraId="01507BA2" w14:textId="77777777">
        <w:tc>
          <w:tcPr>
            <w:tcW w:w="2497" w:type="dxa"/>
            <w:tcBorders>
              <w:top w:val="single" w:sz="4" w:space="0" w:color="293F5B"/>
              <w:bottom w:val="single" w:sz="4" w:space="0" w:color="293F5B"/>
            </w:tcBorders>
            <w:shd w:val="clear" w:color="auto" w:fill="auto"/>
          </w:tcPr>
          <w:p w14:paraId="1048FDDD" w14:textId="77777777" w:rsidR="0012790E" w:rsidRPr="001C06E6" w:rsidRDefault="0012790E">
            <w:pPr>
              <w:pStyle w:val="MeasureTableHeadingleftalignedwith2ptsspacing"/>
              <w:keepNext/>
            </w:pPr>
            <w:r>
              <w:t xml:space="preserve">Australian Transaction Reports and Analysis Centre </w:t>
            </w:r>
          </w:p>
        </w:tc>
        <w:tc>
          <w:tcPr>
            <w:tcW w:w="1045" w:type="dxa"/>
            <w:tcBorders>
              <w:top w:val="single" w:sz="4" w:space="0" w:color="293F5B"/>
              <w:bottom w:val="single" w:sz="4" w:space="0" w:color="293F5B"/>
            </w:tcBorders>
            <w:shd w:val="clear" w:color="auto" w:fill="auto"/>
          </w:tcPr>
          <w:p w14:paraId="5B3FB1F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59C4BA5" w14:textId="77777777" w:rsidR="0012790E" w:rsidRPr="001C06E6" w:rsidRDefault="0012790E">
            <w:pPr>
              <w:pStyle w:val="MeasureTableDataRightAlignedwith2ptsspacing"/>
              <w:keepNext/>
            </w:pPr>
            <w:r>
              <w:t xml:space="preserve">0.2 </w:t>
            </w:r>
          </w:p>
        </w:tc>
        <w:tc>
          <w:tcPr>
            <w:tcW w:w="1045" w:type="dxa"/>
            <w:tcBorders>
              <w:top w:val="single" w:sz="4" w:space="0" w:color="293F5B"/>
              <w:bottom w:val="single" w:sz="4" w:space="0" w:color="293F5B"/>
            </w:tcBorders>
            <w:shd w:val="clear" w:color="auto" w:fill="auto"/>
          </w:tcPr>
          <w:p w14:paraId="480EC1C6" w14:textId="77777777" w:rsidR="0012790E" w:rsidRPr="001C06E6" w:rsidRDefault="0012790E">
            <w:pPr>
              <w:pStyle w:val="MeasureTableDataRightAlignedwith2ptsspacing"/>
              <w:keepNext/>
            </w:pPr>
            <w:r>
              <w:t xml:space="preserve">0.2 </w:t>
            </w:r>
          </w:p>
        </w:tc>
        <w:tc>
          <w:tcPr>
            <w:tcW w:w="1045" w:type="dxa"/>
            <w:tcBorders>
              <w:top w:val="single" w:sz="4" w:space="0" w:color="293F5B"/>
              <w:bottom w:val="single" w:sz="4" w:space="0" w:color="293F5B"/>
            </w:tcBorders>
            <w:shd w:val="clear" w:color="auto" w:fill="auto"/>
          </w:tcPr>
          <w:p w14:paraId="792C91AF" w14:textId="77777777" w:rsidR="0012790E" w:rsidRPr="001C06E6" w:rsidRDefault="0012790E">
            <w:pPr>
              <w:pStyle w:val="MeasureTableDataRightAlignedwith2ptsspacing"/>
              <w:keepNext/>
            </w:pPr>
            <w:r>
              <w:t xml:space="preserve">0.2 </w:t>
            </w:r>
          </w:p>
        </w:tc>
        <w:tc>
          <w:tcPr>
            <w:tcW w:w="1045" w:type="dxa"/>
            <w:tcBorders>
              <w:top w:val="single" w:sz="4" w:space="0" w:color="293F5B"/>
              <w:bottom w:val="single" w:sz="4" w:space="0" w:color="293F5B"/>
            </w:tcBorders>
            <w:shd w:val="clear" w:color="auto" w:fill="auto"/>
          </w:tcPr>
          <w:p w14:paraId="3DDDCEBA" w14:textId="77777777" w:rsidR="0012790E" w:rsidRPr="001C06E6" w:rsidRDefault="0012790E">
            <w:pPr>
              <w:pStyle w:val="MeasureTableDataRightAlignedwith2ptsspacing"/>
              <w:keepNext/>
            </w:pPr>
            <w:r>
              <w:t xml:space="preserve">0.2 </w:t>
            </w:r>
          </w:p>
        </w:tc>
      </w:tr>
      <w:tr w:rsidR="0012790E" w:rsidRPr="001C06E6" w14:paraId="6892B786" w14:textId="77777777">
        <w:tc>
          <w:tcPr>
            <w:tcW w:w="2497" w:type="dxa"/>
            <w:tcBorders>
              <w:top w:val="single" w:sz="4" w:space="0" w:color="293F5B"/>
              <w:bottom w:val="single" w:sz="4" w:space="0" w:color="293F5B"/>
            </w:tcBorders>
            <w:shd w:val="clear" w:color="auto" w:fill="auto"/>
          </w:tcPr>
          <w:p w14:paraId="07A3A2F6"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2BAF782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5A266A0"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4247C527"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56635421"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3B9F47D0" w14:textId="77777777" w:rsidR="0012790E" w:rsidRPr="001C06E6" w:rsidRDefault="0012790E">
            <w:pPr>
              <w:pStyle w:val="MeasureTableDataRightAlignedwith2ptsspacing"/>
              <w:keepNext/>
            </w:pPr>
            <w:r w:rsidRPr="001C06E6">
              <w:t>0.1</w:t>
            </w:r>
          </w:p>
        </w:tc>
      </w:tr>
      <w:tr w:rsidR="0012790E" w:rsidRPr="001C06E6" w14:paraId="1676CC63" w14:textId="77777777">
        <w:tc>
          <w:tcPr>
            <w:tcW w:w="2497" w:type="dxa"/>
            <w:tcBorders>
              <w:top w:val="single" w:sz="4" w:space="0" w:color="293F5B"/>
              <w:bottom w:val="single" w:sz="4" w:space="0" w:color="293F5B"/>
            </w:tcBorders>
            <w:shd w:val="clear" w:color="auto" w:fill="auto"/>
          </w:tcPr>
          <w:p w14:paraId="5F977C06"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17DE50B"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65C8C24B" w14:textId="77777777" w:rsidR="0012790E" w:rsidRPr="001C06E6" w:rsidRDefault="0012790E">
            <w:pPr>
              <w:pStyle w:val="Totaldatarowrightaligned"/>
              <w:keepNext/>
            </w:pPr>
            <w:r w:rsidRPr="001C06E6">
              <w:t>78.0</w:t>
            </w:r>
          </w:p>
        </w:tc>
        <w:tc>
          <w:tcPr>
            <w:tcW w:w="1045" w:type="dxa"/>
            <w:tcBorders>
              <w:top w:val="single" w:sz="4" w:space="0" w:color="293F5B"/>
              <w:bottom w:val="single" w:sz="4" w:space="0" w:color="293F5B"/>
            </w:tcBorders>
            <w:shd w:val="clear" w:color="auto" w:fill="auto"/>
          </w:tcPr>
          <w:p w14:paraId="61D29548" w14:textId="77777777" w:rsidR="0012790E" w:rsidRPr="001C06E6" w:rsidRDefault="0012790E">
            <w:pPr>
              <w:pStyle w:val="Totaldatarowrightaligned"/>
              <w:keepNext/>
            </w:pPr>
            <w:r w:rsidRPr="001C06E6">
              <w:t>75.7</w:t>
            </w:r>
          </w:p>
        </w:tc>
        <w:tc>
          <w:tcPr>
            <w:tcW w:w="1045" w:type="dxa"/>
            <w:tcBorders>
              <w:top w:val="single" w:sz="4" w:space="0" w:color="293F5B"/>
              <w:bottom w:val="single" w:sz="4" w:space="0" w:color="293F5B"/>
            </w:tcBorders>
            <w:shd w:val="clear" w:color="auto" w:fill="auto"/>
          </w:tcPr>
          <w:p w14:paraId="66B5C36B" w14:textId="77777777" w:rsidR="0012790E" w:rsidRPr="001C06E6" w:rsidRDefault="0012790E">
            <w:pPr>
              <w:pStyle w:val="Totaldatarowrightaligned"/>
              <w:keepNext/>
            </w:pPr>
            <w:r w:rsidRPr="001C06E6">
              <w:t>51.0</w:t>
            </w:r>
          </w:p>
        </w:tc>
        <w:tc>
          <w:tcPr>
            <w:tcW w:w="1045" w:type="dxa"/>
            <w:tcBorders>
              <w:top w:val="single" w:sz="4" w:space="0" w:color="293F5B"/>
              <w:bottom w:val="single" w:sz="4" w:space="0" w:color="293F5B"/>
            </w:tcBorders>
            <w:shd w:val="clear" w:color="auto" w:fill="auto"/>
          </w:tcPr>
          <w:p w14:paraId="6616DF06" w14:textId="77777777" w:rsidR="0012790E" w:rsidRPr="001C06E6" w:rsidRDefault="0012790E">
            <w:pPr>
              <w:pStyle w:val="Totaldatarowrightaligned"/>
              <w:keepNext/>
            </w:pPr>
            <w:r w:rsidRPr="001C06E6">
              <w:t>49.4</w:t>
            </w:r>
          </w:p>
        </w:tc>
      </w:tr>
    </w:tbl>
    <w:p w14:paraId="668BB852"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192B1123" w14:textId="77777777" w:rsidR="0012790E" w:rsidRDefault="0012790E">
      <w:pPr>
        <w:pStyle w:val="Normal2"/>
        <w:rPr>
          <w:rFonts w:cs="Book Antiqua"/>
        </w:rPr>
      </w:pPr>
      <w:r w:rsidRPr="001C06E6">
        <w:rPr>
          <w:rFonts w:cs="Book Antiqua"/>
        </w:rPr>
        <w:t>The Government will provide $254.2</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(and $17.7</w:t>
      </w:r>
      <w:r>
        <w:rPr>
          <w:rFonts w:cs="Book Antiqua"/>
        </w:rPr>
        <w:t> </w:t>
      </w:r>
      <w:r w:rsidRPr="001C06E6">
        <w:rPr>
          <w:rFonts w:cs="Book Antiqua"/>
        </w:rPr>
        <w:t>million per year ongoing) to improve the capability of the Department of Foreign Affairs</w:t>
      </w:r>
      <w:r>
        <w:rPr>
          <w:rFonts w:cs="Book Antiqua"/>
        </w:rPr>
        <w:t xml:space="preserve"> </w:t>
      </w:r>
      <w:r w:rsidRPr="001C06E6">
        <w:rPr>
          <w:rFonts w:cs="Book Antiqua"/>
        </w:rPr>
        <w:t>and Trade to deliver foreign policy outcomes. Funding includes:</w:t>
      </w:r>
    </w:p>
    <w:p w14:paraId="243D1C0C" w14:textId="77777777" w:rsidR="0012790E" w:rsidRDefault="0012790E">
      <w:pPr>
        <w:pStyle w:val="Bullet"/>
      </w:pPr>
      <w:r w:rsidRPr="001C06E6">
        <w:t>$187.8</w:t>
      </w:r>
      <w:r>
        <w:t> </w:t>
      </w:r>
      <w:r w:rsidRPr="001C06E6">
        <w:t xml:space="preserve">million over four years from </w:t>
      </w:r>
      <w:r>
        <w:t>2024–25</w:t>
      </w:r>
      <w:r w:rsidRPr="001C06E6">
        <w:t xml:space="preserve"> (and $11.1</w:t>
      </w:r>
      <w:r>
        <w:t> </w:t>
      </w:r>
      <w:r w:rsidRPr="001C06E6">
        <w:t>million per year ongoing) to upgrade ICT and security at DFAT premises</w:t>
      </w:r>
      <w:r>
        <w:t xml:space="preserve"> </w:t>
      </w:r>
    </w:p>
    <w:p w14:paraId="5769B1E7" w14:textId="77777777" w:rsidR="0012790E" w:rsidRDefault="0012790E">
      <w:pPr>
        <w:pStyle w:val="Bullet"/>
      </w:pPr>
      <w:r w:rsidRPr="001C06E6">
        <w:t>$40.0</w:t>
      </w:r>
      <w:r>
        <w:t> </w:t>
      </w:r>
      <w:r w:rsidRPr="001C06E6">
        <w:t xml:space="preserve">million over two years from </w:t>
      </w:r>
      <w:r>
        <w:t>2024–25</w:t>
      </w:r>
      <w:r w:rsidRPr="001C06E6">
        <w:t xml:space="preserve"> for capital works to sustain the </w:t>
      </w:r>
      <w:r>
        <w:t>Australian Government</w:t>
      </w:r>
      <w:r w:rsidRPr="001C06E6">
        <w:t>’s overseas property network</w:t>
      </w:r>
      <w:r>
        <w:t xml:space="preserve"> </w:t>
      </w:r>
    </w:p>
    <w:p w14:paraId="0CDAD7F1" w14:textId="77777777" w:rsidR="0012790E" w:rsidRDefault="0012790E">
      <w:pPr>
        <w:pStyle w:val="Bullet"/>
      </w:pPr>
      <w:r w:rsidRPr="001C06E6">
        <w:t>$26.4</w:t>
      </w:r>
      <w:r>
        <w:t> </w:t>
      </w:r>
      <w:r w:rsidRPr="001C06E6">
        <w:t xml:space="preserve">million over four years from </w:t>
      </w:r>
      <w:r>
        <w:t>2024–25</w:t>
      </w:r>
      <w:r w:rsidRPr="001C06E6">
        <w:t xml:space="preserve"> (and $6.6</w:t>
      </w:r>
      <w:r>
        <w:t> </w:t>
      </w:r>
      <w:r w:rsidRPr="001C06E6">
        <w:t>million per year ongoing) to strengthen monitoring and enforcement of Australia’s sanctions regime.</w:t>
      </w:r>
      <w:r>
        <w:t xml:space="preserve"> </w:t>
      </w:r>
    </w:p>
    <w:p w14:paraId="429AF70B" w14:textId="77777777" w:rsidR="0012790E" w:rsidRPr="001C06E6" w:rsidRDefault="0012790E">
      <w:pPr>
        <w:pStyle w:val="Normal2"/>
        <w:rPr>
          <w:rFonts w:cs="Book Antiqua"/>
          <w:iCs/>
        </w:rPr>
      </w:pPr>
      <w:r w:rsidRPr="001C06E6">
        <w:rPr>
          <w:rFonts w:cs="Book Antiqua"/>
        </w:rPr>
        <w:t xml:space="preserve">This measure builds on the </w:t>
      </w:r>
      <w:r>
        <w:rPr>
          <w:rFonts w:cs="Book Antiqua"/>
        </w:rPr>
        <w:t>2023–24 </w:t>
      </w:r>
      <w:r w:rsidRPr="001C06E6">
        <w:rPr>
          <w:rFonts w:cs="Book Antiqua"/>
        </w:rPr>
        <w:t xml:space="preserve">Budget measure titled </w:t>
      </w:r>
      <w:r w:rsidRPr="001C06E6">
        <w:rPr>
          <w:rFonts w:cs="Book Antiqua"/>
          <w:i/>
          <w:iCs/>
        </w:rPr>
        <w:t>Maintaining Support for an</w:t>
      </w:r>
      <w:r>
        <w:rPr>
          <w:rFonts w:cs="Book Antiqua"/>
          <w:i/>
          <w:iCs/>
        </w:rPr>
        <w:t xml:space="preserve"> </w:t>
      </w:r>
      <w:r w:rsidRPr="001C06E6">
        <w:rPr>
          <w:rFonts w:cs="Book Antiqua"/>
          <w:i/>
          <w:iCs/>
        </w:rPr>
        <w:t>Effective Foreign Service.</w:t>
      </w:r>
      <w:r>
        <w:rPr>
          <w:rFonts w:cs="Book Antiqua"/>
          <w:i/>
          <w:iCs/>
        </w:rPr>
        <w:t xml:space="preserve"> </w:t>
      </w:r>
    </w:p>
    <w:p w14:paraId="4E042734" w14:textId="77777777" w:rsidR="0012790E" w:rsidRPr="001C06E6" w:rsidRDefault="0012790E">
      <w:pPr>
        <w:pStyle w:val="MeasureTitle"/>
        <w:rPr>
          <w:b w:val="0"/>
          <w:bCs/>
        </w:rPr>
      </w:pPr>
      <w:r w:rsidRPr="001C06E6">
        <w:rPr>
          <w:bCs/>
        </w:rPr>
        <w:t>Middle East Crisis Response</w:t>
      </w:r>
    </w:p>
    <w:p w14:paraId="1060D74D"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CEFB497" w14:textId="77777777">
        <w:tc>
          <w:tcPr>
            <w:tcW w:w="2497" w:type="dxa"/>
            <w:tcBorders>
              <w:top w:val="single" w:sz="4" w:space="0" w:color="293F5B"/>
              <w:bottom w:val="single" w:sz="4" w:space="0" w:color="293F5B"/>
            </w:tcBorders>
            <w:shd w:val="clear" w:color="auto" w:fill="auto"/>
          </w:tcPr>
          <w:p w14:paraId="6E305D8B"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0817CA8"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29806E3"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D4CDB60"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888D275"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3FEB196" w14:textId="77777777" w:rsidR="0012790E" w:rsidRPr="001C06E6" w:rsidRDefault="0012790E">
            <w:pPr>
              <w:pStyle w:val="MeasureTableYearHeadings"/>
              <w:keepNext/>
            </w:pPr>
            <w:r w:rsidRPr="001C06E6">
              <w:t>2027</w:t>
            </w:r>
            <w:r>
              <w:noBreakHyphen/>
            </w:r>
            <w:r w:rsidRPr="001C06E6">
              <w:t>28</w:t>
            </w:r>
          </w:p>
        </w:tc>
      </w:tr>
      <w:tr w:rsidR="0012790E" w:rsidRPr="001C06E6" w14:paraId="7E9E3D9D" w14:textId="77777777">
        <w:tc>
          <w:tcPr>
            <w:tcW w:w="2497" w:type="dxa"/>
            <w:tcBorders>
              <w:top w:val="single" w:sz="4" w:space="0" w:color="293F5B"/>
              <w:bottom w:val="single" w:sz="4" w:space="0" w:color="293F5B"/>
            </w:tcBorders>
            <w:shd w:val="clear" w:color="auto" w:fill="auto"/>
          </w:tcPr>
          <w:p w14:paraId="62EFCA50" w14:textId="77777777" w:rsidR="0012790E" w:rsidRPr="001C06E6" w:rsidRDefault="0012790E">
            <w:pPr>
              <w:pStyle w:val="MeasureTableHeadingleftalignedwith2ptsspacing"/>
              <w:keepNext/>
            </w:pPr>
            <w:r>
              <w:t xml:space="preserve">Department of Foreign Affairs and Trade </w:t>
            </w:r>
          </w:p>
        </w:tc>
        <w:tc>
          <w:tcPr>
            <w:tcW w:w="1045" w:type="dxa"/>
            <w:tcBorders>
              <w:top w:val="single" w:sz="4" w:space="0" w:color="293F5B"/>
              <w:bottom w:val="single" w:sz="4" w:space="0" w:color="293F5B"/>
            </w:tcBorders>
            <w:shd w:val="clear" w:color="auto" w:fill="auto"/>
          </w:tcPr>
          <w:p w14:paraId="24314784" w14:textId="4B6ABDF3" w:rsidR="0012790E" w:rsidRPr="001C06E6" w:rsidRDefault="003C451D">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11914E6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E786DE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D1DE7A7"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F4CC13E" w14:textId="77777777" w:rsidR="0012790E" w:rsidRPr="001C06E6" w:rsidRDefault="0012790E">
            <w:pPr>
              <w:pStyle w:val="MeasureTableDataRightAlignedwith2ptsspacing"/>
              <w:keepNext/>
            </w:pPr>
            <w:r>
              <w:t xml:space="preserve">- </w:t>
            </w:r>
          </w:p>
        </w:tc>
      </w:tr>
      <w:tr w:rsidR="0012790E" w:rsidRPr="001C06E6" w14:paraId="7D8776E0" w14:textId="77777777">
        <w:tc>
          <w:tcPr>
            <w:tcW w:w="2497" w:type="dxa"/>
            <w:tcBorders>
              <w:top w:val="single" w:sz="4" w:space="0" w:color="293F5B"/>
              <w:bottom w:val="single" w:sz="4" w:space="0" w:color="293F5B"/>
            </w:tcBorders>
            <w:shd w:val="clear" w:color="auto" w:fill="auto"/>
          </w:tcPr>
          <w:p w14:paraId="17AEA4ED"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21F9D95D" w14:textId="5905F56F" w:rsidR="0012790E" w:rsidRPr="001C06E6" w:rsidRDefault="003C451D">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0914804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28A062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41BB2C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5A6729B" w14:textId="77777777" w:rsidR="0012790E" w:rsidRPr="001C06E6" w:rsidRDefault="0012790E">
            <w:pPr>
              <w:pStyle w:val="MeasureTableDataRightAlignedwith2ptsspacing"/>
              <w:keepNext/>
            </w:pPr>
            <w:r w:rsidRPr="001C06E6">
              <w:t>-</w:t>
            </w:r>
          </w:p>
        </w:tc>
      </w:tr>
      <w:tr w:rsidR="0012790E" w:rsidRPr="001C06E6" w14:paraId="22886F35" w14:textId="77777777">
        <w:tc>
          <w:tcPr>
            <w:tcW w:w="2497" w:type="dxa"/>
            <w:tcBorders>
              <w:top w:val="single" w:sz="4" w:space="0" w:color="293F5B"/>
              <w:bottom w:val="single" w:sz="4" w:space="0" w:color="293F5B"/>
            </w:tcBorders>
            <w:shd w:val="clear" w:color="auto" w:fill="auto"/>
          </w:tcPr>
          <w:p w14:paraId="592E2428"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A2DFB48"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10DD073"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7A0296B4"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05C69CE"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0453EBC4" w14:textId="77777777" w:rsidR="0012790E" w:rsidRPr="001C06E6" w:rsidRDefault="0012790E">
            <w:pPr>
              <w:pStyle w:val="Totaldatarowrightaligned"/>
              <w:keepNext/>
            </w:pPr>
            <w:r w:rsidRPr="001C06E6">
              <w:t>-</w:t>
            </w:r>
          </w:p>
        </w:tc>
      </w:tr>
    </w:tbl>
    <w:p w14:paraId="671F1626"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2EA19E1A" w14:textId="77777777" w:rsidR="0012790E" w:rsidRDefault="0012790E" w:rsidP="54937204">
      <w:pPr>
        <w:pStyle w:val="Normal2"/>
        <w:rPr>
          <w:rFonts w:cs="Book Antiqua"/>
          <w:lang w:val="en-US"/>
        </w:rPr>
      </w:pPr>
      <w:r w:rsidRPr="54937204">
        <w:rPr>
          <w:rFonts w:cs="Book Antiqua"/>
          <w:lang w:val="en-US"/>
        </w:rPr>
        <w:t xml:space="preserve">The Government has provided $4.5 million in 2023–24 for repatriation and related support for Australian citizens, residents, and their families from significantly affected areas of Israel and the Occupied Palestinian Territories as a result of the recent and ongoing conflict. </w:t>
      </w:r>
    </w:p>
    <w:p w14:paraId="093B0D50" w14:textId="77777777" w:rsidR="0012790E" w:rsidRDefault="0012790E">
      <w:pPr>
        <w:pStyle w:val="Normal2"/>
        <w:rPr>
          <w:rFonts w:cs="Book Antiqua"/>
        </w:rPr>
      </w:pPr>
      <w:r w:rsidRPr="001C06E6">
        <w:rPr>
          <w:rFonts w:cs="Book Antiqua"/>
        </w:rPr>
        <w:t>The Government has already provided funding for this measure.</w:t>
      </w:r>
      <w:r>
        <w:rPr>
          <w:rFonts w:cs="Book Antiqua"/>
        </w:rPr>
        <w:t xml:space="preserve"> </w:t>
      </w:r>
    </w:p>
    <w:p w14:paraId="397A5C94" w14:textId="77777777" w:rsidR="0012790E" w:rsidRPr="001C06E6" w:rsidRDefault="0012790E" w:rsidP="54937204">
      <w:pPr>
        <w:pStyle w:val="MeasureTitle"/>
        <w:rPr>
          <w:b w:val="0"/>
          <w:lang w:val="en-US"/>
        </w:rPr>
      </w:pPr>
      <w:r w:rsidRPr="54937204">
        <w:rPr>
          <w:lang w:val="en-US"/>
        </w:rPr>
        <w:t>Southeast Asia Engagement – additional funding</w:t>
      </w:r>
    </w:p>
    <w:p w14:paraId="263E5B2E"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4D464930" w14:textId="77777777">
        <w:tc>
          <w:tcPr>
            <w:tcW w:w="2497" w:type="dxa"/>
            <w:tcBorders>
              <w:top w:val="single" w:sz="4" w:space="0" w:color="293F5B"/>
              <w:bottom w:val="single" w:sz="4" w:space="0" w:color="293F5B"/>
            </w:tcBorders>
            <w:shd w:val="clear" w:color="auto" w:fill="auto"/>
          </w:tcPr>
          <w:p w14:paraId="413CBD24"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230E837"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9497387"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1E1CAF3"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5E339C00"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CF49007" w14:textId="77777777" w:rsidR="0012790E" w:rsidRPr="001C06E6" w:rsidRDefault="0012790E">
            <w:pPr>
              <w:pStyle w:val="MeasureTableYearHeadings"/>
              <w:keepNext/>
            </w:pPr>
            <w:r w:rsidRPr="001C06E6">
              <w:t>2027</w:t>
            </w:r>
            <w:r>
              <w:noBreakHyphen/>
            </w:r>
            <w:r w:rsidRPr="001C06E6">
              <w:t>28</w:t>
            </w:r>
          </w:p>
        </w:tc>
      </w:tr>
      <w:tr w:rsidR="0012790E" w:rsidRPr="001C06E6" w14:paraId="504F3DA8" w14:textId="77777777">
        <w:tc>
          <w:tcPr>
            <w:tcW w:w="2497" w:type="dxa"/>
            <w:tcBorders>
              <w:top w:val="single" w:sz="4" w:space="0" w:color="293F5B"/>
              <w:bottom w:val="single" w:sz="4" w:space="0" w:color="293F5B"/>
            </w:tcBorders>
            <w:shd w:val="clear" w:color="auto" w:fill="auto"/>
          </w:tcPr>
          <w:p w14:paraId="1C729EF7"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74492C1D" w14:textId="77777777" w:rsidR="0012790E" w:rsidRPr="001C06E6" w:rsidRDefault="0012790E">
            <w:pPr>
              <w:pStyle w:val="MeasureTableDataRightAlignedwith2ptsspacing"/>
              <w:keepNext/>
            </w:pPr>
            <w:r w:rsidRPr="001C06E6">
              <w:t>0.8</w:t>
            </w:r>
          </w:p>
        </w:tc>
        <w:tc>
          <w:tcPr>
            <w:tcW w:w="1045" w:type="dxa"/>
            <w:tcBorders>
              <w:top w:val="single" w:sz="4" w:space="0" w:color="293F5B"/>
              <w:bottom w:val="single" w:sz="4" w:space="0" w:color="293F5B"/>
            </w:tcBorders>
            <w:shd w:val="clear" w:color="auto" w:fill="auto"/>
          </w:tcPr>
          <w:p w14:paraId="362E5231" w14:textId="77777777" w:rsidR="0012790E" w:rsidRPr="001C06E6" w:rsidRDefault="0012790E">
            <w:pPr>
              <w:pStyle w:val="MeasureTableDataRightAlignedwith2ptsspacing"/>
              <w:keepNext/>
            </w:pPr>
            <w:r w:rsidRPr="001C06E6">
              <w:t>0.3</w:t>
            </w:r>
          </w:p>
        </w:tc>
        <w:tc>
          <w:tcPr>
            <w:tcW w:w="1045" w:type="dxa"/>
            <w:tcBorders>
              <w:top w:val="single" w:sz="4" w:space="0" w:color="293F5B"/>
              <w:bottom w:val="single" w:sz="4" w:space="0" w:color="293F5B"/>
            </w:tcBorders>
            <w:shd w:val="clear" w:color="auto" w:fill="auto"/>
          </w:tcPr>
          <w:p w14:paraId="2A13ECC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9706DD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9334E4A" w14:textId="77777777" w:rsidR="0012790E" w:rsidRPr="001C06E6" w:rsidRDefault="0012790E">
            <w:pPr>
              <w:pStyle w:val="MeasureTableDataRightAlignedwith2ptsspacing"/>
              <w:keepNext/>
            </w:pPr>
            <w:r w:rsidRPr="001C06E6">
              <w:t>-</w:t>
            </w:r>
          </w:p>
        </w:tc>
      </w:tr>
      <w:tr w:rsidR="0012790E" w:rsidRPr="001C06E6" w14:paraId="6A5B6445" w14:textId="77777777">
        <w:tc>
          <w:tcPr>
            <w:tcW w:w="2497" w:type="dxa"/>
            <w:tcBorders>
              <w:top w:val="single" w:sz="4" w:space="0" w:color="293F5B"/>
              <w:bottom w:val="single" w:sz="4" w:space="0" w:color="293F5B"/>
            </w:tcBorders>
            <w:shd w:val="clear" w:color="auto" w:fill="auto"/>
          </w:tcPr>
          <w:p w14:paraId="0AFD2888" w14:textId="77777777" w:rsidR="0012790E" w:rsidRPr="001C06E6" w:rsidRDefault="0012790E">
            <w:pPr>
              <w:pStyle w:val="MeasureTableHeadingleftalignedwith2ptsspacing"/>
              <w:keepNext/>
            </w:pPr>
            <w:r>
              <w:t xml:space="preserve">Australian Trade and Investment Commission </w:t>
            </w:r>
          </w:p>
        </w:tc>
        <w:tc>
          <w:tcPr>
            <w:tcW w:w="1045" w:type="dxa"/>
            <w:tcBorders>
              <w:top w:val="single" w:sz="4" w:space="0" w:color="293F5B"/>
              <w:bottom w:val="single" w:sz="4" w:space="0" w:color="293F5B"/>
            </w:tcBorders>
            <w:shd w:val="clear" w:color="auto" w:fill="auto"/>
          </w:tcPr>
          <w:p w14:paraId="2D089C5C" w14:textId="77777777" w:rsidR="0012790E" w:rsidRPr="001C06E6" w:rsidRDefault="0012790E">
            <w:pPr>
              <w:pStyle w:val="MeasureTableDataRightAlignedwith2ptsspacing"/>
              <w:keepNext/>
            </w:pPr>
            <w:r>
              <w:t xml:space="preserve">0.5 </w:t>
            </w:r>
          </w:p>
        </w:tc>
        <w:tc>
          <w:tcPr>
            <w:tcW w:w="1045" w:type="dxa"/>
            <w:tcBorders>
              <w:top w:val="single" w:sz="4" w:space="0" w:color="293F5B"/>
              <w:bottom w:val="single" w:sz="4" w:space="0" w:color="293F5B"/>
            </w:tcBorders>
            <w:shd w:val="clear" w:color="auto" w:fill="auto"/>
          </w:tcPr>
          <w:p w14:paraId="3E633CAE" w14:textId="77777777" w:rsidR="0012790E" w:rsidRPr="001C06E6" w:rsidRDefault="0012790E">
            <w:pPr>
              <w:pStyle w:val="MeasureTableDataRightAlignedwith2ptsspacing"/>
              <w:keepNext/>
            </w:pPr>
            <w:r>
              <w:t xml:space="preserve">1.4 </w:t>
            </w:r>
          </w:p>
        </w:tc>
        <w:tc>
          <w:tcPr>
            <w:tcW w:w="1045" w:type="dxa"/>
            <w:tcBorders>
              <w:top w:val="single" w:sz="4" w:space="0" w:color="293F5B"/>
              <w:bottom w:val="single" w:sz="4" w:space="0" w:color="293F5B"/>
            </w:tcBorders>
            <w:shd w:val="clear" w:color="auto" w:fill="auto"/>
          </w:tcPr>
          <w:p w14:paraId="001BAF17" w14:textId="77777777" w:rsidR="0012790E" w:rsidRPr="001C06E6" w:rsidRDefault="0012790E">
            <w:pPr>
              <w:pStyle w:val="MeasureTableDataRightAlignedwith2ptsspacing"/>
              <w:keepNext/>
            </w:pPr>
            <w:r>
              <w:t xml:space="preserve">1.4 </w:t>
            </w:r>
          </w:p>
        </w:tc>
        <w:tc>
          <w:tcPr>
            <w:tcW w:w="1045" w:type="dxa"/>
            <w:tcBorders>
              <w:top w:val="single" w:sz="4" w:space="0" w:color="293F5B"/>
              <w:bottom w:val="single" w:sz="4" w:space="0" w:color="293F5B"/>
            </w:tcBorders>
            <w:shd w:val="clear" w:color="auto" w:fill="auto"/>
          </w:tcPr>
          <w:p w14:paraId="4118AA98" w14:textId="77777777" w:rsidR="0012790E" w:rsidRPr="001C06E6" w:rsidRDefault="0012790E">
            <w:pPr>
              <w:pStyle w:val="MeasureTableDataRightAlignedwith2ptsspacing"/>
              <w:keepNext/>
            </w:pPr>
            <w:r>
              <w:t xml:space="preserve">1.5 </w:t>
            </w:r>
          </w:p>
        </w:tc>
        <w:tc>
          <w:tcPr>
            <w:tcW w:w="1045" w:type="dxa"/>
            <w:tcBorders>
              <w:top w:val="single" w:sz="4" w:space="0" w:color="293F5B"/>
              <w:bottom w:val="single" w:sz="4" w:space="0" w:color="293F5B"/>
            </w:tcBorders>
            <w:shd w:val="clear" w:color="auto" w:fill="auto"/>
          </w:tcPr>
          <w:p w14:paraId="6A556D9F" w14:textId="77777777" w:rsidR="0012790E" w:rsidRPr="001C06E6" w:rsidRDefault="0012790E">
            <w:pPr>
              <w:pStyle w:val="MeasureTableDataRightAlignedwith2ptsspacing"/>
              <w:keepNext/>
            </w:pPr>
            <w:r>
              <w:t xml:space="preserve">- </w:t>
            </w:r>
          </w:p>
        </w:tc>
      </w:tr>
      <w:tr w:rsidR="002C67C7" w:rsidRPr="001C06E6" w14:paraId="517BBB67" w14:textId="77777777" w:rsidTr="00AC2FA9">
        <w:tc>
          <w:tcPr>
            <w:tcW w:w="2497" w:type="dxa"/>
            <w:tcBorders>
              <w:top w:val="single" w:sz="4" w:space="0" w:color="293F5B"/>
              <w:bottom w:val="single" w:sz="4" w:space="0" w:color="293F5B"/>
            </w:tcBorders>
            <w:shd w:val="clear" w:color="auto" w:fill="auto"/>
          </w:tcPr>
          <w:p w14:paraId="4F22A067" w14:textId="77777777" w:rsidR="002C67C7" w:rsidRPr="001C06E6" w:rsidRDefault="002C67C7" w:rsidP="002C67C7">
            <w:pPr>
              <w:pStyle w:val="MeasureTableHeadingleftalignedwith2ptsspacing"/>
              <w:keepNext/>
            </w:pPr>
            <w:r>
              <w:t xml:space="preserve">Department of Foreign Affairs and Trade </w:t>
            </w:r>
          </w:p>
        </w:tc>
        <w:tc>
          <w:tcPr>
            <w:tcW w:w="1045" w:type="dxa"/>
            <w:tcBorders>
              <w:top w:val="single" w:sz="4" w:space="0" w:color="293F5B"/>
              <w:bottom w:val="single" w:sz="4" w:space="0" w:color="293F5B"/>
            </w:tcBorders>
            <w:shd w:val="clear" w:color="auto" w:fill="auto"/>
          </w:tcPr>
          <w:p w14:paraId="7E707A7D" w14:textId="77777777" w:rsidR="002C67C7" w:rsidRPr="001C06E6" w:rsidRDefault="002C67C7" w:rsidP="002C67C7">
            <w:pPr>
              <w:pStyle w:val="MeasureTableDataRightAlignedwith2ptsspacing"/>
              <w:keepNext/>
            </w:pPr>
            <w:r>
              <w:t xml:space="preserve">0.3 </w:t>
            </w:r>
          </w:p>
        </w:tc>
        <w:tc>
          <w:tcPr>
            <w:tcW w:w="1045" w:type="dxa"/>
            <w:tcBorders>
              <w:top w:val="single" w:sz="4" w:space="0" w:color="293F5B"/>
              <w:bottom w:val="single" w:sz="4" w:space="0" w:color="293F5B"/>
            </w:tcBorders>
            <w:shd w:val="clear" w:color="auto" w:fill="auto"/>
          </w:tcPr>
          <w:p w14:paraId="3C17FCE7" w14:textId="1D629D1A" w:rsidR="002C67C7" w:rsidRPr="001C06E6" w:rsidRDefault="002C67C7" w:rsidP="002C67C7">
            <w:pPr>
              <w:pStyle w:val="MeasureTableDataRightAlignedwith2ptsspacing"/>
              <w:keepNext/>
            </w:pPr>
            <w:r>
              <w:rPr>
                <w:szCs w:val="16"/>
              </w:rPr>
              <w:t>11.8</w:t>
            </w:r>
          </w:p>
        </w:tc>
        <w:tc>
          <w:tcPr>
            <w:tcW w:w="1045" w:type="dxa"/>
            <w:tcBorders>
              <w:top w:val="single" w:sz="4" w:space="0" w:color="293F5B"/>
              <w:bottom w:val="single" w:sz="4" w:space="0" w:color="293F5B"/>
            </w:tcBorders>
            <w:shd w:val="clear" w:color="auto" w:fill="auto"/>
          </w:tcPr>
          <w:p w14:paraId="7F4E0E8B" w14:textId="6B31B7F3" w:rsidR="002C67C7" w:rsidRPr="001C06E6" w:rsidRDefault="002C67C7" w:rsidP="002C67C7">
            <w:pPr>
              <w:pStyle w:val="MeasureTableDataRightAlignedwith2ptsspacing"/>
              <w:keepNext/>
            </w:pPr>
            <w:r>
              <w:rPr>
                <w:szCs w:val="16"/>
              </w:rPr>
              <w:t>14.4</w:t>
            </w:r>
          </w:p>
        </w:tc>
        <w:tc>
          <w:tcPr>
            <w:tcW w:w="1045" w:type="dxa"/>
            <w:tcBorders>
              <w:top w:val="single" w:sz="4" w:space="0" w:color="293F5B"/>
              <w:bottom w:val="single" w:sz="4" w:space="0" w:color="293F5B"/>
            </w:tcBorders>
            <w:shd w:val="clear" w:color="auto" w:fill="auto"/>
          </w:tcPr>
          <w:p w14:paraId="7090E886" w14:textId="6D6AC662" w:rsidR="002C67C7" w:rsidRPr="001C06E6" w:rsidRDefault="002C67C7" w:rsidP="002C67C7">
            <w:pPr>
              <w:pStyle w:val="MeasureTableDataRightAlignedwith2ptsspacing"/>
              <w:keepNext/>
            </w:pPr>
            <w:r>
              <w:rPr>
                <w:szCs w:val="16"/>
              </w:rPr>
              <w:t>12.1</w:t>
            </w:r>
          </w:p>
        </w:tc>
        <w:tc>
          <w:tcPr>
            <w:tcW w:w="1045" w:type="dxa"/>
            <w:tcBorders>
              <w:top w:val="single" w:sz="4" w:space="0" w:color="293F5B"/>
              <w:bottom w:val="single" w:sz="4" w:space="0" w:color="293F5B"/>
            </w:tcBorders>
            <w:shd w:val="clear" w:color="auto" w:fill="auto"/>
          </w:tcPr>
          <w:p w14:paraId="02354A9B" w14:textId="34498707" w:rsidR="002C67C7" w:rsidRPr="001C06E6" w:rsidRDefault="002C67C7" w:rsidP="002C67C7">
            <w:pPr>
              <w:pStyle w:val="MeasureTableDataRightAlignedwith2ptsspacing"/>
              <w:keepNext/>
            </w:pPr>
            <w:r>
              <w:rPr>
                <w:szCs w:val="16"/>
              </w:rPr>
              <w:t>9.3</w:t>
            </w:r>
          </w:p>
        </w:tc>
      </w:tr>
      <w:tr w:rsidR="0012790E" w:rsidRPr="001C06E6" w14:paraId="4DC70A5C" w14:textId="77777777">
        <w:tc>
          <w:tcPr>
            <w:tcW w:w="2497" w:type="dxa"/>
            <w:tcBorders>
              <w:top w:val="single" w:sz="4" w:space="0" w:color="293F5B"/>
              <w:bottom w:val="single" w:sz="4" w:space="0" w:color="293F5B"/>
            </w:tcBorders>
            <w:shd w:val="clear" w:color="auto" w:fill="auto"/>
          </w:tcPr>
          <w:p w14:paraId="12D146E0" w14:textId="77777777" w:rsidR="0012790E" w:rsidRPr="001C06E6" w:rsidRDefault="0012790E">
            <w:pPr>
              <w:pStyle w:val="MeasureTableHeadingleftalignedwith2ptsspacing"/>
              <w:keepNext/>
            </w:pPr>
            <w:r w:rsidRPr="001C06E6">
              <w:t>Department of Defence</w:t>
            </w:r>
          </w:p>
        </w:tc>
        <w:tc>
          <w:tcPr>
            <w:tcW w:w="1045" w:type="dxa"/>
            <w:tcBorders>
              <w:top w:val="single" w:sz="4" w:space="0" w:color="293F5B"/>
              <w:bottom w:val="single" w:sz="4" w:space="0" w:color="293F5B"/>
            </w:tcBorders>
            <w:shd w:val="clear" w:color="auto" w:fill="auto"/>
          </w:tcPr>
          <w:p w14:paraId="0198AB7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8F593A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02EF8D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50E114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7B88B5C" w14:textId="77777777" w:rsidR="0012790E" w:rsidRPr="001C06E6" w:rsidRDefault="0012790E">
            <w:pPr>
              <w:pStyle w:val="MeasureTableDataRightAlignedwith2ptsspacing"/>
              <w:keepNext/>
            </w:pPr>
            <w:r w:rsidRPr="001C06E6">
              <w:t>-</w:t>
            </w:r>
          </w:p>
        </w:tc>
      </w:tr>
      <w:tr w:rsidR="0012790E" w:rsidRPr="001C06E6" w14:paraId="7C614F6C" w14:textId="77777777">
        <w:tc>
          <w:tcPr>
            <w:tcW w:w="2497" w:type="dxa"/>
            <w:tcBorders>
              <w:top w:val="single" w:sz="4" w:space="0" w:color="293F5B"/>
              <w:bottom w:val="single" w:sz="4" w:space="0" w:color="293F5B"/>
            </w:tcBorders>
            <w:shd w:val="clear" w:color="auto" w:fill="auto"/>
          </w:tcPr>
          <w:p w14:paraId="07B87F0F"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4BEF0BBD" w14:textId="77777777" w:rsidR="0012790E" w:rsidRPr="001C06E6" w:rsidRDefault="0012790E">
            <w:pPr>
              <w:pStyle w:val="Totaldatarowrightaligned"/>
              <w:keepNext/>
            </w:pPr>
            <w:r w:rsidRPr="001C06E6">
              <w:t>1.6</w:t>
            </w:r>
          </w:p>
        </w:tc>
        <w:tc>
          <w:tcPr>
            <w:tcW w:w="1045" w:type="dxa"/>
            <w:tcBorders>
              <w:top w:val="single" w:sz="4" w:space="0" w:color="293F5B"/>
              <w:bottom w:val="single" w:sz="4" w:space="0" w:color="293F5B"/>
            </w:tcBorders>
            <w:shd w:val="clear" w:color="auto" w:fill="auto"/>
          </w:tcPr>
          <w:p w14:paraId="2CA21F5A" w14:textId="77777777" w:rsidR="0012790E" w:rsidRPr="001C06E6" w:rsidRDefault="0012790E">
            <w:pPr>
              <w:pStyle w:val="Totaldatarowrightaligned"/>
              <w:keepNext/>
            </w:pPr>
            <w:r w:rsidRPr="001C06E6">
              <w:t>13.5</w:t>
            </w:r>
          </w:p>
        </w:tc>
        <w:tc>
          <w:tcPr>
            <w:tcW w:w="1045" w:type="dxa"/>
            <w:tcBorders>
              <w:top w:val="single" w:sz="4" w:space="0" w:color="293F5B"/>
              <w:bottom w:val="single" w:sz="4" w:space="0" w:color="293F5B"/>
            </w:tcBorders>
            <w:shd w:val="clear" w:color="auto" w:fill="auto"/>
          </w:tcPr>
          <w:p w14:paraId="6299981C" w14:textId="77777777" w:rsidR="0012790E" w:rsidRPr="001C06E6" w:rsidRDefault="0012790E">
            <w:pPr>
              <w:pStyle w:val="Totaldatarowrightaligned"/>
              <w:keepNext/>
            </w:pPr>
            <w:r w:rsidRPr="001C06E6">
              <w:t>15.9</w:t>
            </w:r>
          </w:p>
        </w:tc>
        <w:tc>
          <w:tcPr>
            <w:tcW w:w="1045" w:type="dxa"/>
            <w:tcBorders>
              <w:top w:val="single" w:sz="4" w:space="0" w:color="293F5B"/>
              <w:bottom w:val="single" w:sz="4" w:space="0" w:color="293F5B"/>
            </w:tcBorders>
            <w:shd w:val="clear" w:color="auto" w:fill="auto"/>
          </w:tcPr>
          <w:p w14:paraId="396D50E6" w14:textId="77777777" w:rsidR="0012790E" w:rsidRPr="001C06E6" w:rsidRDefault="0012790E">
            <w:pPr>
              <w:pStyle w:val="Totaldatarowrightaligned"/>
              <w:keepNext/>
            </w:pPr>
            <w:r w:rsidRPr="001C06E6">
              <w:t>13.5</w:t>
            </w:r>
          </w:p>
        </w:tc>
        <w:tc>
          <w:tcPr>
            <w:tcW w:w="1045" w:type="dxa"/>
            <w:tcBorders>
              <w:top w:val="single" w:sz="4" w:space="0" w:color="293F5B"/>
              <w:bottom w:val="single" w:sz="4" w:space="0" w:color="293F5B"/>
            </w:tcBorders>
            <w:shd w:val="clear" w:color="auto" w:fill="auto"/>
          </w:tcPr>
          <w:p w14:paraId="31C56285" w14:textId="77777777" w:rsidR="0012790E" w:rsidRPr="001C06E6" w:rsidRDefault="0012790E">
            <w:pPr>
              <w:pStyle w:val="Totaldatarowrightaligned"/>
              <w:keepNext/>
            </w:pPr>
            <w:r w:rsidRPr="001C06E6">
              <w:t>9.3</w:t>
            </w:r>
          </w:p>
        </w:tc>
      </w:tr>
      <w:tr w:rsidR="0012790E" w:rsidRPr="001C06E6" w14:paraId="49E8B3E9" w14:textId="77777777">
        <w:tc>
          <w:tcPr>
            <w:tcW w:w="2497" w:type="dxa"/>
            <w:tcBorders>
              <w:top w:val="single" w:sz="4" w:space="0" w:color="293F5B"/>
            </w:tcBorders>
            <w:shd w:val="clear" w:color="auto" w:fill="auto"/>
          </w:tcPr>
          <w:p w14:paraId="3C30CA89"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36D6BD9D" w14:textId="77777777" w:rsidR="0012790E" w:rsidRPr="001C06E6" w:rsidRDefault="0012790E">
            <w:pPr>
              <w:pStyle w:val="AgencyName"/>
              <w:keepNext/>
            </w:pPr>
          </w:p>
        </w:tc>
        <w:tc>
          <w:tcPr>
            <w:tcW w:w="1045" w:type="dxa"/>
            <w:tcBorders>
              <w:top w:val="single" w:sz="4" w:space="0" w:color="293F5B"/>
            </w:tcBorders>
            <w:shd w:val="clear" w:color="auto" w:fill="auto"/>
          </w:tcPr>
          <w:p w14:paraId="673513B0" w14:textId="77777777" w:rsidR="0012790E" w:rsidRPr="001C06E6" w:rsidRDefault="0012790E">
            <w:pPr>
              <w:pStyle w:val="AgencyName"/>
              <w:keepNext/>
            </w:pPr>
          </w:p>
        </w:tc>
        <w:tc>
          <w:tcPr>
            <w:tcW w:w="1045" w:type="dxa"/>
            <w:tcBorders>
              <w:top w:val="single" w:sz="4" w:space="0" w:color="293F5B"/>
            </w:tcBorders>
            <w:shd w:val="clear" w:color="auto" w:fill="auto"/>
          </w:tcPr>
          <w:p w14:paraId="7A41371A" w14:textId="77777777" w:rsidR="0012790E" w:rsidRPr="001C06E6" w:rsidRDefault="0012790E">
            <w:pPr>
              <w:pStyle w:val="AgencyName"/>
              <w:keepNext/>
            </w:pPr>
          </w:p>
        </w:tc>
        <w:tc>
          <w:tcPr>
            <w:tcW w:w="1045" w:type="dxa"/>
            <w:tcBorders>
              <w:top w:val="single" w:sz="4" w:space="0" w:color="293F5B"/>
            </w:tcBorders>
            <w:shd w:val="clear" w:color="auto" w:fill="auto"/>
          </w:tcPr>
          <w:p w14:paraId="32EBDD6D" w14:textId="77777777" w:rsidR="0012790E" w:rsidRPr="001C06E6" w:rsidRDefault="0012790E">
            <w:pPr>
              <w:pStyle w:val="AgencyName"/>
              <w:keepNext/>
            </w:pPr>
          </w:p>
        </w:tc>
        <w:tc>
          <w:tcPr>
            <w:tcW w:w="1045" w:type="dxa"/>
            <w:tcBorders>
              <w:top w:val="single" w:sz="4" w:space="0" w:color="293F5B"/>
            </w:tcBorders>
            <w:shd w:val="clear" w:color="auto" w:fill="auto"/>
          </w:tcPr>
          <w:p w14:paraId="1D9A778A" w14:textId="77777777" w:rsidR="0012790E" w:rsidRPr="001C06E6" w:rsidRDefault="0012790E">
            <w:pPr>
              <w:pStyle w:val="AgencyName"/>
              <w:keepNext/>
            </w:pPr>
          </w:p>
        </w:tc>
      </w:tr>
      <w:tr w:rsidR="0012790E" w:rsidRPr="001C06E6" w14:paraId="2FB08D7E" w14:textId="77777777">
        <w:tc>
          <w:tcPr>
            <w:tcW w:w="2497" w:type="dxa"/>
            <w:tcBorders>
              <w:bottom w:val="single" w:sz="4" w:space="0" w:color="293F5B"/>
            </w:tcBorders>
            <w:shd w:val="clear" w:color="auto" w:fill="auto"/>
          </w:tcPr>
          <w:p w14:paraId="7F4AD61F" w14:textId="77777777" w:rsidR="0012790E" w:rsidRPr="001C06E6" w:rsidRDefault="0012790E">
            <w:pPr>
              <w:pStyle w:val="AgencyNamewith2ptsspacing"/>
              <w:keepNext/>
            </w:pPr>
            <w:r w:rsidRPr="001C06E6">
              <w:t>Department of Home Affairs</w:t>
            </w:r>
          </w:p>
        </w:tc>
        <w:tc>
          <w:tcPr>
            <w:tcW w:w="1045" w:type="dxa"/>
            <w:tcBorders>
              <w:bottom w:val="single" w:sz="4" w:space="0" w:color="293F5B"/>
            </w:tcBorders>
            <w:shd w:val="clear" w:color="auto" w:fill="auto"/>
          </w:tcPr>
          <w:p w14:paraId="7505535A"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685B99B5" w14:textId="77777777" w:rsidR="0012790E" w:rsidRPr="001C06E6" w:rsidRDefault="0012790E">
            <w:pPr>
              <w:pStyle w:val="Measuretabledatarightaligneditalics"/>
              <w:keepNext/>
            </w:pPr>
            <w:r w:rsidRPr="001C06E6">
              <w:t>5.0</w:t>
            </w:r>
          </w:p>
        </w:tc>
        <w:tc>
          <w:tcPr>
            <w:tcW w:w="1045" w:type="dxa"/>
            <w:tcBorders>
              <w:bottom w:val="single" w:sz="4" w:space="0" w:color="293F5B"/>
            </w:tcBorders>
            <w:shd w:val="clear" w:color="auto" w:fill="auto"/>
          </w:tcPr>
          <w:p w14:paraId="1D2491E4" w14:textId="77777777" w:rsidR="0012790E" w:rsidRPr="001C06E6" w:rsidRDefault="0012790E">
            <w:pPr>
              <w:pStyle w:val="Measuretabledatarightaligneditalics"/>
              <w:keepNext/>
            </w:pPr>
            <w:r w:rsidRPr="001C06E6">
              <w:t>5.0</w:t>
            </w:r>
          </w:p>
        </w:tc>
        <w:tc>
          <w:tcPr>
            <w:tcW w:w="1045" w:type="dxa"/>
            <w:tcBorders>
              <w:bottom w:val="single" w:sz="4" w:space="0" w:color="293F5B"/>
            </w:tcBorders>
            <w:shd w:val="clear" w:color="auto" w:fill="auto"/>
          </w:tcPr>
          <w:p w14:paraId="1EFDA934" w14:textId="77777777" w:rsidR="0012790E" w:rsidRPr="001C06E6" w:rsidRDefault="0012790E">
            <w:pPr>
              <w:pStyle w:val="Measuretabledatarightaligneditalics"/>
              <w:keepNext/>
            </w:pPr>
            <w:r w:rsidRPr="001C06E6">
              <w:t>10.0</w:t>
            </w:r>
          </w:p>
        </w:tc>
        <w:tc>
          <w:tcPr>
            <w:tcW w:w="1045" w:type="dxa"/>
            <w:tcBorders>
              <w:bottom w:val="single" w:sz="4" w:space="0" w:color="293F5B"/>
            </w:tcBorders>
            <w:shd w:val="clear" w:color="auto" w:fill="auto"/>
          </w:tcPr>
          <w:p w14:paraId="0450ED69" w14:textId="77777777" w:rsidR="0012790E" w:rsidRPr="001C06E6" w:rsidRDefault="0012790E">
            <w:pPr>
              <w:pStyle w:val="Measuretabledatarightaligneditalics"/>
              <w:keepNext/>
            </w:pPr>
            <w:r w:rsidRPr="001C06E6">
              <w:t>5.0</w:t>
            </w:r>
          </w:p>
        </w:tc>
      </w:tr>
    </w:tbl>
    <w:p w14:paraId="2330E508" w14:textId="77777777" w:rsidR="0012790E" w:rsidRPr="001C06E6" w:rsidRDefault="0012790E">
      <w:pPr>
        <w:keepNext/>
        <w:widowControl w:val="0"/>
        <w:tabs>
          <w:tab w:val="right" w:pos="3536"/>
          <w:tab w:val="right" w:pos="4579"/>
          <w:tab w:val="right" w:pos="5622"/>
          <w:tab w:val="right" w:pos="6664"/>
          <w:tab w:val="right" w:pos="7707"/>
        </w:tabs>
        <w:spacing w:line="240" w:lineRule="exact"/>
        <w:rPr>
          <w:i/>
          <w:iCs/>
          <w:color w:val="000000"/>
          <w:sz w:val="16"/>
          <w:szCs w:val="16"/>
          <w:lang w:val="en-AU"/>
        </w:rPr>
      </w:pPr>
    </w:p>
    <w:p w14:paraId="25CF179C" w14:textId="77777777" w:rsidR="0012790E" w:rsidRDefault="0012790E">
      <w:pPr>
        <w:pStyle w:val="Normal2"/>
        <w:rPr>
          <w:rFonts w:cs="Book Antiqua"/>
        </w:rPr>
      </w:pPr>
      <w:r w:rsidRPr="001C06E6">
        <w:rPr>
          <w:rFonts w:cs="Book Antiqua"/>
        </w:rPr>
        <w:t>The Government will provide $505.9</w:t>
      </w:r>
      <w:r>
        <w:rPr>
          <w:rFonts w:cs="Book Antiqua"/>
        </w:rPr>
        <w:t> </w:t>
      </w:r>
      <w:r w:rsidRPr="001C06E6">
        <w:rPr>
          <w:rFonts w:cs="Book Antiqua"/>
        </w:rPr>
        <w:t xml:space="preserve">million over five years from </w:t>
      </w:r>
      <w:r>
        <w:rPr>
          <w:rFonts w:cs="Book Antiqua"/>
        </w:rPr>
        <w:t>2023–24</w:t>
      </w:r>
      <w:r w:rsidRPr="001C06E6">
        <w:rPr>
          <w:rFonts w:cs="Book Antiqua"/>
        </w:rPr>
        <w:t xml:space="preserve"> (and $118.3</w:t>
      </w:r>
      <w:r>
        <w:rPr>
          <w:rFonts w:cs="Book Antiqua"/>
        </w:rPr>
        <w:t> </w:t>
      </w:r>
      <w:r w:rsidRPr="001C06E6">
        <w:rPr>
          <w:rFonts w:cs="Book Antiqua"/>
        </w:rPr>
        <w:t>million per year ongoing) to deepen Australia’s engagement with Southeast Asia,</w:t>
      </w:r>
      <w:r>
        <w:rPr>
          <w:rFonts w:cs="Book Antiqua"/>
        </w:rPr>
        <w:t xml:space="preserve"> </w:t>
      </w:r>
      <w:r w:rsidRPr="001C06E6">
        <w:rPr>
          <w:rFonts w:cs="Book Antiqua"/>
        </w:rPr>
        <w:t>including measures to implement the next phase of the Government’s response to</w:t>
      </w:r>
      <w:r>
        <w:rPr>
          <w:rFonts w:cs="Book Antiqua"/>
        </w:rPr>
        <w:t xml:space="preserve"> </w:t>
      </w:r>
      <w:r w:rsidRPr="001C06E6">
        <w:rPr>
          <w:rFonts w:cs="Book Antiqua"/>
        </w:rPr>
        <w:t>‘Invested: Australia’s Southeast Asia Economic Strategy to 2040’. Funding includes:</w:t>
      </w:r>
    </w:p>
    <w:p w14:paraId="14C97BE3" w14:textId="77777777" w:rsidR="0012790E" w:rsidRDefault="0012790E">
      <w:pPr>
        <w:pStyle w:val="Bullet"/>
      </w:pPr>
      <w:r w:rsidRPr="001C06E6">
        <w:t>$229.6</w:t>
      </w:r>
      <w:r>
        <w:t> </w:t>
      </w:r>
      <w:r w:rsidRPr="001C06E6">
        <w:t xml:space="preserve">million over four years from </w:t>
      </w:r>
      <w:r>
        <w:t>2024–25</w:t>
      </w:r>
      <w:r w:rsidRPr="001C06E6">
        <w:t xml:space="preserve"> (and $50.2</w:t>
      </w:r>
      <w:r>
        <w:t> </w:t>
      </w:r>
      <w:r w:rsidRPr="001C06E6">
        <w:t>million per year ongoing) to continue the Mekong</w:t>
      </w:r>
      <w:r>
        <w:noBreakHyphen/>
      </w:r>
      <w:r w:rsidRPr="001C06E6">
        <w:t>Australia Partnership, supporting development and resilience in the Mekong subregion</w:t>
      </w:r>
      <w:r>
        <w:t xml:space="preserve"> </w:t>
      </w:r>
    </w:p>
    <w:p w14:paraId="10A2807F" w14:textId="1A2A6F35" w:rsidR="0012790E" w:rsidRDefault="0012790E">
      <w:pPr>
        <w:pStyle w:val="Bullet"/>
      </w:pPr>
      <w:r w:rsidRPr="001C06E6">
        <w:t>$152.8</w:t>
      </w:r>
      <w:r>
        <w:t> </w:t>
      </w:r>
      <w:r w:rsidRPr="001C06E6">
        <w:t xml:space="preserve">million over four years from </w:t>
      </w:r>
      <w:r>
        <w:t>2024–25</w:t>
      </w:r>
      <w:r w:rsidRPr="001C06E6">
        <w:t xml:space="preserve"> (and $42.8</w:t>
      </w:r>
      <w:r>
        <w:t> </w:t>
      </w:r>
      <w:r w:rsidRPr="001C06E6">
        <w:t>million per year ongoing) to continue the Partnerships for Infrastructure program, providing advice and support to</w:t>
      </w:r>
      <w:r w:rsidR="00EA2BDB">
        <w:t> </w:t>
      </w:r>
      <w:r w:rsidRPr="001C06E6">
        <w:t>Southeast Asian governments on infrastructure development</w:t>
      </w:r>
      <w:r>
        <w:t xml:space="preserve"> </w:t>
      </w:r>
    </w:p>
    <w:p w14:paraId="4528311F" w14:textId="77777777" w:rsidR="0012790E" w:rsidRDefault="0012790E">
      <w:pPr>
        <w:pStyle w:val="Bullet"/>
      </w:pPr>
      <w:r w:rsidRPr="001C06E6">
        <w:t>$68.2</w:t>
      </w:r>
      <w:r>
        <w:t> </w:t>
      </w:r>
      <w:r w:rsidRPr="001C06E6">
        <w:t xml:space="preserve">million over four years from </w:t>
      </w:r>
      <w:r>
        <w:t>2024–25</w:t>
      </w:r>
      <w:r w:rsidRPr="001C06E6">
        <w:t xml:space="preserve"> (and $17.1</w:t>
      </w:r>
      <w:r>
        <w:t> </w:t>
      </w:r>
      <w:r w:rsidRPr="001C06E6">
        <w:t>million per year ongoing) to continue the Marine Resources Initiative and enhance Southeast Asia maritime cooperation</w:t>
      </w:r>
      <w:r>
        <w:t xml:space="preserve"> </w:t>
      </w:r>
    </w:p>
    <w:p w14:paraId="31F159D0" w14:textId="77777777" w:rsidR="0012790E" w:rsidRDefault="0012790E">
      <w:pPr>
        <w:pStyle w:val="Bullet"/>
      </w:pPr>
      <w:r w:rsidRPr="001C06E6">
        <w:t>$33.1</w:t>
      </w:r>
      <w:r>
        <w:t> </w:t>
      </w:r>
      <w:r w:rsidRPr="001C06E6">
        <w:t xml:space="preserve">million over five years from </w:t>
      </w:r>
      <w:r>
        <w:t>2023–24</w:t>
      </w:r>
      <w:r w:rsidRPr="001C06E6">
        <w:t xml:space="preserve"> (and $8.2</w:t>
      </w:r>
      <w:r>
        <w:t> </w:t>
      </w:r>
      <w:r w:rsidRPr="001C06E6">
        <w:t>million per year ongoing) to establish an ASEAN</w:t>
      </w:r>
      <w:r>
        <w:noBreakHyphen/>
      </w:r>
      <w:r w:rsidRPr="001C06E6">
        <w:t>Australia Centre in Canberra, deepening engagement with Southeast Asia</w:t>
      </w:r>
      <w:r>
        <w:t xml:space="preserve"> </w:t>
      </w:r>
    </w:p>
    <w:p w14:paraId="130F5B74" w14:textId="77777777" w:rsidR="0012790E" w:rsidRDefault="0012790E">
      <w:pPr>
        <w:pStyle w:val="Bullet"/>
      </w:pPr>
      <w:r w:rsidRPr="001C06E6">
        <w:t>$12.9</w:t>
      </w:r>
      <w:r>
        <w:t> </w:t>
      </w:r>
      <w:r w:rsidRPr="001C06E6">
        <w:t xml:space="preserve">million over three years from </w:t>
      </w:r>
      <w:r>
        <w:t>2024–25</w:t>
      </w:r>
      <w:r w:rsidRPr="001C06E6">
        <w:t xml:space="preserve"> to support new scholarships and fellowships under the existing Aus4ASEAN program</w:t>
      </w:r>
      <w:r>
        <w:t xml:space="preserve"> </w:t>
      </w:r>
    </w:p>
    <w:p w14:paraId="4F343147" w14:textId="77777777" w:rsidR="0012790E" w:rsidRDefault="0012790E">
      <w:pPr>
        <w:pStyle w:val="Bullet"/>
      </w:pPr>
      <w:r w:rsidRPr="001C06E6">
        <w:t>$4.8</w:t>
      </w:r>
      <w:r>
        <w:t> </w:t>
      </w:r>
      <w:r w:rsidRPr="001C06E6">
        <w:t xml:space="preserve">million over four years from </w:t>
      </w:r>
      <w:r>
        <w:t>2023–24</w:t>
      </w:r>
      <w:r w:rsidRPr="001C06E6">
        <w:t xml:space="preserve"> to establish two additional ‘Landing Pads’ in Jakarta and Ho Chi Minh City through the Austrade Landing Pads program to support Australian technology exports and startups to expand in the region</w:t>
      </w:r>
      <w:r>
        <w:t xml:space="preserve"> </w:t>
      </w:r>
    </w:p>
    <w:p w14:paraId="20535D37" w14:textId="77777777" w:rsidR="0012790E" w:rsidRDefault="0012790E">
      <w:pPr>
        <w:pStyle w:val="Bullet"/>
      </w:pPr>
      <w:r w:rsidRPr="001C06E6">
        <w:t>$1.1</w:t>
      </w:r>
      <w:r>
        <w:t> </w:t>
      </w:r>
      <w:r w:rsidRPr="001C06E6">
        <w:t xml:space="preserve">million over two years from </w:t>
      </w:r>
      <w:r>
        <w:t>2023–24</w:t>
      </w:r>
      <w:r w:rsidRPr="001C06E6">
        <w:t xml:space="preserve"> to improve visa access and provide long validity business and frequent traveller visas for ASEAN member countries and Timor</w:t>
      </w:r>
      <w:r>
        <w:noBreakHyphen/>
      </w:r>
      <w:r w:rsidRPr="001C06E6">
        <w:t>Leste.</w:t>
      </w:r>
      <w:r>
        <w:t xml:space="preserve"> </w:t>
      </w:r>
    </w:p>
    <w:p w14:paraId="392BDA74" w14:textId="77777777" w:rsidR="0012790E" w:rsidRDefault="0012790E">
      <w:pPr>
        <w:pStyle w:val="Normal2"/>
        <w:rPr>
          <w:rFonts w:cs="Book Antiqua"/>
        </w:rPr>
      </w:pPr>
      <w:r w:rsidRPr="001C06E6">
        <w:rPr>
          <w:rFonts w:cs="Book Antiqua"/>
        </w:rPr>
        <w:t>The improved visa access and increased visa validity is estimated to increase receipts</w:t>
      </w:r>
      <w:r>
        <w:rPr>
          <w:rFonts w:cs="Book Antiqua"/>
        </w:rPr>
        <w:t xml:space="preserve"> </w:t>
      </w:r>
      <w:r w:rsidRPr="001C06E6">
        <w:rPr>
          <w:rFonts w:cs="Book Antiqua"/>
        </w:rPr>
        <w:t>by $25.0</w:t>
      </w:r>
      <w:r>
        <w:rPr>
          <w:rFonts w:cs="Book Antiqua"/>
        </w:rPr>
        <w:t> </w:t>
      </w:r>
      <w:r w:rsidRPr="001C06E6">
        <w:rPr>
          <w:rFonts w:cs="Book Antiqua"/>
        </w:rPr>
        <w:t xml:space="preserve">million over four years from </w:t>
      </w:r>
      <w:r>
        <w:rPr>
          <w:rFonts w:cs="Book Antiqua"/>
        </w:rPr>
        <w:t>2024–25</w:t>
      </w:r>
      <w:r w:rsidRPr="001C06E6">
        <w:rPr>
          <w:rFonts w:cs="Book Antiqua"/>
        </w:rPr>
        <w:t>.</w:t>
      </w:r>
      <w:r>
        <w:rPr>
          <w:rFonts w:cs="Book Antiqua"/>
        </w:rPr>
        <w:t xml:space="preserve"> </w:t>
      </w:r>
    </w:p>
    <w:p w14:paraId="626854F4" w14:textId="77777777" w:rsidR="0012790E" w:rsidRDefault="0012790E" w:rsidP="54937204">
      <w:pPr>
        <w:pStyle w:val="Normal2"/>
        <w:rPr>
          <w:rFonts w:cs="Book Antiqua"/>
          <w:lang w:val="en-US"/>
        </w:rPr>
      </w:pPr>
      <w:r w:rsidRPr="54937204">
        <w:rPr>
          <w:rFonts w:cs="Book Antiqua"/>
          <w:lang w:val="en-US"/>
        </w:rPr>
        <w:t xml:space="preserve">The Government will also establish a $2.0 billion Southeast Asia Investment Financing Facility on the National Interest Account to increase Australia’s trade and investment in Southeast Asia. The Facility will be administered by Export Finance Australia and has no impact on the underlying cash balance until drawn on. The funding for this measure includes $3.3 million over five years from 2023–24 (and an additional $6.2 million from 2028–29 to 2033–34) to establish and manage the Facility. </w:t>
      </w:r>
    </w:p>
    <w:p w14:paraId="578FF30D"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within the existing resources of the Department of Foreign Affairs and Trade, the Department of Defence and the Department of Home Affairs. </w:t>
      </w:r>
    </w:p>
    <w:p w14:paraId="486C0E77" w14:textId="7777777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 xml:space="preserve">MYEFO measure titled </w:t>
      </w:r>
      <w:r w:rsidRPr="001C06E6">
        <w:rPr>
          <w:rFonts w:cs="Book Antiqua"/>
          <w:i/>
          <w:iCs/>
        </w:rPr>
        <w:t>Southeast Asia Economic</w:t>
      </w:r>
      <w:r>
        <w:rPr>
          <w:rFonts w:cs="Book Antiqua"/>
          <w:i/>
          <w:iCs/>
        </w:rPr>
        <w:t xml:space="preserve"> </w:t>
      </w:r>
      <w:r w:rsidRPr="001C06E6">
        <w:rPr>
          <w:rFonts w:cs="Book Antiqua"/>
          <w:i/>
          <w:iCs/>
        </w:rPr>
        <w:t>Strategy to 2040</w:t>
      </w:r>
      <w:r w:rsidRPr="001C06E6">
        <w:rPr>
          <w:rFonts w:cs="Book Antiqua"/>
        </w:rPr>
        <w:t>.</w:t>
      </w:r>
      <w:r>
        <w:rPr>
          <w:rFonts w:cs="Book Antiqua"/>
        </w:rPr>
        <w:t xml:space="preserve"> </w:t>
      </w:r>
    </w:p>
    <w:p w14:paraId="7473D5C7" w14:textId="77777777" w:rsidR="0012790E" w:rsidRPr="001C06E6" w:rsidRDefault="0012790E" w:rsidP="54937204">
      <w:pPr>
        <w:pStyle w:val="MeasureTitle"/>
        <w:rPr>
          <w:b w:val="0"/>
          <w:lang w:val="en-US"/>
        </w:rPr>
      </w:pPr>
      <w:r w:rsidRPr="54937204">
        <w:rPr>
          <w:lang w:val="en-US"/>
        </w:rPr>
        <w:t>Trade and Tourism Strategies – additional funding</w:t>
      </w:r>
    </w:p>
    <w:p w14:paraId="1ADD1860"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E63D1D1" w14:textId="77777777">
        <w:tc>
          <w:tcPr>
            <w:tcW w:w="2497" w:type="dxa"/>
            <w:tcBorders>
              <w:top w:val="single" w:sz="4" w:space="0" w:color="293F5B"/>
              <w:bottom w:val="single" w:sz="4" w:space="0" w:color="293F5B"/>
            </w:tcBorders>
            <w:shd w:val="clear" w:color="auto" w:fill="auto"/>
          </w:tcPr>
          <w:p w14:paraId="2EFCCFB3"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33B8E20A"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56C47592"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49DF3702"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34E20D2"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74DCAA4" w14:textId="77777777" w:rsidR="0012790E" w:rsidRPr="001C06E6" w:rsidRDefault="0012790E">
            <w:pPr>
              <w:pStyle w:val="MeasureTableYearHeadings"/>
              <w:keepNext/>
            </w:pPr>
            <w:r w:rsidRPr="001C06E6">
              <w:t>2027</w:t>
            </w:r>
            <w:r>
              <w:noBreakHyphen/>
            </w:r>
            <w:r w:rsidRPr="001C06E6">
              <w:t>28</w:t>
            </w:r>
          </w:p>
        </w:tc>
      </w:tr>
      <w:tr w:rsidR="0012790E" w:rsidRPr="001C06E6" w14:paraId="6DDE3D9C" w14:textId="77777777">
        <w:tc>
          <w:tcPr>
            <w:tcW w:w="2497" w:type="dxa"/>
            <w:tcBorders>
              <w:top w:val="single" w:sz="4" w:space="0" w:color="293F5B"/>
              <w:bottom w:val="single" w:sz="4" w:space="0" w:color="293F5B"/>
            </w:tcBorders>
            <w:shd w:val="clear" w:color="auto" w:fill="auto"/>
          </w:tcPr>
          <w:p w14:paraId="16750968" w14:textId="77777777" w:rsidR="0012790E" w:rsidRPr="001C06E6" w:rsidRDefault="0012790E">
            <w:pPr>
              <w:pStyle w:val="MeasureTableHeadingleftalignedwith2ptsspacing"/>
              <w:keepNext/>
            </w:pPr>
            <w:r>
              <w:t xml:space="preserve">Australian Trade and Investment Commission </w:t>
            </w:r>
          </w:p>
        </w:tc>
        <w:tc>
          <w:tcPr>
            <w:tcW w:w="1045" w:type="dxa"/>
            <w:tcBorders>
              <w:top w:val="single" w:sz="4" w:space="0" w:color="293F5B"/>
              <w:bottom w:val="single" w:sz="4" w:space="0" w:color="293F5B"/>
            </w:tcBorders>
            <w:shd w:val="clear" w:color="auto" w:fill="auto"/>
          </w:tcPr>
          <w:p w14:paraId="22F6A364"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AE6E72D" w14:textId="77777777" w:rsidR="0012790E" w:rsidRPr="001C06E6" w:rsidRDefault="0012790E">
            <w:pPr>
              <w:pStyle w:val="MeasureTableDataRightAlignedwith2ptsspacing"/>
              <w:keepNext/>
            </w:pPr>
            <w:r>
              <w:t xml:space="preserve">17.4 </w:t>
            </w:r>
          </w:p>
        </w:tc>
        <w:tc>
          <w:tcPr>
            <w:tcW w:w="1045" w:type="dxa"/>
            <w:tcBorders>
              <w:top w:val="single" w:sz="4" w:space="0" w:color="293F5B"/>
              <w:bottom w:val="single" w:sz="4" w:space="0" w:color="293F5B"/>
            </w:tcBorders>
            <w:shd w:val="clear" w:color="auto" w:fill="auto"/>
          </w:tcPr>
          <w:p w14:paraId="373F9DDD" w14:textId="77777777" w:rsidR="0012790E" w:rsidRPr="001C06E6" w:rsidRDefault="0012790E">
            <w:pPr>
              <w:pStyle w:val="MeasureTableDataRightAlignedwith2ptsspacing"/>
              <w:keepNext/>
            </w:pPr>
            <w:r>
              <w:t xml:space="preserve">15.6 </w:t>
            </w:r>
          </w:p>
        </w:tc>
        <w:tc>
          <w:tcPr>
            <w:tcW w:w="1045" w:type="dxa"/>
            <w:tcBorders>
              <w:top w:val="single" w:sz="4" w:space="0" w:color="293F5B"/>
              <w:bottom w:val="single" w:sz="4" w:space="0" w:color="293F5B"/>
            </w:tcBorders>
            <w:shd w:val="clear" w:color="auto" w:fill="auto"/>
          </w:tcPr>
          <w:p w14:paraId="1E97EC26" w14:textId="77777777" w:rsidR="0012790E" w:rsidRPr="001C06E6" w:rsidRDefault="0012790E">
            <w:pPr>
              <w:pStyle w:val="MeasureTableDataRightAlignedwith2ptsspacing"/>
              <w:keepNext/>
            </w:pPr>
            <w:r>
              <w:t xml:space="preserve">6.0 </w:t>
            </w:r>
          </w:p>
        </w:tc>
        <w:tc>
          <w:tcPr>
            <w:tcW w:w="1045" w:type="dxa"/>
            <w:tcBorders>
              <w:top w:val="single" w:sz="4" w:space="0" w:color="293F5B"/>
              <w:bottom w:val="single" w:sz="4" w:space="0" w:color="293F5B"/>
            </w:tcBorders>
            <w:shd w:val="clear" w:color="auto" w:fill="auto"/>
          </w:tcPr>
          <w:p w14:paraId="454B1E82" w14:textId="77777777" w:rsidR="0012790E" w:rsidRPr="001C06E6" w:rsidRDefault="0012790E">
            <w:pPr>
              <w:pStyle w:val="MeasureTableDataRightAlignedwith2ptsspacing"/>
              <w:keepNext/>
            </w:pPr>
            <w:r>
              <w:t xml:space="preserve">5.8 </w:t>
            </w:r>
          </w:p>
        </w:tc>
      </w:tr>
      <w:tr w:rsidR="0012790E" w:rsidRPr="001C06E6" w14:paraId="1F7E6A70" w14:textId="77777777">
        <w:tc>
          <w:tcPr>
            <w:tcW w:w="2497" w:type="dxa"/>
            <w:tcBorders>
              <w:top w:val="single" w:sz="4" w:space="0" w:color="293F5B"/>
              <w:bottom w:val="single" w:sz="4" w:space="0" w:color="293F5B"/>
            </w:tcBorders>
            <w:shd w:val="clear" w:color="auto" w:fill="auto"/>
          </w:tcPr>
          <w:p w14:paraId="01EE8874"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36F58A8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4CF51D5" w14:textId="77777777" w:rsidR="0012790E" w:rsidRPr="001C06E6" w:rsidRDefault="0012790E">
            <w:pPr>
              <w:pStyle w:val="MeasureTableDataRightAlignedwith2ptsspacing"/>
              <w:keepNext/>
            </w:pPr>
            <w:r w:rsidRPr="001C06E6">
              <w:t>8.0</w:t>
            </w:r>
          </w:p>
        </w:tc>
        <w:tc>
          <w:tcPr>
            <w:tcW w:w="1045" w:type="dxa"/>
            <w:tcBorders>
              <w:top w:val="single" w:sz="4" w:space="0" w:color="293F5B"/>
              <w:bottom w:val="single" w:sz="4" w:space="0" w:color="293F5B"/>
            </w:tcBorders>
            <w:shd w:val="clear" w:color="auto" w:fill="auto"/>
          </w:tcPr>
          <w:p w14:paraId="20831021" w14:textId="77777777" w:rsidR="0012790E" w:rsidRPr="001C06E6" w:rsidRDefault="0012790E">
            <w:pPr>
              <w:pStyle w:val="MeasureTableDataRightAlignedwith2ptsspacing"/>
              <w:keepNext/>
            </w:pPr>
            <w:r w:rsidRPr="001C06E6">
              <w:t>6.9</w:t>
            </w:r>
          </w:p>
        </w:tc>
        <w:tc>
          <w:tcPr>
            <w:tcW w:w="1045" w:type="dxa"/>
            <w:tcBorders>
              <w:top w:val="single" w:sz="4" w:space="0" w:color="293F5B"/>
              <w:bottom w:val="single" w:sz="4" w:space="0" w:color="293F5B"/>
            </w:tcBorders>
            <w:shd w:val="clear" w:color="auto" w:fill="auto"/>
          </w:tcPr>
          <w:p w14:paraId="5F0E7ADB" w14:textId="77777777" w:rsidR="0012790E" w:rsidRPr="001C06E6" w:rsidRDefault="0012790E">
            <w:pPr>
              <w:pStyle w:val="MeasureTableDataRightAlignedwith2ptsspacing"/>
              <w:keepNext/>
            </w:pPr>
            <w:r w:rsidRPr="001C06E6">
              <w:t>1.0</w:t>
            </w:r>
          </w:p>
        </w:tc>
        <w:tc>
          <w:tcPr>
            <w:tcW w:w="1045" w:type="dxa"/>
            <w:tcBorders>
              <w:top w:val="single" w:sz="4" w:space="0" w:color="293F5B"/>
              <w:bottom w:val="single" w:sz="4" w:space="0" w:color="293F5B"/>
            </w:tcBorders>
            <w:shd w:val="clear" w:color="auto" w:fill="auto"/>
          </w:tcPr>
          <w:p w14:paraId="498C1E97" w14:textId="77777777" w:rsidR="0012790E" w:rsidRPr="001C06E6" w:rsidRDefault="0012790E">
            <w:pPr>
              <w:pStyle w:val="MeasureTableDataRightAlignedwith2ptsspacing"/>
              <w:keepNext/>
            </w:pPr>
            <w:r w:rsidRPr="001C06E6">
              <w:t>1.0</w:t>
            </w:r>
          </w:p>
        </w:tc>
      </w:tr>
      <w:tr w:rsidR="0012790E" w:rsidRPr="001C06E6" w14:paraId="6EB37A6B" w14:textId="77777777">
        <w:tc>
          <w:tcPr>
            <w:tcW w:w="2497" w:type="dxa"/>
            <w:tcBorders>
              <w:top w:val="single" w:sz="4" w:space="0" w:color="293F5B"/>
              <w:bottom w:val="single" w:sz="4" w:space="0" w:color="293F5B"/>
            </w:tcBorders>
            <w:shd w:val="clear" w:color="auto" w:fill="auto"/>
          </w:tcPr>
          <w:p w14:paraId="4FC60D86" w14:textId="77777777" w:rsidR="0012790E" w:rsidRPr="001C06E6" w:rsidRDefault="0012790E">
            <w:pPr>
              <w:pStyle w:val="MeasureTableHeadingleftalignedwith2ptsspacing"/>
              <w:keepNext/>
            </w:pPr>
            <w:r>
              <w:t xml:space="preserve">Department of Foreign Affairs and Trade </w:t>
            </w:r>
          </w:p>
        </w:tc>
        <w:tc>
          <w:tcPr>
            <w:tcW w:w="1045" w:type="dxa"/>
            <w:tcBorders>
              <w:top w:val="single" w:sz="4" w:space="0" w:color="293F5B"/>
              <w:bottom w:val="single" w:sz="4" w:space="0" w:color="293F5B"/>
            </w:tcBorders>
            <w:shd w:val="clear" w:color="auto" w:fill="auto"/>
          </w:tcPr>
          <w:p w14:paraId="7C01A86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6A6E96F" w14:textId="77777777" w:rsidR="0012790E" w:rsidRPr="001C06E6" w:rsidRDefault="0012790E">
            <w:pPr>
              <w:pStyle w:val="MeasureTableDataRightAlignedwith2ptsspacing"/>
              <w:keepNext/>
            </w:pPr>
            <w:r>
              <w:t xml:space="preserve">2.3 </w:t>
            </w:r>
          </w:p>
        </w:tc>
        <w:tc>
          <w:tcPr>
            <w:tcW w:w="1045" w:type="dxa"/>
            <w:tcBorders>
              <w:top w:val="single" w:sz="4" w:space="0" w:color="293F5B"/>
              <w:bottom w:val="single" w:sz="4" w:space="0" w:color="293F5B"/>
            </w:tcBorders>
            <w:shd w:val="clear" w:color="auto" w:fill="auto"/>
          </w:tcPr>
          <w:p w14:paraId="2C563C24" w14:textId="77777777" w:rsidR="0012790E" w:rsidRPr="001C06E6" w:rsidRDefault="0012790E">
            <w:pPr>
              <w:pStyle w:val="MeasureTableDataRightAlignedwith2ptsspacing"/>
              <w:keepNext/>
            </w:pPr>
            <w:r>
              <w:t xml:space="preserve">2.1 </w:t>
            </w:r>
          </w:p>
        </w:tc>
        <w:tc>
          <w:tcPr>
            <w:tcW w:w="1045" w:type="dxa"/>
            <w:tcBorders>
              <w:top w:val="single" w:sz="4" w:space="0" w:color="293F5B"/>
              <w:bottom w:val="single" w:sz="4" w:space="0" w:color="293F5B"/>
            </w:tcBorders>
            <w:shd w:val="clear" w:color="auto" w:fill="auto"/>
          </w:tcPr>
          <w:p w14:paraId="034DEB6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F4B817D" w14:textId="77777777" w:rsidR="0012790E" w:rsidRPr="001C06E6" w:rsidRDefault="0012790E">
            <w:pPr>
              <w:pStyle w:val="MeasureTableDataRightAlignedwith2ptsspacing"/>
              <w:keepNext/>
            </w:pPr>
            <w:r>
              <w:t xml:space="preserve">- </w:t>
            </w:r>
          </w:p>
        </w:tc>
      </w:tr>
      <w:tr w:rsidR="0012790E" w:rsidRPr="001C06E6" w14:paraId="579E8616" w14:textId="77777777">
        <w:tc>
          <w:tcPr>
            <w:tcW w:w="2497" w:type="dxa"/>
            <w:tcBorders>
              <w:top w:val="single" w:sz="4" w:space="0" w:color="293F5B"/>
              <w:bottom w:val="single" w:sz="4" w:space="0" w:color="293F5B"/>
            </w:tcBorders>
            <w:shd w:val="clear" w:color="auto" w:fill="auto"/>
          </w:tcPr>
          <w:p w14:paraId="766C3BD3" w14:textId="77777777" w:rsidR="0012790E" w:rsidRPr="001C06E6" w:rsidRDefault="0012790E">
            <w:pPr>
              <w:pStyle w:val="MeasureTableHeadingleftalignedwith2ptsspacing"/>
              <w:keepNext/>
            </w:pPr>
            <w:r>
              <w:t xml:space="preserve">Department of Agriculture, Fisheries and Forestry </w:t>
            </w:r>
          </w:p>
        </w:tc>
        <w:tc>
          <w:tcPr>
            <w:tcW w:w="1045" w:type="dxa"/>
            <w:tcBorders>
              <w:top w:val="single" w:sz="4" w:space="0" w:color="293F5B"/>
              <w:bottom w:val="single" w:sz="4" w:space="0" w:color="293F5B"/>
            </w:tcBorders>
            <w:shd w:val="clear" w:color="auto" w:fill="auto"/>
          </w:tcPr>
          <w:p w14:paraId="31400FA7"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1A55935" w14:textId="77777777" w:rsidR="0012790E" w:rsidRPr="001C06E6" w:rsidRDefault="0012790E">
            <w:pPr>
              <w:pStyle w:val="MeasureTableDataRightAlignedwith2ptsspacing"/>
              <w:keepNext/>
            </w:pPr>
            <w:r>
              <w:t xml:space="preserve">1.8 </w:t>
            </w:r>
          </w:p>
        </w:tc>
        <w:tc>
          <w:tcPr>
            <w:tcW w:w="1045" w:type="dxa"/>
            <w:tcBorders>
              <w:top w:val="single" w:sz="4" w:space="0" w:color="293F5B"/>
              <w:bottom w:val="single" w:sz="4" w:space="0" w:color="293F5B"/>
            </w:tcBorders>
            <w:shd w:val="clear" w:color="auto" w:fill="auto"/>
          </w:tcPr>
          <w:p w14:paraId="3F5BEA12" w14:textId="77777777" w:rsidR="0012790E" w:rsidRPr="001C06E6" w:rsidRDefault="0012790E">
            <w:pPr>
              <w:pStyle w:val="MeasureTableDataRightAlignedwith2ptsspacing"/>
              <w:keepNext/>
            </w:pPr>
            <w:r>
              <w:t xml:space="preserve">1.8 </w:t>
            </w:r>
          </w:p>
        </w:tc>
        <w:tc>
          <w:tcPr>
            <w:tcW w:w="1045" w:type="dxa"/>
            <w:tcBorders>
              <w:top w:val="single" w:sz="4" w:space="0" w:color="293F5B"/>
              <w:bottom w:val="single" w:sz="4" w:space="0" w:color="293F5B"/>
            </w:tcBorders>
            <w:shd w:val="clear" w:color="auto" w:fill="auto"/>
          </w:tcPr>
          <w:p w14:paraId="442F87A3"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E734803" w14:textId="77777777" w:rsidR="0012790E" w:rsidRPr="001C06E6" w:rsidRDefault="0012790E">
            <w:pPr>
              <w:pStyle w:val="MeasureTableDataRightAlignedwith2ptsspacing"/>
              <w:keepNext/>
            </w:pPr>
            <w:r>
              <w:t xml:space="preserve">- </w:t>
            </w:r>
          </w:p>
        </w:tc>
      </w:tr>
      <w:tr w:rsidR="0012790E" w:rsidRPr="001C06E6" w14:paraId="374C950F" w14:textId="77777777">
        <w:tc>
          <w:tcPr>
            <w:tcW w:w="2497" w:type="dxa"/>
            <w:tcBorders>
              <w:top w:val="single" w:sz="4" w:space="0" w:color="293F5B"/>
              <w:bottom w:val="single" w:sz="4" w:space="0" w:color="293F5B"/>
            </w:tcBorders>
            <w:shd w:val="clear" w:color="auto" w:fill="auto"/>
          </w:tcPr>
          <w:p w14:paraId="778AE284"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2620CAB4"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30D32D5" w14:textId="77777777" w:rsidR="0012790E" w:rsidRPr="001C06E6" w:rsidRDefault="0012790E">
            <w:pPr>
              <w:pStyle w:val="Totaldatarowrightaligned"/>
              <w:keepNext/>
            </w:pPr>
            <w:r w:rsidRPr="001C06E6">
              <w:t>29.5</w:t>
            </w:r>
          </w:p>
        </w:tc>
        <w:tc>
          <w:tcPr>
            <w:tcW w:w="1045" w:type="dxa"/>
            <w:tcBorders>
              <w:top w:val="single" w:sz="4" w:space="0" w:color="293F5B"/>
              <w:bottom w:val="single" w:sz="4" w:space="0" w:color="293F5B"/>
            </w:tcBorders>
            <w:shd w:val="clear" w:color="auto" w:fill="auto"/>
          </w:tcPr>
          <w:p w14:paraId="3C63EE3F" w14:textId="77777777" w:rsidR="0012790E" w:rsidRPr="001C06E6" w:rsidRDefault="0012790E">
            <w:pPr>
              <w:pStyle w:val="Totaldatarowrightaligned"/>
              <w:keepNext/>
            </w:pPr>
            <w:r w:rsidRPr="001C06E6">
              <w:t>26.5</w:t>
            </w:r>
          </w:p>
        </w:tc>
        <w:tc>
          <w:tcPr>
            <w:tcW w:w="1045" w:type="dxa"/>
            <w:tcBorders>
              <w:top w:val="single" w:sz="4" w:space="0" w:color="293F5B"/>
              <w:bottom w:val="single" w:sz="4" w:space="0" w:color="293F5B"/>
            </w:tcBorders>
            <w:shd w:val="clear" w:color="auto" w:fill="auto"/>
          </w:tcPr>
          <w:p w14:paraId="60B7AAB2" w14:textId="77777777" w:rsidR="0012790E" w:rsidRPr="001C06E6" w:rsidRDefault="0012790E">
            <w:pPr>
              <w:pStyle w:val="Totaldatarowrightaligned"/>
              <w:keepNext/>
            </w:pPr>
            <w:r w:rsidRPr="001C06E6">
              <w:t>7.0</w:t>
            </w:r>
          </w:p>
        </w:tc>
        <w:tc>
          <w:tcPr>
            <w:tcW w:w="1045" w:type="dxa"/>
            <w:tcBorders>
              <w:top w:val="single" w:sz="4" w:space="0" w:color="293F5B"/>
              <w:bottom w:val="single" w:sz="4" w:space="0" w:color="293F5B"/>
            </w:tcBorders>
            <w:shd w:val="clear" w:color="auto" w:fill="auto"/>
          </w:tcPr>
          <w:p w14:paraId="011C5745" w14:textId="77777777" w:rsidR="0012790E" w:rsidRPr="001C06E6" w:rsidRDefault="0012790E">
            <w:pPr>
              <w:pStyle w:val="Totaldatarowrightaligned"/>
              <w:keepNext/>
            </w:pPr>
            <w:r w:rsidRPr="001C06E6">
              <w:t>6.8</w:t>
            </w:r>
          </w:p>
        </w:tc>
      </w:tr>
    </w:tbl>
    <w:p w14:paraId="0FFF33A0"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4C6C3187" w14:textId="77777777" w:rsidR="0012790E" w:rsidRDefault="0012790E">
      <w:pPr>
        <w:pStyle w:val="Normal2"/>
        <w:rPr>
          <w:rFonts w:cs="Book Antiqua"/>
        </w:rPr>
      </w:pPr>
      <w:r w:rsidRPr="001C06E6">
        <w:rPr>
          <w:rFonts w:cs="Book Antiqua"/>
        </w:rPr>
        <w:t>The Government will provide $69.7</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(and $3.6</w:t>
      </w:r>
      <w:r>
        <w:rPr>
          <w:rFonts w:cs="Book Antiqua"/>
        </w:rPr>
        <w:t> </w:t>
      </w:r>
      <w:r w:rsidRPr="001C06E6">
        <w:rPr>
          <w:rFonts w:cs="Book Antiqua"/>
        </w:rPr>
        <w:t>million per year ongoing) to support Australian businesses and to boost Australia’s</w:t>
      </w:r>
      <w:r>
        <w:rPr>
          <w:rFonts w:cs="Book Antiqua"/>
        </w:rPr>
        <w:t xml:space="preserve"> </w:t>
      </w:r>
      <w:r w:rsidRPr="001C06E6">
        <w:rPr>
          <w:rFonts w:cs="Book Antiqua"/>
        </w:rPr>
        <w:t>trade, tourism, and investment opportunities. Funding includes:</w:t>
      </w:r>
    </w:p>
    <w:p w14:paraId="6DB4EEEB" w14:textId="77777777" w:rsidR="0012790E" w:rsidRDefault="0012790E">
      <w:pPr>
        <w:pStyle w:val="Bullet"/>
      </w:pPr>
      <w:r w:rsidRPr="001C06E6">
        <w:t>$29.9</w:t>
      </w:r>
      <w:r>
        <w:t> </w:t>
      </w:r>
      <w:r w:rsidRPr="001C06E6">
        <w:t xml:space="preserve">million over four years from </w:t>
      </w:r>
      <w:r>
        <w:t>2024–25</w:t>
      </w:r>
      <w:r w:rsidRPr="001C06E6">
        <w:t xml:space="preserve"> (and $1.0</w:t>
      </w:r>
      <w:r>
        <w:t> </w:t>
      </w:r>
      <w:r w:rsidRPr="001C06E6">
        <w:t>million per year ongoing) to establish a simplified trade system unit to continue trade simplification coordination and deliver a Digital Trade Accelerator program to improve cross</w:t>
      </w:r>
      <w:r>
        <w:noBreakHyphen/>
      </w:r>
      <w:r w:rsidRPr="001C06E6">
        <w:t>border trade by enhancing border and biosecurity risk assessments and government to business trade data sharing</w:t>
      </w:r>
      <w:r>
        <w:t xml:space="preserve"> </w:t>
      </w:r>
    </w:p>
    <w:p w14:paraId="513E9645" w14:textId="77777777" w:rsidR="0012790E" w:rsidRDefault="0012790E">
      <w:pPr>
        <w:pStyle w:val="Bullet"/>
      </w:pPr>
      <w:r w:rsidRPr="001C06E6">
        <w:t>$14.4</w:t>
      </w:r>
      <w:r>
        <w:t> </w:t>
      </w:r>
      <w:r w:rsidRPr="001C06E6">
        <w:t xml:space="preserve">million over four years from </w:t>
      </w:r>
      <w:r>
        <w:t>2024–25</w:t>
      </w:r>
      <w:r w:rsidRPr="001C06E6">
        <w:t xml:space="preserve"> to expand the Australia</w:t>
      </w:r>
      <w:r>
        <w:noBreakHyphen/>
      </w:r>
      <w:r w:rsidRPr="001C06E6">
        <w:t>India Business Exchange to promote Australia’s trade and investment with India and across South Asia</w:t>
      </w:r>
      <w:r>
        <w:t xml:space="preserve"> </w:t>
      </w:r>
    </w:p>
    <w:p w14:paraId="6917BA4B" w14:textId="77777777" w:rsidR="0012790E" w:rsidRDefault="0012790E">
      <w:pPr>
        <w:pStyle w:val="Bullet"/>
      </w:pPr>
      <w:r w:rsidRPr="001C06E6">
        <w:t>$10.9</w:t>
      </w:r>
      <w:r>
        <w:t> </w:t>
      </w:r>
      <w:r w:rsidRPr="001C06E6">
        <w:t xml:space="preserve">million over two years from </w:t>
      </w:r>
      <w:r>
        <w:t>2024–25</w:t>
      </w:r>
      <w:r w:rsidRPr="001C06E6">
        <w:t xml:space="preserve"> to enhance the Go Global Toolkit online platform to support Australian businesses to export goods and services</w:t>
      </w:r>
      <w:r>
        <w:t xml:space="preserve"> </w:t>
      </w:r>
    </w:p>
    <w:p w14:paraId="4E52B84C" w14:textId="77777777" w:rsidR="0012790E" w:rsidRDefault="0012790E">
      <w:pPr>
        <w:pStyle w:val="Bullet"/>
      </w:pPr>
      <w:r w:rsidRPr="001C06E6">
        <w:t>$8.1</w:t>
      </w:r>
      <w:r>
        <w:t> </w:t>
      </w:r>
      <w:r w:rsidRPr="001C06E6">
        <w:t xml:space="preserve">million over four years from </w:t>
      </w:r>
      <w:r>
        <w:t>2024–25</w:t>
      </w:r>
      <w:r w:rsidRPr="001C06E6">
        <w:t xml:space="preserve"> (and $2.5</w:t>
      </w:r>
      <w:r>
        <w:t> </w:t>
      </w:r>
      <w:r w:rsidRPr="001C06E6">
        <w:t>million per year ongoing) to administer the Approved Destination Status scheme to support Chinese tourists travelling to Australia in guided groups</w:t>
      </w:r>
      <w:r>
        <w:t xml:space="preserve"> </w:t>
      </w:r>
    </w:p>
    <w:p w14:paraId="56750869" w14:textId="77777777" w:rsidR="0012790E" w:rsidRDefault="0012790E">
      <w:pPr>
        <w:pStyle w:val="Bullet"/>
      </w:pPr>
      <w:r w:rsidRPr="001C06E6">
        <w:t>$4.4</w:t>
      </w:r>
      <w:r>
        <w:t> </w:t>
      </w:r>
      <w:r w:rsidRPr="001C06E6">
        <w:t xml:space="preserve">million over two years from </w:t>
      </w:r>
      <w:r>
        <w:t>2024–25</w:t>
      </w:r>
      <w:r w:rsidRPr="001C06E6">
        <w:t xml:space="preserve"> to continue funding for the Trade 2040 taskforce and support trade diversification</w:t>
      </w:r>
      <w:r>
        <w:t xml:space="preserve"> </w:t>
      </w:r>
    </w:p>
    <w:p w14:paraId="62D084F3" w14:textId="766BBA2F" w:rsidR="0012790E" w:rsidRDefault="0012790E">
      <w:pPr>
        <w:pStyle w:val="Bullet"/>
      </w:pPr>
      <w:r w:rsidRPr="001C06E6">
        <w:t>$2.0</w:t>
      </w:r>
      <w:r>
        <w:t> </w:t>
      </w:r>
      <w:r w:rsidRPr="001C06E6">
        <w:t xml:space="preserve">million in </w:t>
      </w:r>
      <w:r>
        <w:t>2024–25</w:t>
      </w:r>
      <w:r w:rsidRPr="001C06E6">
        <w:t xml:space="preserve"> to support affected Australian agricultural exporters to re</w:t>
      </w:r>
      <w:r>
        <w:noBreakHyphen/>
      </w:r>
      <w:r w:rsidRPr="001C06E6">
        <w:t>establish commercial connections in China and continue to diversify into other</w:t>
      </w:r>
      <w:r w:rsidR="00EA2BDB">
        <w:t> </w:t>
      </w:r>
      <w:r w:rsidRPr="001C06E6">
        <w:t>markets.</w:t>
      </w:r>
      <w:r>
        <w:t xml:space="preserve"> </w:t>
      </w:r>
    </w:p>
    <w:p w14:paraId="74895230" w14:textId="7777777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 xml:space="preserve">Budget measure titled </w:t>
      </w:r>
      <w:r w:rsidRPr="001C06E6">
        <w:rPr>
          <w:rFonts w:cs="Book Antiqua"/>
          <w:i/>
          <w:iCs/>
        </w:rPr>
        <w:t>Simplified Trade System</w:t>
      </w:r>
      <w:r>
        <w:rPr>
          <w:rFonts w:cs="Book Antiqua"/>
        </w:rPr>
        <w:t xml:space="preserve"> </w:t>
      </w:r>
      <w:r w:rsidRPr="001C06E6">
        <w:rPr>
          <w:rFonts w:cs="Book Antiqua"/>
        </w:rPr>
        <w:t xml:space="preserve">and the </w:t>
      </w:r>
      <w:r>
        <w:rPr>
          <w:rFonts w:cs="Book Antiqua"/>
        </w:rPr>
        <w:t>2022–23</w:t>
      </w:r>
      <w:r w:rsidRPr="001C06E6">
        <w:rPr>
          <w:rFonts w:cs="Book Antiqua"/>
        </w:rPr>
        <w:t xml:space="preserve"> October Budget measure </w:t>
      </w:r>
      <w:r w:rsidRPr="001C06E6">
        <w:rPr>
          <w:rFonts w:cs="Book Antiqua"/>
          <w:i/>
          <w:iCs/>
        </w:rPr>
        <w:t>Supporting Australia’s Trade and Tourism</w:t>
      </w:r>
      <w:r>
        <w:rPr>
          <w:rFonts w:cs="Book Antiqua"/>
          <w:i/>
          <w:iCs/>
        </w:rPr>
        <w:t xml:space="preserve"> </w:t>
      </w:r>
      <w:r w:rsidRPr="001C06E6">
        <w:rPr>
          <w:rFonts w:cs="Book Antiqua"/>
          <w:i/>
          <w:iCs/>
        </w:rPr>
        <w:t>Sectors</w:t>
      </w:r>
      <w:r w:rsidRPr="001C06E6">
        <w:rPr>
          <w:rFonts w:cs="Book Antiqua"/>
        </w:rPr>
        <w:t>.</w:t>
      </w:r>
      <w:r>
        <w:rPr>
          <w:rFonts w:cs="Book Antiqua"/>
        </w:rPr>
        <w:t xml:space="preserve"> </w:t>
      </w:r>
    </w:p>
    <w:p w14:paraId="5322FB90" w14:textId="77777777" w:rsidR="0012790E" w:rsidRDefault="0012790E">
      <w:pPr>
        <w:pStyle w:val="PortfolioName"/>
        <w:rPr>
          <w:bCs/>
          <w:szCs w:val="26"/>
        </w:rPr>
        <w:sectPr w:rsidR="0012790E" w:rsidSect="00EA5BFE">
          <w:pgSz w:w="11905" w:h="16837"/>
          <w:pgMar w:top="2835" w:right="2098" w:bottom="2466" w:left="2098" w:header="1814" w:footer="1814" w:gutter="0"/>
          <w:cols w:space="720"/>
          <w:noEndnote/>
          <w:docGrid w:linePitch="272"/>
        </w:sectPr>
      </w:pPr>
    </w:p>
    <w:p w14:paraId="0019B489" w14:textId="77777777" w:rsidR="0012790E" w:rsidRPr="001C06E6" w:rsidRDefault="0012790E">
      <w:pPr>
        <w:pStyle w:val="PortfolioName"/>
      </w:pPr>
      <w:r w:rsidRPr="001C06E6">
        <w:rPr>
          <w:bCs/>
          <w:szCs w:val="26"/>
        </w:rPr>
        <w:t>Health and Aged Care</w:t>
      </w:r>
    </w:p>
    <w:p w14:paraId="752F8A7D" w14:textId="77777777" w:rsidR="0012790E" w:rsidRPr="001C06E6" w:rsidRDefault="0012790E">
      <w:pPr>
        <w:pStyle w:val="MeasureTitle"/>
      </w:pPr>
      <w:r w:rsidRPr="001C06E6">
        <w:rPr>
          <w:bCs/>
        </w:rPr>
        <w:t>2024 Channel Nine Brisbane Telethon</w:t>
      </w:r>
    </w:p>
    <w:p w14:paraId="3BE0C962"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FDF1983" w14:textId="77777777">
        <w:tc>
          <w:tcPr>
            <w:tcW w:w="2497" w:type="dxa"/>
            <w:tcBorders>
              <w:top w:val="single" w:sz="4" w:space="0" w:color="293F5B"/>
              <w:bottom w:val="single" w:sz="4" w:space="0" w:color="293F5B"/>
            </w:tcBorders>
            <w:shd w:val="clear" w:color="auto" w:fill="auto"/>
          </w:tcPr>
          <w:p w14:paraId="399A9256"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9ECCFFF"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0CF452EA"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41D966E"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E20AF02"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6E6D0A4" w14:textId="77777777" w:rsidR="0012790E" w:rsidRPr="001C06E6" w:rsidRDefault="0012790E">
            <w:pPr>
              <w:pStyle w:val="MeasureTableYearHeadings"/>
              <w:keepNext/>
            </w:pPr>
            <w:r w:rsidRPr="001C06E6">
              <w:t>2027</w:t>
            </w:r>
            <w:r>
              <w:noBreakHyphen/>
            </w:r>
            <w:r w:rsidRPr="001C06E6">
              <w:t>28</w:t>
            </w:r>
          </w:p>
        </w:tc>
      </w:tr>
      <w:tr w:rsidR="0012790E" w:rsidRPr="001C06E6" w14:paraId="5A91F725" w14:textId="77777777">
        <w:tc>
          <w:tcPr>
            <w:tcW w:w="2497" w:type="dxa"/>
            <w:tcBorders>
              <w:top w:val="single" w:sz="4" w:space="0" w:color="293F5B"/>
              <w:bottom w:val="single" w:sz="4" w:space="0" w:color="293F5B"/>
            </w:tcBorders>
            <w:shd w:val="clear" w:color="auto" w:fill="auto"/>
          </w:tcPr>
          <w:p w14:paraId="5CE2B30B"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7FFBA1F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381229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C19255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BB97742"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520E8DC" w14:textId="77777777" w:rsidR="0012790E" w:rsidRPr="001C06E6" w:rsidRDefault="0012790E">
            <w:pPr>
              <w:pStyle w:val="MeasureTableDataRightAlignedwith2ptsspacing"/>
              <w:keepNext/>
            </w:pPr>
            <w:r>
              <w:t xml:space="preserve">- </w:t>
            </w:r>
          </w:p>
        </w:tc>
      </w:tr>
    </w:tbl>
    <w:p w14:paraId="2CC31B43" w14:textId="77777777" w:rsidR="0012790E" w:rsidRPr="001C06E6" w:rsidRDefault="0012790E">
      <w:pPr>
        <w:keepNext/>
        <w:widowControl w:val="0"/>
        <w:spacing w:line="184" w:lineRule="exact"/>
        <w:rPr>
          <w:color w:val="000000"/>
          <w:sz w:val="16"/>
          <w:szCs w:val="16"/>
          <w:lang w:val="en-AU"/>
        </w:rPr>
      </w:pPr>
    </w:p>
    <w:p w14:paraId="53F9A47E" w14:textId="77777777" w:rsidR="0012790E" w:rsidRDefault="0012790E">
      <w:pPr>
        <w:pStyle w:val="Normal2"/>
        <w:rPr>
          <w:rFonts w:cs="Book Antiqua"/>
        </w:rPr>
      </w:pPr>
      <w:r w:rsidRPr="001C06E6">
        <w:rPr>
          <w:rFonts w:cs="Book Antiqua"/>
        </w:rPr>
        <w:t>The Government has provided $2.0</w:t>
      </w:r>
      <w:r>
        <w:rPr>
          <w:rFonts w:cs="Book Antiqua"/>
        </w:rPr>
        <w:t> </w:t>
      </w:r>
      <w:r w:rsidRPr="001C06E6">
        <w:rPr>
          <w:rFonts w:cs="Book Antiqua"/>
        </w:rPr>
        <w:t xml:space="preserve">million in </w:t>
      </w:r>
      <w:r>
        <w:rPr>
          <w:rFonts w:cs="Book Antiqua"/>
        </w:rPr>
        <w:t>2023–24</w:t>
      </w:r>
      <w:r w:rsidRPr="001C06E6">
        <w:rPr>
          <w:rFonts w:cs="Book Antiqua"/>
        </w:rPr>
        <w:t xml:space="preserve"> to the Mater Foundation to</w:t>
      </w:r>
      <w:r>
        <w:rPr>
          <w:rFonts w:cs="Book Antiqua"/>
        </w:rPr>
        <w:t xml:space="preserve"> </w:t>
      </w:r>
      <w:r w:rsidRPr="001C06E6">
        <w:rPr>
          <w:rFonts w:cs="Book Antiqua"/>
        </w:rPr>
        <w:t>support premature babies through medical research, specialist medical care and new</w:t>
      </w:r>
      <w:r>
        <w:rPr>
          <w:rFonts w:cs="Book Antiqua"/>
        </w:rPr>
        <w:t xml:space="preserve"> </w:t>
      </w:r>
      <w:r w:rsidRPr="001C06E6">
        <w:rPr>
          <w:rFonts w:cs="Book Antiqua"/>
        </w:rPr>
        <w:t>equipment, through a Commonwealth contribution to the 2024 Channel Nine Brisbane</w:t>
      </w:r>
      <w:r>
        <w:rPr>
          <w:rFonts w:cs="Book Antiqua"/>
        </w:rPr>
        <w:t xml:space="preserve"> </w:t>
      </w:r>
      <w:r w:rsidRPr="001C06E6">
        <w:rPr>
          <w:rFonts w:cs="Book Antiqua"/>
        </w:rPr>
        <w:t>Telethon.</w:t>
      </w:r>
      <w:r>
        <w:rPr>
          <w:rFonts w:cs="Book Antiqua"/>
        </w:rPr>
        <w:t xml:space="preserve"> </w:t>
      </w:r>
    </w:p>
    <w:p w14:paraId="2B2856BB" w14:textId="77777777" w:rsidR="0012790E" w:rsidRDefault="0012790E" w:rsidP="54937204">
      <w:pPr>
        <w:pStyle w:val="Normal2"/>
        <w:rPr>
          <w:rFonts w:cs="Book Antiqua"/>
          <w:lang w:val="en-US"/>
        </w:rPr>
      </w:pPr>
      <w:r w:rsidRPr="54937204">
        <w:rPr>
          <w:rFonts w:cs="Book Antiqua"/>
          <w:lang w:val="en-US"/>
        </w:rPr>
        <w:t xml:space="preserve">The cost of this measure will be met from within the existing resourcing of the Department of Health and Aged Care. </w:t>
      </w:r>
    </w:p>
    <w:p w14:paraId="45941F6C" w14:textId="77777777" w:rsidR="0012790E" w:rsidRPr="001C06E6" w:rsidRDefault="0012790E">
      <w:pPr>
        <w:pStyle w:val="MeasureTitle"/>
        <w:rPr>
          <w:b w:val="0"/>
          <w:bCs/>
        </w:rPr>
      </w:pPr>
      <w:r w:rsidRPr="001C06E6">
        <w:rPr>
          <w:bCs/>
        </w:rPr>
        <w:t>Australian Institute of Sport Site Redevelopment</w:t>
      </w:r>
    </w:p>
    <w:p w14:paraId="5E8643C1"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5224D81" w14:textId="77777777">
        <w:tc>
          <w:tcPr>
            <w:tcW w:w="2497" w:type="dxa"/>
            <w:tcBorders>
              <w:top w:val="single" w:sz="4" w:space="0" w:color="293F5B"/>
              <w:bottom w:val="single" w:sz="4" w:space="0" w:color="293F5B"/>
            </w:tcBorders>
            <w:shd w:val="clear" w:color="auto" w:fill="auto"/>
          </w:tcPr>
          <w:p w14:paraId="5FE234E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41564EF"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3CDC977"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48B6AD40"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32153FB"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09F94F5" w14:textId="77777777" w:rsidR="0012790E" w:rsidRPr="001C06E6" w:rsidRDefault="0012790E">
            <w:pPr>
              <w:pStyle w:val="MeasureTableYearHeadings"/>
              <w:keepNext/>
            </w:pPr>
            <w:r w:rsidRPr="001C06E6">
              <w:t>2027</w:t>
            </w:r>
            <w:r>
              <w:noBreakHyphen/>
            </w:r>
            <w:r w:rsidRPr="001C06E6">
              <w:t>28</w:t>
            </w:r>
          </w:p>
        </w:tc>
      </w:tr>
      <w:tr w:rsidR="0012790E" w:rsidRPr="001C06E6" w14:paraId="75EF98BB" w14:textId="77777777">
        <w:tc>
          <w:tcPr>
            <w:tcW w:w="2497" w:type="dxa"/>
            <w:tcBorders>
              <w:top w:val="single" w:sz="4" w:space="0" w:color="293F5B"/>
              <w:bottom w:val="single" w:sz="4" w:space="0" w:color="293F5B"/>
            </w:tcBorders>
            <w:shd w:val="clear" w:color="auto" w:fill="auto"/>
          </w:tcPr>
          <w:p w14:paraId="600400D0" w14:textId="77777777" w:rsidR="0012790E" w:rsidRPr="001C06E6" w:rsidRDefault="0012790E">
            <w:pPr>
              <w:pStyle w:val="MeasureTableHeadingleftalignedwith2ptsspacing"/>
              <w:keepNext/>
            </w:pPr>
            <w:r w:rsidRPr="001C06E6">
              <w:t>Australian Sports Commission</w:t>
            </w:r>
          </w:p>
        </w:tc>
        <w:tc>
          <w:tcPr>
            <w:tcW w:w="1045" w:type="dxa"/>
            <w:tcBorders>
              <w:top w:val="single" w:sz="4" w:space="0" w:color="293F5B"/>
              <w:bottom w:val="single" w:sz="4" w:space="0" w:color="293F5B"/>
            </w:tcBorders>
            <w:shd w:val="clear" w:color="auto" w:fill="auto"/>
          </w:tcPr>
          <w:p w14:paraId="14A0193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CF2EFF2" w14:textId="77777777" w:rsidR="0012790E" w:rsidRPr="001C06E6" w:rsidRDefault="0012790E">
            <w:pPr>
              <w:pStyle w:val="MeasureTableDataRightAlignedwith2ptsspacing"/>
              <w:keepNext/>
            </w:pPr>
            <w:r w:rsidRPr="001C06E6">
              <w:t>30.1</w:t>
            </w:r>
          </w:p>
        </w:tc>
        <w:tc>
          <w:tcPr>
            <w:tcW w:w="1045" w:type="dxa"/>
            <w:tcBorders>
              <w:top w:val="single" w:sz="4" w:space="0" w:color="293F5B"/>
              <w:bottom w:val="single" w:sz="4" w:space="0" w:color="293F5B"/>
            </w:tcBorders>
            <w:shd w:val="clear" w:color="auto" w:fill="auto"/>
          </w:tcPr>
          <w:p w14:paraId="6EEC08E1" w14:textId="77777777" w:rsidR="0012790E" w:rsidRPr="001C06E6" w:rsidRDefault="0012790E">
            <w:pPr>
              <w:pStyle w:val="MeasureTableDataRightAlignedwith2ptsspacing"/>
              <w:keepNext/>
            </w:pPr>
            <w:r w:rsidRPr="001C06E6">
              <w:t>164.1</w:t>
            </w:r>
          </w:p>
        </w:tc>
        <w:tc>
          <w:tcPr>
            <w:tcW w:w="1045" w:type="dxa"/>
            <w:tcBorders>
              <w:top w:val="single" w:sz="4" w:space="0" w:color="293F5B"/>
              <w:bottom w:val="single" w:sz="4" w:space="0" w:color="293F5B"/>
            </w:tcBorders>
            <w:shd w:val="clear" w:color="auto" w:fill="auto"/>
          </w:tcPr>
          <w:p w14:paraId="701D8424" w14:textId="77777777" w:rsidR="0012790E" w:rsidRPr="001C06E6" w:rsidRDefault="0012790E">
            <w:pPr>
              <w:pStyle w:val="MeasureTableDataRightAlignedwith2ptsspacing"/>
              <w:keepNext/>
            </w:pPr>
            <w:r w:rsidRPr="001C06E6">
              <w:t>55.5</w:t>
            </w:r>
          </w:p>
        </w:tc>
        <w:tc>
          <w:tcPr>
            <w:tcW w:w="1045" w:type="dxa"/>
            <w:tcBorders>
              <w:top w:val="single" w:sz="4" w:space="0" w:color="293F5B"/>
              <w:bottom w:val="single" w:sz="4" w:space="0" w:color="293F5B"/>
            </w:tcBorders>
            <w:shd w:val="clear" w:color="auto" w:fill="auto"/>
          </w:tcPr>
          <w:p w14:paraId="37634234" w14:textId="77777777" w:rsidR="0012790E" w:rsidRPr="001C06E6" w:rsidRDefault="0012790E">
            <w:pPr>
              <w:pStyle w:val="MeasureTableDataRightAlignedwith2ptsspacing"/>
              <w:keepNext/>
            </w:pPr>
            <w:r w:rsidRPr="001C06E6">
              <w:t>-</w:t>
            </w:r>
          </w:p>
        </w:tc>
      </w:tr>
      <w:tr w:rsidR="0012790E" w:rsidRPr="001C06E6" w14:paraId="6B93041D" w14:textId="77777777">
        <w:tc>
          <w:tcPr>
            <w:tcW w:w="2497" w:type="dxa"/>
            <w:tcBorders>
              <w:top w:val="single" w:sz="4" w:space="0" w:color="293F5B"/>
              <w:bottom w:val="single" w:sz="4" w:space="0" w:color="293F5B"/>
            </w:tcBorders>
            <w:shd w:val="clear" w:color="auto" w:fill="auto"/>
          </w:tcPr>
          <w:p w14:paraId="03C347F5"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75AC259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82B1CC5" w14:textId="77777777" w:rsidR="0012790E" w:rsidRPr="001C06E6" w:rsidRDefault="0012790E">
            <w:pPr>
              <w:pStyle w:val="MeasureTableDataRightAlignedwith2ptsspacing"/>
              <w:keepNext/>
            </w:pPr>
            <w:r>
              <w:t xml:space="preserve">9.0   </w:t>
            </w:r>
          </w:p>
        </w:tc>
        <w:tc>
          <w:tcPr>
            <w:tcW w:w="1045" w:type="dxa"/>
            <w:tcBorders>
              <w:top w:val="single" w:sz="4" w:space="0" w:color="293F5B"/>
              <w:bottom w:val="single" w:sz="4" w:space="0" w:color="293F5B"/>
            </w:tcBorders>
            <w:shd w:val="clear" w:color="auto" w:fill="auto"/>
          </w:tcPr>
          <w:p w14:paraId="58FBA8C7" w14:textId="77777777" w:rsidR="0012790E" w:rsidRPr="001C06E6" w:rsidRDefault="0012790E">
            <w:pPr>
              <w:pStyle w:val="MeasureTableDataRightAlignedwith2ptsspacing"/>
              <w:keepNext/>
            </w:pPr>
            <w:r>
              <w:t xml:space="preserve">1.0   </w:t>
            </w:r>
          </w:p>
        </w:tc>
        <w:tc>
          <w:tcPr>
            <w:tcW w:w="1045" w:type="dxa"/>
            <w:tcBorders>
              <w:top w:val="single" w:sz="4" w:space="0" w:color="293F5B"/>
              <w:bottom w:val="single" w:sz="4" w:space="0" w:color="293F5B"/>
            </w:tcBorders>
            <w:shd w:val="clear" w:color="auto" w:fill="auto"/>
          </w:tcPr>
          <w:p w14:paraId="4986B3C2"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FAAEEAB" w14:textId="77777777" w:rsidR="0012790E" w:rsidRPr="001C06E6" w:rsidRDefault="0012790E">
            <w:pPr>
              <w:pStyle w:val="MeasureTableDataRightAlignedwith2ptsspacing"/>
              <w:keepNext/>
            </w:pPr>
            <w:r>
              <w:t xml:space="preserve">-   </w:t>
            </w:r>
          </w:p>
        </w:tc>
      </w:tr>
      <w:tr w:rsidR="0012790E" w:rsidRPr="001C06E6" w14:paraId="092C7B12" w14:textId="77777777">
        <w:tc>
          <w:tcPr>
            <w:tcW w:w="2497" w:type="dxa"/>
            <w:tcBorders>
              <w:top w:val="single" w:sz="4" w:space="0" w:color="293F5B"/>
              <w:bottom w:val="single" w:sz="4" w:space="0" w:color="293F5B"/>
            </w:tcBorders>
            <w:shd w:val="clear" w:color="auto" w:fill="auto"/>
          </w:tcPr>
          <w:p w14:paraId="0211BF41"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7DE2D7AF"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027941D3" w14:textId="77777777" w:rsidR="0012790E" w:rsidRPr="001C06E6" w:rsidRDefault="0012790E">
            <w:pPr>
              <w:pStyle w:val="Totaldatarowrightaligned"/>
              <w:keepNext/>
            </w:pPr>
            <w:r w:rsidRPr="001C06E6">
              <w:t>39.1</w:t>
            </w:r>
          </w:p>
        </w:tc>
        <w:tc>
          <w:tcPr>
            <w:tcW w:w="1045" w:type="dxa"/>
            <w:tcBorders>
              <w:top w:val="single" w:sz="4" w:space="0" w:color="293F5B"/>
              <w:bottom w:val="single" w:sz="4" w:space="0" w:color="293F5B"/>
            </w:tcBorders>
            <w:shd w:val="clear" w:color="auto" w:fill="auto"/>
          </w:tcPr>
          <w:p w14:paraId="00DEFFC4" w14:textId="77777777" w:rsidR="0012790E" w:rsidRPr="001C06E6" w:rsidRDefault="0012790E">
            <w:pPr>
              <w:pStyle w:val="Totaldatarowrightaligned"/>
              <w:keepNext/>
            </w:pPr>
            <w:r w:rsidRPr="001C06E6">
              <w:t>165.1</w:t>
            </w:r>
          </w:p>
        </w:tc>
        <w:tc>
          <w:tcPr>
            <w:tcW w:w="1045" w:type="dxa"/>
            <w:tcBorders>
              <w:top w:val="single" w:sz="4" w:space="0" w:color="293F5B"/>
              <w:bottom w:val="single" w:sz="4" w:space="0" w:color="293F5B"/>
            </w:tcBorders>
            <w:shd w:val="clear" w:color="auto" w:fill="auto"/>
          </w:tcPr>
          <w:p w14:paraId="0606B9F5" w14:textId="77777777" w:rsidR="0012790E" w:rsidRPr="001C06E6" w:rsidRDefault="0012790E">
            <w:pPr>
              <w:pStyle w:val="Totaldatarowrightaligned"/>
              <w:keepNext/>
            </w:pPr>
            <w:r w:rsidRPr="001C06E6">
              <w:t>55.5</w:t>
            </w:r>
          </w:p>
        </w:tc>
        <w:tc>
          <w:tcPr>
            <w:tcW w:w="1045" w:type="dxa"/>
            <w:tcBorders>
              <w:top w:val="single" w:sz="4" w:space="0" w:color="293F5B"/>
              <w:bottom w:val="single" w:sz="4" w:space="0" w:color="293F5B"/>
            </w:tcBorders>
            <w:shd w:val="clear" w:color="auto" w:fill="auto"/>
          </w:tcPr>
          <w:p w14:paraId="4B189582" w14:textId="77777777" w:rsidR="0012790E" w:rsidRPr="001C06E6" w:rsidRDefault="0012790E">
            <w:pPr>
              <w:pStyle w:val="Totaldatarowrightaligned"/>
              <w:keepNext/>
            </w:pPr>
            <w:r w:rsidRPr="001C06E6">
              <w:t>-</w:t>
            </w:r>
          </w:p>
        </w:tc>
      </w:tr>
    </w:tbl>
    <w:p w14:paraId="0A7A1B3D"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0973A165" w14:textId="77777777" w:rsidR="0012790E" w:rsidRDefault="0012790E" w:rsidP="54937204">
      <w:pPr>
        <w:pStyle w:val="Normal2"/>
        <w:rPr>
          <w:rFonts w:cs="Book Antiqua"/>
          <w:lang w:val="en-US"/>
        </w:rPr>
      </w:pPr>
      <w:r w:rsidRPr="54937204">
        <w:rPr>
          <w:rFonts w:cs="Book Antiqua"/>
          <w:lang w:val="en-US"/>
        </w:rPr>
        <w:t>The Government will provide a total of $259.7 million over three years from 2024–25 to revitalise the Australian Institute of Sport located in Bruce, Canberra, including:</w:t>
      </w:r>
    </w:p>
    <w:p w14:paraId="340355F1" w14:textId="77777777" w:rsidR="0012790E" w:rsidRDefault="0012790E">
      <w:pPr>
        <w:pStyle w:val="Bullet"/>
      </w:pPr>
      <w:r w:rsidRPr="001C06E6">
        <w:t>$249.7</w:t>
      </w:r>
      <w:r>
        <w:t> </w:t>
      </w:r>
      <w:r w:rsidRPr="001C06E6">
        <w:t xml:space="preserve">million over three years from </w:t>
      </w:r>
      <w:r>
        <w:t>2024–25</w:t>
      </w:r>
      <w:r w:rsidRPr="001C06E6">
        <w:t xml:space="preserve"> for the Australian Sports Commission to revitalise the Australian Institute of Sport</w:t>
      </w:r>
      <w:r>
        <w:t xml:space="preserve"> </w:t>
      </w:r>
    </w:p>
    <w:p w14:paraId="7F04C581" w14:textId="441E7ABC" w:rsidR="0012790E" w:rsidRDefault="0012790E">
      <w:pPr>
        <w:pStyle w:val="Bullet"/>
      </w:pPr>
      <w:r w:rsidRPr="001C06E6">
        <w:t>$10.0</w:t>
      </w:r>
      <w:r>
        <w:t> </w:t>
      </w:r>
      <w:r w:rsidRPr="001C06E6">
        <w:t xml:space="preserve">million over two years from </w:t>
      </w:r>
      <w:r>
        <w:t>2024–25</w:t>
      </w:r>
      <w:r w:rsidRPr="001C06E6">
        <w:t xml:space="preserve"> for the Department of Infrastructure, Transport, Regional Development, Communications and the Arts to </w:t>
      </w:r>
      <w:r w:rsidR="005811C2">
        <w:t>work with the Australian Capital Territory Government</w:t>
      </w:r>
      <w:r w:rsidRPr="001C06E6">
        <w:t xml:space="preserve"> to develop a Bruce</w:t>
      </w:r>
      <w:r w:rsidR="006B7A83">
        <w:t> </w:t>
      </w:r>
      <w:r w:rsidRPr="001C06E6">
        <w:t>Precinct Masterplan</w:t>
      </w:r>
      <w:r w:rsidR="005811C2">
        <w:t xml:space="preserve"> and identify optimal land uses within the precinct</w:t>
      </w:r>
      <w:r w:rsidRPr="001C06E6">
        <w:t>.</w:t>
      </w:r>
      <w:r>
        <w:t xml:space="preserve"> </w:t>
      </w:r>
    </w:p>
    <w:p w14:paraId="7519E696" w14:textId="77777777" w:rsidR="0012790E" w:rsidRDefault="0012790E">
      <w:pPr>
        <w:pStyle w:val="Normal2"/>
        <w:rPr>
          <w:rFonts w:cs="Book Antiqua"/>
        </w:rPr>
      </w:pPr>
      <w:r w:rsidRPr="001C06E6">
        <w:rPr>
          <w:rFonts w:cs="Book Antiqua"/>
        </w:rPr>
        <w:t>Partial funding for this measure will be held in the Contingency Reserve until the</w:t>
      </w:r>
      <w:r>
        <w:rPr>
          <w:rFonts w:cs="Book Antiqua"/>
        </w:rPr>
        <w:t xml:space="preserve"> </w:t>
      </w:r>
      <w:r w:rsidRPr="001C06E6">
        <w:rPr>
          <w:rFonts w:cs="Book Antiqua"/>
        </w:rPr>
        <w:t>Government agrees to the Detailed Business Plan for the Australian Institute of Sport</w:t>
      </w:r>
      <w:r>
        <w:rPr>
          <w:rFonts w:cs="Book Antiqua"/>
        </w:rPr>
        <w:t xml:space="preserve"> </w:t>
      </w:r>
      <w:r w:rsidRPr="001C06E6">
        <w:rPr>
          <w:rFonts w:cs="Book Antiqua"/>
        </w:rPr>
        <w:t>site redevelopment.</w:t>
      </w:r>
      <w:r>
        <w:rPr>
          <w:rFonts w:cs="Book Antiqua"/>
        </w:rPr>
        <w:t xml:space="preserve"> </w:t>
      </w:r>
    </w:p>
    <w:p w14:paraId="7DB00B17" w14:textId="77777777" w:rsidR="0012790E" w:rsidRPr="001C06E6" w:rsidRDefault="0012790E">
      <w:pPr>
        <w:pStyle w:val="MeasureTitle"/>
        <w:rPr>
          <w:b w:val="0"/>
          <w:bCs/>
        </w:rPr>
      </w:pPr>
      <w:r w:rsidRPr="001C06E6">
        <w:rPr>
          <w:bCs/>
        </w:rPr>
        <w:t>Ensuring Service Delivery at Hummingbird House</w:t>
      </w:r>
    </w:p>
    <w:p w14:paraId="65A66245"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6B992FA" w14:textId="77777777">
        <w:tc>
          <w:tcPr>
            <w:tcW w:w="2497" w:type="dxa"/>
            <w:tcBorders>
              <w:top w:val="single" w:sz="4" w:space="0" w:color="293F5B"/>
              <w:bottom w:val="single" w:sz="4" w:space="0" w:color="293F5B"/>
            </w:tcBorders>
            <w:shd w:val="clear" w:color="auto" w:fill="auto"/>
          </w:tcPr>
          <w:p w14:paraId="3B14E714"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BF1C754"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578ABE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1683E5F"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72DA0DA"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C80729B" w14:textId="77777777" w:rsidR="0012790E" w:rsidRPr="001C06E6" w:rsidRDefault="0012790E">
            <w:pPr>
              <w:pStyle w:val="MeasureTableYearHeadings"/>
              <w:keepNext/>
            </w:pPr>
            <w:r w:rsidRPr="001C06E6">
              <w:t>2027</w:t>
            </w:r>
            <w:r>
              <w:noBreakHyphen/>
            </w:r>
            <w:r w:rsidRPr="001C06E6">
              <w:t>28</w:t>
            </w:r>
          </w:p>
        </w:tc>
      </w:tr>
      <w:tr w:rsidR="0012790E" w:rsidRPr="001C06E6" w14:paraId="2C2FC94D" w14:textId="77777777">
        <w:tc>
          <w:tcPr>
            <w:tcW w:w="2497" w:type="dxa"/>
            <w:tcBorders>
              <w:top w:val="single" w:sz="4" w:space="0" w:color="293F5B"/>
              <w:bottom w:val="single" w:sz="4" w:space="0" w:color="293F5B"/>
            </w:tcBorders>
            <w:shd w:val="clear" w:color="auto" w:fill="auto"/>
          </w:tcPr>
          <w:p w14:paraId="78486599"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0C6E843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6D1E49B" w14:textId="77777777" w:rsidR="0012790E" w:rsidRPr="001C06E6" w:rsidRDefault="0012790E">
            <w:pPr>
              <w:pStyle w:val="MeasureTableDataRightAlignedwith2ptsspacing"/>
              <w:keepNext/>
            </w:pPr>
            <w:r w:rsidRPr="001C06E6">
              <w:t>0.9</w:t>
            </w:r>
          </w:p>
        </w:tc>
        <w:tc>
          <w:tcPr>
            <w:tcW w:w="1045" w:type="dxa"/>
            <w:tcBorders>
              <w:top w:val="single" w:sz="4" w:space="0" w:color="293F5B"/>
              <w:bottom w:val="single" w:sz="4" w:space="0" w:color="293F5B"/>
            </w:tcBorders>
            <w:shd w:val="clear" w:color="auto" w:fill="auto"/>
          </w:tcPr>
          <w:p w14:paraId="3D3BC68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93B258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D1C27CE" w14:textId="77777777" w:rsidR="0012790E" w:rsidRPr="001C06E6" w:rsidRDefault="0012790E">
            <w:pPr>
              <w:pStyle w:val="MeasureTableDataRightAlignedwith2ptsspacing"/>
              <w:keepNext/>
            </w:pPr>
            <w:r w:rsidRPr="001C06E6">
              <w:t>-</w:t>
            </w:r>
          </w:p>
        </w:tc>
      </w:tr>
      <w:tr w:rsidR="0012790E" w:rsidRPr="001C06E6" w14:paraId="7F27C1EF" w14:textId="77777777">
        <w:tc>
          <w:tcPr>
            <w:tcW w:w="2497" w:type="dxa"/>
            <w:tcBorders>
              <w:top w:val="single" w:sz="4" w:space="0" w:color="293F5B"/>
              <w:bottom w:val="single" w:sz="4" w:space="0" w:color="293F5B"/>
            </w:tcBorders>
            <w:shd w:val="clear" w:color="auto" w:fill="auto"/>
          </w:tcPr>
          <w:p w14:paraId="404A630B"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00C66F32"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7A48E9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EFFA80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0DED49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F8D69FC" w14:textId="77777777" w:rsidR="0012790E" w:rsidRPr="001C06E6" w:rsidRDefault="0012790E">
            <w:pPr>
              <w:pStyle w:val="MeasureTableDataRightAlignedwith2ptsspacing"/>
              <w:keepNext/>
            </w:pPr>
            <w:r>
              <w:t xml:space="preserve">- </w:t>
            </w:r>
          </w:p>
        </w:tc>
      </w:tr>
      <w:tr w:rsidR="0012790E" w:rsidRPr="001C06E6" w14:paraId="57519EFD" w14:textId="77777777">
        <w:tc>
          <w:tcPr>
            <w:tcW w:w="2497" w:type="dxa"/>
            <w:tcBorders>
              <w:top w:val="single" w:sz="4" w:space="0" w:color="293F5B"/>
              <w:bottom w:val="single" w:sz="4" w:space="0" w:color="293F5B"/>
            </w:tcBorders>
            <w:shd w:val="clear" w:color="auto" w:fill="auto"/>
          </w:tcPr>
          <w:p w14:paraId="3347E26A"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67C5C842"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29A07E52" w14:textId="77777777" w:rsidR="0012790E" w:rsidRPr="001C06E6" w:rsidRDefault="0012790E">
            <w:pPr>
              <w:pStyle w:val="Totaldatarowrightaligned"/>
              <w:keepNext/>
            </w:pPr>
            <w:r w:rsidRPr="001C06E6">
              <w:t>0.9</w:t>
            </w:r>
          </w:p>
        </w:tc>
        <w:tc>
          <w:tcPr>
            <w:tcW w:w="1045" w:type="dxa"/>
            <w:tcBorders>
              <w:top w:val="single" w:sz="4" w:space="0" w:color="293F5B"/>
              <w:bottom w:val="single" w:sz="4" w:space="0" w:color="293F5B"/>
            </w:tcBorders>
            <w:shd w:val="clear" w:color="auto" w:fill="auto"/>
          </w:tcPr>
          <w:p w14:paraId="0D1ACA50"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7D00D38"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6397F2FC" w14:textId="77777777" w:rsidR="0012790E" w:rsidRPr="001C06E6" w:rsidRDefault="0012790E">
            <w:pPr>
              <w:pStyle w:val="Totaldatarowrightaligned"/>
              <w:keepNext/>
            </w:pPr>
            <w:r w:rsidRPr="001C06E6">
              <w:t>-</w:t>
            </w:r>
          </w:p>
        </w:tc>
      </w:tr>
    </w:tbl>
    <w:p w14:paraId="714D29E5"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384D3C2A" w14:textId="77777777" w:rsidR="0012790E" w:rsidRDefault="0012790E" w:rsidP="54937204">
      <w:pPr>
        <w:pStyle w:val="Normal2"/>
        <w:rPr>
          <w:rFonts w:cs="Book Antiqua"/>
          <w:lang w:val="en-US"/>
        </w:rPr>
      </w:pPr>
      <w:r w:rsidRPr="54937204">
        <w:rPr>
          <w:rFonts w:cs="Book Antiqua"/>
          <w:lang w:val="en-US"/>
        </w:rPr>
        <w:t>The Government will provide $0.9 million in 2024–25 to the Queensland Government to ensure continuing service delivery at Hummingbird House. Hummingbird House is a children’s hospice providing care for babies, children and young people with a life</w:t>
      </w:r>
      <w:r>
        <w:rPr>
          <w:rFonts w:cs="Book Antiqua"/>
        </w:rPr>
        <w:noBreakHyphen/>
      </w:r>
      <w:r w:rsidRPr="54937204">
        <w:rPr>
          <w:rFonts w:cs="Book Antiqua"/>
          <w:lang w:val="en-US"/>
        </w:rPr>
        <w:t xml:space="preserve">limiting condition and support for their families. </w:t>
      </w:r>
    </w:p>
    <w:p w14:paraId="0609E869" w14:textId="77777777" w:rsidR="0012790E" w:rsidRDefault="0012790E">
      <w:pPr>
        <w:pStyle w:val="Normal2"/>
        <w:rPr>
          <w:rFonts w:cs="Book Antiqua"/>
        </w:rPr>
      </w:pPr>
      <w:r w:rsidRPr="001C06E6">
        <w:rPr>
          <w:rFonts w:cs="Book Antiqua"/>
        </w:rPr>
        <w:t>The Treasury manages Commonwealth payments to the states and territories.</w:t>
      </w:r>
      <w:r>
        <w:rPr>
          <w:rFonts w:cs="Book Antiqua"/>
        </w:rPr>
        <w:t xml:space="preserve"> </w:t>
      </w:r>
    </w:p>
    <w:p w14:paraId="4525ACC1" w14:textId="77777777" w:rsidR="0012790E" w:rsidRDefault="0012790E">
      <w:pPr>
        <w:pStyle w:val="Normal2"/>
        <w:rPr>
          <w:rFonts w:cs="Book Antiqua"/>
        </w:rPr>
      </w:pPr>
      <w:r w:rsidRPr="001C06E6">
        <w:rPr>
          <w:rFonts w:cs="Book Antiqua"/>
        </w:rPr>
        <w:t xml:space="preserve">This measure extends the </w:t>
      </w:r>
      <w:r>
        <w:rPr>
          <w:rFonts w:cs="Book Antiqua"/>
        </w:rPr>
        <w:t>2023–24 </w:t>
      </w:r>
      <w:r w:rsidRPr="001C06E6">
        <w:rPr>
          <w:rFonts w:cs="Book Antiqua"/>
        </w:rPr>
        <w:t xml:space="preserve">MYEFO measure titled </w:t>
      </w:r>
      <w:r w:rsidRPr="001C06E6">
        <w:rPr>
          <w:rFonts w:cs="Book Antiqua"/>
          <w:i/>
          <w:iCs/>
        </w:rPr>
        <w:t>Achieving Better Health</w:t>
      </w:r>
      <w:r>
        <w:rPr>
          <w:rFonts w:cs="Book Antiqua"/>
          <w:i/>
          <w:iCs/>
        </w:rPr>
        <w:t xml:space="preserve"> </w:t>
      </w:r>
      <w:r w:rsidRPr="001C06E6">
        <w:rPr>
          <w:rFonts w:cs="Book Antiqua"/>
          <w:i/>
          <w:iCs/>
        </w:rPr>
        <w:t>Outcomes</w:t>
      </w:r>
      <w:r w:rsidRPr="001C06E6">
        <w:rPr>
          <w:rFonts w:cs="Book Antiqua"/>
        </w:rPr>
        <w:t>.</w:t>
      </w:r>
      <w:r>
        <w:rPr>
          <w:rFonts w:cs="Book Antiqua"/>
        </w:rPr>
        <w:t xml:space="preserve"> </w:t>
      </w:r>
    </w:p>
    <w:p w14:paraId="5161532F" w14:textId="77777777" w:rsidR="0012790E" w:rsidRPr="001C06E6" w:rsidRDefault="0012790E">
      <w:pPr>
        <w:pStyle w:val="MeasureTitle"/>
        <w:rPr>
          <w:b w:val="0"/>
          <w:bCs/>
        </w:rPr>
      </w:pPr>
      <w:r w:rsidRPr="001C06E6">
        <w:rPr>
          <w:bCs/>
        </w:rPr>
        <w:t>Funding for the Alfred Hospital</w:t>
      </w:r>
    </w:p>
    <w:p w14:paraId="1DC12192"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9287454" w14:textId="77777777">
        <w:tc>
          <w:tcPr>
            <w:tcW w:w="2497" w:type="dxa"/>
            <w:tcBorders>
              <w:top w:val="single" w:sz="4" w:space="0" w:color="293F5B"/>
              <w:bottom w:val="single" w:sz="4" w:space="0" w:color="293F5B"/>
            </w:tcBorders>
            <w:shd w:val="clear" w:color="auto" w:fill="auto"/>
          </w:tcPr>
          <w:p w14:paraId="15319C4F"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B463401"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F45D1C5"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48D5060"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C515C99"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85A3ED0" w14:textId="77777777" w:rsidR="0012790E" w:rsidRPr="001C06E6" w:rsidRDefault="0012790E">
            <w:pPr>
              <w:pStyle w:val="MeasureTableYearHeadings"/>
              <w:keepNext/>
            </w:pPr>
            <w:r w:rsidRPr="001C06E6">
              <w:t>2027</w:t>
            </w:r>
            <w:r>
              <w:noBreakHyphen/>
            </w:r>
            <w:r w:rsidRPr="001C06E6">
              <w:t>28</w:t>
            </w:r>
          </w:p>
        </w:tc>
      </w:tr>
      <w:tr w:rsidR="0012790E" w:rsidRPr="001C06E6" w14:paraId="078D30E9" w14:textId="77777777">
        <w:tc>
          <w:tcPr>
            <w:tcW w:w="2497" w:type="dxa"/>
            <w:tcBorders>
              <w:top w:val="single" w:sz="4" w:space="0" w:color="293F5B"/>
              <w:bottom w:val="single" w:sz="4" w:space="0" w:color="293F5B"/>
            </w:tcBorders>
            <w:shd w:val="clear" w:color="auto" w:fill="auto"/>
          </w:tcPr>
          <w:p w14:paraId="700367EB"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4DB6A56C"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2F4EE3B" w14:textId="77777777" w:rsidR="0012790E" w:rsidRPr="001C06E6" w:rsidRDefault="0012790E">
            <w:pPr>
              <w:pStyle w:val="MeasureTableDataRightAlignedwith2ptsspacing"/>
              <w:keepNext/>
            </w:pPr>
            <w:r>
              <w:t xml:space="preserve">12.0 </w:t>
            </w:r>
          </w:p>
        </w:tc>
        <w:tc>
          <w:tcPr>
            <w:tcW w:w="1045" w:type="dxa"/>
            <w:tcBorders>
              <w:top w:val="single" w:sz="4" w:space="0" w:color="293F5B"/>
              <w:bottom w:val="single" w:sz="4" w:space="0" w:color="293F5B"/>
            </w:tcBorders>
            <w:shd w:val="clear" w:color="auto" w:fill="auto"/>
          </w:tcPr>
          <w:p w14:paraId="39645102" w14:textId="77777777" w:rsidR="0012790E" w:rsidRPr="001C06E6" w:rsidRDefault="0012790E">
            <w:pPr>
              <w:pStyle w:val="MeasureTableDataRightAlignedwith2ptsspacing"/>
              <w:keepNext/>
            </w:pPr>
            <w:r>
              <w:t xml:space="preserve">2.4 </w:t>
            </w:r>
          </w:p>
        </w:tc>
        <w:tc>
          <w:tcPr>
            <w:tcW w:w="1045" w:type="dxa"/>
            <w:tcBorders>
              <w:top w:val="single" w:sz="4" w:space="0" w:color="293F5B"/>
              <w:bottom w:val="single" w:sz="4" w:space="0" w:color="293F5B"/>
            </w:tcBorders>
            <w:shd w:val="clear" w:color="auto" w:fill="auto"/>
          </w:tcPr>
          <w:p w14:paraId="58849211" w14:textId="77777777" w:rsidR="0012790E" w:rsidRPr="001C06E6" w:rsidRDefault="0012790E">
            <w:pPr>
              <w:pStyle w:val="MeasureTableDataRightAlignedwith2ptsspacing"/>
              <w:keepNext/>
            </w:pPr>
            <w:r>
              <w:t xml:space="preserve">2.6 </w:t>
            </w:r>
          </w:p>
        </w:tc>
        <w:tc>
          <w:tcPr>
            <w:tcW w:w="1045" w:type="dxa"/>
            <w:tcBorders>
              <w:top w:val="single" w:sz="4" w:space="0" w:color="293F5B"/>
              <w:bottom w:val="single" w:sz="4" w:space="0" w:color="293F5B"/>
            </w:tcBorders>
            <w:shd w:val="clear" w:color="auto" w:fill="auto"/>
          </w:tcPr>
          <w:p w14:paraId="70E475EE" w14:textId="77777777" w:rsidR="0012790E" w:rsidRPr="001C06E6" w:rsidRDefault="0012790E">
            <w:pPr>
              <w:pStyle w:val="MeasureTableDataRightAlignedwith2ptsspacing"/>
              <w:keepNext/>
            </w:pPr>
            <w:r>
              <w:t xml:space="preserve">2.6 </w:t>
            </w:r>
          </w:p>
        </w:tc>
      </w:tr>
      <w:tr w:rsidR="0012790E" w:rsidRPr="001C06E6" w14:paraId="195C4120" w14:textId="77777777">
        <w:tc>
          <w:tcPr>
            <w:tcW w:w="2497" w:type="dxa"/>
            <w:tcBorders>
              <w:top w:val="single" w:sz="4" w:space="0" w:color="293F5B"/>
              <w:bottom w:val="single" w:sz="4" w:space="0" w:color="293F5B"/>
            </w:tcBorders>
            <w:shd w:val="clear" w:color="auto" w:fill="auto"/>
          </w:tcPr>
          <w:p w14:paraId="4E9A2174" w14:textId="77777777" w:rsidR="0012790E" w:rsidRPr="001C06E6" w:rsidRDefault="0012790E">
            <w:pPr>
              <w:pStyle w:val="MeasureTableHeadingleftalignedwith2ptsspacing"/>
              <w:keepNext/>
            </w:pPr>
            <w:r w:rsidRPr="001C06E6">
              <w:t>Department of Veterans' Affairs</w:t>
            </w:r>
          </w:p>
        </w:tc>
        <w:tc>
          <w:tcPr>
            <w:tcW w:w="1045" w:type="dxa"/>
            <w:tcBorders>
              <w:top w:val="single" w:sz="4" w:space="0" w:color="293F5B"/>
              <w:bottom w:val="single" w:sz="4" w:space="0" w:color="293F5B"/>
            </w:tcBorders>
            <w:shd w:val="clear" w:color="auto" w:fill="auto"/>
          </w:tcPr>
          <w:p w14:paraId="0A022B9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04E3E0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4AD8E85"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31415C35"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337B3991" w14:textId="77777777" w:rsidR="0012790E" w:rsidRPr="001C06E6" w:rsidRDefault="0012790E">
            <w:pPr>
              <w:pStyle w:val="MeasureTableDataRightAlignedwith2ptsspacing"/>
              <w:keepNext/>
            </w:pPr>
            <w:r w:rsidRPr="001C06E6">
              <w:t>0.1</w:t>
            </w:r>
          </w:p>
        </w:tc>
      </w:tr>
      <w:tr w:rsidR="0012790E" w:rsidRPr="001C06E6" w14:paraId="6CDA7818" w14:textId="77777777">
        <w:tc>
          <w:tcPr>
            <w:tcW w:w="2497" w:type="dxa"/>
            <w:tcBorders>
              <w:top w:val="single" w:sz="4" w:space="0" w:color="293F5B"/>
              <w:bottom w:val="single" w:sz="4" w:space="0" w:color="293F5B"/>
            </w:tcBorders>
            <w:shd w:val="clear" w:color="auto" w:fill="auto"/>
          </w:tcPr>
          <w:p w14:paraId="033B2D1D"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103E65C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4D2B47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2624D2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03626F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8826145" w14:textId="77777777" w:rsidR="0012790E" w:rsidRPr="001C06E6" w:rsidRDefault="0012790E">
            <w:pPr>
              <w:pStyle w:val="MeasureTableDataRightAlignedwith2ptsspacing"/>
              <w:keepNext/>
            </w:pPr>
            <w:r w:rsidRPr="001C06E6">
              <w:t>..</w:t>
            </w:r>
          </w:p>
        </w:tc>
      </w:tr>
      <w:tr w:rsidR="0012790E" w:rsidRPr="001C06E6" w14:paraId="3CE62CCB" w14:textId="77777777">
        <w:tc>
          <w:tcPr>
            <w:tcW w:w="2497" w:type="dxa"/>
            <w:tcBorders>
              <w:top w:val="single" w:sz="4" w:space="0" w:color="293F5B"/>
              <w:bottom w:val="single" w:sz="4" w:space="0" w:color="293F5B"/>
            </w:tcBorders>
            <w:shd w:val="clear" w:color="auto" w:fill="auto"/>
          </w:tcPr>
          <w:p w14:paraId="143E1D5E"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2DF96150"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316FC73" w14:textId="77777777" w:rsidR="0012790E" w:rsidRPr="001C06E6" w:rsidRDefault="0012790E">
            <w:pPr>
              <w:pStyle w:val="Totaldatarowrightaligned"/>
              <w:keepNext/>
            </w:pPr>
            <w:r w:rsidRPr="001C06E6">
              <w:t>12.0</w:t>
            </w:r>
          </w:p>
        </w:tc>
        <w:tc>
          <w:tcPr>
            <w:tcW w:w="1045" w:type="dxa"/>
            <w:tcBorders>
              <w:top w:val="single" w:sz="4" w:space="0" w:color="293F5B"/>
              <w:bottom w:val="single" w:sz="4" w:space="0" w:color="293F5B"/>
            </w:tcBorders>
            <w:shd w:val="clear" w:color="auto" w:fill="auto"/>
          </w:tcPr>
          <w:p w14:paraId="33DF9F12" w14:textId="77777777" w:rsidR="0012790E" w:rsidRPr="001C06E6" w:rsidRDefault="0012790E">
            <w:pPr>
              <w:pStyle w:val="Totaldatarowrightaligned"/>
              <w:keepNext/>
            </w:pPr>
            <w:r w:rsidRPr="001C06E6">
              <w:t>2.5</w:t>
            </w:r>
          </w:p>
        </w:tc>
        <w:tc>
          <w:tcPr>
            <w:tcW w:w="1045" w:type="dxa"/>
            <w:tcBorders>
              <w:top w:val="single" w:sz="4" w:space="0" w:color="293F5B"/>
              <w:bottom w:val="single" w:sz="4" w:space="0" w:color="293F5B"/>
            </w:tcBorders>
            <w:shd w:val="clear" w:color="auto" w:fill="auto"/>
          </w:tcPr>
          <w:p w14:paraId="24E64078" w14:textId="77777777" w:rsidR="0012790E" w:rsidRPr="001C06E6" w:rsidRDefault="0012790E">
            <w:pPr>
              <w:pStyle w:val="Totaldatarowrightaligned"/>
              <w:keepNext/>
            </w:pPr>
            <w:r w:rsidRPr="001C06E6">
              <w:t>2.6</w:t>
            </w:r>
          </w:p>
        </w:tc>
        <w:tc>
          <w:tcPr>
            <w:tcW w:w="1045" w:type="dxa"/>
            <w:tcBorders>
              <w:top w:val="single" w:sz="4" w:space="0" w:color="293F5B"/>
              <w:bottom w:val="single" w:sz="4" w:space="0" w:color="293F5B"/>
            </w:tcBorders>
            <w:shd w:val="clear" w:color="auto" w:fill="auto"/>
          </w:tcPr>
          <w:p w14:paraId="304407A6" w14:textId="77777777" w:rsidR="0012790E" w:rsidRPr="001C06E6" w:rsidRDefault="0012790E">
            <w:pPr>
              <w:pStyle w:val="Totaldatarowrightaligned"/>
              <w:keepNext/>
            </w:pPr>
            <w:r w:rsidRPr="001C06E6">
              <w:t>2.7</w:t>
            </w:r>
          </w:p>
        </w:tc>
      </w:tr>
    </w:tbl>
    <w:p w14:paraId="65513824"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77E3B975" w14:textId="77777777" w:rsidR="0012790E" w:rsidRDefault="0012790E">
      <w:pPr>
        <w:pStyle w:val="Normal2"/>
        <w:rPr>
          <w:rFonts w:cs="Book Antiqua"/>
        </w:rPr>
      </w:pPr>
      <w:r w:rsidRPr="001C06E6">
        <w:rPr>
          <w:rFonts w:cs="Book Antiqua"/>
        </w:rPr>
        <w:t>The Government will provide $19.9</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(and $2.7</w:t>
      </w:r>
      <w:r>
        <w:rPr>
          <w:rFonts w:cs="Book Antiqua"/>
        </w:rPr>
        <w:t> </w:t>
      </w:r>
      <w:r w:rsidRPr="001C06E6">
        <w:rPr>
          <w:rFonts w:cs="Book Antiqua"/>
        </w:rPr>
        <w:t>million per year ongoing) to support the molecular imaging capacity of the Paula Fox</w:t>
      </w:r>
      <w:r>
        <w:rPr>
          <w:rFonts w:cs="Book Antiqua"/>
        </w:rPr>
        <w:t xml:space="preserve"> </w:t>
      </w:r>
      <w:r w:rsidRPr="001C06E6">
        <w:rPr>
          <w:rFonts w:cs="Book Antiqua"/>
        </w:rPr>
        <w:t>Melanoma and Cancer Centre in Victoria.</w:t>
      </w:r>
      <w:r>
        <w:rPr>
          <w:rFonts w:cs="Book Antiqua"/>
        </w:rPr>
        <w:t xml:space="preserve"> </w:t>
      </w:r>
    </w:p>
    <w:p w14:paraId="764EAB6C"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within the existing resourcing of the Department of Health and Aged Care. </w:t>
      </w:r>
    </w:p>
    <w:p w14:paraId="43133A0E" w14:textId="77777777" w:rsidR="0012790E" w:rsidRPr="001C06E6" w:rsidRDefault="0012790E">
      <w:pPr>
        <w:pStyle w:val="MeasureTitle"/>
        <w:rPr>
          <w:b w:val="0"/>
          <w:bCs/>
        </w:rPr>
      </w:pPr>
      <w:r w:rsidRPr="001C06E6">
        <w:rPr>
          <w:bCs/>
        </w:rPr>
        <w:t>Health Workforce</w:t>
      </w:r>
    </w:p>
    <w:p w14:paraId="53A7139C"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4AEDC98" w14:textId="77777777">
        <w:tc>
          <w:tcPr>
            <w:tcW w:w="2497" w:type="dxa"/>
            <w:tcBorders>
              <w:top w:val="single" w:sz="4" w:space="0" w:color="293F5B"/>
              <w:bottom w:val="single" w:sz="4" w:space="0" w:color="293F5B"/>
            </w:tcBorders>
            <w:shd w:val="clear" w:color="auto" w:fill="auto"/>
          </w:tcPr>
          <w:p w14:paraId="4BA8306C"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E567687"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260DE3F9"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DEF9381"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AFACA13"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22731D1" w14:textId="77777777" w:rsidR="0012790E" w:rsidRPr="001C06E6" w:rsidRDefault="0012790E">
            <w:pPr>
              <w:pStyle w:val="MeasureTableYearHeadings"/>
              <w:keepNext/>
            </w:pPr>
            <w:r w:rsidRPr="001C06E6">
              <w:t>2027</w:t>
            </w:r>
            <w:r>
              <w:noBreakHyphen/>
            </w:r>
            <w:r w:rsidRPr="001C06E6">
              <w:t>28</w:t>
            </w:r>
          </w:p>
        </w:tc>
      </w:tr>
      <w:tr w:rsidR="0012790E" w:rsidRPr="001C06E6" w14:paraId="62091665" w14:textId="77777777">
        <w:tc>
          <w:tcPr>
            <w:tcW w:w="2497" w:type="dxa"/>
            <w:tcBorders>
              <w:top w:val="single" w:sz="4" w:space="0" w:color="293F5B"/>
              <w:bottom w:val="single" w:sz="4" w:space="0" w:color="293F5B"/>
            </w:tcBorders>
            <w:shd w:val="clear" w:color="auto" w:fill="auto"/>
          </w:tcPr>
          <w:p w14:paraId="63517980"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47AF0BE0" w14:textId="77777777" w:rsidR="0012790E" w:rsidRPr="001C06E6" w:rsidRDefault="0012790E">
            <w:pPr>
              <w:pStyle w:val="MeasureTableDataRightAlignedwith2ptsspacing"/>
              <w:keepNext/>
            </w:pPr>
            <w:r>
              <w:t xml:space="preserve">5.1 </w:t>
            </w:r>
          </w:p>
        </w:tc>
        <w:tc>
          <w:tcPr>
            <w:tcW w:w="1045" w:type="dxa"/>
            <w:tcBorders>
              <w:top w:val="single" w:sz="4" w:space="0" w:color="293F5B"/>
              <w:bottom w:val="single" w:sz="4" w:space="0" w:color="293F5B"/>
            </w:tcBorders>
            <w:shd w:val="clear" w:color="auto" w:fill="auto"/>
          </w:tcPr>
          <w:p w14:paraId="21676B31" w14:textId="77777777" w:rsidR="0012790E" w:rsidRPr="001C06E6" w:rsidRDefault="0012790E">
            <w:pPr>
              <w:pStyle w:val="MeasureTableDataRightAlignedwith2ptsspacing"/>
              <w:keepNext/>
            </w:pPr>
            <w:r>
              <w:t xml:space="preserve">77.0 </w:t>
            </w:r>
          </w:p>
        </w:tc>
        <w:tc>
          <w:tcPr>
            <w:tcW w:w="1045" w:type="dxa"/>
            <w:tcBorders>
              <w:top w:val="single" w:sz="4" w:space="0" w:color="293F5B"/>
              <w:bottom w:val="single" w:sz="4" w:space="0" w:color="293F5B"/>
            </w:tcBorders>
            <w:shd w:val="clear" w:color="auto" w:fill="auto"/>
          </w:tcPr>
          <w:p w14:paraId="1787EFF9" w14:textId="77777777" w:rsidR="0012790E" w:rsidRPr="001C06E6" w:rsidRDefault="0012790E">
            <w:pPr>
              <w:pStyle w:val="MeasureTableDataRightAlignedwith2ptsspacing"/>
              <w:keepNext/>
            </w:pPr>
            <w:r>
              <w:t xml:space="preserve">2.8 </w:t>
            </w:r>
          </w:p>
        </w:tc>
        <w:tc>
          <w:tcPr>
            <w:tcW w:w="1045" w:type="dxa"/>
            <w:tcBorders>
              <w:top w:val="single" w:sz="4" w:space="0" w:color="293F5B"/>
              <w:bottom w:val="single" w:sz="4" w:space="0" w:color="293F5B"/>
            </w:tcBorders>
            <w:shd w:val="clear" w:color="auto" w:fill="auto"/>
          </w:tcPr>
          <w:p w14:paraId="550DEDA3" w14:textId="77777777" w:rsidR="0012790E" w:rsidRPr="001C06E6" w:rsidRDefault="0012790E">
            <w:pPr>
              <w:pStyle w:val="MeasureTableDataRightAlignedwith2ptsspacing"/>
              <w:keepNext/>
            </w:pPr>
            <w:r>
              <w:t xml:space="preserve">1.0 </w:t>
            </w:r>
          </w:p>
        </w:tc>
        <w:tc>
          <w:tcPr>
            <w:tcW w:w="1045" w:type="dxa"/>
            <w:tcBorders>
              <w:top w:val="single" w:sz="4" w:space="0" w:color="293F5B"/>
              <w:bottom w:val="single" w:sz="4" w:space="0" w:color="293F5B"/>
            </w:tcBorders>
            <w:shd w:val="clear" w:color="auto" w:fill="auto"/>
          </w:tcPr>
          <w:p w14:paraId="12625950" w14:textId="77777777" w:rsidR="0012790E" w:rsidRPr="001C06E6" w:rsidRDefault="0012790E">
            <w:pPr>
              <w:pStyle w:val="MeasureTableDataRightAlignedwith2ptsspacing"/>
              <w:keepNext/>
            </w:pPr>
            <w:r>
              <w:t xml:space="preserve">1.1 </w:t>
            </w:r>
          </w:p>
        </w:tc>
      </w:tr>
      <w:tr w:rsidR="0012790E" w:rsidRPr="001C06E6" w14:paraId="052A336E" w14:textId="77777777">
        <w:tc>
          <w:tcPr>
            <w:tcW w:w="2497" w:type="dxa"/>
            <w:tcBorders>
              <w:top w:val="single" w:sz="4" w:space="0" w:color="293F5B"/>
              <w:bottom w:val="single" w:sz="4" w:space="0" w:color="293F5B"/>
            </w:tcBorders>
            <w:shd w:val="clear" w:color="auto" w:fill="auto"/>
          </w:tcPr>
          <w:p w14:paraId="11AD13B6"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37D9D9A0" w14:textId="77777777" w:rsidR="0012790E" w:rsidRPr="001C06E6" w:rsidRDefault="0012790E">
            <w:pPr>
              <w:pStyle w:val="MeasureTableDataRightAlignedwith2ptsspacing"/>
              <w:keepNext/>
            </w:pPr>
            <w:r w:rsidRPr="001C06E6">
              <w:t>1.8</w:t>
            </w:r>
          </w:p>
        </w:tc>
        <w:tc>
          <w:tcPr>
            <w:tcW w:w="1045" w:type="dxa"/>
            <w:tcBorders>
              <w:top w:val="single" w:sz="4" w:space="0" w:color="293F5B"/>
              <w:bottom w:val="single" w:sz="4" w:space="0" w:color="293F5B"/>
            </w:tcBorders>
            <w:shd w:val="clear" w:color="auto" w:fill="auto"/>
          </w:tcPr>
          <w:p w14:paraId="3B7EA4EB" w14:textId="77777777" w:rsidR="0012790E" w:rsidRPr="001C06E6" w:rsidRDefault="0012790E">
            <w:pPr>
              <w:pStyle w:val="MeasureTableDataRightAlignedwith2ptsspacing"/>
              <w:keepNext/>
            </w:pPr>
            <w:r w:rsidRPr="001C06E6">
              <w:t>10.5</w:t>
            </w:r>
          </w:p>
        </w:tc>
        <w:tc>
          <w:tcPr>
            <w:tcW w:w="1045" w:type="dxa"/>
            <w:tcBorders>
              <w:top w:val="single" w:sz="4" w:space="0" w:color="293F5B"/>
              <w:bottom w:val="single" w:sz="4" w:space="0" w:color="293F5B"/>
            </w:tcBorders>
            <w:shd w:val="clear" w:color="auto" w:fill="auto"/>
          </w:tcPr>
          <w:p w14:paraId="0489A464" w14:textId="77777777" w:rsidR="0012790E" w:rsidRPr="001C06E6" w:rsidRDefault="0012790E">
            <w:pPr>
              <w:pStyle w:val="MeasureTableDataRightAlignedwith2ptsspacing"/>
              <w:keepNext/>
            </w:pPr>
            <w:r w:rsidRPr="001C06E6">
              <w:t>2.7</w:t>
            </w:r>
          </w:p>
        </w:tc>
        <w:tc>
          <w:tcPr>
            <w:tcW w:w="1045" w:type="dxa"/>
            <w:tcBorders>
              <w:top w:val="single" w:sz="4" w:space="0" w:color="293F5B"/>
              <w:bottom w:val="single" w:sz="4" w:space="0" w:color="293F5B"/>
            </w:tcBorders>
            <w:shd w:val="clear" w:color="auto" w:fill="auto"/>
          </w:tcPr>
          <w:p w14:paraId="2F743BB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923957A" w14:textId="77777777" w:rsidR="0012790E" w:rsidRPr="001C06E6" w:rsidRDefault="0012790E">
            <w:pPr>
              <w:pStyle w:val="MeasureTableDataRightAlignedwith2ptsspacing"/>
              <w:keepNext/>
            </w:pPr>
            <w:r w:rsidRPr="001C06E6">
              <w:t>-</w:t>
            </w:r>
          </w:p>
        </w:tc>
      </w:tr>
      <w:tr w:rsidR="0012790E" w:rsidRPr="001C06E6" w14:paraId="63C57CEA" w14:textId="77777777">
        <w:tc>
          <w:tcPr>
            <w:tcW w:w="2497" w:type="dxa"/>
            <w:tcBorders>
              <w:top w:val="single" w:sz="4" w:space="0" w:color="293F5B"/>
              <w:bottom w:val="single" w:sz="4" w:space="0" w:color="293F5B"/>
            </w:tcBorders>
            <w:shd w:val="clear" w:color="auto" w:fill="auto"/>
          </w:tcPr>
          <w:p w14:paraId="3F03A8BA"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0A6CB00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6A9C8D3" w14:textId="77777777" w:rsidR="0012790E" w:rsidRPr="001C06E6" w:rsidRDefault="0012790E">
            <w:pPr>
              <w:pStyle w:val="MeasureTableDataRightAlignedwith2ptsspacing"/>
              <w:keepNext/>
            </w:pPr>
            <w:r w:rsidRPr="001C06E6">
              <w:t>9.4</w:t>
            </w:r>
          </w:p>
        </w:tc>
        <w:tc>
          <w:tcPr>
            <w:tcW w:w="1045" w:type="dxa"/>
            <w:tcBorders>
              <w:top w:val="single" w:sz="4" w:space="0" w:color="293F5B"/>
              <w:bottom w:val="single" w:sz="4" w:space="0" w:color="293F5B"/>
            </w:tcBorders>
            <w:shd w:val="clear" w:color="auto" w:fill="auto"/>
          </w:tcPr>
          <w:p w14:paraId="3A89F6A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9C95B9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CCC46D1" w14:textId="77777777" w:rsidR="0012790E" w:rsidRPr="001C06E6" w:rsidRDefault="0012790E">
            <w:pPr>
              <w:pStyle w:val="MeasureTableDataRightAlignedwith2ptsspacing"/>
              <w:keepNext/>
            </w:pPr>
            <w:r w:rsidRPr="001C06E6">
              <w:t>-</w:t>
            </w:r>
          </w:p>
        </w:tc>
      </w:tr>
      <w:tr w:rsidR="0012790E" w:rsidRPr="001C06E6" w14:paraId="67063716" w14:textId="77777777">
        <w:tc>
          <w:tcPr>
            <w:tcW w:w="2497" w:type="dxa"/>
            <w:tcBorders>
              <w:top w:val="single" w:sz="4" w:space="0" w:color="293F5B"/>
              <w:bottom w:val="single" w:sz="4" w:space="0" w:color="293F5B"/>
            </w:tcBorders>
            <w:shd w:val="clear" w:color="auto" w:fill="auto"/>
          </w:tcPr>
          <w:p w14:paraId="2A5617AB"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43D6BBDC" w14:textId="77777777" w:rsidR="0012790E" w:rsidRPr="001C06E6" w:rsidRDefault="0012790E">
            <w:pPr>
              <w:pStyle w:val="Totaldatarowrightaligned"/>
              <w:keepNext/>
            </w:pPr>
            <w:r w:rsidRPr="001C06E6">
              <w:t>6.9</w:t>
            </w:r>
          </w:p>
        </w:tc>
        <w:tc>
          <w:tcPr>
            <w:tcW w:w="1045" w:type="dxa"/>
            <w:tcBorders>
              <w:top w:val="single" w:sz="4" w:space="0" w:color="293F5B"/>
              <w:bottom w:val="single" w:sz="4" w:space="0" w:color="293F5B"/>
            </w:tcBorders>
            <w:shd w:val="clear" w:color="auto" w:fill="auto"/>
          </w:tcPr>
          <w:p w14:paraId="1FF1BE5E" w14:textId="77777777" w:rsidR="0012790E" w:rsidRPr="001C06E6" w:rsidRDefault="0012790E">
            <w:pPr>
              <w:pStyle w:val="Totaldatarowrightaligned"/>
              <w:keepNext/>
            </w:pPr>
            <w:r w:rsidRPr="001C06E6">
              <w:t>97.0</w:t>
            </w:r>
          </w:p>
        </w:tc>
        <w:tc>
          <w:tcPr>
            <w:tcW w:w="1045" w:type="dxa"/>
            <w:tcBorders>
              <w:top w:val="single" w:sz="4" w:space="0" w:color="293F5B"/>
              <w:bottom w:val="single" w:sz="4" w:space="0" w:color="293F5B"/>
            </w:tcBorders>
            <w:shd w:val="clear" w:color="auto" w:fill="auto"/>
          </w:tcPr>
          <w:p w14:paraId="1820CEA7" w14:textId="77777777" w:rsidR="0012790E" w:rsidRPr="001C06E6" w:rsidRDefault="0012790E">
            <w:pPr>
              <w:pStyle w:val="Totaldatarowrightaligned"/>
              <w:keepNext/>
            </w:pPr>
            <w:r w:rsidRPr="001C06E6">
              <w:t>5.5</w:t>
            </w:r>
          </w:p>
        </w:tc>
        <w:tc>
          <w:tcPr>
            <w:tcW w:w="1045" w:type="dxa"/>
            <w:tcBorders>
              <w:top w:val="single" w:sz="4" w:space="0" w:color="293F5B"/>
              <w:bottom w:val="single" w:sz="4" w:space="0" w:color="293F5B"/>
            </w:tcBorders>
            <w:shd w:val="clear" w:color="auto" w:fill="auto"/>
          </w:tcPr>
          <w:p w14:paraId="3DA4A07B" w14:textId="77777777" w:rsidR="0012790E" w:rsidRPr="001C06E6" w:rsidRDefault="0012790E">
            <w:pPr>
              <w:pStyle w:val="Totaldatarowrightaligned"/>
              <w:keepNext/>
            </w:pPr>
            <w:r w:rsidRPr="001C06E6">
              <w:t>1.0</w:t>
            </w:r>
          </w:p>
        </w:tc>
        <w:tc>
          <w:tcPr>
            <w:tcW w:w="1045" w:type="dxa"/>
            <w:tcBorders>
              <w:top w:val="single" w:sz="4" w:space="0" w:color="293F5B"/>
              <w:bottom w:val="single" w:sz="4" w:space="0" w:color="293F5B"/>
            </w:tcBorders>
            <w:shd w:val="clear" w:color="auto" w:fill="auto"/>
          </w:tcPr>
          <w:p w14:paraId="6FAD50EB" w14:textId="0F6A4E9C" w:rsidR="0012790E" w:rsidRPr="001C06E6" w:rsidRDefault="0012790E">
            <w:pPr>
              <w:pStyle w:val="Totaldatarowrightaligned"/>
              <w:keepNext/>
            </w:pPr>
            <w:r w:rsidRPr="001C06E6">
              <w:t>1.</w:t>
            </w:r>
            <w:r w:rsidR="00DA7AE8">
              <w:t>1</w:t>
            </w:r>
          </w:p>
        </w:tc>
      </w:tr>
    </w:tbl>
    <w:p w14:paraId="747C4099"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5DC72637" w14:textId="77777777" w:rsidR="0012790E" w:rsidRDefault="0012790E">
      <w:pPr>
        <w:pStyle w:val="Normal2"/>
        <w:rPr>
          <w:rFonts w:cs="Book Antiqua"/>
        </w:rPr>
      </w:pPr>
      <w:r w:rsidRPr="001C06E6">
        <w:rPr>
          <w:rFonts w:cs="Book Antiqua"/>
        </w:rPr>
        <w:t>The Government will provide $116.2</w:t>
      </w:r>
      <w:r>
        <w:rPr>
          <w:rFonts w:cs="Book Antiqua"/>
        </w:rPr>
        <w:t> </w:t>
      </w:r>
      <w:r w:rsidRPr="001C06E6">
        <w:rPr>
          <w:rFonts w:cs="Book Antiqua"/>
        </w:rPr>
        <w:t xml:space="preserve">million over five years from </w:t>
      </w:r>
      <w:r>
        <w:rPr>
          <w:rFonts w:cs="Book Antiqua"/>
        </w:rPr>
        <w:t>2023–24</w:t>
      </w:r>
      <w:r w:rsidRPr="001C06E6">
        <w:rPr>
          <w:rFonts w:cs="Book Antiqua"/>
        </w:rPr>
        <w:t xml:space="preserve"> to</w:t>
      </w:r>
      <w:r>
        <w:rPr>
          <w:rFonts w:cs="Book Antiqua"/>
        </w:rPr>
        <w:t xml:space="preserve"> </w:t>
      </w:r>
      <w:r w:rsidRPr="001C06E6">
        <w:rPr>
          <w:rFonts w:cs="Book Antiqua"/>
        </w:rPr>
        <w:t>strengthen and support the health workforce. Funding includes:</w:t>
      </w:r>
    </w:p>
    <w:p w14:paraId="3C11F6E7" w14:textId="77777777" w:rsidR="0012790E" w:rsidRDefault="0012790E">
      <w:pPr>
        <w:pStyle w:val="Bullet"/>
      </w:pPr>
      <w:r w:rsidRPr="001C06E6">
        <w:t>$90.0</w:t>
      </w:r>
      <w:r>
        <w:t> </w:t>
      </w:r>
      <w:r w:rsidRPr="001C06E6">
        <w:t xml:space="preserve">million over three years from </w:t>
      </w:r>
      <w:r>
        <w:t>2023–24</w:t>
      </w:r>
      <w:r w:rsidRPr="001C06E6">
        <w:t xml:space="preserve"> to fund the implementation of the health related recommendations of the </w:t>
      </w:r>
      <w:r w:rsidRPr="001C06E6">
        <w:rPr>
          <w:i/>
          <w:iCs/>
        </w:rPr>
        <w:t>Independent review of Australia’s regulatory settings relating to overseas health practitioners</w:t>
      </w:r>
      <w:r w:rsidRPr="001C06E6">
        <w:t xml:space="preserve"> (the Kruk Review) to grow and support the health workforce. This funding is a component of the $1.2 billion package of Strengthening Medicare measures agreed at National Cabinet in December 2023 and has been developed in consultation with the states and territories</w:t>
      </w:r>
      <w:r>
        <w:t xml:space="preserve"> </w:t>
      </w:r>
    </w:p>
    <w:p w14:paraId="1839DD7A" w14:textId="77777777" w:rsidR="0012790E" w:rsidRDefault="0012790E">
      <w:pPr>
        <w:pStyle w:val="Bullet"/>
      </w:pPr>
      <w:r w:rsidRPr="001C06E6">
        <w:t>$17.4</w:t>
      </w:r>
      <w:r>
        <w:t> </w:t>
      </w:r>
      <w:r w:rsidRPr="001C06E6">
        <w:t xml:space="preserve">million in </w:t>
      </w:r>
      <w:r>
        <w:t>2024–25</w:t>
      </w:r>
      <w:r w:rsidRPr="001C06E6">
        <w:t xml:space="preserve"> to extend the General Practice Incentive Fund until 30</w:t>
      </w:r>
      <w:r>
        <w:t> </w:t>
      </w:r>
      <w:r w:rsidRPr="001C06E6">
        <w:t>June</w:t>
      </w:r>
      <w:r>
        <w:t> </w:t>
      </w:r>
      <w:r w:rsidRPr="001C06E6">
        <w:t>2025 to improve access to primary care in thin markets</w:t>
      </w:r>
      <w:r>
        <w:t xml:space="preserve"> </w:t>
      </w:r>
    </w:p>
    <w:p w14:paraId="7EF257D3" w14:textId="77777777" w:rsidR="0012790E" w:rsidRDefault="0012790E">
      <w:pPr>
        <w:pStyle w:val="Bullet"/>
      </w:pPr>
      <w:r w:rsidRPr="001C06E6">
        <w:t>$4.7</w:t>
      </w:r>
      <w:r>
        <w:t> </w:t>
      </w:r>
      <w:r w:rsidRPr="001C06E6">
        <w:t xml:space="preserve">million over five years from </w:t>
      </w:r>
      <w:r>
        <w:t>2023–24</w:t>
      </w:r>
      <w:r w:rsidRPr="001C06E6">
        <w:t xml:space="preserve"> for the </w:t>
      </w:r>
      <w:r w:rsidRPr="001C06E6">
        <w:rPr>
          <w:i/>
          <w:iCs/>
        </w:rPr>
        <w:t>Northern Territory Medical Program</w:t>
      </w:r>
      <w:r w:rsidRPr="001C06E6">
        <w:t xml:space="preserve"> to increase the number of First Nations medical practitioners and to address recruitment and retention challenges in the Northern Territory</w:t>
      </w:r>
      <w:r w:rsidRPr="001C06E6">
        <w:rPr>
          <w:rFonts w:ascii="Times New Roman" w:hAnsi="Times New Roman"/>
        </w:rPr>
        <w:t> </w:t>
      </w:r>
      <w:r>
        <w:t xml:space="preserve"> </w:t>
      </w:r>
    </w:p>
    <w:p w14:paraId="322036EF" w14:textId="77777777" w:rsidR="0012790E" w:rsidRDefault="0012790E">
      <w:pPr>
        <w:pStyle w:val="Bullet"/>
      </w:pPr>
      <w:r w:rsidRPr="001C06E6">
        <w:t>$4.0</w:t>
      </w:r>
      <w:r>
        <w:t> </w:t>
      </w:r>
      <w:r w:rsidRPr="001C06E6">
        <w:t xml:space="preserve">million over four years from </w:t>
      </w:r>
      <w:r>
        <w:t>2024–25</w:t>
      </w:r>
      <w:r w:rsidRPr="001C06E6">
        <w:t xml:space="preserve"> to the Australian Indigenous Doctors’ Association to continue to support First Nations doctors to become medical specialists.</w:t>
      </w:r>
      <w:r>
        <w:t xml:space="preserve"> </w:t>
      </w:r>
    </w:p>
    <w:p w14:paraId="18E83D47" w14:textId="77777777" w:rsidR="0012790E" w:rsidRDefault="0012790E" w:rsidP="54937204">
      <w:pPr>
        <w:pStyle w:val="Normal2"/>
        <w:rPr>
          <w:rFonts w:cs="Book Antiqua"/>
          <w:lang w:val="en-US"/>
        </w:rPr>
      </w:pPr>
      <w:r w:rsidRPr="54937204">
        <w:rPr>
          <w:rFonts w:cs="Book Antiqua"/>
          <w:lang w:val="en-US"/>
        </w:rPr>
        <w:t xml:space="preserve">The Government will also extend existing single employer model trials until 31 December 2028 to help attract and retain general practitioners (GPs) in areas of workforce need. </w:t>
      </w:r>
    </w:p>
    <w:p w14:paraId="20838717"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within the existing resources of the Department of Health and Aged Care. </w:t>
      </w:r>
    </w:p>
    <w:p w14:paraId="70E23CF8" w14:textId="77777777" w:rsidR="0012790E" w:rsidRPr="001C06E6" w:rsidRDefault="0012790E">
      <w:pPr>
        <w:pStyle w:val="MeasureTitle"/>
        <w:rPr>
          <w:b w:val="0"/>
          <w:bCs/>
        </w:rPr>
      </w:pPr>
      <w:r w:rsidRPr="001C06E6">
        <w:rPr>
          <w:bCs/>
        </w:rPr>
        <w:t>Improving Aged Care Support</w:t>
      </w:r>
    </w:p>
    <w:p w14:paraId="3249D81A"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5559DC7" w14:textId="77777777">
        <w:tc>
          <w:tcPr>
            <w:tcW w:w="2497" w:type="dxa"/>
            <w:tcBorders>
              <w:top w:val="single" w:sz="4" w:space="0" w:color="293F5B"/>
              <w:bottom w:val="single" w:sz="4" w:space="0" w:color="293F5B"/>
            </w:tcBorders>
            <w:shd w:val="clear" w:color="auto" w:fill="auto"/>
          </w:tcPr>
          <w:p w14:paraId="55F42766"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298589D"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98C295E"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11BED0B"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7617611"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0FB576B" w14:textId="77777777" w:rsidR="0012790E" w:rsidRPr="001C06E6" w:rsidRDefault="0012790E">
            <w:pPr>
              <w:pStyle w:val="MeasureTableYearHeadings"/>
              <w:keepNext/>
            </w:pPr>
            <w:r w:rsidRPr="001C06E6">
              <w:t>2027</w:t>
            </w:r>
            <w:r>
              <w:noBreakHyphen/>
            </w:r>
            <w:r w:rsidRPr="001C06E6">
              <w:t>28</w:t>
            </w:r>
          </w:p>
        </w:tc>
      </w:tr>
      <w:tr w:rsidR="0012790E" w:rsidRPr="001C06E6" w14:paraId="2882153A" w14:textId="77777777">
        <w:tc>
          <w:tcPr>
            <w:tcW w:w="2497" w:type="dxa"/>
            <w:tcBorders>
              <w:top w:val="single" w:sz="4" w:space="0" w:color="293F5B"/>
              <w:bottom w:val="single" w:sz="4" w:space="0" w:color="293F5B"/>
            </w:tcBorders>
            <w:shd w:val="clear" w:color="auto" w:fill="auto"/>
          </w:tcPr>
          <w:p w14:paraId="7092C983"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4A4987EC" w14:textId="77777777" w:rsidR="0012790E" w:rsidRPr="001C06E6" w:rsidRDefault="0012790E">
            <w:pPr>
              <w:pStyle w:val="MeasureTableDataRightAlignedwith2ptsspacing"/>
              <w:keepNext/>
            </w:pPr>
            <w:r w:rsidRPr="001C06E6">
              <w:t>0.2</w:t>
            </w:r>
          </w:p>
        </w:tc>
        <w:tc>
          <w:tcPr>
            <w:tcW w:w="1045" w:type="dxa"/>
            <w:tcBorders>
              <w:top w:val="single" w:sz="4" w:space="0" w:color="293F5B"/>
              <w:bottom w:val="single" w:sz="4" w:space="0" w:color="293F5B"/>
            </w:tcBorders>
            <w:shd w:val="clear" w:color="auto" w:fill="auto"/>
          </w:tcPr>
          <w:p w14:paraId="01F040C7" w14:textId="77777777" w:rsidR="0012790E" w:rsidRPr="001C06E6" w:rsidRDefault="0012790E">
            <w:pPr>
              <w:pStyle w:val="MeasureTableDataRightAlignedwith2ptsspacing"/>
              <w:keepNext/>
            </w:pPr>
            <w:r w:rsidRPr="001C06E6">
              <w:t>85.5</w:t>
            </w:r>
          </w:p>
        </w:tc>
        <w:tc>
          <w:tcPr>
            <w:tcW w:w="1045" w:type="dxa"/>
            <w:tcBorders>
              <w:top w:val="single" w:sz="4" w:space="0" w:color="293F5B"/>
              <w:bottom w:val="single" w:sz="4" w:space="0" w:color="293F5B"/>
            </w:tcBorders>
            <w:shd w:val="clear" w:color="auto" w:fill="auto"/>
          </w:tcPr>
          <w:p w14:paraId="78F1D62D" w14:textId="77777777" w:rsidR="0012790E" w:rsidRPr="001C06E6" w:rsidRDefault="0012790E">
            <w:pPr>
              <w:pStyle w:val="MeasureTableDataRightAlignedwith2ptsspacing"/>
              <w:keepNext/>
            </w:pPr>
            <w:r w:rsidRPr="001C06E6">
              <w:t>49.6</w:t>
            </w:r>
          </w:p>
        </w:tc>
        <w:tc>
          <w:tcPr>
            <w:tcW w:w="1045" w:type="dxa"/>
            <w:tcBorders>
              <w:top w:val="single" w:sz="4" w:space="0" w:color="293F5B"/>
              <w:bottom w:val="single" w:sz="4" w:space="0" w:color="293F5B"/>
            </w:tcBorders>
            <w:shd w:val="clear" w:color="auto" w:fill="auto"/>
          </w:tcPr>
          <w:p w14:paraId="70B26BEA" w14:textId="77777777" w:rsidR="0012790E" w:rsidRPr="001C06E6" w:rsidRDefault="0012790E">
            <w:pPr>
              <w:pStyle w:val="MeasureTableDataRightAlignedwith2ptsspacing"/>
              <w:keepNext/>
            </w:pPr>
            <w:r w:rsidRPr="001C06E6">
              <w:t>12.3</w:t>
            </w:r>
          </w:p>
        </w:tc>
        <w:tc>
          <w:tcPr>
            <w:tcW w:w="1045" w:type="dxa"/>
            <w:tcBorders>
              <w:top w:val="single" w:sz="4" w:space="0" w:color="293F5B"/>
              <w:bottom w:val="single" w:sz="4" w:space="0" w:color="293F5B"/>
            </w:tcBorders>
            <w:shd w:val="clear" w:color="auto" w:fill="auto"/>
          </w:tcPr>
          <w:p w14:paraId="07E2F29D" w14:textId="77777777" w:rsidR="0012790E" w:rsidRPr="001C06E6" w:rsidRDefault="0012790E">
            <w:pPr>
              <w:pStyle w:val="MeasureTableDataRightAlignedwith2ptsspacing"/>
              <w:keepNext/>
            </w:pPr>
            <w:r w:rsidRPr="001C06E6">
              <w:t>12.1</w:t>
            </w:r>
          </w:p>
        </w:tc>
      </w:tr>
      <w:tr w:rsidR="0012790E" w:rsidRPr="001C06E6" w14:paraId="41E3CCD7" w14:textId="77777777">
        <w:tc>
          <w:tcPr>
            <w:tcW w:w="2497" w:type="dxa"/>
            <w:tcBorders>
              <w:top w:val="single" w:sz="4" w:space="0" w:color="293F5B"/>
              <w:bottom w:val="single" w:sz="4" w:space="0" w:color="293F5B"/>
            </w:tcBorders>
            <w:shd w:val="clear" w:color="auto" w:fill="auto"/>
          </w:tcPr>
          <w:p w14:paraId="217521A5" w14:textId="77777777" w:rsidR="0012790E" w:rsidRPr="001C06E6" w:rsidRDefault="0012790E">
            <w:pPr>
              <w:pStyle w:val="MeasureTableHeadingleftalignedwith2ptsspacing"/>
              <w:keepNext/>
            </w:pPr>
            <w:r>
              <w:t xml:space="preserve">Aged Care Quality and Safety Commission </w:t>
            </w:r>
          </w:p>
        </w:tc>
        <w:tc>
          <w:tcPr>
            <w:tcW w:w="1045" w:type="dxa"/>
            <w:tcBorders>
              <w:top w:val="single" w:sz="4" w:space="0" w:color="293F5B"/>
              <w:bottom w:val="single" w:sz="4" w:space="0" w:color="293F5B"/>
            </w:tcBorders>
            <w:shd w:val="clear" w:color="auto" w:fill="auto"/>
          </w:tcPr>
          <w:p w14:paraId="25988D0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86760CB" w14:textId="77777777" w:rsidR="0012790E" w:rsidRPr="001C06E6" w:rsidRDefault="0012790E">
            <w:pPr>
              <w:pStyle w:val="MeasureTableDataRightAlignedwith2ptsspacing"/>
              <w:keepNext/>
            </w:pPr>
            <w:r>
              <w:t xml:space="preserve">97.5 </w:t>
            </w:r>
          </w:p>
        </w:tc>
        <w:tc>
          <w:tcPr>
            <w:tcW w:w="1045" w:type="dxa"/>
            <w:tcBorders>
              <w:top w:val="single" w:sz="4" w:space="0" w:color="293F5B"/>
              <w:bottom w:val="single" w:sz="4" w:space="0" w:color="293F5B"/>
            </w:tcBorders>
            <w:shd w:val="clear" w:color="auto" w:fill="auto"/>
          </w:tcPr>
          <w:p w14:paraId="60F9335F" w14:textId="77777777" w:rsidR="0012790E" w:rsidRPr="001C06E6" w:rsidRDefault="0012790E">
            <w:pPr>
              <w:pStyle w:val="MeasureTableDataRightAlignedwith2ptsspacing"/>
              <w:keepNext/>
            </w:pPr>
            <w:r>
              <w:t xml:space="preserve">3.5 </w:t>
            </w:r>
          </w:p>
        </w:tc>
        <w:tc>
          <w:tcPr>
            <w:tcW w:w="1045" w:type="dxa"/>
            <w:tcBorders>
              <w:top w:val="single" w:sz="4" w:space="0" w:color="293F5B"/>
              <w:bottom w:val="single" w:sz="4" w:space="0" w:color="293F5B"/>
            </w:tcBorders>
            <w:shd w:val="clear" w:color="auto" w:fill="auto"/>
          </w:tcPr>
          <w:p w14:paraId="5334A55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5B8E988" w14:textId="77777777" w:rsidR="0012790E" w:rsidRPr="001C06E6" w:rsidRDefault="0012790E">
            <w:pPr>
              <w:pStyle w:val="MeasureTableDataRightAlignedwith2ptsspacing"/>
              <w:keepNext/>
            </w:pPr>
            <w:r>
              <w:t xml:space="preserve">- </w:t>
            </w:r>
          </w:p>
        </w:tc>
      </w:tr>
      <w:tr w:rsidR="0012790E" w:rsidRPr="001C06E6" w14:paraId="597BF05C" w14:textId="77777777">
        <w:tc>
          <w:tcPr>
            <w:tcW w:w="2497" w:type="dxa"/>
            <w:tcBorders>
              <w:top w:val="single" w:sz="4" w:space="0" w:color="293F5B"/>
              <w:bottom w:val="single" w:sz="4" w:space="0" w:color="293F5B"/>
            </w:tcBorders>
            <w:shd w:val="clear" w:color="auto" w:fill="auto"/>
          </w:tcPr>
          <w:p w14:paraId="5B36240D" w14:textId="77777777" w:rsidR="0012790E" w:rsidRPr="001C06E6" w:rsidRDefault="0012790E">
            <w:pPr>
              <w:pStyle w:val="MeasureTableHeadingleftalignedwith2ptsspacing"/>
              <w:keepNext/>
            </w:pPr>
            <w:r>
              <w:t xml:space="preserve">Australian Digital Health Agency </w:t>
            </w:r>
          </w:p>
        </w:tc>
        <w:tc>
          <w:tcPr>
            <w:tcW w:w="1045" w:type="dxa"/>
            <w:tcBorders>
              <w:top w:val="single" w:sz="4" w:space="0" w:color="293F5B"/>
              <w:bottom w:val="single" w:sz="4" w:space="0" w:color="293F5B"/>
            </w:tcBorders>
            <w:shd w:val="clear" w:color="auto" w:fill="auto"/>
          </w:tcPr>
          <w:p w14:paraId="4711FFA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889B051" w14:textId="77777777" w:rsidR="0012790E" w:rsidRPr="001C06E6" w:rsidRDefault="0012790E">
            <w:pPr>
              <w:pStyle w:val="MeasureTableDataRightAlignedwith2ptsspacing"/>
              <w:keepNext/>
            </w:pPr>
            <w:r>
              <w:t xml:space="preserve">7.5 </w:t>
            </w:r>
          </w:p>
        </w:tc>
        <w:tc>
          <w:tcPr>
            <w:tcW w:w="1045" w:type="dxa"/>
            <w:tcBorders>
              <w:top w:val="single" w:sz="4" w:space="0" w:color="293F5B"/>
              <w:bottom w:val="single" w:sz="4" w:space="0" w:color="293F5B"/>
            </w:tcBorders>
            <w:shd w:val="clear" w:color="auto" w:fill="auto"/>
          </w:tcPr>
          <w:p w14:paraId="753DD68F" w14:textId="77777777" w:rsidR="0012790E" w:rsidRPr="001C06E6" w:rsidRDefault="0012790E">
            <w:pPr>
              <w:pStyle w:val="MeasureTableDataRightAlignedwith2ptsspacing"/>
              <w:keepNext/>
            </w:pPr>
            <w:r>
              <w:t xml:space="preserve">6.0 </w:t>
            </w:r>
          </w:p>
        </w:tc>
        <w:tc>
          <w:tcPr>
            <w:tcW w:w="1045" w:type="dxa"/>
            <w:tcBorders>
              <w:top w:val="single" w:sz="4" w:space="0" w:color="293F5B"/>
              <w:bottom w:val="single" w:sz="4" w:space="0" w:color="293F5B"/>
            </w:tcBorders>
            <w:shd w:val="clear" w:color="auto" w:fill="auto"/>
          </w:tcPr>
          <w:p w14:paraId="605D228F"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003B677" w14:textId="77777777" w:rsidR="0012790E" w:rsidRPr="001C06E6" w:rsidRDefault="0012790E">
            <w:pPr>
              <w:pStyle w:val="MeasureTableDataRightAlignedwith2ptsspacing"/>
              <w:keepNext/>
            </w:pPr>
            <w:r>
              <w:t xml:space="preserve">- </w:t>
            </w:r>
          </w:p>
        </w:tc>
      </w:tr>
      <w:tr w:rsidR="0012790E" w:rsidRPr="001C06E6" w14:paraId="54E56339" w14:textId="77777777">
        <w:tc>
          <w:tcPr>
            <w:tcW w:w="2497" w:type="dxa"/>
            <w:tcBorders>
              <w:top w:val="single" w:sz="4" w:space="0" w:color="293F5B"/>
              <w:bottom w:val="single" w:sz="4" w:space="0" w:color="293F5B"/>
            </w:tcBorders>
            <w:shd w:val="clear" w:color="auto" w:fill="auto"/>
          </w:tcPr>
          <w:p w14:paraId="02C0E074"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3C6F6C4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998B03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1ADEE9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8A746A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44DBA00" w14:textId="77777777" w:rsidR="0012790E" w:rsidRPr="001C06E6" w:rsidRDefault="0012790E">
            <w:pPr>
              <w:pStyle w:val="MeasureTableDataRightAlignedwith2ptsspacing"/>
              <w:keepNext/>
            </w:pPr>
            <w:r w:rsidRPr="001C06E6">
              <w:t>-</w:t>
            </w:r>
          </w:p>
        </w:tc>
      </w:tr>
      <w:tr w:rsidR="0012790E" w:rsidRPr="001C06E6" w14:paraId="500CAFD3" w14:textId="77777777">
        <w:tc>
          <w:tcPr>
            <w:tcW w:w="2497" w:type="dxa"/>
            <w:tcBorders>
              <w:top w:val="single" w:sz="4" w:space="0" w:color="293F5B"/>
              <w:bottom w:val="single" w:sz="4" w:space="0" w:color="293F5B"/>
            </w:tcBorders>
            <w:shd w:val="clear" w:color="auto" w:fill="auto"/>
          </w:tcPr>
          <w:p w14:paraId="7F1C57A5"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7D5B6241" w14:textId="77777777" w:rsidR="0012790E" w:rsidRPr="001C06E6" w:rsidRDefault="0012790E">
            <w:pPr>
              <w:pStyle w:val="MeasureTableDataRightAlignedwith2ptsspacing"/>
              <w:keepNext/>
            </w:pPr>
            <w:r>
              <w:t xml:space="preserve">-16.0 </w:t>
            </w:r>
          </w:p>
        </w:tc>
        <w:tc>
          <w:tcPr>
            <w:tcW w:w="1045" w:type="dxa"/>
            <w:tcBorders>
              <w:top w:val="single" w:sz="4" w:space="0" w:color="293F5B"/>
              <w:bottom w:val="single" w:sz="4" w:space="0" w:color="293F5B"/>
            </w:tcBorders>
            <w:shd w:val="clear" w:color="auto" w:fill="auto"/>
          </w:tcPr>
          <w:p w14:paraId="35D547A2" w14:textId="77777777" w:rsidR="0012790E" w:rsidRPr="001C06E6" w:rsidRDefault="0012790E">
            <w:pPr>
              <w:pStyle w:val="MeasureTableDataRightAlignedwith2ptsspacing"/>
              <w:keepNext/>
            </w:pPr>
            <w:r>
              <w:t xml:space="preserve">1,277.3 </w:t>
            </w:r>
          </w:p>
        </w:tc>
        <w:tc>
          <w:tcPr>
            <w:tcW w:w="1045" w:type="dxa"/>
            <w:tcBorders>
              <w:top w:val="single" w:sz="4" w:space="0" w:color="293F5B"/>
              <w:bottom w:val="single" w:sz="4" w:space="0" w:color="293F5B"/>
            </w:tcBorders>
            <w:shd w:val="clear" w:color="auto" w:fill="auto"/>
          </w:tcPr>
          <w:p w14:paraId="5229DA9B" w14:textId="77777777" w:rsidR="0012790E" w:rsidRPr="001C06E6" w:rsidRDefault="0012790E">
            <w:pPr>
              <w:pStyle w:val="MeasureTableDataRightAlignedwith2ptsspacing"/>
              <w:keepNext/>
            </w:pPr>
            <w:r>
              <w:t xml:space="preserve">596.8 </w:t>
            </w:r>
          </w:p>
        </w:tc>
        <w:tc>
          <w:tcPr>
            <w:tcW w:w="1045" w:type="dxa"/>
            <w:tcBorders>
              <w:top w:val="single" w:sz="4" w:space="0" w:color="293F5B"/>
              <w:bottom w:val="single" w:sz="4" w:space="0" w:color="293F5B"/>
            </w:tcBorders>
            <w:shd w:val="clear" w:color="auto" w:fill="auto"/>
          </w:tcPr>
          <w:p w14:paraId="2AB45476" w14:textId="77777777" w:rsidR="0012790E" w:rsidRPr="001C06E6" w:rsidRDefault="0012790E">
            <w:pPr>
              <w:pStyle w:val="MeasureTableDataRightAlignedwith2ptsspacing"/>
              <w:keepNext/>
            </w:pPr>
            <w:r>
              <w:t xml:space="preserve">37.6 </w:t>
            </w:r>
          </w:p>
        </w:tc>
        <w:tc>
          <w:tcPr>
            <w:tcW w:w="1045" w:type="dxa"/>
            <w:tcBorders>
              <w:top w:val="single" w:sz="4" w:space="0" w:color="293F5B"/>
              <w:bottom w:val="single" w:sz="4" w:space="0" w:color="293F5B"/>
            </w:tcBorders>
            <w:shd w:val="clear" w:color="auto" w:fill="auto"/>
          </w:tcPr>
          <w:p w14:paraId="6318F8C6" w14:textId="77777777" w:rsidR="0012790E" w:rsidRPr="001C06E6" w:rsidRDefault="0012790E">
            <w:pPr>
              <w:pStyle w:val="MeasureTableDataRightAlignedwith2ptsspacing"/>
              <w:keepNext/>
            </w:pPr>
            <w:r>
              <w:t xml:space="preserve">7.3 </w:t>
            </w:r>
          </w:p>
        </w:tc>
      </w:tr>
      <w:tr w:rsidR="0012790E" w:rsidRPr="001C06E6" w14:paraId="68EAB408" w14:textId="77777777">
        <w:tc>
          <w:tcPr>
            <w:tcW w:w="2497" w:type="dxa"/>
            <w:tcBorders>
              <w:top w:val="single" w:sz="4" w:space="0" w:color="293F5B"/>
              <w:bottom w:val="single" w:sz="4" w:space="0" w:color="293F5B"/>
            </w:tcBorders>
            <w:shd w:val="clear" w:color="auto" w:fill="auto"/>
          </w:tcPr>
          <w:p w14:paraId="11C22113"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F7B8D33" w14:textId="77777777" w:rsidR="0012790E" w:rsidRPr="001C06E6" w:rsidRDefault="0012790E">
            <w:pPr>
              <w:pStyle w:val="Totaldatarowrightaligned"/>
              <w:keepNext/>
            </w:pPr>
            <w:r w:rsidRPr="001C06E6">
              <w:t>-15.8</w:t>
            </w:r>
          </w:p>
        </w:tc>
        <w:tc>
          <w:tcPr>
            <w:tcW w:w="1045" w:type="dxa"/>
            <w:tcBorders>
              <w:top w:val="single" w:sz="4" w:space="0" w:color="293F5B"/>
              <w:bottom w:val="single" w:sz="4" w:space="0" w:color="293F5B"/>
            </w:tcBorders>
            <w:shd w:val="clear" w:color="auto" w:fill="auto"/>
          </w:tcPr>
          <w:p w14:paraId="21E4B951" w14:textId="77777777" w:rsidR="0012790E" w:rsidRPr="001C06E6" w:rsidRDefault="0012790E">
            <w:pPr>
              <w:pStyle w:val="Totaldatarowrightaligned"/>
              <w:keepNext/>
            </w:pPr>
            <w:r w:rsidRPr="001C06E6">
              <w:t>1,467.9</w:t>
            </w:r>
          </w:p>
        </w:tc>
        <w:tc>
          <w:tcPr>
            <w:tcW w:w="1045" w:type="dxa"/>
            <w:tcBorders>
              <w:top w:val="single" w:sz="4" w:space="0" w:color="293F5B"/>
              <w:bottom w:val="single" w:sz="4" w:space="0" w:color="293F5B"/>
            </w:tcBorders>
            <w:shd w:val="clear" w:color="auto" w:fill="auto"/>
          </w:tcPr>
          <w:p w14:paraId="5EA61F75" w14:textId="77777777" w:rsidR="0012790E" w:rsidRPr="001C06E6" w:rsidRDefault="0012790E">
            <w:pPr>
              <w:pStyle w:val="Totaldatarowrightaligned"/>
              <w:keepNext/>
            </w:pPr>
            <w:r w:rsidRPr="001C06E6">
              <w:t>655.9</w:t>
            </w:r>
          </w:p>
        </w:tc>
        <w:tc>
          <w:tcPr>
            <w:tcW w:w="1045" w:type="dxa"/>
            <w:tcBorders>
              <w:top w:val="single" w:sz="4" w:space="0" w:color="293F5B"/>
              <w:bottom w:val="single" w:sz="4" w:space="0" w:color="293F5B"/>
            </w:tcBorders>
            <w:shd w:val="clear" w:color="auto" w:fill="auto"/>
          </w:tcPr>
          <w:p w14:paraId="2611ACD6" w14:textId="77777777" w:rsidR="0012790E" w:rsidRPr="001C06E6" w:rsidRDefault="0012790E">
            <w:pPr>
              <w:pStyle w:val="Totaldatarowrightaligned"/>
              <w:keepNext/>
            </w:pPr>
            <w:r w:rsidRPr="001C06E6">
              <w:t>49.9</w:t>
            </w:r>
          </w:p>
        </w:tc>
        <w:tc>
          <w:tcPr>
            <w:tcW w:w="1045" w:type="dxa"/>
            <w:tcBorders>
              <w:top w:val="single" w:sz="4" w:space="0" w:color="293F5B"/>
              <w:bottom w:val="single" w:sz="4" w:space="0" w:color="293F5B"/>
            </w:tcBorders>
            <w:shd w:val="clear" w:color="auto" w:fill="auto"/>
          </w:tcPr>
          <w:p w14:paraId="0F2065B6" w14:textId="77777777" w:rsidR="0012790E" w:rsidRPr="001C06E6" w:rsidRDefault="0012790E">
            <w:pPr>
              <w:pStyle w:val="Totaldatarowrightaligned"/>
              <w:keepNext/>
            </w:pPr>
            <w:r w:rsidRPr="001C06E6">
              <w:t>19.4</w:t>
            </w:r>
          </w:p>
        </w:tc>
      </w:tr>
    </w:tbl>
    <w:p w14:paraId="0F098A99"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7C16D470" w14:textId="77777777" w:rsidR="0012790E" w:rsidRDefault="0012790E" w:rsidP="54937204">
      <w:pPr>
        <w:pStyle w:val="Normal2"/>
        <w:rPr>
          <w:rFonts w:cs="Book Antiqua"/>
          <w:lang w:val="en-US"/>
        </w:rPr>
      </w:pPr>
      <w:r w:rsidRPr="54937204">
        <w:rPr>
          <w:rFonts w:cs="Book Antiqua"/>
          <w:lang w:val="en-US"/>
        </w:rPr>
        <w:t>The Government will provide $2.2 billion over five years from 2023–24 to deliver key aged care reforms and to continue to implement recommendations from the Royal Commission into Aged Care Quality and Safety. Funding includes:</w:t>
      </w:r>
    </w:p>
    <w:p w14:paraId="12E0CA1F" w14:textId="77777777" w:rsidR="0012790E" w:rsidRDefault="0012790E">
      <w:pPr>
        <w:pStyle w:val="Bullet"/>
      </w:pPr>
      <w:r w:rsidRPr="001C06E6">
        <w:t xml:space="preserve">$1.2 billion over five years from </w:t>
      </w:r>
      <w:r>
        <w:t>2023–24</w:t>
      </w:r>
      <w:r w:rsidRPr="001C06E6">
        <w:t xml:space="preserve"> for sustainment of, and essential enhancements to, critical aged care digital systems so they remain legislatively compliant and contemporary and can support the introduction of the new Aged Care Act from 1</w:t>
      </w:r>
      <w:r>
        <w:t> </w:t>
      </w:r>
      <w:r w:rsidRPr="001C06E6">
        <w:t>July</w:t>
      </w:r>
      <w:r>
        <w:t> </w:t>
      </w:r>
      <w:r w:rsidRPr="001C06E6">
        <w:t>2025</w:t>
      </w:r>
      <w:r>
        <w:t xml:space="preserve"> </w:t>
      </w:r>
    </w:p>
    <w:p w14:paraId="54B6BD6F" w14:textId="77777777" w:rsidR="0012790E" w:rsidRDefault="0012790E">
      <w:pPr>
        <w:pStyle w:val="Bullet"/>
      </w:pPr>
      <w:r w:rsidRPr="001C06E6">
        <w:t>$531.4</w:t>
      </w:r>
      <w:r>
        <w:t> </w:t>
      </w:r>
      <w:r w:rsidRPr="001C06E6">
        <w:t xml:space="preserve">million in </w:t>
      </w:r>
      <w:r>
        <w:t>2024–25</w:t>
      </w:r>
      <w:r w:rsidRPr="001C06E6">
        <w:t xml:space="preserve"> to release 24,100 additional home care packages in</w:t>
      </w:r>
      <w:r>
        <w:t xml:space="preserve"> 2024–25 </w:t>
      </w:r>
    </w:p>
    <w:p w14:paraId="018E31AE" w14:textId="77777777" w:rsidR="0012790E" w:rsidRDefault="0012790E">
      <w:pPr>
        <w:pStyle w:val="Bullet"/>
      </w:pPr>
      <w:r w:rsidRPr="001C06E6">
        <w:t>$174.5</w:t>
      </w:r>
      <w:r>
        <w:t> </w:t>
      </w:r>
      <w:r w:rsidRPr="001C06E6">
        <w:t xml:space="preserve">million over two years from </w:t>
      </w:r>
      <w:r>
        <w:t>2024–25</w:t>
      </w:r>
      <w:r w:rsidRPr="001C06E6">
        <w:t xml:space="preserve"> to fund the ICT infrastructure needed to implement the new </w:t>
      </w:r>
      <w:r w:rsidRPr="001C06E6">
        <w:rPr>
          <w:i/>
          <w:iCs/>
        </w:rPr>
        <w:t>Support at Home Program</w:t>
      </w:r>
      <w:r w:rsidRPr="001C06E6">
        <w:t xml:space="preserve"> and Single Assessment System from 1</w:t>
      </w:r>
      <w:r>
        <w:t> </w:t>
      </w:r>
      <w:r w:rsidRPr="001C06E6">
        <w:t>July</w:t>
      </w:r>
      <w:r>
        <w:t> </w:t>
      </w:r>
      <w:r w:rsidRPr="001C06E6">
        <w:t>2025</w:t>
      </w:r>
      <w:r>
        <w:t xml:space="preserve"> </w:t>
      </w:r>
    </w:p>
    <w:p w14:paraId="47149855" w14:textId="77777777" w:rsidR="0012790E" w:rsidRDefault="0012790E">
      <w:pPr>
        <w:pStyle w:val="Bullet"/>
      </w:pPr>
      <w:r w:rsidRPr="001C06E6">
        <w:t>$110.9</w:t>
      </w:r>
      <w:r>
        <w:t> </w:t>
      </w:r>
      <w:r w:rsidRPr="001C06E6">
        <w:t xml:space="preserve">million over four years from </w:t>
      </w:r>
      <w:r>
        <w:t>2024–25</w:t>
      </w:r>
      <w:r w:rsidRPr="001C06E6">
        <w:t xml:space="preserve"> to increase the regulatory capability of the Aged Care Quality and Safety Commission as part of the Government’s response to the </w:t>
      </w:r>
      <w:r w:rsidRPr="001C06E6">
        <w:rPr>
          <w:i/>
          <w:iCs/>
        </w:rPr>
        <w:t>Final Report of the Capability Review of the Aged Care Quality and Safety Commission</w:t>
      </w:r>
      <w:r w:rsidRPr="001C06E6">
        <w:t>, and to implement a new aged care regulatory framework from 1</w:t>
      </w:r>
      <w:r>
        <w:t> </w:t>
      </w:r>
      <w:r w:rsidRPr="001C06E6">
        <w:t>July</w:t>
      </w:r>
      <w:r>
        <w:t> </w:t>
      </w:r>
      <w:r w:rsidRPr="001C06E6">
        <w:t>2025</w:t>
      </w:r>
      <w:r>
        <w:t xml:space="preserve"> </w:t>
      </w:r>
    </w:p>
    <w:p w14:paraId="7C24D097" w14:textId="1BCE12FC" w:rsidR="0012790E" w:rsidRDefault="0012790E">
      <w:pPr>
        <w:pStyle w:val="Bullet"/>
      </w:pPr>
      <w:r w:rsidRPr="001C06E6">
        <w:t>$65.6</w:t>
      </w:r>
      <w:r>
        <w:t> </w:t>
      </w:r>
      <w:r w:rsidRPr="001C06E6">
        <w:t xml:space="preserve">million over four years from </w:t>
      </w:r>
      <w:r>
        <w:t>202</w:t>
      </w:r>
      <w:r w:rsidR="000F1ADB">
        <w:t>4</w:t>
      </w:r>
      <w:r>
        <w:t>–2</w:t>
      </w:r>
      <w:r w:rsidR="000F1ADB">
        <w:t>5</w:t>
      </w:r>
      <w:r w:rsidRPr="001C06E6">
        <w:t xml:space="preserve"> to attract and retain aged care workers, collect more reliable data, and improve the outcomes for people receiving aged care services through existing aged care workforce programs</w:t>
      </w:r>
      <w:r>
        <w:t xml:space="preserve"> </w:t>
      </w:r>
    </w:p>
    <w:p w14:paraId="2B6322C0" w14:textId="77777777" w:rsidR="0012790E" w:rsidRDefault="0012790E">
      <w:pPr>
        <w:pStyle w:val="Bullet"/>
      </w:pPr>
      <w:r w:rsidRPr="001C06E6">
        <w:t>$37.0</w:t>
      </w:r>
      <w:r>
        <w:t> </w:t>
      </w:r>
      <w:r w:rsidRPr="001C06E6">
        <w:t xml:space="preserve">million over two years from </w:t>
      </w:r>
      <w:r>
        <w:t>2024–25</w:t>
      </w:r>
      <w:r w:rsidRPr="001C06E6">
        <w:t xml:space="preserve"> to reduce wait times for the My Aged Care Contact Centre due to increased demand and service complexity</w:t>
      </w:r>
      <w:r>
        <w:t xml:space="preserve"> </w:t>
      </w:r>
    </w:p>
    <w:p w14:paraId="1538D6D3" w14:textId="77777777" w:rsidR="0012790E" w:rsidRDefault="0012790E">
      <w:pPr>
        <w:pStyle w:val="Bullet"/>
        <w:rPr>
          <w:iCs/>
        </w:rPr>
      </w:pPr>
      <w:r w:rsidRPr="001C06E6">
        <w:t>$30.4</w:t>
      </w:r>
      <w:r>
        <w:t> </w:t>
      </w:r>
      <w:r w:rsidRPr="001C06E6">
        <w:t xml:space="preserve">million over three years from </w:t>
      </w:r>
      <w:r>
        <w:t>2024–25</w:t>
      </w:r>
      <w:r w:rsidRPr="001C06E6">
        <w:t xml:space="preserve"> to states and territories to continue to deliver the </w:t>
      </w:r>
      <w:r w:rsidRPr="001C06E6">
        <w:rPr>
          <w:i/>
          <w:iCs/>
        </w:rPr>
        <w:t>Specialist Dementia Care Program</w:t>
      </w:r>
      <w:r>
        <w:rPr>
          <w:iCs/>
        </w:rPr>
        <w:t xml:space="preserve"> </w:t>
      </w:r>
    </w:p>
    <w:p w14:paraId="40962389" w14:textId="77777777" w:rsidR="0012790E" w:rsidRDefault="0012790E">
      <w:pPr>
        <w:pStyle w:val="Bullet"/>
      </w:pPr>
      <w:r w:rsidRPr="001C06E6">
        <w:t>$21.6</w:t>
      </w:r>
      <w:r>
        <w:t> </w:t>
      </w:r>
      <w:r w:rsidRPr="001C06E6">
        <w:t xml:space="preserve">million over three years from </w:t>
      </w:r>
      <w:r>
        <w:t>2024–25</w:t>
      </w:r>
      <w:r w:rsidRPr="001C06E6">
        <w:t xml:space="preserve"> to extend the </w:t>
      </w:r>
      <w:r w:rsidRPr="001C06E6">
        <w:rPr>
          <w:i/>
          <w:iCs/>
        </w:rPr>
        <w:t>Home Care Workforce Support Program</w:t>
      </w:r>
      <w:r w:rsidRPr="001C06E6">
        <w:t xml:space="preserve"> for an additional three years to facilitate the growth of the care and support workforce in thin markets</w:t>
      </w:r>
      <w:r>
        <w:t xml:space="preserve"> </w:t>
      </w:r>
    </w:p>
    <w:p w14:paraId="5ADE122A" w14:textId="77777777" w:rsidR="0012790E" w:rsidRDefault="0012790E">
      <w:pPr>
        <w:pStyle w:val="Bullet"/>
        <w:rPr>
          <w:iCs/>
        </w:rPr>
      </w:pPr>
      <w:r w:rsidRPr="001C06E6">
        <w:t>$11.8</w:t>
      </w:r>
      <w:r>
        <w:t> </w:t>
      </w:r>
      <w:r w:rsidRPr="001C06E6">
        <w:t xml:space="preserve">million over three years from </w:t>
      </w:r>
      <w:r>
        <w:t>2023–24</w:t>
      </w:r>
      <w:r w:rsidRPr="001C06E6">
        <w:t xml:space="preserve"> to implement the new Aged Care Act, including governance activities, program management and extension of the </w:t>
      </w:r>
      <w:r w:rsidRPr="001C06E6">
        <w:rPr>
          <w:i/>
          <w:iCs/>
        </w:rPr>
        <w:t>Aged Care Approvals Round</w:t>
      </w:r>
      <w:r>
        <w:rPr>
          <w:iCs/>
        </w:rPr>
        <w:t xml:space="preserve"> </w:t>
      </w:r>
    </w:p>
    <w:p w14:paraId="146BB578" w14:textId="77777777" w:rsidR="0012790E" w:rsidRDefault="0012790E">
      <w:pPr>
        <w:pStyle w:val="Bullet"/>
      </w:pPr>
      <w:r w:rsidRPr="001C06E6">
        <w:t>$10.8</w:t>
      </w:r>
      <w:r>
        <w:t> </w:t>
      </w:r>
      <w:r w:rsidRPr="001C06E6">
        <w:t xml:space="preserve">million over two years from </w:t>
      </w:r>
      <w:r>
        <w:t>2024–25</w:t>
      </w:r>
      <w:r w:rsidRPr="001C06E6">
        <w:t xml:space="preserve"> to extend the </w:t>
      </w:r>
      <w:r w:rsidRPr="001C06E6">
        <w:rPr>
          <w:i/>
          <w:iCs/>
        </w:rPr>
        <w:t>Palliative Aged Care Outcomes Program</w:t>
      </w:r>
      <w:r w:rsidRPr="001C06E6">
        <w:t xml:space="preserve"> and the </w:t>
      </w:r>
      <w:r w:rsidRPr="001C06E6">
        <w:rPr>
          <w:i/>
          <w:iCs/>
        </w:rPr>
        <w:t>Program of Experience in the Palliative Approach</w:t>
      </w:r>
      <w:r w:rsidRPr="001C06E6">
        <w:t xml:space="preserve"> program to continue to upskill the aged care and primary care workforce to further embed palliative care capacity in the aged care workforce</w:t>
      </w:r>
      <w:r>
        <w:t xml:space="preserve"> </w:t>
      </w:r>
    </w:p>
    <w:p w14:paraId="031D78C4" w14:textId="77777777" w:rsidR="0012790E" w:rsidRDefault="0012790E">
      <w:pPr>
        <w:pStyle w:val="Bullet"/>
      </w:pPr>
      <w:r w:rsidRPr="001C06E6">
        <w:t>$7.8</w:t>
      </w:r>
      <w:r>
        <w:t> </w:t>
      </w:r>
      <w:r w:rsidRPr="001C06E6">
        <w:t xml:space="preserve">million over two years from </w:t>
      </w:r>
      <w:r>
        <w:t>2024–25</w:t>
      </w:r>
      <w:r w:rsidRPr="001C06E6">
        <w:t xml:space="preserve"> to extend funding to aged care service providers in thin markets as they transition their business operations to accommodate the new Australian National Aged Care Classification (AN</w:t>
      </w:r>
      <w:r>
        <w:noBreakHyphen/>
      </w:r>
      <w:r w:rsidRPr="001C06E6">
        <w:t>ACC) funding model</w:t>
      </w:r>
      <w:r>
        <w:t xml:space="preserve"> </w:t>
      </w:r>
    </w:p>
    <w:p w14:paraId="1CAEA536" w14:textId="77777777" w:rsidR="0012790E" w:rsidRDefault="0012790E">
      <w:pPr>
        <w:pStyle w:val="Bullet"/>
      </w:pPr>
      <w:r w:rsidRPr="001C06E6">
        <w:t>$4.1</w:t>
      </w:r>
      <w:r>
        <w:t> </w:t>
      </w:r>
      <w:r w:rsidRPr="001C06E6">
        <w:t xml:space="preserve">million over three years from </w:t>
      </w:r>
      <w:r>
        <w:t>2023–24</w:t>
      </w:r>
      <w:r w:rsidRPr="001C06E6">
        <w:t xml:space="preserve"> to undertake ICT preparation work to configure the new Basic Care Tariffs in the AN</w:t>
      </w:r>
      <w:r>
        <w:noBreakHyphen/>
      </w:r>
      <w:r w:rsidRPr="001C06E6">
        <w:t>ACC funding model</w:t>
      </w:r>
      <w:r>
        <w:t xml:space="preserve"> </w:t>
      </w:r>
    </w:p>
    <w:p w14:paraId="7304D053" w14:textId="77777777" w:rsidR="0012790E" w:rsidRDefault="0012790E">
      <w:pPr>
        <w:pStyle w:val="Bullet"/>
      </w:pPr>
      <w:r w:rsidRPr="001C06E6">
        <w:t>$1.7</w:t>
      </w:r>
      <w:r>
        <w:t> </w:t>
      </w:r>
      <w:r w:rsidRPr="001C06E6">
        <w:t xml:space="preserve">million in </w:t>
      </w:r>
      <w:r>
        <w:t>2024–25</w:t>
      </w:r>
      <w:r w:rsidRPr="001C06E6">
        <w:t xml:space="preserve"> for the Australian Dementia Network to continue preparing the health system for developments in biomarkers and disease</w:t>
      </w:r>
      <w:r>
        <w:noBreakHyphen/>
      </w:r>
      <w:r w:rsidRPr="001C06E6">
        <w:t>modifying therapies.</w:t>
      </w:r>
      <w:r>
        <w:t xml:space="preserve"> </w:t>
      </w:r>
    </w:p>
    <w:p w14:paraId="1AB8EA7A" w14:textId="77777777" w:rsidR="0012790E" w:rsidRDefault="0012790E" w:rsidP="54937204">
      <w:pPr>
        <w:pStyle w:val="Normal2"/>
        <w:rPr>
          <w:rFonts w:cs="Book Antiqua"/>
          <w:lang w:val="en-US"/>
        </w:rPr>
      </w:pPr>
      <w:r w:rsidRPr="54937204">
        <w:rPr>
          <w:rFonts w:cs="Book Antiqua"/>
          <w:lang w:val="en-US"/>
        </w:rPr>
        <w:t xml:space="preserve">The Government will also reprioritise unspent funds from the </w:t>
      </w:r>
      <w:r w:rsidRPr="54937204">
        <w:rPr>
          <w:rFonts w:cs="Book Antiqua"/>
          <w:i/>
          <w:iCs/>
          <w:lang w:val="en-US"/>
        </w:rPr>
        <w:t>Commonwealth Home Support Programme</w:t>
      </w:r>
      <w:r w:rsidRPr="54937204">
        <w:rPr>
          <w:rFonts w:cs="Book Antiqua"/>
          <w:lang w:val="en-US"/>
        </w:rPr>
        <w:t xml:space="preserve"> over five years from 2023–24 to other sub</w:t>
      </w:r>
      <w:r>
        <w:rPr>
          <w:rFonts w:cs="Book Antiqua"/>
        </w:rPr>
        <w:noBreakHyphen/>
      </w:r>
      <w:r w:rsidRPr="54937204">
        <w:rPr>
          <w:rFonts w:cs="Book Antiqua"/>
          <w:lang w:val="en-US"/>
        </w:rPr>
        <w:t xml:space="preserve">programs within aged care services. </w:t>
      </w:r>
    </w:p>
    <w:p w14:paraId="43081A92" w14:textId="77777777" w:rsidR="0012790E" w:rsidRDefault="0012790E">
      <w:pPr>
        <w:pStyle w:val="Normal2"/>
        <w:rPr>
          <w:rFonts w:cs="Book Antiqua"/>
        </w:rPr>
      </w:pPr>
      <w:r w:rsidRPr="001C06E6">
        <w:rPr>
          <w:rFonts w:cs="Book Antiqua"/>
        </w:rPr>
        <w:t>The Government has already provided partial funding for this measure.</w:t>
      </w:r>
      <w:r>
        <w:rPr>
          <w:rFonts w:cs="Book Antiqua"/>
        </w:rPr>
        <w:t xml:space="preserve"> </w:t>
      </w:r>
    </w:p>
    <w:p w14:paraId="28F01B1F" w14:textId="77777777" w:rsidR="0012790E" w:rsidRDefault="0012790E">
      <w:pPr>
        <w:pStyle w:val="Normal2"/>
        <w:rPr>
          <w:rFonts w:cs="Book Antiqua"/>
        </w:rPr>
      </w:pPr>
      <w:r w:rsidRPr="001C06E6">
        <w:rPr>
          <w:rFonts w:cs="Book Antiqua"/>
        </w:rPr>
        <w:t>The Government has also agreed to defer the commencement date of the new Aged</w:t>
      </w:r>
      <w:r>
        <w:rPr>
          <w:rFonts w:cs="Book Antiqua"/>
        </w:rPr>
        <w:t xml:space="preserve"> </w:t>
      </w:r>
      <w:r w:rsidRPr="001C06E6">
        <w:rPr>
          <w:rFonts w:cs="Book Antiqua"/>
        </w:rPr>
        <w:t>Care Act to 1</w:t>
      </w:r>
      <w:r>
        <w:rPr>
          <w:rFonts w:cs="Book Antiqua"/>
        </w:rPr>
        <w:t> </w:t>
      </w:r>
      <w:r w:rsidRPr="001C06E6">
        <w:rPr>
          <w:rFonts w:cs="Book Antiqua"/>
        </w:rPr>
        <w:t>July</w:t>
      </w:r>
      <w:r>
        <w:rPr>
          <w:rFonts w:cs="Book Antiqua"/>
        </w:rPr>
        <w:t> </w:t>
      </w:r>
      <w:r w:rsidRPr="001C06E6">
        <w:rPr>
          <w:rFonts w:cs="Book Antiqua"/>
        </w:rPr>
        <w:t>2025.</w:t>
      </w:r>
      <w:r>
        <w:rPr>
          <w:rFonts w:cs="Book Antiqua"/>
        </w:rPr>
        <w:t xml:space="preserve"> </w:t>
      </w:r>
    </w:p>
    <w:p w14:paraId="1E4D4410" w14:textId="77777777" w:rsidR="0012790E" w:rsidRPr="001C06E6" w:rsidRDefault="0012790E">
      <w:pPr>
        <w:pStyle w:val="MeasureTitle"/>
        <w:rPr>
          <w:b w:val="0"/>
          <w:bCs/>
        </w:rPr>
      </w:pPr>
      <w:r w:rsidRPr="001C06E6">
        <w:rPr>
          <w:bCs/>
        </w:rPr>
        <w:t>Improving Cancer Outcomes</w:t>
      </w:r>
    </w:p>
    <w:p w14:paraId="1538DE73"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42FB69BD" w14:textId="77777777">
        <w:tc>
          <w:tcPr>
            <w:tcW w:w="2497" w:type="dxa"/>
            <w:tcBorders>
              <w:top w:val="single" w:sz="4" w:space="0" w:color="293F5B"/>
              <w:bottom w:val="single" w:sz="4" w:space="0" w:color="293F5B"/>
            </w:tcBorders>
            <w:shd w:val="clear" w:color="auto" w:fill="auto"/>
          </w:tcPr>
          <w:p w14:paraId="41BAA3F0"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303016F0"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FECCC7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A6D559C"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F7A3416"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E2D17EC" w14:textId="77777777" w:rsidR="0012790E" w:rsidRPr="001C06E6" w:rsidRDefault="0012790E">
            <w:pPr>
              <w:pStyle w:val="MeasureTableYearHeadings"/>
              <w:keepNext/>
            </w:pPr>
            <w:r w:rsidRPr="001C06E6">
              <w:t>2027</w:t>
            </w:r>
            <w:r>
              <w:noBreakHyphen/>
            </w:r>
            <w:r w:rsidRPr="001C06E6">
              <w:t>28</w:t>
            </w:r>
          </w:p>
        </w:tc>
      </w:tr>
      <w:tr w:rsidR="0012790E" w:rsidRPr="001C06E6" w14:paraId="02EF6D61" w14:textId="77777777">
        <w:tc>
          <w:tcPr>
            <w:tcW w:w="2497" w:type="dxa"/>
            <w:tcBorders>
              <w:top w:val="single" w:sz="4" w:space="0" w:color="293F5B"/>
              <w:bottom w:val="single" w:sz="4" w:space="0" w:color="293F5B"/>
            </w:tcBorders>
            <w:shd w:val="clear" w:color="auto" w:fill="auto"/>
          </w:tcPr>
          <w:p w14:paraId="4214498F"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1F56BAE2"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D4C31F6" w14:textId="77777777" w:rsidR="0012790E" w:rsidRPr="001C06E6" w:rsidRDefault="0012790E">
            <w:pPr>
              <w:pStyle w:val="MeasureTableDataRightAlignedwith2ptsspacing"/>
              <w:keepNext/>
            </w:pPr>
            <w:r>
              <w:t xml:space="preserve">11.6 </w:t>
            </w:r>
          </w:p>
        </w:tc>
        <w:tc>
          <w:tcPr>
            <w:tcW w:w="1045" w:type="dxa"/>
            <w:tcBorders>
              <w:top w:val="single" w:sz="4" w:space="0" w:color="293F5B"/>
              <w:bottom w:val="single" w:sz="4" w:space="0" w:color="293F5B"/>
            </w:tcBorders>
            <w:shd w:val="clear" w:color="auto" w:fill="auto"/>
          </w:tcPr>
          <w:p w14:paraId="4F259D9B" w14:textId="77777777" w:rsidR="0012790E" w:rsidRPr="001C06E6" w:rsidRDefault="0012790E">
            <w:pPr>
              <w:pStyle w:val="MeasureTableDataRightAlignedwith2ptsspacing"/>
              <w:keepNext/>
            </w:pPr>
            <w:r>
              <w:t xml:space="preserve">12.7 </w:t>
            </w:r>
          </w:p>
        </w:tc>
        <w:tc>
          <w:tcPr>
            <w:tcW w:w="1045" w:type="dxa"/>
            <w:tcBorders>
              <w:top w:val="single" w:sz="4" w:space="0" w:color="293F5B"/>
              <w:bottom w:val="single" w:sz="4" w:space="0" w:color="293F5B"/>
            </w:tcBorders>
            <w:shd w:val="clear" w:color="auto" w:fill="auto"/>
          </w:tcPr>
          <w:p w14:paraId="711C2B15" w14:textId="77777777" w:rsidR="0012790E" w:rsidRPr="001C06E6" w:rsidRDefault="0012790E">
            <w:pPr>
              <w:pStyle w:val="MeasureTableDataRightAlignedwith2ptsspacing"/>
              <w:keepNext/>
            </w:pPr>
            <w:r>
              <w:t xml:space="preserve">4.5 </w:t>
            </w:r>
          </w:p>
        </w:tc>
        <w:tc>
          <w:tcPr>
            <w:tcW w:w="1045" w:type="dxa"/>
            <w:tcBorders>
              <w:top w:val="single" w:sz="4" w:space="0" w:color="293F5B"/>
              <w:bottom w:val="single" w:sz="4" w:space="0" w:color="293F5B"/>
            </w:tcBorders>
            <w:shd w:val="clear" w:color="auto" w:fill="auto"/>
          </w:tcPr>
          <w:p w14:paraId="60ADB46C" w14:textId="77777777" w:rsidR="0012790E" w:rsidRPr="001C06E6" w:rsidRDefault="0012790E">
            <w:pPr>
              <w:pStyle w:val="MeasureTableDataRightAlignedwith2ptsspacing"/>
              <w:keepNext/>
            </w:pPr>
            <w:r>
              <w:t xml:space="preserve">3.4 </w:t>
            </w:r>
          </w:p>
        </w:tc>
      </w:tr>
      <w:tr w:rsidR="0012790E" w:rsidRPr="001C06E6" w14:paraId="2DE0D6D0" w14:textId="77777777">
        <w:tc>
          <w:tcPr>
            <w:tcW w:w="2497" w:type="dxa"/>
            <w:tcBorders>
              <w:top w:val="single" w:sz="4" w:space="0" w:color="293F5B"/>
              <w:bottom w:val="single" w:sz="4" w:space="0" w:color="293F5B"/>
            </w:tcBorders>
            <w:shd w:val="clear" w:color="auto" w:fill="auto"/>
          </w:tcPr>
          <w:p w14:paraId="3643C30F"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609EDF5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9EB8CC9" w14:textId="77777777" w:rsidR="0012790E" w:rsidRPr="001C06E6" w:rsidRDefault="0012790E">
            <w:pPr>
              <w:pStyle w:val="MeasureTableDataRightAlignedwith2ptsspacing"/>
              <w:keepNext/>
            </w:pPr>
            <w:r w:rsidRPr="001C06E6">
              <w:t>9.2</w:t>
            </w:r>
          </w:p>
        </w:tc>
        <w:tc>
          <w:tcPr>
            <w:tcW w:w="1045" w:type="dxa"/>
            <w:tcBorders>
              <w:top w:val="single" w:sz="4" w:space="0" w:color="293F5B"/>
              <w:bottom w:val="single" w:sz="4" w:space="0" w:color="293F5B"/>
            </w:tcBorders>
            <w:shd w:val="clear" w:color="auto" w:fill="auto"/>
          </w:tcPr>
          <w:p w14:paraId="6C84D5FB" w14:textId="77777777" w:rsidR="0012790E" w:rsidRPr="001C06E6" w:rsidRDefault="0012790E">
            <w:pPr>
              <w:pStyle w:val="MeasureTableDataRightAlignedwith2ptsspacing"/>
              <w:keepNext/>
            </w:pPr>
            <w:r w:rsidRPr="001C06E6">
              <w:t>9.5</w:t>
            </w:r>
          </w:p>
        </w:tc>
        <w:tc>
          <w:tcPr>
            <w:tcW w:w="1045" w:type="dxa"/>
            <w:tcBorders>
              <w:top w:val="single" w:sz="4" w:space="0" w:color="293F5B"/>
              <w:bottom w:val="single" w:sz="4" w:space="0" w:color="293F5B"/>
            </w:tcBorders>
            <w:shd w:val="clear" w:color="auto" w:fill="auto"/>
          </w:tcPr>
          <w:p w14:paraId="3F11EBA7" w14:textId="77777777" w:rsidR="0012790E" w:rsidRPr="001C06E6" w:rsidRDefault="0012790E">
            <w:pPr>
              <w:pStyle w:val="MeasureTableDataRightAlignedwith2ptsspacing"/>
              <w:keepNext/>
            </w:pPr>
            <w:r w:rsidRPr="001C06E6">
              <w:t>9.9</w:t>
            </w:r>
          </w:p>
        </w:tc>
        <w:tc>
          <w:tcPr>
            <w:tcW w:w="1045" w:type="dxa"/>
            <w:tcBorders>
              <w:top w:val="single" w:sz="4" w:space="0" w:color="293F5B"/>
              <w:bottom w:val="single" w:sz="4" w:space="0" w:color="293F5B"/>
            </w:tcBorders>
            <w:shd w:val="clear" w:color="auto" w:fill="auto"/>
          </w:tcPr>
          <w:p w14:paraId="2D8A4E0B" w14:textId="77777777" w:rsidR="0012790E" w:rsidRPr="001C06E6" w:rsidRDefault="0012790E">
            <w:pPr>
              <w:pStyle w:val="MeasureTableDataRightAlignedwith2ptsspacing"/>
              <w:keepNext/>
            </w:pPr>
            <w:r w:rsidRPr="001C06E6">
              <w:t>10.2</w:t>
            </w:r>
          </w:p>
        </w:tc>
      </w:tr>
      <w:tr w:rsidR="0012790E" w:rsidRPr="001C06E6" w14:paraId="002A89F7" w14:textId="77777777">
        <w:tc>
          <w:tcPr>
            <w:tcW w:w="2497" w:type="dxa"/>
            <w:tcBorders>
              <w:top w:val="single" w:sz="4" w:space="0" w:color="293F5B"/>
              <w:bottom w:val="single" w:sz="4" w:space="0" w:color="293F5B"/>
            </w:tcBorders>
            <w:shd w:val="clear" w:color="auto" w:fill="auto"/>
          </w:tcPr>
          <w:p w14:paraId="259DA2BC"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2B78D07A"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4E2AB6A" w14:textId="77777777" w:rsidR="0012790E" w:rsidRPr="001C06E6" w:rsidRDefault="0012790E">
            <w:pPr>
              <w:pStyle w:val="Totaldatarowrightaligned"/>
              <w:keepNext/>
            </w:pPr>
            <w:r w:rsidRPr="001C06E6">
              <w:t>20.8</w:t>
            </w:r>
          </w:p>
        </w:tc>
        <w:tc>
          <w:tcPr>
            <w:tcW w:w="1045" w:type="dxa"/>
            <w:tcBorders>
              <w:top w:val="single" w:sz="4" w:space="0" w:color="293F5B"/>
              <w:bottom w:val="single" w:sz="4" w:space="0" w:color="293F5B"/>
            </w:tcBorders>
            <w:shd w:val="clear" w:color="auto" w:fill="auto"/>
          </w:tcPr>
          <w:p w14:paraId="16D6EC35" w14:textId="77777777" w:rsidR="0012790E" w:rsidRPr="001C06E6" w:rsidRDefault="0012790E">
            <w:pPr>
              <w:pStyle w:val="Totaldatarowrightaligned"/>
              <w:keepNext/>
            </w:pPr>
            <w:r w:rsidRPr="001C06E6">
              <w:t>22.3</w:t>
            </w:r>
          </w:p>
        </w:tc>
        <w:tc>
          <w:tcPr>
            <w:tcW w:w="1045" w:type="dxa"/>
            <w:tcBorders>
              <w:top w:val="single" w:sz="4" w:space="0" w:color="293F5B"/>
              <w:bottom w:val="single" w:sz="4" w:space="0" w:color="293F5B"/>
            </w:tcBorders>
            <w:shd w:val="clear" w:color="auto" w:fill="auto"/>
          </w:tcPr>
          <w:p w14:paraId="4E3079E8" w14:textId="77777777" w:rsidR="0012790E" w:rsidRPr="001C06E6" w:rsidRDefault="0012790E">
            <w:pPr>
              <w:pStyle w:val="Totaldatarowrightaligned"/>
              <w:keepNext/>
            </w:pPr>
            <w:r w:rsidRPr="001C06E6">
              <w:t>14.3</w:t>
            </w:r>
          </w:p>
        </w:tc>
        <w:tc>
          <w:tcPr>
            <w:tcW w:w="1045" w:type="dxa"/>
            <w:tcBorders>
              <w:top w:val="single" w:sz="4" w:space="0" w:color="293F5B"/>
              <w:bottom w:val="single" w:sz="4" w:space="0" w:color="293F5B"/>
            </w:tcBorders>
            <w:shd w:val="clear" w:color="auto" w:fill="auto"/>
          </w:tcPr>
          <w:p w14:paraId="34C18C27" w14:textId="77777777" w:rsidR="0012790E" w:rsidRPr="001C06E6" w:rsidRDefault="0012790E">
            <w:pPr>
              <w:pStyle w:val="Totaldatarowrightaligned"/>
              <w:keepNext/>
            </w:pPr>
            <w:r w:rsidRPr="001C06E6">
              <w:t>13.6</w:t>
            </w:r>
          </w:p>
        </w:tc>
      </w:tr>
    </w:tbl>
    <w:p w14:paraId="7AFB7B61"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1CB9305A" w14:textId="77777777" w:rsidR="0012790E" w:rsidRDefault="0012790E" w:rsidP="54937204">
      <w:pPr>
        <w:pStyle w:val="Normal2"/>
        <w:rPr>
          <w:rFonts w:cs="Book Antiqua"/>
          <w:lang w:val="en-US"/>
        </w:rPr>
      </w:pPr>
      <w:r w:rsidRPr="54937204">
        <w:rPr>
          <w:rFonts w:cs="Book Antiqua"/>
          <w:lang w:val="en-US"/>
        </w:rPr>
        <w:t xml:space="preserve">The Government will provide $71.0 million over four years from 2024–25 to continue support services, programs and research to improve cancer outcomes for Australians, in line with the </w:t>
      </w:r>
      <w:r w:rsidRPr="54937204">
        <w:rPr>
          <w:rFonts w:cs="Book Antiqua"/>
          <w:i/>
          <w:iCs/>
          <w:lang w:val="en-US"/>
        </w:rPr>
        <w:t>Australian Cancer Plan</w:t>
      </w:r>
      <w:r w:rsidRPr="54937204">
        <w:rPr>
          <w:rFonts w:cs="Book Antiqua"/>
          <w:lang w:val="en-US"/>
        </w:rPr>
        <w:t>. Funding includes:</w:t>
      </w:r>
    </w:p>
    <w:p w14:paraId="0780B528" w14:textId="77777777" w:rsidR="0012790E" w:rsidRDefault="0012790E">
      <w:pPr>
        <w:pStyle w:val="Bullet"/>
        <w:rPr>
          <w:iCs/>
        </w:rPr>
      </w:pPr>
      <w:r w:rsidRPr="001C06E6">
        <w:t>$38.8</w:t>
      </w:r>
      <w:r>
        <w:t> </w:t>
      </w:r>
      <w:r w:rsidRPr="001C06E6">
        <w:t xml:space="preserve">million over four years from </w:t>
      </w:r>
      <w:r>
        <w:t>2024–25</w:t>
      </w:r>
      <w:r w:rsidRPr="001C06E6">
        <w:t xml:space="preserve"> to the states and territories to continue the Federation Funding Agreement for the Participant Follow</w:t>
      </w:r>
      <w:r>
        <w:noBreakHyphen/>
      </w:r>
      <w:r w:rsidRPr="001C06E6">
        <w:t xml:space="preserve">up Function of the </w:t>
      </w:r>
      <w:r w:rsidRPr="001C06E6">
        <w:rPr>
          <w:i/>
          <w:iCs/>
        </w:rPr>
        <w:t>National Bowel Cancer Screening Program</w:t>
      </w:r>
      <w:r>
        <w:rPr>
          <w:iCs/>
        </w:rPr>
        <w:t xml:space="preserve"> </w:t>
      </w:r>
    </w:p>
    <w:p w14:paraId="6FB26571" w14:textId="77777777" w:rsidR="0012790E" w:rsidRDefault="0012790E">
      <w:pPr>
        <w:pStyle w:val="Bullet"/>
      </w:pPr>
      <w:r w:rsidRPr="001C06E6">
        <w:t>$15.0</w:t>
      </w:r>
      <w:r>
        <w:t> </w:t>
      </w:r>
      <w:r w:rsidRPr="001C06E6">
        <w:t xml:space="preserve">million over two years from </w:t>
      </w:r>
      <w:r>
        <w:t>2024–25</w:t>
      </w:r>
      <w:r w:rsidRPr="001C06E6">
        <w:t xml:space="preserve"> to continue the national skin cancer prevention campaign</w:t>
      </w:r>
      <w:r>
        <w:t xml:space="preserve"> </w:t>
      </w:r>
    </w:p>
    <w:p w14:paraId="29EA9CCF" w14:textId="3AD48F67" w:rsidR="0012790E" w:rsidRDefault="0012790E">
      <w:pPr>
        <w:pStyle w:val="Bullet"/>
      </w:pPr>
      <w:r w:rsidRPr="001C06E6">
        <w:t>$10.3</w:t>
      </w:r>
      <w:r>
        <w:t> </w:t>
      </w:r>
      <w:r w:rsidRPr="001C06E6">
        <w:t xml:space="preserve">million over four years from </w:t>
      </w:r>
      <w:r>
        <w:t>2024–25</w:t>
      </w:r>
      <w:r w:rsidRPr="001C06E6">
        <w:t xml:space="preserve"> to Melanoma Institute Australia to undertake targeted research into skin cancer screening and develop a roadmap for a</w:t>
      </w:r>
      <w:r w:rsidR="00EA2BDB">
        <w:t> </w:t>
      </w:r>
      <w:r w:rsidRPr="001C06E6">
        <w:t>national, targeted skin cancer screening program, in close consultation with Cancer Australia and the broader skin cancer sector</w:t>
      </w:r>
      <w:r>
        <w:t xml:space="preserve"> </w:t>
      </w:r>
    </w:p>
    <w:p w14:paraId="288E7550" w14:textId="08E55240" w:rsidR="0012790E" w:rsidRDefault="0012790E">
      <w:pPr>
        <w:pStyle w:val="Bullet"/>
      </w:pPr>
      <w:r w:rsidRPr="001C06E6">
        <w:t>$6.9</w:t>
      </w:r>
      <w:r>
        <w:t> </w:t>
      </w:r>
      <w:r w:rsidRPr="001C06E6">
        <w:t xml:space="preserve">million over four years from </w:t>
      </w:r>
      <w:r>
        <w:t>2024–25</w:t>
      </w:r>
      <w:r w:rsidRPr="001C06E6">
        <w:t xml:space="preserve"> to Canteen to continue delivery of the Youth</w:t>
      </w:r>
      <w:r w:rsidR="00EA2BDB">
        <w:t> </w:t>
      </w:r>
      <w:r w:rsidRPr="001C06E6">
        <w:t>Cancer Services program which provides in</w:t>
      </w:r>
      <w:r>
        <w:noBreakHyphen/>
      </w:r>
      <w:r w:rsidRPr="001C06E6">
        <w:t>hospital multidisciplinary cancer care tailored for adolescents and young adults, aged 15</w:t>
      </w:r>
      <w:r>
        <w:noBreakHyphen/>
      </w:r>
      <w:r w:rsidRPr="001C06E6">
        <w:t>25.</w:t>
      </w:r>
      <w:r>
        <w:t xml:space="preserve"> </w:t>
      </w:r>
    </w:p>
    <w:p w14:paraId="7C3735CE" w14:textId="77777777" w:rsidR="0012790E" w:rsidRDefault="0012790E">
      <w:pPr>
        <w:pStyle w:val="Normal2"/>
        <w:rPr>
          <w:rFonts w:cs="Book Antiqua"/>
        </w:rPr>
      </w:pPr>
      <w:r w:rsidRPr="001C06E6">
        <w:rPr>
          <w:rFonts w:cs="Book Antiqua"/>
        </w:rPr>
        <w:t>The Government has also lowered the eligibility for free bowel cancer screening from</w:t>
      </w:r>
      <w:r>
        <w:rPr>
          <w:rFonts w:cs="Book Antiqua"/>
        </w:rPr>
        <w:t xml:space="preserve"> </w:t>
      </w:r>
      <w:r w:rsidRPr="001C06E6">
        <w:rPr>
          <w:rFonts w:cs="Book Antiqua"/>
        </w:rPr>
        <w:t>age 50 to 45, so that Australians between the age of 45 and 49 can request a</w:t>
      </w:r>
      <w:r>
        <w:rPr>
          <w:rFonts w:cs="Book Antiqua"/>
        </w:rPr>
        <w:t xml:space="preserve"> </w:t>
      </w:r>
      <w:r w:rsidRPr="001C06E6">
        <w:rPr>
          <w:rFonts w:cs="Book Antiqua"/>
        </w:rPr>
        <w:t>screening kit.</w:t>
      </w:r>
      <w:r>
        <w:rPr>
          <w:rFonts w:cs="Book Antiqua"/>
        </w:rPr>
        <w:t xml:space="preserve"> </w:t>
      </w:r>
    </w:p>
    <w:p w14:paraId="6D18256E" w14:textId="77777777" w:rsidR="0012790E" w:rsidRDefault="0012790E">
      <w:pPr>
        <w:pStyle w:val="Normal2"/>
        <w:rPr>
          <w:rFonts w:cs="Book Antiqua"/>
        </w:rPr>
      </w:pPr>
      <w:r w:rsidRPr="001C06E6">
        <w:rPr>
          <w:rFonts w:cs="Book Antiqua"/>
        </w:rPr>
        <w:t>The Government has already provided partial funding for this measure.</w:t>
      </w:r>
      <w:r>
        <w:rPr>
          <w:rFonts w:cs="Book Antiqua"/>
        </w:rPr>
        <w:t xml:space="preserve"> </w:t>
      </w:r>
    </w:p>
    <w:p w14:paraId="5260E811" w14:textId="77777777" w:rsidR="0012790E" w:rsidRDefault="0012790E">
      <w:pPr>
        <w:pStyle w:val="Normal2"/>
        <w:rPr>
          <w:rFonts w:cs="Book Antiqua"/>
        </w:rPr>
      </w:pPr>
      <w:r w:rsidRPr="001C06E6">
        <w:rPr>
          <w:rFonts w:cs="Book Antiqua"/>
        </w:rPr>
        <w:t>The Treasury manages Commonwealth payments to the States and Territories.</w:t>
      </w:r>
      <w:r>
        <w:rPr>
          <w:rFonts w:cs="Book Antiqua"/>
        </w:rPr>
        <w:t xml:space="preserve"> </w:t>
      </w:r>
    </w:p>
    <w:p w14:paraId="6AB3BECC" w14:textId="77777777" w:rsidR="0012790E" w:rsidRDefault="0012790E" w:rsidP="54937204">
      <w:pPr>
        <w:pStyle w:val="Normal2"/>
        <w:rPr>
          <w:rFonts w:cs="Book Antiqua"/>
          <w:lang w:val="en-US"/>
        </w:rPr>
      </w:pPr>
      <w:r w:rsidRPr="54937204">
        <w:rPr>
          <w:rFonts w:cs="Book Antiqua"/>
          <w:lang w:val="en-US"/>
        </w:rPr>
        <w:t xml:space="preserve">This measure builds on the 2023–24 MYEFO measures titled </w:t>
      </w:r>
      <w:r w:rsidRPr="54937204">
        <w:rPr>
          <w:rFonts w:cs="Book Antiqua"/>
          <w:i/>
          <w:iCs/>
          <w:lang w:val="en-US"/>
        </w:rPr>
        <w:t>Improving Cancer Outcomes – cancer care nursing and navigation</w:t>
      </w:r>
      <w:r w:rsidRPr="54937204">
        <w:rPr>
          <w:rFonts w:cs="Book Antiqua"/>
          <w:lang w:val="en-US"/>
        </w:rPr>
        <w:t xml:space="preserve"> and </w:t>
      </w:r>
      <w:r w:rsidRPr="54937204">
        <w:rPr>
          <w:rFonts w:cs="Book Antiqua"/>
          <w:i/>
          <w:iCs/>
          <w:lang w:val="en-US"/>
        </w:rPr>
        <w:t>Improving Cancer Outcomes – eliminating cervical cancer in Australia</w:t>
      </w:r>
      <w:r w:rsidRPr="54937204">
        <w:rPr>
          <w:rFonts w:cs="Book Antiqua"/>
          <w:lang w:val="en-US"/>
        </w:rPr>
        <w:t xml:space="preserve">. </w:t>
      </w:r>
    </w:p>
    <w:p w14:paraId="0CAB8429" w14:textId="77777777" w:rsidR="0012790E" w:rsidRPr="001C06E6" w:rsidRDefault="0012790E">
      <w:pPr>
        <w:pStyle w:val="MeasureTitle"/>
        <w:rPr>
          <w:b w:val="0"/>
          <w:bCs/>
        </w:rPr>
      </w:pPr>
      <w:r w:rsidRPr="001C06E6">
        <w:rPr>
          <w:bCs/>
        </w:rPr>
        <w:t>Management of Torres Strait and Papua New Guinea Cross Border Health</w:t>
      </w:r>
      <w:r>
        <w:rPr>
          <w:bCs/>
        </w:rPr>
        <w:t xml:space="preserve"> </w:t>
      </w:r>
      <w:r w:rsidRPr="001C06E6">
        <w:rPr>
          <w:bCs/>
        </w:rPr>
        <w:t>Issues</w:t>
      </w:r>
    </w:p>
    <w:p w14:paraId="2AF9C986"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F443787" w14:textId="77777777">
        <w:tc>
          <w:tcPr>
            <w:tcW w:w="2497" w:type="dxa"/>
            <w:tcBorders>
              <w:top w:val="single" w:sz="4" w:space="0" w:color="293F5B"/>
              <w:bottom w:val="single" w:sz="4" w:space="0" w:color="293F5B"/>
            </w:tcBorders>
            <w:shd w:val="clear" w:color="auto" w:fill="auto"/>
          </w:tcPr>
          <w:p w14:paraId="4BB4EF19"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7456E9E"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DB189C0"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EFE6962"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11DBE40"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D187B6F" w14:textId="77777777" w:rsidR="0012790E" w:rsidRPr="001C06E6" w:rsidRDefault="0012790E">
            <w:pPr>
              <w:pStyle w:val="MeasureTableYearHeadings"/>
              <w:keepNext/>
            </w:pPr>
            <w:r w:rsidRPr="001C06E6">
              <w:t>2027</w:t>
            </w:r>
            <w:r>
              <w:noBreakHyphen/>
            </w:r>
            <w:r w:rsidRPr="001C06E6">
              <w:t>28</w:t>
            </w:r>
          </w:p>
        </w:tc>
      </w:tr>
      <w:tr w:rsidR="0012790E" w:rsidRPr="001C06E6" w14:paraId="494B9AD4" w14:textId="77777777">
        <w:tc>
          <w:tcPr>
            <w:tcW w:w="2497" w:type="dxa"/>
            <w:tcBorders>
              <w:top w:val="single" w:sz="4" w:space="0" w:color="293F5B"/>
              <w:bottom w:val="single" w:sz="4" w:space="0" w:color="293F5B"/>
            </w:tcBorders>
            <w:shd w:val="clear" w:color="auto" w:fill="auto"/>
          </w:tcPr>
          <w:p w14:paraId="37130697"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6FF0B2C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00894E2" w14:textId="77777777" w:rsidR="0012790E" w:rsidRPr="001C06E6" w:rsidRDefault="0012790E">
            <w:pPr>
              <w:pStyle w:val="MeasureTableDataRightAlignedwith2ptsspacing"/>
              <w:keepNext/>
            </w:pPr>
            <w:r w:rsidRPr="001C06E6">
              <w:t>7.7</w:t>
            </w:r>
          </w:p>
        </w:tc>
        <w:tc>
          <w:tcPr>
            <w:tcW w:w="1045" w:type="dxa"/>
            <w:tcBorders>
              <w:top w:val="single" w:sz="4" w:space="0" w:color="293F5B"/>
              <w:bottom w:val="single" w:sz="4" w:space="0" w:color="293F5B"/>
            </w:tcBorders>
            <w:shd w:val="clear" w:color="auto" w:fill="auto"/>
          </w:tcPr>
          <w:p w14:paraId="644441F2" w14:textId="77777777" w:rsidR="0012790E" w:rsidRPr="001C06E6" w:rsidRDefault="0012790E">
            <w:pPr>
              <w:pStyle w:val="MeasureTableDataRightAlignedwith2ptsspacing"/>
              <w:keepNext/>
            </w:pPr>
            <w:r w:rsidRPr="001C06E6">
              <w:t>7.8</w:t>
            </w:r>
          </w:p>
        </w:tc>
        <w:tc>
          <w:tcPr>
            <w:tcW w:w="1045" w:type="dxa"/>
            <w:tcBorders>
              <w:top w:val="single" w:sz="4" w:space="0" w:color="293F5B"/>
              <w:bottom w:val="single" w:sz="4" w:space="0" w:color="293F5B"/>
            </w:tcBorders>
            <w:shd w:val="clear" w:color="auto" w:fill="auto"/>
          </w:tcPr>
          <w:p w14:paraId="29A2C253" w14:textId="77777777" w:rsidR="0012790E" w:rsidRPr="001C06E6" w:rsidRDefault="0012790E">
            <w:pPr>
              <w:pStyle w:val="MeasureTableDataRightAlignedwith2ptsspacing"/>
              <w:keepNext/>
            </w:pPr>
            <w:r w:rsidRPr="001C06E6">
              <w:t>7.9</w:t>
            </w:r>
          </w:p>
        </w:tc>
        <w:tc>
          <w:tcPr>
            <w:tcW w:w="1045" w:type="dxa"/>
            <w:tcBorders>
              <w:top w:val="single" w:sz="4" w:space="0" w:color="293F5B"/>
              <w:bottom w:val="single" w:sz="4" w:space="0" w:color="293F5B"/>
            </w:tcBorders>
            <w:shd w:val="clear" w:color="auto" w:fill="auto"/>
          </w:tcPr>
          <w:p w14:paraId="6405B05C" w14:textId="77777777" w:rsidR="0012790E" w:rsidRPr="001C06E6" w:rsidRDefault="0012790E">
            <w:pPr>
              <w:pStyle w:val="MeasureTableDataRightAlignedwith2ptsspacing"/>
              <w:keepNext/>
            </w:pPr>
            <w:r w:rsidRPr="001C06E6">
              <w:t>8.0</w:t>
            </w:r>
          </w:p>
        </w:tc>
      </w:tr>
      <w:tr w:rsidR="0012790E" w:rsidRPr="001C06E6" w14:paraId="3685D6E0" w14:textId="77777777">
        <w:tc>
          <w:tcPr>
            <w:tcW w:w="2497" w:type="dxa"/>
            <w:tcBorders>
              <w:top w:val="single" w:sz="4" w:space="0" w:color="293F5B"/>
              <w:bottom w:val="single" w:sz="4" w:space="0" w:color="293F5B"/>
            </w:tcBorders>
            <w:shd w:val="clear" w:color="auto" w:fill="auto"/>
          </w:tcPr>
          <w:p w14:paraId="747F95F2"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5DA86A6F"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108188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EA2356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FE7B75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77249CC" w14:textId="77777777" w:rsidR="0012790E" w:rsidRPr="001C06E6" w:rsidRDefault="0012790E">
            <w:pPr>
              <w:pStyle w:val="MeasureTableDataRightAlignedwith2ptsspacing"/>
              <w:keepNext/>
            </w:pPr>
            <w:r>
              <w:t xml:space="preserve">- </w:t>
            </w:r>
          </w:p>
        </w:tc>
      </w:tr>
      <w:tr w:rsidR="0012790E" w:rsidRPr="001C06E6" w14:paraId="0378DD1A" w14:textId="77777777">
        <w:tc>
          <w:tcPr>
            <w:tcW w:w="2497" w:type="dxa"/>
            <w:tcBorders>
              <w:top w:val="single" w:sz="4" w:space="0" w:color="293F5B"/>
              <w:bottom w:val="single" w:sz="4" w:space="0" w:color="293F5B"/>
            </w:tcBorders>
            <w:shd w:val="clear" w:color="auto" w:fill="auto"/>
          </w:tcPr>
          <w:p w14:paraId="479118F4"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247730B8"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0B94C1C9" w14:textId="77777777" w:rsidR="0012790E" w:rsidRPr="001C06E6" w:rsidRDefault="0012790E">
            <w:pPr>
              <w:pStyle w:val="Totaldatarowrightaligned"/>
              <w:keepNext/>
            </w:pPr>
            <w:r w:rsidRPr="001C06E6">
              <w:t>7.7</w:t>
            </w:r>
          </w:p>
        </w:tc>
        <w:tc>
          <w:tcPr>
            <w:tcW w:w="1045" w:type="dxa"/>
            <w:tcBorders>
              <w:top w:val="single" w:sz="4" w:space="0" w:color="293F5B"/>
              <w:bottom w:val="single" w:sz="4" w:space="0" w:color="293F5B"/>
            </w:tcBorders>
            <w:shd w:val="clear" w:color="auto" w:fill="auto"/>
          </w:tcPr>
          <w:p w14:paraId="64DB05AC" w14:textId="77777777" w:rsidR="0012790E" w:rsidRPr="001C06E6" w:rsidRDefault="0012790E">
            <w:pPr>
              <w:pStyle w:val="Totaldatarowrightaligned"/>
              <w:keepNext/>
            </w:pPr>
            <w:r w:rsidRPr="001C06E6">
              <w:t>7.8</w:t>
            </w:r>
          </w:p>
        </w:tc>
        <w:tc>
          <w:tcPr>
            <w:tcW w:w="1045" w:type="dxa"/>
            <w:tcBorders>
              <w:top w:val="single" w:sz="4" w:space="0" w:color="293F5B"/>
              <w:bottom w:val="single" w:sz="4" w:space="0" w:color="293F5B"/>
            </w:tcBorders>
            <w:shd w:val="clear" w:color="auto" w:fill="auto"/>
          </w:tcPr>
          <w:p w14:paraId="41758687" w14:textId="77777777" w:rsidR="0012790E" w:rsidRPr="001C06E6" w:rsidRDefault="0012790E">
            <w:pPr>
              <w:pStyle w:val="Totaldatarowrightaligned"/>
              <w:keepNext/>
            </w:pPr>
            <w:r w:rsidRPr="001C06E6">
              <w:t>7.9</w:t>
            </w:r>
          </w:p>
        </w:tc>
        <w:tc>
          <w:tcPr>
            <w:tcW w:w="1045" w:type="dxa"/>
            <w:tcBorders>
              <w:top w:val="single" w:sz="4" w:space="0" w:color="293F5B"/>
              <w:bottom w:val="single" w:sz="4" w:space="0" w:color="293F5B"/>
            </w:tcBorders>
            <w:shd w:val="clear" w:color="auto" w:fill="auto"/>
          </w:tcPr>
          <w:p w14:paraId="54B6CA39" w14:textId="77777777" w:rsidR="0012790E" w:rsidRPr="001C06E6" w:rsidRDefault="0012790E">
            <w:pPr>
              <w:pStyle w:val="Totaldatarowrightaligned"/>
              <w:keepNext/>
            </w:pPr>
            <w:r w:rsidRPr="001C06E6">
              <w:t>8.0</w:t>
            </w:r>
          </w:p>
        </w:tc>
      </w:tr>
    </w:tbl>
    <w:p w14:paraId="4EC6F39B"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417C4DE3" w14:textId="77777777" w:rsidR="0012790E" w:rsidRDefault="0012790E">
      <w:pPr>
        <w:pStyle w:val="Normal2"/>
        <w:rPr>
          <w:rFonts w:cs="Book Antiqua"/>
        </w:rPr>
      </w:pPr>
      <w:r w:rsidRPr="001C06E6">
        <w:rPr>
          <w:rFonts w:cs="Book Antiqua"/>
        </w:rPr>
        <w:t>The Government will provide $31.4</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to continue</w:t>
      </w:r>
      <w:r>
        <w:rPr>
          <w:rFonts w:cs="Book Antiqua"/>
        </w:rPr>
        <w:t xml:space="preserve"> </w:t>
      </w:r>
      <w:r w:rsidRPr="001C06E6">
        <w:rPr>
          <w:rFonts w:cs="Book Antiqua"/>
        </w:rPr>
        <w:t>programs to prevent, protect and control communicable diseases in the Torres Strait</w:t>
      </w:r>
      <w:r>
        <w:rPr>
          <w:rFonts w:cs="Book Antiqua"/>
        </w:rPr>
        <w:t xml:space="preserve"> </w:t>
      </w:r>
      <w:r w:rsidRPr="001C06E6">
        <w:rPr>
          <w:rFonts w:cs="Book Antiqua"/>
        </w:rPr>
        <w:t>Islands and Far North Queensland. Funding includes:</w:t>
      </w:r>
    </w:p>
    <w:p w14:paraId="58C4C95E" w14:textId="77777777" w:rsidR="0012790E" w:rsidRDefault="0012790E">
      <w:pPr>
        <w:pStyle w:val="Bullet"/>
      </w:pPr>
      <w:r w:rsidRPr="001C06E6">
        <w:t>$23.1</w:t>
      </w:r>
      <w:r>
        <w:t> </w:t>
      </w:r>
      <w:r w:rsidRPr="001C06E6">
        <w:t xml:space="preserve">million over four years from </w:t>
      </w:r>
      <w:r>
        <w:t>2024–25</w:t>
      </w:r>
      <w:r w:rsidRPr="001C06E6">
        <w:t xml:space="preserve"> to continue funding health facilities in the Torres Strait and the broader Queensland health system to provide health services to Papua New Guinea nationals who travel through the Torres Strait Protected Zone</w:t>
      </w:r>
      <w:r>
        <w:t xml:space="preserve"> </w:t>
      </w:r>
    </w:p>
    <w:p w14:paraId="106DF511" w14:textId="77777777" w:rsidR="0012790E" w:rsidRDefault="0012790E">
      <w:pPr>
        <w:pStyle w:val="Bullet"/>
      </w:pPr>
      <w:r w:rsidRPr="001C06E6">
        <w:t>$4.5</w:t>
      </w:r>
      <w:r>
        <w:t> </w:t>
      </w:r>
      <w:r w:rsidRPr="001C06E6">
        <w:t xml:space="preserve">million over four years from </w:t>
      </w:r>
      <w:r>
        <w:t>2024–25</w:t>
      </w:r>
      <w:r w:rsidRPr="001C06E6">
        <w:t xml:space="preserve"> to continue funding for primary healthcare staff and healthcare workers to reduce the risks and prevalence of communicable diseases, blood borne viruses and sexually transmissible infections in the Torres Strait region</w:t>
      </w:r>
      <w:r>
        <w:t xml:space="preserve"> </w:t>
      </w:r>
    </w:p>
    <w:p w14:paraId="655F3F73" w14:textId="77777777" w:rsidR="0012790E" w:rsidRDefault="0012790E">
      <w:pPr>
        <w:pStyle w:val="Bullet"/>
      </w:pPr>
      <w:r w:rsidRPr="001C06E6">
        <w:t>$3.8</w:t>
      </w:r>
      <w:r>
        <w:t> </w:t>
      </w:r>
      <w:r w:rsidRPr="001C06E6">
        <w:t xml:space="preserve">million over four years from </w:t>
      </w:r>
      <w:r>
        <w:t>2024–25</w:t>
      </w:r>
      <w:r w:rsidRPr="001C06E6">
        <w:t xml:space="preserve"> to continue funding for exotic mosquito control and prevention activities in the Torres Strait Protected Zone and awareness of associated mosquito</w:t>
      </w:r>
      <w:r>
        <w:noBreakHyphen/>
      </w:r>
      <w:r w:rsidRPr="001C06E6">
        <w:t>borne diseases.</w:t>
      </w:r>
      <w:r>
        <w:t xml:space="preserve"> </w:t>
      </w:r>
    </w:p>
    <w:p w14:paraId="12121A6A" w14:textId="77777777" w:rsidR="0012790E" w:rsidRDefault="0012790E">
      <w:pPr>
        <w:pStyle w:val="Normal2"/>
        <w:rPr>
          <w:rFonts w:cs="Book Antiqua"/>
        </w:rPr>
      </w:pPr>
      <w:r w:rsidRPr="001C06E6">
        <w:rPr>
          <w:rFonts w:cs="Book Antiqua"/>
        </w:rPr>
        <w:t>The Government has already provided partial funding for this measure.</w:t>
      </w:r>
      <w:r>
        <w:rPr>
          <w:rFonts w:cs="Book Antiqua"/>
        </w:rPr>
        <w:t xml:space="preserve"> </w:t>
      </w:r>
    </w:p>
    <w:p w14:paraId="5B8BFCBE" w14:textId="77777777" w:rsidR="0012790E" w:rsidRDefault="0012790E">
      <w:pPr>
        <w:pStyle w:val="Normal2"/>
        <w:rPr>
          <w:rFonts w:cs="Book Antiqua"/>
        </w:rPr>
      </w:pPr>
      <w:r w:rsidRPr="001C06E6">
        <w:rPr>
          <w:rFonts w:cs="Book Antiqua"/>
        </w:rPr>
        <w:t>The Treasury manages Commonwealth payments to the states and territories.</w:t>
      </w:r>
      <w:r>
        <w:rPr>
          <w:rFonts w:cs="Book Antiqua"/>
        </w:rPr>
        <w:t xml:space="preserve"> </w:t>
      </w:r>
    </w:p>
    <w:p w14:paraId="246BF39F" w14:textId="77777777" w:rsidR="0012790E" w:rsidRPr="001C06E6" w:rsidRDefault="0012790E">
      <w:pPr>
        <w:pStyle w:val="MeasureTitle"/>
        <w:rPr>
          <w:b w:val="0"/>
          <w:bCs/>
        </w:rPr>
      </w:pPr>
      <w:r w:rsidRPr="001C06E6">
        <w:rPr>
          <w:bCs/>
        </w:rPr>
        <w:t>Medical Research</w:t>
      </w:r>
    </w:p>
    <w:p w14:paraId="5C6DD222"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C799CDF" w14:textId="77777777">
        <w:tc>
          <w:tcPr>
            <w:tcW w:w="2497" w:type="dxa"/>
            <w:tcBorders>
              <w:top w:val="single" w:sz="4" w:space="0" w:color="293F5B"/>
              <w:bottom w:val="single" w:sz="4" w:space="0" w:color="293F5B"/>
            </w:tcBorders>
            <w:shd w:val="clear" w:color="auto" w:fill="auto"/>
          </w:tcPr>
          <w:p w14:paraId="7C23451B"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01F0615"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1393568"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AC2D8A2"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5FFD9072"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D9B5E33" w14:textId="77777777" w:rsidR="0012790E" w:rsidRPr="001C06E6" w:rsidRDefault="0012790E">
            <w:pPr>
              <w:pStyle w:val="MeasureTableYearHeadings"/>
              <w:keepNext/>
            </w:pPr>
            <w:r w:rsidRPr="001C06E6">
              <w:t>2027</w:t>
            </w:r>
            <w:r>
              <w:noBreakHyphen/>
            </w:r>
            <w:r w:rsidRPr="001C06E6">
              <w:t>28</w:t>
            </w:r>
          </w:p>
        </w:tc>
      </w:tr>
      <w:tr w:rsidR="0012790E" w:rsidRPr="001C06E6" w14:paraId="4550A4B2" w14:textId="77777777">
        <w:tc>
          <w:tcPr>
            <w:tcW w:w="2497" w:type="dxa"/>
            <w:tcBorders>
              <w:top w:val="single" w:sz="4" w:space="0" w:color="293F5B"/>
              <w:bottom w:val="single" w:sz="4" w:space="0" w:color="293F5B"/>
            </w:tcBorders>
            <w:shd w:val="clear" w:color="auto" w:fill="auto"/>
          </w:tcPr>
          <w:p w14:paraId="108408C2"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3450A3C3"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4A74CE7" w14:textId="77777777" w:rsidR="0012790E" w:rsidRPr="001C06E6" w:rsidRDefault="0012790E">
            <w:pPr>
              <w:pStyle w:val="MeasureTableDataRightAlignedwith2ptsspacing"/>
              <w:keepNext/>
            </w:pPr>
            <w:r>
              <w:t xml:space="preserve">18.0 </w:t>
            </w:r>
          </w:p>
        </w:tc>
        <w:tc>
          <w:tcPr>
            <w:tcW w:w="1045" w:type="dxa"/>
            <w:tcBorders>
              <w:top w:val="single" w:sz="4" w:space="0" w:color="293F5B"/>
              <w:bottom w:val="single" w:sz="4" w:space="0" w:color="293F5B"/>
            </w:tcBorders>
            <w:shd w:val="clear" w:color="auto" w:fill="auto"/>
          </w:tcPr>
          <w:p w14:paraId="713E0452" w14:textId="77777777" w:rsidR="0012790E" w:rsidRPr="001C06E6" w:rsidRDefault="0012790E">
            <w:pPr>
              <w:pStyle w:val="MeasureTableDataRightAlignedwith2ptsspacing"/>
              <w:keepNext/>
            </w:pPr>
            <w:r>
              <w:t xml:space="preserve">0.8 </w:t>
            </w:r>
          </w:p>
        </w:tc>
        <w:tc>
          <w:tcPr>
            <w:tcW w:w="1045" w:type="dxa"/>
            <w:tcBorders>
              <w:top w:val="single" w:sz="4" w:space="0" w:color="293F5B"/>
              <w:bottom w:val="single" w:sz="4" w:space="0" w:color="293F5B"/>
            </w:tcBorders>
            <w:shd w:val="clear" w:color="auto" w:fill="auto"/>
          </w:tcPr>
          <w:p w14:paraId="7338A5C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F3D14B7" w14:textId="77777777" w:rsidR="0012790E" w:rsidRPr="001C06E6" w:rsidRDefault="0012790E">
            <w:pPr>
              <w:pStyle w:val="MeasureTableDataRightAlignedwith2ptsspacing"/>
              <w:keepNext/>
            </w:pPr>
            <w:r>
              <w:t xml:space="preserve">- </w:t>
            </w:r>
          </w:p>
        </w:tc>
      </w:tr>
    </w:tbl>
    <w:p w14:paraId="41CB0FF0" w14:textId="77777777" w:rsidR="0012790E" w:rsidRPr="001C06E6" w:rsidRDefault="0012790E">
      <w:pPr>
        <w:keepNext/>
        <w:widowControl w:val="0"/>
        <w:spacing w:line="184" w:lineRule="exact"/>
        <w:rPr>
          <w:color w:val="000000"/>
          <w:sz w:val="16"/>
          <w:szCs w:val="16"/>
          <w:lang w:val="en-AU"/>
        </w:rPr>
      </w:pPr>
    </w:p>
    <w:p w14:paraId="262F4AC6" w14:textId="77777777" w:rsidR="0012790E" w:rsidRDefault="0012790E" w:rsidP="54937204">
      <w:pPr>
        <w:pStyle w:val="Normal2"/>
        <w:rPr>
          <w:rFonts w:cs="Book Antiqua"/>
          <w:lang w:val="en-US"/>
        </w:rPr>
      </w:pPr>
      <w:r w:rsidRPr="54937204">
        <w:rPr>
          <w:rFonts w:cs="Book Antiqua"/>
          <w:lang w:val="en-US"/>
        </w:rPr>
        <w:t>The Government has committed an additional $1.4 billion over 13 years from 2024–25 through the Medical Research Future Fund (MRFF) to continue to invest in life</w:t>
      </w:r>
      <w:r>
        <w:rPr>
          <w:rFonts w:cs="Book Antiqua"/>
        </w:rPr>
        <w:noBreakHyphen/>
      </w:r>
      <w:r w:rsidRPr="54937204">
        <w:rPr>
          <w:rFonts w:cs="Book Antiqua"/>
          <w:lang w:val="en-US"/>
        </w:rPr>
        <w:t>saving medical research in Australia, for a total commitment through the MRFF of $6.4 billion over 13 years in research funding across the following themes:</w:t>
      </w:r>
    </w:p>
    <w:p w14:paraId="7F544692" w14:textId="77777777" w:rsidR="0012790E" w:rsidRDefault="0012790E">
      <w:pPr>
        <w:pStyle w:val="Bullet"/>
      </w:pPr>
      <w:r w:rsidRPr="001C06E6">
        <w:t>an additional $377.5</w:t>
      </w:r>
      <w:r>
        <w:t> </w:t>
      </w:r>
      <w:r w:rsidRPr="001C06E6">
        <w:t>million (for a total contribution of $2.0 billion over 10</w:t>
      </w:r>
      <w:r>
        <w:t> </w:t>
      </w:r>
      <w:r w:rsidRPr="001C06E6">
        <w:t xml:space="preserve">years from </w:t>
      </w:r>
      <w:r>
        <w:t>2024–25</w:t>
      </w:r>
      <w:r w:rsidRPr="001C06E6">
        <w:t>) to translate research outcomes into medical practice</w:t>
      </w:r>
      <w:r>
        <w:t xml:space="preserve"> </w:t>
      </w:r>
    </w:p>
    <w:p w14:paraId="5F245B87" w14:textId="2B7759CA" w:rsidR="0012790E" w:rsidRDefault="0012790E">
      <w:pPr>
        <w:pStyle w:val="Bullet"/>
      </w:pPr>
      <w:r w:rsidRPr="001C06E6">
        <w:t>an additional $411.6</w:t>
      </w:r>
      <w:r>
        <w:t> </w:t>
      </w:r>
      <w:r w:rsidRPr="001C06E6">
        <w:t>million (for a total contribution of $1.6 billion over 13</w:t>
      </w:r>
      <w:r>
        <w:t> </w:t>
      </w:r>
      <w:r w:rsidRPr="001C06E6">
        <w:t xml:space="preserve">years from </w:t>
      </w:r>
      <w:r>
        <w:t>2024–25</w:t>
      </w:r>
      <w:r w:rsidRPr="001C06E6">
        <w:t>) to continue existing research missions and introduce two new 10</w:t>
      </w:r>
      <w:r>
        <w:noBreakHyphen/>
      </w:r>
      <w:r w:rsidRPr="001C06E6">
        <w:t>year research</w:t>
      </w:r>
      <w:r w:rsidR="00EA2BDB">
        <w:t> </w:t>
      </w:r>
      <w:r w:rsidRPr="001C06E6">
        <w:t xml:space="preserve">mission from </w:t>
      </w:r>
      <w:r>
        <w:t>2027–28</w:t>
      </w:r>
      <w:r w:rsidRPr="001C06E6">
        <w:t xml:space="preserve"> for low</w:t>
      </w:r>
      <w:r>
        <w:noBreakHyphen/>
      </w:r>
      <w:r w:rsidRPr="001C06E6">
        <w:t>survival cancers and reducing health inequities. Funding</w:t>
      </w:r>
      <w:r w:rsidR="00EA2BDB">
        <w:t> </w:t>
      </w:r>
      <w:r w:rsidRPr="001C06E6">
        <w:t>includes:</w:t>
      </w:r>
      <w:r>
        <w:t xml:space="preserve"> </w:t>
      </w:r>
    </w:p>
    <w:p w14:paraId="10D83A10" w14:textId="77777777" w:rsidR="0012790E" w:rsidRDefault="0012790E">
      <w:pPr>
        <w:pStyle w:val="Dash"/>
      </w:pPr>
      <w:r w:rsidRPr="001C06E6">
        <w:t>$306.0</w:t>
      </w:r>
      <w:r>
        <w:t> </w:t>
      </w:r>
      <w:r w:rsidRPr="001C06E6">
        <w:t xml:space="preserve">million to continue existing research missions and fund the two new missions to </w:t>
      </w:r>
      <w:r>
        <w:t xml:space="preserve">2033–34 </w:t>
      </w:r>
    </w:p>
    <w:p w14:paraId="5238407E" w14:textId="77777777" w:rsidR="0012790E" w:rsidRDefault="0012790E">
      <w:pPr>
        <w:pStyle w:val="Dash"/>
      </w:pPr>
      <w:r w:rsidRPr="001C06E6">
        <w:t>$105.6</w:t>
      </w:r>
      <w:r>
        <w:t> </w:t>
      </w:r>
      <w:r w:rsidRPr="001C06E6">
        <w:t xml:space="preserve">million over three years from </w:t>
      </w:r>
      <w:r>
        <w:t>2034–35</w:t>
      </w:r>
      <w:r w:rsidRPr="001C06E6">
        <w:t xml:space="preserve"> to continue support for the two new missions</w:t>
      </w:r>
      <w:r>
        <w:t xml:space="preserve"> </w:t>
      </w:r>
    </w:p>
    <w:p w14:paraId="530F02F4" w14:textId="77777777" w:rsidR="0012790E" w:rsidRDefault="0012790E">
      <w:pPr>
        <w:pStyle w:val="Bullet"/>
      </w:pPr>
      <w:r w:rsidRPr="001C06E6">
        <w:t>an additional $329.6</w:t>
      </w:r>
      <w:r>
        <w:t> </w:t>
      </w:r>
      <w:r w:rsidRPr="001C06E6">
        <w:t>million (for a total contribution of $1.4 billion over 10</w:t>
      </w:r>
      <w:r>
        <w:t> </w:t>
      </w:r>
      <w:r w:rsidRPr="001C06E6">
        <w:t xml:space="preserve">years from </w:t>
      </w:r>
      <w:r>
        <w:t>2024–25</w:t>
      </w:r>
      <w:r w:rsidRPr="001C06E6">
        <w:t>) for patient centred research including emerging priorities in areas such as women’s health, and supporting innovative treatments, clinical trials, and more advanced healthcare</w:t>
      </w:r>
      <w:r>
        <w:t xml:space="preserve"> </w:t>
      </w:r>
    </w:p>
    <w:p w14:paraId="01F13B0A" w14:textId="77777777" w:rsidR="0012790E" w:rsidRDefault="0012790E">
      <w:pPr>
        <w:pStyle w:val="Bullet"/>
      </w:pPr>
      <w:r w:rsidRPr="001C06E6">
        <w:t>an additional $269.6</w:t>
      </w:r>
      <w:r>
        <w:t> </w:t>
      </w:r>
      <w:r w:rsidRPr="001C06E6">
        <w:t>million (for a total contribution of $1.3 billion over 10</w:t>
      </w:r>
      <w:r>
        <w:t> </w:t>
      </w:r>
      <w:r w:rsidRPr="001C06E6">
        <w:t>years</w:t>
      </w:r>
      <w:r>
        <w:t xml:space="preserve"> </w:t>
      </w:r>
      <w:r w:rsidRPr="001C06E6">
        <w:t xml:space="preserve">from </w:t>
      </w:r>
      <w:r>
        <w:t>2024–25</w:t>
      </w:r>
      <w:r w:rsidRPr="001C06E6">
        <w:t>) for medical researchers to make breakthrough discoveries, develop their skills and progress their careers in Australia.</w:t>
      </w:r>
      <w:r>
        <w:t xml:space="preserve"> </w:t>
      </w:r>
    </w:p>
    <w:p w14:paraId="1E728D6E" w14:textId="681C41B5" w:rsidR="0012790E" w:rsidRDefault="0012790E">
      <w:pPr>
        <w:pStyle w:val="Normal2"/>
        <w:rPr>
          <w:rFonts w:cs="Book Antiqua"/>
        </w:rPr>
      </w:pPr>
      <w:r w:rsidRPr="001C06E6">
        <w:rPr>
          <w:rFonts w:cs="Book Antiqua"/>
        </w:rPr>
        <w:t>Provisions for disbursement from the MRFF have already been provided for by the</w:t>
      </w:r>
      <w:r w:rsidR="00E12869">
        <w:rPr>
          <w:rFonts w:cs="Book Antiqua"/>
        </w:rPr>
        <w:t> </w:t>
      </w:r>
      <w:r w:rsidRPr="001C06E6">
        <w:rPr>
          <w:rFonts w:cs="Book Antiqua"/>
        </w:rPr>
        <w:t>Government.</w:t>
      </w:r>
      <w:r>
        <w:rPr>
          <w:rFonts w:cs="Book Antiqua"/>
        </w:rPr>
        <w:t xml:space="preserve"> </w:t>
      </w:r>
    </w:p>
    <w:p w14:paraId="2BA8818B" w14:textId="77777777" w:rsidR="0012790E" w:rsidRDefault="0012790E" w:rsidP="54937204">
      <w:pPr>
        <w:pStyle w:val="Normal2"/>
        <w:rPr>
          <w:rFonts w:cs="Book Antiqua"/>
          <w:lang w:val="en-US"/>
        </w:rPr>
      </w:pPr>
      <w:r w:rsidRPr="54937204">
        <w:rPr>
          <w:rFonts w:cs="Book Antiqua"/>
          <w:lang w:val="en-US"/>
        </w:rPr>
        <w:t>The Government will also provide $18.8 million over two years from 2024–25 to continue the development of the National One Stop Shop for Clinical Trials and Human Research (National One Stop Shop) and support current systems. The National One Stop Shop will streamline work to manage clinical trials and human research, including management of cross</w:t>
      </w:r>
      <w:r>
        <w:rPr>
          <w:rFonts w:cs="Book Antiqua"/>
        </w:rPr>
        <w:noBreakHyphen/>
      </w:r>
      <w:r w:rsidRPr="54937204">
        <w:rPr>
          <w:rFonts w:cs="Book Antiqua"/>
          <w:lang w:val="en-US"/>
        </w:rPr>
        <w:t>jurisdictional ethics approvals. Funding includes:</w:t>
      </w:r>
    </w:p>
    <w:p w14:paraId="7A7E6E09" w14:textId="77777777" w:rsidR="0012790E" w:rsidRDefault="0012790E">
      <w:pPr>
        <w:pStyle w:val="Bullet"/>
      </w:pPr>
      <w:r w:rsidRPr="001C06E6">
        <w:t>$17.2</w:t>
      </w:r>
      <w:r>
        <w:t> </w:t>
      </w:r>
      <w:r w:rsidRPr="001C06E6">
        <w:t xml:space="preserve">million in </w:t>
      </w:r>
      <w:r>
        <w:t>2024–25</w:t>
      </w:r>
      <w:r w:rsidRPr="001C06E6">
        <w:t xml:space="preserve"> to continue the development of the National One Stop Shop for Clinical Trials and Human Research</w:t>
      </w:r>
      <w:r>
        <w:t xml:space="preserve"> </w:t>
      </w:r>
    </w:p>
    <w:p w14:paraId="5F50467B" w14:textId="77777777" w:rsidR="0012790E" w:rsidRDefault="0012790E">
      <w:pPr>
        <w:pStyle w:val="Bullet"/>
      </w:pPr>
      <w:r w:rsidRPr="001C06E6">
        <w:t>$1.6</w:t>
      </w:r>
      <w:r>
        <w:t> </w:t>
      </w:r>
      <w:r w:rsidRPr="001C06E6">
        <w:t xml:space="preserve">million over two years from </w:t>
      </w:r>
      <w:r>
        <w:t>2024–25</w:t>
      </w:r>
      <w:r w:rsidRPr="001C06E6">
        <w:t xml:space="preserve"> to continue support for the Australian New Zealand Clinical Trials Registry until this data function can be included in the National One Stop Shop.</w:t>
      </w:r>
      <w:r>
        <w:t xml:space="preserve"> </w:t>
      </w:r>
    </w:p>
    <w:p w14:paraId="25ACB63A" w14:textId="11E9B579" w:rsidR="0012790E" w:rsidRDefault="0012790E">
      <w:pPr>
        <w:pStyle w:val="Normal2"/>
        <w:rPr>
          <w:rFonts w:cs="Book Antiqua"/>
        </w:rPr>
      </w:pPr>
      <w:r w:rsidRPr="001C06E6">
        <w:rPr>
          <w:rFonts w:cs="Book Antiqua"/>
        </w:rPr>
        <w:t>The Government will also negotiate an intergovernmental agreement to support the</w:t>
      </w:r>
      <w:r>
        <w:rPr>
          <w:rFonts w:cs="Book Antiqua"/>
        </w:rPr>
        <w:t xml:space="preserve"> </w:t>
      </w:r>
      <w:r w:rsidRPr="001C06E6">
        <w:rPr>
          <w:rFonts w:cs="Book Antiqua"/>
        </w:rPr>
        <w:t>cooperative governance and development of the National One Stop Shop and</w:t>
      </w:r>
      <w:r>
        <w:rPr>
          <w:rFonts w:cs="Book Antiqua"/>
        </w:rPr>
        <w:t xml:space="preserve"> </w:t>
      </w:r>
      <w:r w:rsidRPr="001C06E6">
        <w:rPr>
          <w:rFonts w:cs="Book Antiqua"/>
        </w:rPr>
        <w:t>relevant</w:t>
      </w:r>
      <w:r w:rsidR="00E12869">
        <w:rPr>
          <w:rFonts w:cs="Book Antiqua"/>
        </w:rPr>
        <w:t> </w:t>
      </w:r>
      <w:r w:rsidRPr="001C06E6">
        <w:rPr>
          <w:rFonts w:cs="Book Antiqua"/>
        </w:rPr>
        <w:t>policies.</w:t>
      </w:r>
      <w:r>
        <w:rPr>
          <w:rFonts w:cs="Book Antiqua"/>
        </w:rPr>
        <w:t xml:space="preserve"> </w:t>
      </w:r>
    </w:p>
    <w:p w14:paraId="6DD784DE" w14:textId="77777777" w:rsidR="0012790E" w:rsidRPr="001C06E6" w:rsidRDefault="0012790E">
      <w:pPr>
        <w:pStyle w:val="MeasureTitle"/>
        <w:rPr>
          <w:b w:val="0"/>
          <w:bCs/>
        </w:rPr>
      </w:pPr>
      <w:r w:rsidRPr="001C06E6">
        <w:rPr>
          <w:bCs/>
        </w:rPr>
        <w:t>Mental Health</w:t>
      </w:r>
    </w:p>
    <w:p w14:paraId="00112287"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413AF84" w14:textId="77777777">
        <w:tc>
          <w:tcPr>
            <w:tcW w:w="2497" w:type="dxa"/>
            <w:tcBorders>
              <w:top w:val="single" w:sz="4" w:space="0" w:color="293F5B"/>
              <w:bottom w:val="single" w:sz="4" w:space="0" w:color="293F5B"/>
            </w:tcBorders>
            <w:shd w:val="clear" w:color="auto" w:fill="auto"/>
          </w:tcPr>
          <w:p w14:paraId="2C663B7C"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904BE7D"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60CC2F5"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2A03361"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6DFEC2D"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7744F51" w14:textId="77777777" w:rsidR="0012790E" w:rsidRPr="001C06E6" w:rsidRDefault="0012790E">
            <w:pPr>
              <w:pStyle w:val="MeasureTableYearHeadings"/>
              <w:keepNext/>
            </w:pPr>
            <w:r w:rsidRPr="001C06E6">
              <w:t>2027</w:t>
            </w:r>
            <w:r>
              <w:noBreakHyphen/>
            </w:r>
            <w:r w:rsidRPr="001C06E6">
              <w:t>28</w:t>
            </w:r>
          </w:p>
        </w:tc>
      </w:tr>
      <w:tr w:rsidR="00342EA4" w:rsidRPr="001C06E6" w14:paraId="6A55DDC0" w14:textId="77777777" w:rsidTr="00AC2FA9">
        <w:tc>
          <w:tcPr>
            <w:tcW w:w="2497" w:type="dxa"/>
            <w:tcBorders>
              <w:top w:val="single" w:sz="4" w:space="0" w:color="293F5B"/>
              <w:bottom w:val="single" w:sz="4" w:space="0" w:color="293F5B"/>
            </w:tcBorders>
            <w:shd w:val="clear" w:color="auto" w:fill="auto"/>
          </w:tcPr>
          <w:p w14:paraId="124133AC" w14:textId="77777777" w:rsidR="00342EA4" w:rsidRPr="001C06E6" w:rsidRDefault="00342EA4" w:rsidP="00342EA4">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6A68035B" w14:textId="77777777" w:rsidR="00342EA4" w:rsidRPr="001C06E6" w:rsidRDefault="00342EA4" w:rsidP="00342EA4">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355AAE7" w14:textId="4BBB1926" w:rsidR="00342EA4" w:rsidRPr="001C06E6" w:rsidRDefault="00342EA4" w:rsidP="00342EA4">
            <w:pPr>
              <w:pStyle w:val="MeasureTableDataRightAlignedwith2ptsspacing"/>
              <w:keepNext/>
            </w:pPr>
            <w:r w:rsidRPr="0012790E">
              <w:rPr>
                <w:szCs w:val="16"/>
              </w:rPr>
              <w:t>30.</w:t>
            </w:r>
            <w:r>
              <w:rPr>
                <w:szCs w:val="16"/>
              </w:rPr>
              <w:t>3</w:t>
            </w:r>
          </w:p>
        </w:tc>
        <w:tc>
          <w:tcPr>
            <w:tcW w:w="1045" w:type="dxa"/>
            <w:tcBorders>
              <w:top w:val="single" w:sz="4" w:space="0" w:color="293F5B"/>
              <w:bottom w:val="single" w:sz="4" w:space="0" w:color="293F5B"/>
            </w:tcBorders>
            <w:shd w:val="clear" w:color="auto" w:fill="auto"/>
          </w:tcPr>
          <w:p w14:paraId="788A2885" w14:textId="63C0AB35" w:rsidR="00342EA4" w:rsidRPr="001C06E6" w:rsidRDefault="009F48EE" w:rsidP="00342EA4">
            <w:pPr>
              <w:pStyle w:val="MeasureTableDataRightAlignedwith2ptsspacing"/>
              <w:keepNext/>
            </w:pPr>
            <w:r>
              <w:rPr>
                <w:szCs w:val="16"/>
              </w:rPr>
              <w:t>43.9</w:t>
            </w:r>
          </w:p>
        </w:tc>
        <w:tc>
          <w:tcPr>
            <w:tcW w:w="1045" w:type="dxa"/>
            <w:tcBorders>
              <w:top w:val="single" w:sz="4" w:space="0" w:color="293F5B"/>
              <w:bottom w:val="single" w:sz="4" w:space="0" w:color="293F5B"/>
            </w:tcBorders>
            <w:shd w:val="clear" w:color="auto" w:fill="auto"/>
          </w:tcPr>
          <w:p w14:paraId="674176E4" w14:textId="7174F960" w:rsidR="00342EA4" w:rsidRPr="001C06E6" w:rsidRDefault="009F48EE" w:rsidP="00342EA4">
            <w:pPr>
              <w:pStyle w:val="MeasureTableDataRightAlignedwith2ptsspacing"/>
              <w:keepNext/>
            </w:pPr>
            <w:r>
              <w:rPr>
                <w:szCs w:val="16"/>
              </w:rPr>
              <w:t>10.2</w:t>
            </w:r>
          </w:p>
        </w:tc>
        <w:tc>
          <w:tcPr>
            <w:tcW w:w="1045" w:type="dxa"/>
            <w:tcBorders>
              <w:top w:val="single" w:sz="4" w:space="0" w:color="293F5B"/>
              <w:bottom w:val="single" w:sz="4" w:space="0" w:color="293F5B"/>
            </w:tcBorders>
            <w:shd w:val="clear" w:color="auto" w:fill="auto"/>
          </w:tcPr>
          <w:p w14:paraId="557AFD57" w14:textId="2F8FD202" w:rsidR="00342EA4" w:rsidRPr="001C06E6" w:rsidRDefault="009F48EE" w:rsidP="00342EA4">
            <w:pPr>
              <w:pStyle w:val="MeasureTableDataRightAlignedwith2ptsspacing"/>
              <w:keepNext/>
            </w:pPr>
            <w:r>
              <w:rPr>
                <w:szCs w:val="16"/>
              </w:rPr>
              <w:t>15.2</w:t>
            </w:r>
          </w:p>
        </w:tc>
      </w:tr>
      <w:tr w:rsidR="0012790E" w:rsidRPr="001C06E6" w14:paraId="46827A32" w14:textId="77777777">
        <w:tc>
          <w:tcPr>
            <w:tcW w:w="2497" w:type="dxa"/>
            <w:tcBorders>
              <w:top w:val="single" w:sz="4" w:space="0" w:color="293F5B"/>
              <w:bottom w:val="single" w:sz="4" w:space="0" w:color="293F5B"/>
            </w:tcBorders>
            <w:shd w:val="clear" w:color="auto" w:fill="auto"/>
          </w:tcPr>
          <w:p w14:paraId="7B290535"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6FB9C91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565A8AA" w14:textId="77777777" w:rsidR="0012790E" w:rsidRPr="001C06E6" w:rsidRDefault="0012790E">
            <w:pPr>
              <w:pStyle w:val="MeasureTableDataRightAlignedwith2ptsspacing"/>
              <w:keepNext/>
            </w:pPr>
            <w:r w:rsidRPr="001C06E6">
              <w:t>0.7</w:t>
            </w:r>
          </w:p>
        </w:tc>
        <w:tc>
          <w:tcPr>
            <w:tcW w:w="1045" w:type="dxa"/>
            <w:tcBorders>
              <w:top w:val="single" w:sz="4" w:space="0" w:color="293F5B"/>
              <w:bottom w:val="single" w:sz="4" w:space="0" w:color="293F5B"/>
            </w:tcBorders>
            <w:shd w:val="clear" w:color="auto" w:fill="auto"/>
          </w:tcPr>
          <w:p w14:paraId="68046C14" w14:textId="77777777" w:rsidR="0012790E" w:rsidRPr="001C06E6" w:rsidRDefault="0012790E">
            <w:pPr>
              <w:pStyle w:val="MeasureTableDataRightAlignedwith2ptsspacing"/>
              <w:keepNext/>
            </w:pPr>
            <w:r w:rsidRPr="001C06E6">
              <w:t>0.9</w:t>
            </w:r>
          </w:p>
        </w:tc>
        <w:tc>
          <w:tcPr>
            <w:tcW w:w="1045" w:type="dxa"/>
            <w:tcBorders>
              <w:top w:val="single" w:sz="4" w:space="0" w:color="293F5B"/>
              <w:bottom w:val="single" w:sz="4" w:space="0" w:color="293F5B"/>
            </w:tcBorders>
            <w:shd w:val="clear" w:color="auto" w:fill="auto"/>
          </w:tcPr>
          <w:p w14:paraId="0CB331CE"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518A6CF3" w14:textId="77777777" w:rsidR="0012790E" w:rsidRPr="001C06E6" w:rsidRDefault="0012790E">
            <w:pPr>
              <w:pStyle w:val="MeasureTableDataRightAlignedwith2ptsspacing"/>
              <w:keepNext/>
            </w:pPr>
            <w:r w:rsidRPr="001C06E6">
              <w:t>-0.6</w:t>
            </w:r>
          </w:p>
        </w:tc>
      </w:tr>
      <w:tr w:rsidR="0012790E" w:rsidRPr="001C06E6" w14:paraId="1B5794F2" w14:textId="77777777">
        <w:tc>
          <w:tcPr>
            <w:tcW w:w="2497" w:type="dxa"/>
            <w:tcBorders>
              <w:top w:val="single" w:sz="4" w:space="0" w:color="293F5B"/>
              <w:bottom w:val="single" w:sz="4" w:space="0" w:color="293F5B"/>
            </w:tcBorders>
            <w:shd w:val="clear" w:color="auto" w:fill="auto"/>
          </w:tcPr>
          <w:p w14:paraId="1696BACA" w14:textId="77777777" w:rsidR="0012790E" w:rsidRPr="001C06E6" w:rsidRDefault="0012790E">
            <w:pPr>
              <w:pStyle w:val="MeasureTableHeadingleftalignedwith2ptsspacing"/>
              <w:keepNext/>
            </w:pPr>
            <w:r>
              <w:t xml:space="preserve">National Indigenous Australians Agency </w:t>
            </w:r>
          </w:p>
        </w:tc>
        <w:tc>
          <w:tcPr>
            <w:tcW w:w="1045" w:type="dxa"/>
            <w:tcBorders>
              <w:top w:val="single" w:sz="4" w:space="0" w:color="293F5B"/>
              <w:bottom w:val="single" w:sz="4" w:space="0" w:color="293F5B"/>
            </w:tcBorders>
            <w:shd w:val="clear" w:color="auto" w:fill="auto"/>
          </w:tcPr>
          <w:p w14:paraId="2F889D1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6FE6C2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988830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517F32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2D89EFA" w14:textId="77777777" w:rsidR="0012790E" w:rsidRPr="001C06E6" w:rsidRDefault="0012790E">
            <w:pPr>
              <w:pStyle w:val="MeasureTableDataRightAlignedwith2ptsspacing"/>
              <w:keepNext/>
            </w:pPr>
            <w:r>
              <w:t xml:space="preserve">- </w:t>
            </w:r>
          </w:p>
        </w:tc>
      </w:tr>
      <w:tr w:rsidR="0012790E" w:rsidRPr="001C06E6" w14:paraId="1D7258E0" w14:textId="77777777">
        <w:tc>
          <w:tcPr>
            <w:tcW w:w="2497" w:type="dxa"/>
            <w:tcBorders>
              <w:top w:val="single" w:sz="4" w:space="0" w:color="293F5B"/>
              <w:bottom w:val="single" w:sz="4" w:space="0" w:color="293F5B"/>
            </w:tcBorders>
            <w:shd w:val="clear" w:color="auto" w:fill="auto"/>
          </w:tcPr>
          <w:p w14:paraId="09F9BD44"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4CDE99C4"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12BDD9A9" w14:textId="77777777" w:rsidR="0012790E" w:rsidRPr="001C06E6" w:rsidRDefault="0012790E">
            <w:pPr>
              <w:pStyle w:val="Totaldatarowrightaligned"/>
              <w:keepNext/>
            </w:pPr>
            <w:r w:rsidRPr="001C06E6">
              <w:t>30.9</w:t>
            </w:r>
          </w:p>
        </w:tc>
        <w:tc>
          <w:tcPr>
            <w:tcW w:w="1045" w:type="dxa"/>
            <w:tcBorders>
              <w:top w:val="single" w:sz="4" w:space="0" w:color="293F5B"/>
              <w:bottom w:val="single" w:sz="4" w:space="0" w:color="293F5B"/>
            </w:tcBorders>
            <w:shd w:val="clear" w:color="auto" w:fill="auto"/>
          </w:tcPr>
          <w:p w14:paraId="1853D9A0" w14:textId="3B787390" w:rsidR="0012790E" w:rsidRPr="001C06E6" w:rsidRDefault="00886C7A">
            <w:pPr>
              <w:pStyle w:val="Totaldatarowrightaligned"/>
              <w:keepNext/>
            </w:pPr>
            <w:r>
              <w:t>44.8</w:t>
            </w:r>
          </w:p>
        </w:tc>
        <w:tc>
          <w:tcPr>
            <w:tcW w:w="1045" w:type="dxa"/>
            <w:tcBorders>
              <w:top w:val="single" w:sz="4" w:space="0" w:color="293F5B"/>
              <w:bottom w:val="single" w:sz="4" w:space="0" w:color="293F5B"/>
            </w:tcBorders>
            <w:shd w:val="clear" w:color="auto" w:fill="auto"/>
          </w:tcPr>
          <w:p w14:paraId="63D08F90" w14:textId="16F6372D" w:rsidR="0012790E" w:rsidRPr="001C06E6" w:rsidRDefault="00886C7A">
            <w:pPr>
              <w:pStyle w:val="Totaldatarowrightaligned"/>
              <w:keepNext/>
            </w:pPr>
            <w:r>
              <w:t>10.3</w:t>
            </w:r>
          </w:p>
        </w:tc>
        <w:tc>
          <w:tcPr>
            <w:tcW w:w="1045" w:type="dxa"/>
            <w:tcBorders>
              <w:top w:val="single" w:sz="4" w:space="0" w:color="293F5B"/>
              <w:bottom w:val="single" w:sz="4" w:space="0" w:color="293F5B"/>
            </w:tcBorders>
            <w:shd w:val="clear" w:color="auto" w:fill="auto"/>
          </w:tcPr>
          <w:p w14:paraId="5320693E" w14:textId="7EAF8758" w:rsidR="0012790E" w:rsidRPr="001C06E6" w:rsidRDefault="00886C7A">
            <w:pPr>
              <w:pStyle w:val="Totaldatarowrightaligned"/>
              <w:keepNext/>
            </w:pPr>
            <w:r>
              <w:t>14.6</w:t>
            </w:r>
          </w:p>
        </w:tc>
      </w:tr>
    </w:tbl>
    <w:p w14:paraId="46C84BB0"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0D0C6F44" w14:textId="77777777" w:rsidR="0012790E" w:rsidRDefault="0012790E">
      <w:pPr>
        <w:pStyle w:val="Normal2"/>
        <w:rPr>
          <w:rFonts w:cs="Book Antiqua"/>
        </w:rPr>
      </w:pPr>
      <w:r w:rsidRPr="001C06E6">
        <w:rPr>
          <w:rFonts w:cs="Book Antiqua"/>
        </w:rPr>
        <w:t>The Government will provide $888.1</w:t>
      </w:r>
      <w:r>
        <w:rPr>
          <w:rFonts w:cs="Book Antiqua"/>
        </w:rPr>
        <w:t> </w:t>
      </w:r>
      <w:r w:rsidRPr="001C06E6">
        <w:rPr>
          <w:rFonts w:cs="Book Antiqua"/>
        </w:rPr>
        <w:t>million over 8</w:t>
      </w:r>
      <w:r>
        <w:rPr>
          <w:rFonts w:cs="Book Antiqua"/>
        </w:rPr>
        <w:t> </w:t>
      </w:r>
      <w:r w:rsidRPr="001C06E6">
        <w:rPr>
          <w:rFonts w:cs="Book Antiqua"/>
        </w:rPr>
        <w:t xml:space="preserve">years from </w:t>
      </w:r>
      <w:r>
        <w:rPr>
          <w:rFonts w:cs="Book Antiqua"/>
        </w:rPr>
        <w:t>2024–25</w:t>
      </w:r>
      <w:r w:rsidRPr="001C06E6">
        <w:rPr>
          <w:rFonts w:cs="Book Antiqua"/>
        </w:rPr>
        <w:t xml:space="preserve"> (and $139.8</w:t>
      </w:r>
      <w:r>
        <w:rPr>
          <w:rFonts w:cs="Book Antiqua"/>
        </w:rPr>
        <w:t> </w:t>
      </w:r>
      <w:r w:rsidRPr="001C06E6">
        <w:rPr>
          <w:rFonts w:cs="Book Antiqua"/>
        </w:rPr>
        <w:t xml:space="preserve">million per year ongoing) to respond to the </w:t>
      </w:r>
      <w:r w:rsidRPr="001C06E6">
        <w:rPr>
          <w:rFonts w:cs="Book Antiqua"/>
          <w:i/>
          <w:iCs/>
        </w:rPr>
        <w:t>Better Access</w:t>
      </w:r>
      <w:r w:rsidRPr="001C06E6">
        <w:rPr>
          <w:rFonts w:cs="Book Antiqua"/>
        </w:rPr>
        <w:t xml:space="preserve"> evaluation and to strengthen</w:t>
      </w:r>
      <w:r>
        <w:rPr>
          <w:rFonts w:cs="Book Antiqua"/>
        </w:rPr>
        <w:t xml:space="preserve"> </w:t>
      </w:r>
      <w:r w:rsidRPr="001C06E6">
        <w:rPr>
          <w:rFonts w:cs="Book Antiqua"/>
        </w:rPr>
        <w:t>Australia’s mental health and suicide prevention system. Funding includes:</w:t>
      </w:r>
    </w:p>
    <w:p w14:paraId="31152C64" w14:textId="77777777" w:rsidR="0012790E" w:rsidRDefault="0012790E">
      <w:pPr>
        <w:pStyle w:val="Bullet"/>
      </w:pPr>
      <w:r w:rsidRPr="001C06E6">
        <w:t>$588.5</w:t>
      </w:r>
      <w:r>
        <w:t> </w:t>
      </w:r>
      <w:r w:rsidRPr="001C06E6">
        <w:t xml:space="preserve">million over eight years from </w:t>
      </w:r>
      <w:r>
        <w:t>2024–25</w:t>
      </w:r>
      <w:r w:rsidRPr="001C06E6">
        <w:t xml:space="preserve"> (and $113.4</w:t>
      </w:r>
      <w:r>
        <w:t> </w:t>
      </w:r>
      <w:r w:rsidRPr="001C06E6">
        <w:t>million per year ongoing) to establish a national low intensity digital mental health service that is free of charge and free of need for referral</w:t>
      </w:r>
      <w:r>
        <w:t xml:space="preserve"> </w:t>
      </w:r>
    </w:p>
    <w:p w14:paraId="1454C402" w14:textId="2EEF2EAE" w:rsidR="0012790E" w:rsidRDefault="0012790E">
      <w:pPr>
        <w:pStyle w:val="Bullet"/>
      </w:pPr>
      <w:r w:rsidRPr="001C06E6">
        <w:t>$71.7</w:t>
      </w:r>
      <w:r>
        <w:t> </w:t>
      </w:r>
      <w:r w:rsidRPr="001C06E6">
        <w:t xml:space="preserve">million over four years from </w:t>
      </w:r>
      <w:r>
        <w:t>2024–25</w:t>
      </w:r>
      <w:r w:rsidRPr="001C06E6">
        <w:t xml:space="preserve"> (and $</w:t>
      </w:r>
      <w:r w:rsidR="000734DE">
        <w:t>2</w:t>
      </w:r>
      <w:r w:rsidRPr="001C06E6">
        <w:t>4.4</w:t>
      </w:r>
      <w:r>
        <w:t> </w:t>
      </w:r>
      <w:r w:rsidRPr="001C06E6">
        <w:t>million per year ongoing) to provide wrap around care for people with severe and/or complex needs in primary care settings, through design and delivery of mental health multidisciplinary services</w:t>
      </w:r>
      <w:r>
        <w:t xml:space="preserve"> </w:t>
      </w:r>
    </w:p>
    <w:p w14:paraId="12F045BD" w14:textId="77777777" w:rsidR="0012790E" w:rsidRDefault="0012790E">
      <w:pPr>
        <w:pStyle w:val="Bullet"/>
      </w:pPr>
      <w:r w:rsidRPr="001C06E6">
        <w:t>$35.9</w:t>
      </w:r>
      <w:r>
        <w:t> </w:t>
      </w:r>
      <w:r w:rsidRPr="001C06E6">
        <w:t xml:space="preserve">million over four years from </w:t>
      </w:r>
      <w:r>
        <w:t>2024–25</w:t>
      </w:r>
      <w:r w:rsidRPr="001C06E6">
        <w:t xml:space="preserve"> to extend terminating mental health measures, to enhance the delivery of mental health and suicide prevention services and to provide greater funding certainty for service providers</w:t>
      </w:r>
      <w:r>
        <w:t xml:space="preserve"> </w:t>
      </w:r>
    </w:p>
    <w:p w14:paraId="1C3937EB" w14:textId="7F78E772" w:rsidR="00705EEF" w:rsidRDefault="00705EEF" w:rsidP="00705EEF">
      <w:pPr>
        <w:pStyle w:val="Bullet"/>
      </w:pPr>
      <w:r w:rsidRPr="001C06E6">
        <w:t>$</w:t>
      </w:r>
      <w:r>
        <w:t>29.9 </w:t>
      </w:r>
      <w:r w:rsidRPr="001C06E6">
        <w:t xml:space="preserve">million over four years from </w:t>
      </w:r>
      <w:r>
        <w:t>2024–25</w:t>
      </w:r>
      <w:r w:rsidRPr="001C06E6">
        <w:t xml:space="preserve"> to uplift Head to Health services to expand access to free community based mental health services for adults with moderate to severe mental health needs</w:t>
      </w:r>
      <w:r>
        <w:t xml:space="preserve"> </w:t>
      </w:r>
    </w:p>
    <w:p w14:paraId="26B0224D" w14:textId="3B99F42D" w:rsidR="0012790E" w:rsidRDefault="0012790E">
      <w:pPr>
        <w:pStyle w:val="Bullet"/>
      </w:pPr>
      <w:r w:rsidRPr="001C06E6">
        <w:t>$29.7</w:t>
      </w:r>
      <w:r>
        <w:t> </w:t>
      </w:r>
      <w:r w:rsidRPr="001C06E6">
        <w:t xml:space="preserve">million over three years from </w:t>
      </w:r>
      <w:r>
        <w:t>2024–25</w:t>
      </w:r>
      <w:r w:rsidRPr="001C06E6">
        <w:t xml:space="preserve"> to improve child and youth mental</w:t>
      </w:r>
      <w:r>
        <w:t xml:space="preserve"> </w:t>
      </w:r>
      <w:r w:rsidRPr="001C06E6">
        <w:t>health services through uplifting workforce capability and co</w:t>
      </w:r>
      <w:r>
        <w:noBreakHyphen/>
      </w:r>
      <w:r w:rsidRPr="001C06E6">
        <w:t>designing new models of care</w:t>
      </w:r>
      <w:r>
        <w:t xml:space="preserve"> </w:t>
      </w:r>
    </w:p>
    <w:p w14:paraId="58443010" w14:textId="77777777" w:rsidR="0012790E" w:rsidRDefault="0012790E">
      <w:pPr>
        <w:pStyle w:val="Bullet"/>
      </w:pPr>
      <w:r w:rsidRPr="001C06E6">
        <w:t>$12.8</w:t>
      </w:r>
      <w:r>
        <w:t> </w:t>
      </w:r>
      <w:r w:rsidRPr="001C06E6">
        <w:t xml:space="preserve">million over four years from </w:t>
      </w:r>
      <w:r>
        <w:t>2024–25</w:t>
      </w:r>
      <w:r w:rsidRPr="001C06E6">
        <w:t xml:space="preserve"> to extend the </w:t>
      </w:r>
      <w:r w:rsidRPr="001C06E6">
        <w:rPr>
          <w:i/>
          <w:iCs/>
        </w:rPr>
        <w:t>Indigenous Youth Connection to Culture</w:t>
      </w:r>
      <w:r w:rsidRPr="001C06E6">
        <w:t xml:space="preserve"> program which supports First Nations youth in 12 communities through place</w:t>
      </w:r>
      <w:r>
        <w:noBreakHyphen/>
      </w:r>
      <w:r w:rsidRPr="001C06E6">
        <w:t>based activities to reduce suicide rates and improve mental health outcomes</w:t>
      </w:r>
      <w:r>
        <w:t xml:space="preserve"> </w:t>
      </w:r>
    </w:p>
    <w:p w14:paraId="4AF4B57F" w14:textId="77777777" w:rsidR="0012790E" w:rsidRDefault="0012790E">
      <w:pPr>
        <w:pStyle w:val="Bullet"/>
      </w:pPr>
      <w:r w:rsidRPr="001C06E6">
        <w:t>$10.0</w:t>
      </w:r>
      <w:r>
        <w:t> </w:t>
      </w:r>
      <w:r w:rsidRPr="001C06E6">
        <w:t xml:space="preserve">million in </w:t>
      </w:r>
      <w:r>
        <w:t>2024–25</w:t>
      </w:r>
      <w:r w:rsidRPr="001C06E6">
        <w:t xml:space="preserve"> to maintain funding to deliver targeted and culturally appropriate mental health supports for First Nations Australians</w:t>
      </w:r>
      <w:r>
        <w:t xml:space="preserve"> </w:t>
      </w:r>
    </w:p>
    <w:p w14:paraId="28E3A141" w14:textId="3893440D" w:rsidR="0012790E" w:rsidRDefault="0012790E">
      <w:pPr>
        <w:pStyle w:val="Bullet"/>
      </w:pPr>
      <w:r w:rsidRPr="001C06E6">
        <w:t>$7.1</w:t>
      </w:r>
      <w:r>
        <w:t> </w:t>
      </w:r>
      <w:r w:rsidRPr="001C06E6">
        <w:t xml:space="preserve">million over four years from </w:t>
      </w:r>
      <w:r>
        <w:t>2024–25</w:t>
      </w:r>
      <w:r w:rsidRPr="001C06E6">
        <w:t xml:space="preserve"> to build and support the lived experience peer</w:t>
      </w:r>
      <w:r w:rsidR="00CD5EFD">
        <w:t> </w:t>
      </w:r>
      <w:r w:rsidRPr="001C06E6">
        <w:t>mental health workforce, through the establishment of a national professional association for peer workers, delivery of a workforce census and the exploration of further training pathways</w:t>
      </w:r>
      <w:r w:rsidR="00C503FA">
        <w:t>.</w:t>
      </w:r>
      <w:r>
        <w:t xml:space="preserve"> </w:t>
      </w:r>
    </w:p>
    <w:p w14:paraId="121491AE" w14:textId="77777777" w:rsidR="0012790E" w:rsidRDefault="0012790E">
      <w:pPr>
        <w:pStyle w:val="Normal2"/>
        <w:rPr>
          <w:rFonts w:cs="Book Antiqua"/>
        </w:rPr>
      </w:pPr>
      <w:r w:rsidRPr="001C06E6">
        <w:rPr>
          <w:rFonts w:cs="Book Antiqua"/>
        </w:rPr>
        <w:t>The Government has already provided partial funding for this measure.</w:t>
      </w:r>
      <w:r>
        <w:rPr>
          <w:rFonts w:cs="Book Antiqua"/>
        </w:rPr>
        <w:t xml:space="preserve"> </w:t>
      </w:r>
    </w:p>
    <w:p w14:paraId="3A2585D2" w14:textId="77777777" w:rsidR="0012790E" w:rsidRPr="001C06E6" w:rsidRDefault="0012790E" w:rsidP="54937204">
      <w:pPr>
        <w:pStyle w:val="Normal2"/>
        <w:rPr>
          <w:rFonts w:cs="Book Antiqua"/>
          <w:lang w:val="en-US"/>
        </w:rPr>
      </w:pPr>
      <w:r w:rsidRPr="54937204">
        <w:rPr>
          <w:rFonts w:cs="Book Antiqua"/>
          <w:lang w:val="en-US"/>
        </w:rPr>
        <w:t xml:space="preserve">The cost of this measure will be partially met from within the existing resourcing of the Department of Health and Aged Care and the National Indigenous Australians Agency, and from reprioritising funding from Program 1.2 – </w:t>
      </w:r>
      <w:r w:rsidRPr="54937204">
        <w:rPr>
          <w:rFonts w:cs="Book Antiqua"/>
          <w:i/>
          <w:iCs/>
          <w:lang w:val="en-US"/>
        </w:rPr>
        <w:t xml:space="preserve">Mental Health, </w:t>
      </w:r>
      <w:r w:rsidRPr="54937204">
        <w:rPr>
          <w:rFonts w:cs="Book Antiqua"/>
          <w:lang w:val="en-US"/>
        </w:rPr>
        <w:t xml:space="preserve">Program 1.5 – </w:t>
      </w:r>
      <w:r w:rsidRPr="54937204">
        <w:rPr>
          <w:rFonts w:cs="Book Antiqua"/>
          <w:i/>
          <w:iCs/>
          <w:lang w:val="en-US"/>
        </w:rPr>
        <w:t xml:space="preserve">Preventative Health and Chronic Disease Support program, and </w:t>
      </w:r>
      <w:r w:rsidRPr="54937204">
        <w:rPr>
          <w:rFonts w:cs="Book Antiqua"/>
          <w:lang w:val="en-US"/>
        </w:rPr>
        <w:t xml:space="preserve">Program </w:t>
      </w:r>
      <w:r w:rsidRPr="54937204">
        <w:rPr>
          <w:rFonts w:cs="Book Antiqua"/>
          <w:i/>
          <w:iCs/>
          <w:lang w:val="en-US"/>
        </w:rPr>
        <w:t xml:space="preserve">2.1 </w:t>
      </w:r>
      <w:r w:rsidRPr="54937204">
        <w:rPr>
          <w:rFonts w:cs="Book Antiqua"/>
          <w:lang w:val="en-US"/>
        </w:rPr>
        <w:t xml:space="preserve">– </w:t>
      </w:r>
      <w:r w:rsidRPr="54937204">
        <w:rPr>
          <w:rFonts w:cs="Book Antiqua"/>
          <w:i/>
          <w:iCs/>
          <w:lang w:val="en-US"/>
        </w:rPr>
        <w:t xml:space="preserve">Medical Benefits. </w:t>
      </w:r>
    </w:p>
    <w:p w14:paraId="4C8B9950" w14:textId="77777777" w:rsidR="0012790E" w:rsidRPr="001C06E6" w:rsidRDefault="0012790E">
      <w:pPr>
        <w:pStyle w:val="Normal2"/>
        <w:rPr>
          <w:rFonts w:cs="Book Antiqua"/>
          <w:iCs/>
        </w:rPr>
      </w:pPr>
      <w:r w:rsidRPr="001C06E6">
        <w:rPr>
          <w:rFonts w:cs="Book Antiqua"/>
        </w:rPr>
        <w:t xml:space="preserve">This measure builds on the </w:t>
      </w:r>
      <w:r>
        <w:rPr>
          <w:rFonts w:cs="Book Antiqua"/>
        </w:rPr>
        <w:t>2023–24 </w:t>
      </w:r>
      <w:r w:rsidRPr="001C06E6">
        <w:rPr>
          <w:rFonts w:cs="Book Antiqua"/>
        </w:rPr>
        <w:t xml:space="preserve">MYEFO measure titled </w:t>
      </w:r>
      <w:r w:rsidRPr="001C06E6">
        <w:rPr>
          <w:rFonts w:cs="Book Antiqua"/>
          <w:i/>
          <w:iCs/>
        </w:rPr>
        <w:t>Mental Health.</w:t>
      </w:r>
      <w:r>
        <w:rPr>
          <w:rFonts w:cs="Book Antiqua"/>
          <w:i/>
          <w:iCs/>
        </w:rPr>
        <w:t xml:space="preserve"> </w:t>
      </w:r>
    </w:p>
    <w:p w14:paraId="22856B9B" w14:textId="77777777" w:rsidR="0012790E" w:rsidRPr="001C06E6" w:rsidRDefault="0012790E" w:rsidP="54937204">
      <w:pPr>
        <w:pStyle w:val="MeasureTitle"/>
        <w:rPr>
          <w:b w:val="0"/>
          <w:lang w:val="en-US"/>
        </w:rPr>
      </w:pPr>
      <w:r w:rsidRPr="54937204">
        <w:rPr>
          <w:lang w:val="en-US"/>
        </w:rPr>
        <w:t>National Joint Replacement Registry – additional funding</w:t>
      </w:r>
    </w:p>
    <w:p w14:paraId="737DCF1B"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8869E50" w14:textId="77777777">
        <w:tc>
          <w:tcPr>
            <w:tcW w:w="2497" w:type="dxa"/>
            <w:tcBorders>
              <w:top w:val="single" w:sz="4" w:space="0" w:color="293F5B"/>
              <w:bottom w:val="single" w:sz="4" w:space="0" w:color="293F5B"/>
            </w:tcBorders>
            <w:shd w:val="clear" w:color="auto" w:fill="auto"/>
          </w:tcPr>
          <w:p w14:paraId="3C7F28AF"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5488E5F"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B8AD9AE"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8CDDC21"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C829177"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81353E7" w14:textId="77777777" w:rsidR="0012790E" w:rsidRPr="001C06E6" w:rsidRDefault="0012790E">
            <w:pPr>
              <w:pStyle w:val="MeasureTableYearHeadings"/>
              <w:keepNext/>
            </w:pPr>
            <w:r w:rsidRPr="001C06E6">
              <w:t>2027</w:t>
            </w:r>
            <w:r>
              <w:noBreakHyphen/>
            </w:r>
            <w:r w:rsidRPr="001C06E6">
              <w:t>28</w:t>
            </w:r>
          </w:p>
        </w:tc>
      </w:tr>
      <w:tr w:rsidR="0012790E" w:rsidRPr="001C06E6" w14:paraId="489B0F48" w14:textId="77777777">
        <w:tc>
          <w:tcPr>
            <w:tcW w:w="2497" w:type="dxa"/>
            <w:tcBorders>
              <w:top w:val="single" w:sz="4" w:space="0" w:color="293F5B"/>
              <w:bottom w:val="single" w:sz="4" w:space="0" w:color="293F5B"/>
            </w:tcBorders>
            <w:shd w:val="clear" w:color="auto" w:fill="auto"/>
          </w:tcPr>
          <w:p w14:paraId="2F740AED"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11D3F1DA" w14:textId="77777777" w:rsidR="0012790E" w:rsidRPr="001C06E6" w:rsidRDefault="0012790E">
            <w:pPr>
              <w:pStyle w:val="MeasureTableDataRightAlignedwith2ptsspacing"/>
              <w:keepNext/>
            </w:pPr>
            <w:r>
              <w:t xml:space="preserve">1.2 </w:t>
            </w:r>
          </w:p>
        </w:tc>
        <w:tc>
          <w:tcPr>
            <w:tcW w:w="1045" w:type="dxa"/>
            <w:tcBorders>
              <w:top w:val="single" w:sz="4" w:space="0" w:color="293F5B"/>
              <w:bottom w:val="single" w:sz="4" w:space="0" w:color="293F5B"/>
            </w:tcBorders>
            <w:shd w:val="clear" w:color="auto" w:fill="auto"/>
          </w:tcPr>
          <w:p w14:paraId="0AF2042D" w14:textId="77777777" w:rsidR="0012790E" w:rsidRPr="001C06E6" w:rsidRDefault="0012790E">
            <w:pPr>
              <w:pStyle w:val="MeasureTableDataRightAlignedwith2ptsspacing"/>
              <w:keepNext/>
            </w:pPr>
            <w:r>
              <w:t xml:space="preserve">1.6 </w:t>
            </w:r>
          </w:p>
        </w:tc>
        <w:tc>
          <w:tcPr>
            <w:tcW w:w="1045" w:type="dxa"/>
            <w:tcBorders>
              <w:top w:val="single" w:sz="4" w:space="0" w:color="293F5B"/>
              <w:bottom w:val="single" w:sz="4" w:space="0" w:color="293F5B"/>
            </w:tcBorders>
            <w:shd w:val="clear" w:color="auto" w:fill="auto"/>
          </w:tcPr>
          <w:p w14:paraId="0196ECDF"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609D52C"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243A845" w14:textId="77777777" w:rsidR="0012790E" w:rsidRPr="001C06E6" w:rsidRDefault="0012790E">
            <w:pPr>
              <w:pStyle w:val="MeasureTableDataRightAlignedwith2ptsspacing"/>
              <w:keepNext/>
            </w:pPr>
            <w:r>
              <w:t xml:space="preserve">- </w:t>
            </w:r>
          </w:p>
        </w:tc>
      </w:tr>
      <w:tr w:rsidR="0012790E" w:rsidRPr="001C06E6" w14:paraId="622C9158" w14:textId="77777777">
        <w:tc>
          <w:tcPr>
            <w:tcW w:w="2497" w:type="dxa"/>
            <w:tcBorders>
              <w:top w:val="single" w:sz="4" w:space="0" w:color="293F5B"/>
            </w:tcBorders>
            <w:shd w:val="clear" w:color="auto" w:fill="auto"/>
          </w:tcPr>
          <w:p w14:paraId="7FA625CA"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2404BCCE" w14:textId="77777777" w:rsidR="0012790E" w:rsidRPr="001C06E6" w:rsidRDefault="0012790E">
            <w:pPr>
              <w:pStyle w:val="AgencyName"/>
              <w:keepNext/>
            </w:pPr>
          </w:p>
        </w:tc>
        <w:tc>
          <w:tcPr>
            <w:tcW w:w="1045" w:type="dxa"/>
            <w:tcBorders>
              <w:top w:val="single" w:sz="4" w:space="0" w:color="293F5B"/>
            </w:tcBorders>
            <w:shd w:val="clear" w:color="auto" w:fill="auto"/>
          </w:tcPr>
          <w:p w14:paraId="64CBFF94" w14:textId="77777777" w:rsidR="0012790E" w:rsidRPr="001C06E6" w:rsidRDefault="0012790E">
            <w:pPr>
              <w:pStyle w:val="AgencyName"/>
              <w:keepNext/>
            </w:pPr>
          </w:p>
        </w:tc>
        <w:tc>
          <w:tcPr>
            <w:tcW w:w="1045" w:type="dxa"/>
            <w:tcBorders>
              <w:top w:val="single" w:sz="4" w:space="0" w:color="293F5B"/>
            </w:tcBorders>
            <w:shd w:val="clear" w:color="auto" w:fill="auto"/>
          </w:tcPr>
          <w:p w14:paraId="0118BB51" w14:textId="77777777" w:rsidR="0012790E" w:rsidRPr="001C06E6" w:rsidRDefault="0012790E">
            <w:pPr>
              <w:pStyle w:val="AgencyName"/>
              <w:keepNext/>
            </w:pPr>
          </w:p>
        </w:tc>
        <w:tc>
          <w:tcPr>
            <w:tcW w:w="1045" w:type="dxa"/>
            <w:tcBorders>
              <w:top w:val="single" w:sz="4" w:space="0" w:color="293F5B"/>
            </w:tcBorders>
            <w:shd w:val="clear" w:color="auto" w:fill="auto"/>
          </w:tcPr>
          <w:p w14:paraId="2CD6D124" w14:textId="77777777" w:rsidR="0012790E" w:rsidRPr="001C06E6" w:rsidRDefault="0012790E">
            <w:pPr>
              <w:pStyle w:val="AgencyName"/>
              <w:keepNext/>
            </w:pPr>
          </w:p>
        </w:tc>
        <w:tc>
          <w:tcPr>
            <w:tcW w:w="1045" w:type="dxa"/>
            <w:tcBorders>
              <w:top w:val="single" w:sz="4" w:space="0" w:color="293F5B"/>
            </w:tcBorders>
            <w:shd w:val="clear" w:color="auto" w:fill="auto"/>
          </w:tcPr>
          <w:p w14:paraId="48222D31" w14:textId="77777777" w:rsidR="0012790E" w:rsidRPr="001C06E6" w:rsidRDefault="0012790E">
            <w:pPr>
              <w:pStyle w:val="AgencyName"/>
              <w:keepNext/>
            </w:pPr>
          </w:p>
        </w:tc>
      </w:tr>
      <w:tr w:rsidR="0012790E" w:rsidRPr="001C06E6" w14:paraId="77E57D8D" w14:textId="77777777">
        <w:tc>
          <w:tcPr>
            <w:tcW w:w="2497" w:type="dxa"/>
            <w:tcBorders>
              <w:bottom w:val="single" w:sz="4" w:space="0" w:color="293F5B"/>
            </w:tcBorders>
            <w:shd w:val="clear" w:color="auto" w:fill="auto"/>
          </w:tcPr>
          <w:p w14:paraId="62D0CBB6" w14:textId="77777777" w:rsidR="0012790E" w:rsidRPr="001C06E6" w:rsidRDefault="0012790E">
            <w:pPr>
              <w:pStyle w:val="AgencyNamewith2ptsspacing"/>
              <w:keepNext/>
            </w:pPr>
            <w:r>
              <w:t xml:space="preserve">Department of Health and Aged Care </w:t>
            </w:r>
          </w:p>
        </w:tc>
        <w:tc>
          <w:tcPr>
            <w:tcW w:w="1045" w:type="dxa"/>
            <w:tcBorders>
              <w:bottom w:val="single" w:sz="4" w:space="0" w:color="293F5B"/>
            </w:tcBorders>
            <w:shd w:val="clear" w:color="auto" w:fill="auto"/>
          </w:tcPr>
          <w:p w14:paraId="7F23F0C9"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20D94FE6" w14:textId="77777777" w:rsidR="0012790E" w:rsidRPr="001C06E6" w:rsidRDefault="0012790E">
            <w:pPr>
              <w:pStyle w:val="Measuretabledatarightaligneditalics"/>
              <w:keepNext/>
            </w:pPr>
            <w:r>
              <w:t xml:space="preserve">0.3 </w:t>
            </w:r>
          </w:p>
        </w:tc>
        <w:tc>
          <w:tcPr>
            <w:tcW w:w="1045" w:type="dxa"/>
            <w:tcBorders>
              <w:bottom w:val="single" w:sz="4" w:space="0" w:color="293F5B"/>
            </w:tcBorders>
            <w:shd w:val="clear" w:color="auto" w:fill="auto"/>
          </w:tcPr>
          <w:p w14:paraId="4BDAEE37" w14:textId="77777777" w:rsidR="0012790E" w:rsidRPr="001C06E6" w:rsidRDefault="0012790E">
            <w:pPr>
              <w:pStyle w:val="Measuretabledatarightaligneditalics"/>
              <w:keepNext/>
            </w:pPr>
            <w:r>
              <w:t xml:space="preserve">0.3 </w:t>
            </w:r>
          </w:p>
        </w:tc>
        <w:tc>
          <w:tcPr>
            <w:tcW w:w="1045" w:type="dxa"/>
            <w:tcBorders>
              <w:bottom w:val="single" w:sz="4" w:space="0" w:color="293F5B"/>
            </w:tcBorders>
            <w:shd w:val="clear" w:color="auto" w:fill="auto"/>
          </w:tcPr>
          <w:p w14:paraId="28F18EA5" w14:textId="77777777" w:rsidR="0012790E" w:rsidRPr="001C06E6" w:rsidRDefault="0012790E">
            <w:pPr>
              <w:pStyle w:val="Measuretabledatarightaligneditalics"/>
              <w:keepNext/>
            </w:pPr>
            <w:r>
              <w:t xml:space="preserve">0.3 </w:t>
            </w:r>
          </w:p>
        </w:tc>
        <w:tc>
          <w:tcPr>
            <w:tcW w:w="1045" w:type="dxa"/>
            <w:tcBorders>
              <w:bottom w:val="single" w:sz="4" w:space="0" w:color="293F5B"/>
            </w:tcBorders>
            <w:shd w:val="clear" w:color="auto" w:fill="auto"/>
          </w:tcPr>
          <w:p w14:paraId="55FA218A" w14:textId="77777777" w:rsidR="0012790E" w:rsidRPr="001C06E6" w:rsidRDefault="0012790E">
            <w:pPr>
              <w:pStyle w:val="Measuretabledatarightaligneditalics"/>
              <w:keepNext/>
            </w:pPr>
            <w:r>
              <w:t xml:space="preserve">0.3 </w:t>
            </w:r>
          </w:p>
        </w:tc>
      </w:tr>
    </w:tbl>
    <w:p w14:paraId="3A0E82EF" w14:textId="77777777" w:rsidR="0012790E" w:rsidRPr="001C06E6" w:rsidRDefault="0012790E">
      <w:pPr>
        <w:keepNext/>
        <w:widowControl w:val="0"/>
        <w:spacing w:line="184" w:lineRule="exact"/>
        <w:rPr>
          <w:i/>
          <w:iCs/>
          <w:color w:val="000000"/>
          <w:sz w:val="16"/>
          <w:szCs w:val="16"/>
          <w:lang w:val="en-AU"/>
        </w:rPr>
      </w:pPr>
    </w:p>
    <w:p w14:paraId="59C1D647" w14:textId="2ABAEBD4" w:rsidR="0012790E" w:rsidRDefault="0012790E" w:rsidP="54937204">
      <w:pPr>
        <w:pStyle w:val="Normal2"/>
        <w:rPr>
          <w:rFonts w:cs="Book Antiqua"/>
          <w:lang w:val="en-US"/>
        </w:rPr>
      </w:pPr>
      <w:r w:rsidRPr="54937204">
        <w:rPr>
          <w:rFonts w:cs="Book Antiqua"/>
          <w:lang w:val="en-US"/>
        </w:rPr>
        <w:t xml:space="preserve">The Government will provide additional funding of $2.8 million over two years from </w:t>
      </w:r>
      <w:r w:rsidR="00CD5EFD">
        <w:rPr>
          <w:rFonts w:cs="Book Antiqua"/>
          <w:lang w:val="en-US"/>
        </w:rPr>
        <w:br/>
      </w:r>
      <w:r w:rsidRPr="54937204">
        <w:rPr>
          <w:rFonts w:cs="Book Antiqua"/>
          <w:lang w:val="en-US"/>
        </w:rPr>
        <w:t xml:space="preserve">2023–24 to temporarily increase core operating funding for the National Joint Replacement Registry. </w:t>
      </w:r>
    </w:p>
    <w:p w14:paraId="7C463842"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the anticipated recovery of $1.2 million over four years from 2024–25, through changes to the National Joint Replacement Registry Levy. </w:t>
      </w:r>
    </w:p>
    <w:p w14:paraId="2CE92D58" w14:textId="77777777" w:rsidR="0012790E" w:rsidRPr="001C06E6" w:rsidRDefault="0012790E">
      <w:pPr>
        <w:pStyle w:val="MeasureTitle"/>
        <w:rPr>
          <w:b w:val="0"/>
          <w:bCs/>
        </w:rPr>
      </w:pPr>
      <w:r w:rsidRPr="001C06E6">
        <w:rPr>
          <w:bCs/>
        </w:rPr>
        <w:t>National Strategies for Bloodborne Viruses and Sexually Transmissible</w:t>
      </w:r>
      <w:r>
        <w:rPr>
          <w:bCs/>
        </w:rPr>
        <w:t xml:space="preserve"> </w:t>
      </w:r>
      <w:r w:rsidRPr="001C06E6">
        <w:rPr>
          <w:bCs/>
        </w:rPr>
        <w:t>Infections – continuation and expansion</w:t>
      </w:r>
    </w:p>
    <w:p w14:paraId="087D5C11"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6FAC832" w14:textId="77777777">
        <w:tc>
          <w:tcPr>
            <w:tcW w:w="2497" w:type="dxa"/>
            <w:tcBorders>
              <w:top w:val="single" w:sz="4" w:space="0" w:color="293F5B"/>
              <w:bottom w:val="single" w:sz="4" w:space="0" w:color="293F5B"/>
            </w:tcBorders>
            <w:shd w:val="clear" w:color="auto" w:fill="auto"/>
          </w:tcPr>
          <w:p w14:paraId="4C41BC83"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0E9BA3F"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19AAF64"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6478B7C"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1BEED24"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49C306E" w14:textId="77777777" w:rsidR="0012790E" w:rsidRPr="001C06E6" w:rsidRDefault="0012790E">
            <w:pPr>
              <w:pStyle w:val="MeasureTableYearHeadings"/>
              <w:keepNext/>
            </w:pPr>
            <w:r w:rsidRPr="001C06E6">
              <w:t>2027</w:t>
            </w:r>
            <w:r>
              <w:noBreakHyphen/>
            </w:r>
            <w:r w:rsidRPr="001C06E6">
              <w:t>28</w:t>
            </w:r>
          </w:p>
        </w:tc>
      </w:tr>
      <w:tr w:rsidR="0012790E" w:rsidRPr="001C06E6" w14:paraId="055C5B48" w14:textId="77777777">
        <w:tc>
          <w:tcPr>
            <w:tcW w:w="2497" w:type="dxa"/>
            <w:tcBorders>
              <w:top w:val="single" w:sz="4" w:space="0" w:color="293F5B"/>
              <w:bottom w:val="single" w:sz="4" w:space="0" w:color="293F5B"/>
            </w:tcBorders>
            <w:shd w:val="clear" w:color="auto" w:fill="auto"/>
          </w:tcPr>
          <w:p w14:paraId="6DDF1701"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22827056"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11C472C" w14:textId="77777777" w:rsidR="0012790E" w:rsidRPr="001C06E6" w:rsidRDefault="0012790E">
            <w:pPr>
              <w:pStyle w:val="MeasureTableDataRightAlignedwith2ptsspacing"/>
              <w:keepNext/>
            </w:pPr>
            <w:r>
              <w:t xml:space="preserve">66.2 </w:t>
            </w:r>
          </w:p>
        </w:tc>
        <w:tc>
          <w:tcPr>
            <w:tcW w:w="1045" w:type="dxa"/>
            <w:tcBorders>
              <w:top w:val="single" w:sz="4" w:space="0" w:color="293F5B"/>
              <w:bottom w:val="single" w:sz="4" w:space="0" w:color="293F5B"/>
            </w:tcBorders>
            <w:shd w:val="clear" w:color="auto" w:fill="auto"/>
          </w:tcPr>
          <w:p w14:paraId="34E311BE" w14:textId="77777777" w:rsidR="0012790E" w:rsidRPr="001C06E6" w:rsidRDefault="0012790E">
            <w:pPr>
              <w:pStyle w:val="MeasureTableDataRightAlignedwith2ptsspacing"/>
              <w:keepNext/>
            </w:pPr>
            <w:r>
              <w:t xml:space="preserve">60.3 </w:t>
            </w:r>
          </w:p>
        </w:tc>
        <w:tc>
          <w:tcPr>
            <w:tcW w:w="1045" w:type="dxa"/>
            <w:tcBorders>
              <w:top w:val="single" w:sz="4" w:space="0" w:color="293F5B"/>
              <w:bottom w:val="single" w:sz="4" w:space="0" w:color="293F5B"/>
            </w:tcBorders>
            <w:shd w:val="clear" w:color="auto" w:fill="auto"/>
          </w:tcPr>
          <w:p w14:paraId="062C66B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06C49E9" w14:textId="77777777" w:rsidR="0012790E" w:rsidRPr="001C06E6" w:rsidRDefault="0012790E">
            <w:pPr>
              <w:pStyle w:val="MeasureTableDataRightAlignedwith2ptsspacing"/>
              <w:keepNext/>
            </w:pPr>
            <w:r>
              <w:t xml:space="preserve">- </w:t>
            </w:r>
          </w:p>
        </w:tc>
      </w:tr>
    </w:tbl>
    <w:p w14:paraId="43269D1E" w14:textId="77777777" w:rsidR="0012790E" w:rsidRPr="001C06E6" w:rsidRDefault="0012790E">
      <w:pPr>
        <w:keepNext/>
        <w:widowControl w:val="0"/>
        <w:spacing w:line="184" w:lineRule="exact"/>
        <w:rPr>
          <w:color w:val="000000"/>
          <w:sz w:val="16"/>
          <w:szCs w:val="16"/>
          <w:lang w:val="en-AU"/>
        </w:rPr>
      </w:pPr>
    </w:p>
    <w:p w14:paraId="3B665813" w14:textId="77777777" w:rsidR="0012790E" w:rsidRDefault="0012790E">
      <w:pPr>
        <w:pStyle w:val="Normal2"/>
        <w:rPr>
          <w:rFonts w:cs="Book Antiqua"/>
        </w:rPr>
      </w:pPr>
      <w:r w:rsidRPr="001C06E6">
        <w:rPr>
          <w:rFonts w:cs="Book Antiqua"/>
        </w:rPr>
        <w:t>The Government will provide $126.5</w:t>
      </w:r>
      <w:r>
        <w:rPr>
          <w:rFonts w:cs="Book Antiqua"/>
        </w:rPr>
        <w:t> </w:t>
      </w:r>
      <w:r w:rsidRPr="001C06E6">
        <w:rPr>
          <w:rFonts w:cs="Book Antiqua"/>
        </w:rPr>
        <w:t xml:space="preserve">million over two years from </w:t>
      </w:r>
      <w:r>
        <w:rPr>
          <w:rFonts w:cs="Book Antiqua"/>
        </w:rPr>
        <w:t>2024–25</w:t>
      </w:r>
      <w:r w:rsidRPr="001C06E6">
        <w:rPr>
          <w:rFonts w:cs="Book Antiqua"/>
        </w:rPr>
        <w:t xml:space="preserve"> to extend</w:t>
      </w:r>
      <w:r>
        <w:rPr>
          <w:rFonts w:cs="Book Antiqua"/>
        </w:rPr>
        <w:t xml:space="preserve"> </w:t>
      </w:r>
      <w:r w:rsidRPr="001C06E6">
        <w:rPr>
          <w:rFonts w:cs="Book Antiqua"/>
        </w:rPr>
        <w:t>and expand activities to support the prevention, testing and treatment of bloodborne</w:t>
      </w:r>
      <w:r>
        <w:rPr>
          <w:rFonts w:cs="Book Antiqua"/>
        </w:rPr>
        <w:t xml:space="preserve"> </w:t>
      </w:r>
      <w:r w:rsidRPr="001C06E6">
        <w:rPr>
          <w:rFonts w:cs="Book Antiqua"/>
        </w:rPr>
        <w:t>viruses and sexually transmissible infections, including support for First Nations</w:t>
      </w:r>
      <w:r>
        <w:rPr>
          <w:rFonts w:cs="Book Antiqua"/>
        </w:rPr>
        <w:t xml:space="preserve"> </w:t>
      </w:r>
      <w:r w:rsidRPr="001C06E6">
        <w:rPr>
          <w:rFonts w:cs="Book Antiqua"/>
        </w:rPr>
        <w:t>communicable disease services. Funding includes:</w:t>
      </w:r>
    </w:p>
    <w:p w14:paraId="604D9203" w14:textId="77777777" w:rsidR="0012790E" w:rsidRDefault="0012790E">
      <w:pPr>
        <w:pStyle w:val="Bullet"/>
      </w:pPr>
      <w:r w:rsidRPr="001C06E6">
        <w:t>$32.3</w:t>
      </w:r>
      <w:r>
        <w:t> </w:t>
      </w:r>
      <w:r w:rsidRPr="001C06E6">
        <w:t xml:space="preserve">million over two years from </w:t>
      </w:r>
      <w:r>
        <w:t>2024–25</w:t>
      </w:r>
      <w:r w:rsidRPr="001C06E6">
        <w:t xml:space="preserve"> to continue support and promote vaccination uptake in First Nations communities</w:t>
      </w:r>
      <w:r>
        <w:t xml:space="preserve"> </w:t>
      </w:r>
    </w:p>
    <w:p w14:paraId="1AE77760" w14:textId="77777777" w:rsidR="0012790E" w:rsidRDefault="0012790E">
      <w:pPr>
        <w:pStyle w:val="Bullet"/>
      </w:pPr>
      <w:r w:rsidRPr="001C06E6">
        <w:t>$28.6</w:t>
      </w:r>
      <w:r>
        <w:t> </w:t>
      </w:r>
      <w:r w:rsidRPr="001C06E6">
        <w:t xml:space="preserve">million over two years from </w:t>
      </w:r>
      <w:r>
        <w:t>2024–25</w:t>
      </w:r>
      <w:r w:rsidRPr="001C06E6">
        <w:t xml:space="preserve"> to continue support and expand syphilis and sexually transmissible infections testing in First Nations communities</w:t>
      </w:r>
      <w:r>
        <w:t xml:space="preserve"> </w:t>
      </w:r>
    </w:p>
    <w:p w14:paraId="3CDB6223" w14:textId="77777777" w:rsidR="0012790E" w:rsidRDefault="0012790E">
      <w:pPr>
        <w:pStyle w:val="Bullet"/>
      </w:pPr>
      <w:r w:rsidRPr="001C06E6">
        <w:t>$17.5</w:t>
      </w:r>
      <w:r>
        <w:t> </w:t>
      </w:r>
      <w:r w:rsidRPr="001C06E6">
        <w:t xml:space="preserve">million over two years from </w:t>
      </w:r>
      <w:r>
        <w:t>2024–25</w:t>
      </w:r>
      <w:r w:rsidRPr="001C06E6">
        <w:t xml:space="preserve"> to support continued delivery of the national bloodborne viruses and sexually transmissible infections strategies, including to implement culturally safe sexual health services for First Nations peoples</w:t>
      </w:r>
      <w:r>
        <w:t xml:space="preserve"> </w:t>
      </w:r>
    </w:p>
    <w:p w14:paraId="47509E66" w14:textId="77777777" w:rsidR="0012790E" w:rsidRDefault="0012790E">
      <w:pPr>
        <w:pStyle w:val="Bullet"/>
      </w:pPr>
      <w:r w:rsidRPr="001C06E6">
        <w:t>$16.5</w:t>
      </w:r>
      <w:r>
        <w:t> </w:t>
      </w:r>
      <w:r w:rsidRPr="001C06E6">
        <w:t xml:space="preserve">million over two years from </w:t>
      </w:r>
      <w:r>
        <w:t>2024–25</w:t>
      </w:r>
      <w:r w:rsidRPr="001C06E6">
        <w:t xml:space="preserve"> to continue and expand communicable disease molecular point of care testing for First Nations, rural and remote communities</w:t>
      </w:r>
      <w:r>
        <w:t xml:space="preserve"> </w:t>
      </w:r>
    </w:p>
    <w:p w14:paraId="7AD9860B" w14:textId="77777777" w:rsidR="0012790E" w:rsidRDefault="0012790E">
      <w:pPr>
        <w:pStyle w:val="Bullet"/>
      </w:pPr>
      <w:r w:rsidRPr="001C06E6">
        <w:t>$9.9</w:t>
      </w:r>
      <w:r>
        <w:t> </w:t>
      </w:r>
      <w:r w:rsidRPr="001C06E6">
        <w:t xml:space="preserve">million over two years from </w:t>
      </w:r>
      <w:r>
        <w:t>2024–25</w:t>
      </w:r>
      <w:r w:rsidRPr="001C06E6">
        <w:t xml:space="preserve"> to continue and expand the national hepatitis C point of care testing program</w:t>
      </w:r>
      <w:r>
        <w:t xml:space="preserve"> </w:t>
      </w:r>
    </w:p>
    <w:p w14:paraId="05F84FC8" w14:textId="77777777" w:rsidR="0012790E" w:rsidRDefault="0012790E">
      <w:pPr>
        <w:pStyle w:val="Bullet"/>
      </w:pPr>
      <w:r w:rsidRPr="001C06E6">
        <w:t>$7.9</w:t>
      </w:r>
      <w:r>
        <w:t> </w:t>
      </w:r>
      <w:r w:rsidRPr="001C06E6">
        <w:t xml:space="preserve">million over two years from </w:t>
      </w:r>
      <w:r>
        <w:t>2024–25</w:t>
      </w:r>
      <w:r w:rsidRPr="001C06E6">
        <w:t xml:space="preserve"> to continue funding peak bodies to implement the national bloodborne viruses and sexually transmission infections strategies</w:t>
      </w:r>
      <w:r>
        <w:t xml:space="preserve"> </w:t>
      </w:r>
    </w:p>
    <w:p w14:paraId="221961D5" w14:textId="77777777" w:rsidR="0012790E" w:rsidRDefault="0012790E">
      <w:pPr>
        <w:pStyle w:val="Bullet"/>
      </w:pPr>
      <w:r w:rsidRPr="001C06E6">
        <w:t>$7.8</w:t>
      </w:r>
      <w:r>
        <w:t> </w:t>
      </w:r>
      <w:r w:rsidRPr="001C06E6">
        <w:t xml:space="preserve">million over two years from </w:t>
      </w:r>
      <w:r>
        <w:t>2024–25</w:t>
      </w:r>
      <w:r w:rsidRPr="001C06E6">
        <w:t xml:space="preserve"> to develop and pilot hepatitis B projects to reduce transmission of hepatitis B in Australia</w:t>
      </w:r>
      <w:r>
        <w:t xml:space="preserve"> </w:t>
      </w:r>
    </w:p>
    <w:p w14:paraId="42CAE85E" w14:textId="77777777" w:rsidR="0012790E" w:rsidRDefault="0012790E">
      <w:pPr>
        <w:pStyle w:val="Bullet"/>
      </w:pPr>
      <w:r w:rsidRPr="001C06E6">
        <w:t>$6.0</w:t>
      </w:r>
      <w:r>
        <w:t> </w:t>
      </w:r>
      <w:r w:rsidRPr="001C06E6">
        <w:t xml:space="preserve">million over two years from </w:t>
      </w:r>
      <w:r>
        <w:t>2024–25</w:t>
      </w:r>
      <w:r w:rsidRPr="001C06E6">
        <w:t xml:space="preserve"> to continue support for hepatitis C projects to reduce transmission of hepatitis C in Australia.</w:t>
      </w:r>
      <w:r>
        <w:t xml:space="preserve"> </w:t>
      </w:r>
    </w:p>
    <w:p w14:paraId="7D413CA1" w14:textId="7777777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 xml:space="preserve">Budget measure titled </w:t>
      </w:r>
      <w:r w:rsidRPr="001C06E6">
        <w:rPr>
          <w:rFonts w:cs="Book Antiqua"/>
          <w:i/>
          <w:iCs/>
        </w:rPr>
        <w:t>Enhancing National</w:t>
      </w:r>
      <w:r>
        <w:rPr>
          <w:rFonts w:cs="Book Antiqua"/>
          <w:i/>
          <w:iCs/>
        </w:rPr>
        <w:t xml:space="preserve"> </w:t>
      </w:r>
      <w:r w:rsidRPr="001C06E6">
        <w:rPr>
          <w:rFonts w:cs="Book Antiqua"/>
          <w:i/>
          <w:iCs/>
        </w:rPr>
        <w:t>Strategies for Bloodborne Viruses and Sexually Transmissible Infections</w:t>
      </w:r>
      <w:r w:rsidRPr="001C06E6">
        <w:rPr>
          <w:rFonts w:cs="Book Antiqua"/>
        </w:rPr>
        <w:t>.</w:t>
      </w:r>
      <w:r>
        <w:rPr>
          <w:rFonts w:cs="Book Antiqua"/>
        </w:rPr>
        <w:t xml:space="preserve"> </w:t>
      </w:r>
    </w:p>
    <w:p w14:paraId="4ABFEE90" w14:textId="77777777" w:rsidR="0012790E" w:rsidRPr="001C06E6" w:rsidRDefault="0012790E">
      <w:pPr>
        <w:pStyle w:val="MeasureTitle"/>
        <w:rPr>
          <w:b w:val="0"/>
          <w:bCs/>
        </w:rPr>
      </w:pPr>
      <w:r w:rsidRPr="001C06E6">
        <w:rPr>
          <w:bCs/>
        </w:rPr>
        <w:t>Pharmaceutical Benefits Scheme (PBS) – new and amended listings</w:t>
      </w:r>
    </w:p>
    <w:p w14:paraId="402FF0BD"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A0F68C2" w14:textId="77777777">
        <w:tc>
          <w:tcPr>
            <w:tcW w:w="2497" w:type="dxa"/>
            <w:tcBorders>
              <w:top w:val="single" w:sz="4" w:space="0" w:color="293F5B"/>
              <w:bottom w:val="single" w:sz="4" w:space="0" w:color="293F5B"/>
            </w:tcBorders>
            <w:shd w:val="clear" w:color="auto" w:fill="auto"/>
          </w:tcPr>
          <w:p w14:paraId="0A33681E"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12DF820"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0B94CA6E"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6269987"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1DCB964"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BC11A01" w14:textId="77777777" w:rsidR="0012790E" w:rsidRPr="001C06E6" w:rsidRDefault="0012790E">
            <w:pPr>
              <w:pStyle w:val="MeasureTableYearHeadings"/>
              <w:keepNext/>
            </w:pPr>
            <w:r w:rsidRPr="001C06E6">
              <w:t>2027</w:t>
            </w:r>
            <w:r>
              <w:noBreakHyphen/>
            </w:r>
            <w:r w:rsidRPr="001C06E6">
              <w:t>28</w:t>
            </w:r>
          </w:p>
        </w:tc>
      </w:tr>
      <w:tr w:rsidR="0012790E" w:rsidRPr="001C06E6" w14:paraId="1DBB7B5D" w14:textId="77777777">
        <w:tc>
          <w:tcPr>
            <w:tcW w:w="2497" w:type="dxa"/>
            <w:tcBorders>
              <w:top w:val="single" w:sz="4" w:space="0" w:color="293F5B"/>
              <w:bottom w:val="single" w:sz="4" w:space="0" w:color="293F5B"/>
            </w:tcBorders>
            <w:shd w:val="clear" w:color="auto" w:fill="auto"/>
          </w:tcPr>
          <w:p w14:paraId="3C32D6DC"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05697D7B" w14:textId="77777777" w:rsidR="0012790E" w:rsidRPr="001C06E6" w:rsidRDefault="0012790E">
            <w:pPr>
              <w:pStyle w:val="MeasureTableDataRightAlignedwith2ptsspacing"/>
              <w:keepNext/>
            </w:pPr>
            <w:r>
              <w:t xml:space="preserve">324.1 </w:t>
            </w:r>
          </w:p>
        </w:tc>
        <w:tc>
          <w:tcPr>
            <w:tcW w:w="1045" w:type="dxa"/>
            <w:tcBorders>
              <w:top w:val="single" w:sz="4" w:space="0" w:color="293F5B"/>
              <w:bottom w:val="single" w:sz="4" w:space="0" w:color="293F5B"/>
            </w:tcBorders>
            <w:shd w:val="clear" w:color="auto" w:fill="auto"/>
          </w:tcPr>
          <w:p w14:paraId="3AFF9D11" w14:textId="77777777" w:rsidR="0012790E" w:rsidRPr="001C06E6" w:rsidRDefault="0012790E">
            <w:pPr>
              <w:pStyle w:val="MeasureTableDataRightAlignedwith2ptsspacing"/>
              <w:keepNext/>
            </w:pPr>
            <w:r>
              <w:t xml:space="preserve">1,023.1 </w:t>
            </w:r>
          </w:p>
        </w:tc>
        <w:tc>
          <w:tcPr>
            <w:tcW w:w="1045" w:type="dxa"/>
            <w:tcBorders>
              <w:top w:val="single" w:sz="4" w:space="0" w:color="293F5B"/>
              <w:bottom w:val="single" w:sz="4" w:space="0" w:color="293F5B"/>
            </w:tcBorders>
            <w:shd w:val="clear" w:color="auto" w:fill="auto"/>
          </w:tcPr>
          <w:p w14:paraId="7B3976A7" w14:textId="77777777" w:rsidR="0012790E" w:rsidRPr="001C06E6" w:rsidRDefault="0012790E">
            <w:pPr>
              <w:pStyle w:val="MeasureTableDataRightAlignedwith2ptsspacing"/>
              <w:keepNext/>
            </w:pPr>
            <w:r>
              <w:t xml:space="preserve">872.2 </w:t>
            </w:r>
          </w:p>
        </w:tc>
        <w:tc>
          <w:tcPr>
            <w:tcW w:w="1045" w:type="dxa"/>
            <w:tcBorders>
              <w:top w:val="single" w:sz="4" w:space="0" w:color="293F5B"/>
              <w:bottom w:val="single" w:sz="4" w:space="0" w:color="293F5B"/>
            </w:tcBorders>
            <w:shd w:val="clear" w:color="auto" w:fill="auto"/>
          </w:tcPr>
          <w:p w14:paraId="6689F0EF" w14:textId="77777777" w:rsidR="0012790E" w:rsidRPr="001C06E6" w:rsidRDefault="0012790E">
            <w:pPr>
              <w:pStyle w:val="MeasureTableDataRightAlignedwith2ptsspacing"/>
              <w:keepNext/>
            </w:pPr>
            <w:r>
              <w:t xml:space="preserve">534.3 </w:t>
            </w:r>
          </w:p>
        </w:tc>
        <w:tc>
          <w:tcPr>
            <w:tcW w:w="1045" w:type="dxa"/>
            <w:tcBorders>
              <w:top w:val="single" w:sz="4" w:space="0" w:color="293F5B"/>
              <w:bottom w:val="single" w:sz="4" w:space="0" w:color="293F5B"/>
            </w:tcBorders>
            <w:shd w:val="clear" w:color="auto" w:fill="auto"/>
          </w:tcPr>
          <w:p w14:paraId="54ECDBDC" w14:textId="77777777" w:rsidR="0012790E" w:rsidRPr="001C06E6" w:rsidRDefault="0012790E">
            <w:pPr>
              <w:pStyle w:val="MeasureTableDataRightAlignedwith2ptsspacing"/>
              <w:keepNext/>
            </w:pPr>
            <w:r>
              <w:t xml:space="preserve">556.5 </w:t>
            </w:r>
          </w:p>
        </w:tc>
      </w:tr>
      <w:tr w:rsidR="0012790E" w:rsidRPr="001C06E6" w14:paraId="53B4664E" w14:textId="77777777">
        <w:tc>
          <w:tcPr>
            <w:tcW w:w="2497" w:type="dxa"/>
            <w:tcBorders>
              <w:top w:val="single" w:sz="4" w:space="0" w:color="293F5B"/>
              <w:bottom w:val="single" w:sz="4" w:space="0" w:color="293F5B"/>
            </w:tcBorders>
            <w:shd w:val="clear" w:color="auto" w:fill="auto"/>
          </w:tcPr>
          <w:p w14:paraId="3C785C9A" w14:textId="77777777" w:rsidR="0012790E" w:rsidRPr="001C06E6" w:rsidRDefault="0012790E">
            <w:pPr>
              <w:pStyle w:val="MeasureTableHeadingleftalignedwith2ptsspacing"/>
              <w:keepNext/>
            </w:pPr>
            <w:r w:rsidRPr="001C06E6">
              <w:t>Department of Veterans' Affairs</w:t>
            </w:r>
          </w:p>
        </w:tc>
        <w:tc>
          <w:tcPr>
            <w:tcW w:w="1045" w:type="dxa"/>
            <w:tcBorders>
              <w:top w:val="single" w:sz="4" w:space="0" w:color="293F5B"/>
              <w:bottom w:val="single" w:sz="4" w:space="0" w:color="293F5B"/>
            </w:tcBorders>
            <w:shd w:val="clear" w:color="auto" w:fill="auto"/>
          </w:tcPr>
          <w:p w14:paraId="70855429" w14:textId="77777777" w:rsidR="0012790E" w:rsidRPr="001C06E6" w:rsidRDefault="0012790E">
            <w:pPr>
              <w:pStyle w:val="MeasureTableDataRightAlignedwith2ptsspacing"/>
              <w:keepNext/>
            </w:pPr>
            <w:r w:rsidRPr="001C06E6">
              <w:t>6.1</w:t>
            </w:r>
          </w:p>
        </w:tc>
        <w:tc>
          <w:tcPr>
            <w:tcW w:w="1045" w:type="dxa"/>
            <w:tcBorders>
              <w:top w:val="single" w:sz="4" w:space="0" w:color="293F5B"/>
              <w:bottom w:val="single" w:sz="4" w:space="0" w:color="293F5B"/>
            </w:tcBorders>
            <w:shd w:val="clear" w:color="auto" w:fill="auto"/>
          </w:tcPr>
          <w:p w14:paraId="45FAAF64" w14:textId="77777777" w:rsidR="0012790E" w:rsidRPr="001C06E6" w:rsidRDefault="0012790E">
            <w:pPr>
              <w:pStyle w:val="MeasureTableDataRightAlignedwith2ptsspacing"/>
              <w:keepNext/>
            </w:pPr>
            <w:r w:rsidRPr="001C06E6">
              <w:t>19.2</w:t>
            </w:r>
          </w:p>
        </w:tc>
        <w:tc>
          <w:tcPr>
            <w:tcW w:w="1045" w:type="dxa"/>
            <w:tcBorders>
              <w:top w:val="single" w:sz="4" w:space="0" w:color="293F5B"/>
              <w:bottom w:val="single" w:sz="4" w:space="0" w:color="293F5B"/>
            </w:tcBorders>
            <w:shd w:val="clear" w:color="auto" w:fill="auto"/>
          </w:tcPr>
          <w:p w14:paraId="3D276AF7" w14:textId="77777777" w:rsidR="0012790E" w:rsidRPr="001C06E6" w:rsidRDefault="0012790E">
            <w:pPr>
              <w:pStyle w:val="MeasureTableDataRightAlignedwith2ptsspacing"/>
              <w:keepNext/>
            </w:pPr>
            <w:r w:rsidRPr="001C06E6">
              <w:t>16.4</w:t>
            </w:r>
          </w:p>
        </w:tc>
        <w:tc>
          <w:tcPr>
            <w:tcW w:w="1045" w:type="dxa"/>
            <w:tcBorders>
              <w:top w:val="single" w:sz="4" w:space="0" w:color="293F5B"/>
              <w:bottom w:val="single" w:sz="4" w:space="0" w:color="293F5B"/>
            </w:tcBorders>
            <w:shd w:val="clear" w:color="auto" w:fill="auto"/>
          </w:tcPr>
          <w:p w14:paraId="2C3F6531" w14:textId="77777777" w:rsidR="0012790E" w:rsidRPr="001C06E6" w:rsidRDefault="0012790E">
            <w:pPr>
              <w:pStyle w:val="MeasureTableDataRightAlignedwith2ptsspacing"/>
              <w:keepNext/>
            </w:pPr>
            <w:r w:rsidRPr="001C06E6">
              <w:t>10.1</w:t>
            </w:r>
          </w:p>
        </w:tc>
        <w:tc>
          <w:tcPr>
            <w:tcW w:w="1045" w:type="dxa"/>
            <w:tcBorders>
              <w:top w:val="single" w:sz="4" w:space="0" w:color="293F5B"/>
              <w:bottom w:val="single" w:sz="4" w:space="0" w:color="293F5B"/>
            </w:tcBorders>
            <w:shd w:val="clear" w:color="auto" w:fill="auto"/>
          </w:tcPr>
          <w:p w14:paraId="1719CC04" w14:textId="77777777" w:rsidR="0012790E" w:rsidRPr="001C06E6" w:rsidRDefault="0012790E">
            <w:pPr>
              <w:pStyle w:val="MeasureTableDataRightAlignedwith2ptsspacing"/>
              <w:keepNext/>
            </w:pPr>
            <w:r w:rsidRPr="001C06E6">
              <w:t>9.9</w:t>
            </w:r>
          </w:p>
        </w:tc>
      </w:tr>
      <w:tr w:rsidR="0012790E" w:rsidRPr="001C06E6" w14:paraId="35F9969F" w14:textId="77777777">
        <w:tc>
          <w:tcPr>
            <w:tcW w:w="2497" w:type="dxa"/>
            <w:tcBorders>
              <w:top w:val="single" w:sz="4" w:space="0" w:color="293F5B"/>
              <w:bottom w:val="single" w:sz="4" w:space="0" w:color="293F5B"/>
            </w:tcBorders>
            <w:shd w:val="clear" w:color="auto" w:fill="auto"/>
          </w:tcPr>
          <w:p w14:paraId="4AC5A8A9"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1BE42B92" w14:textId="77777777" w:rsidR="0012790E" w:rsidRPr="001C06E6" w:rsidRDefault="0012790E">
            <w:pPr>
              <w:pStyle w:val="MeasureTableDataRightAlignedwith2ptsspacing"/>
              <w:keepNext/>
            </w:pPr>
            <w:r w:rsidRPr="001C06E6">
              <w:t>0.6</w:t>
            </w:r>
          </w:p>
        </w:tc>
        <w:tc>
          <w:tcPr>
            <w:tcW w:w="1045" w:type="dxa"/>
            <w:tcBorders>
              <w:top w:val="single" w:sz="4" w:space="0" w:color="293F5B"/>
              <w:bottom w:val="single" w:sz="4" w:space="0" w:color="293F5B"/>
            </w:tcBorders>
            <w:shd w:val="clear" w:color="auto" w:fill="auto"/>
          </w:tcPr>
          <w:p w14:paraId="1B684128" w14:textId="77777777" w:rsidR="0012790E" w:rsidRPr="001C06E6" w:rsidRDefault="0012790E">
            <w:pPr>
              <w:pStyle w:val="MeasureTableDataRightAlignedwith2ptsspacing"/>
              <w:keepNext/>
            </w:pPr>
            <w:r w:rsidRPr="001C06E6">
              <w:t>0.2</w:t>
            </w:r>
          </w:p>
        </w:tc>
        <w:tc>
          <w:tcPr>
            <w:tcW w:w="1045" w:type="dxa"/>
            <w:tcBorders>
              <w:top w:val="single" w:sz="4" w:space="0" w:color="293F5B"/>
              <w:bottom w:val="single" w:sz="4" w:space="0" w:color="293F5B"/>
            </w:tcBorders>
            <w:shd w:val="clear" w:color="auto" w:fill="auto"/>
          </w:tcPr>
          <w:p w14:paraId="09984917" w14:textId="77777777" w:rsidR="0012790E" w:rsidRPr="001C06E6" w:rsidRDefault="0012790E">
            <w:pPr>
              <w:pStyle w:val="MeasureTableDataRightAlignedwith2ptsspacing"/>
              <w:keepNext/>
            </w:pPr>
            <w:r w:rsidRPr="001C06E6">
              <w:t>0.2</w:t>
            </w:r>
          </w:p>
        </w:tc>
        <w:tc>
          <w:tcPr>
            <w:tcW w:w="1045" w:type="dxa"/>
            <w:tcBorders>
              <w:top w:val="single" w:sz="4" w:space="0" w:color="293F5B"/>
              <w:bottom w:val="single" w:sz="4" w:space="0" w:color="293F5B"/>
            </w:tcBorders>
            <w:shd w:val="clear" w:color="auto" w:fill="auto"/>
          </w:tcPr>
          <w:p w14:paraId="3238BB9E" w14:textId="77777777" w:rsidR="0012790E" w:rsidRPr="001C06E6" w:rsidRDefault="0012790E">
            <w:pPr>
              <w:pStyle w:val="MeasureTableDataRightAlignedwith2ptsspacing"/>
              <w:keepNext/>
            </w:pPr>
            <w:r w:rsidRPr="001C06E6">
              <w:t>0.2</w:t>
            </w:r>
          </w:p>
        </w:tc>
        <w:tc>
          <w:tcPr>
            <w:tcW w:w="1045" w:type="dxa"/>
            <w:tcBorders>
              <w:top w:val="single" w:sz="4" w:space="0" w:color="293F5B"/>
              <w:bottom w:val="single" w:sz="4" w:space="0" w:color="293F5B"/>
            </w:tcBorders>
            <w:shd w:val="clear" w:color="auto" w:fill="auto"/>
          </w:tcPr>
          <w:p w14:paraId="45826215" w14:textId="77777777" w:rsidR="0012790E" w:rsidRPr="001C06E6" w:rsidRDefault="0012790E">
            <w:pPr>
              <w:pStyle w:val="MeasureTableDataRightAlignedwith2ptsspacing"/>
              <w:keepNext/>
            </w:pPr>
            <w:r w:rsidRPr="001C06E6">
              <w:t>0.2</w:t>
            </w:r>
          </w:p>
        </w:tc>
      </w:tr>
      <w:tr w:rsidR="0012790E" w:rsidRPr="001C06E6" w14:paraId="240AC194" w14:textId="77777777">
        <w:tc>
          <w:tcPr>
            <w:tcW w:w="2497" w:type="dxa"/>
            <w:tcBorders>
              <w:top w:val="single" w:sz="4" w:space="0" w:color="293F5B"/>
              <w:bottom w:val="single" w:sz="4" w:space="0" w:color="293F5B"/>
            </w:tcBorders>
            <w:shd w:val="clear" w:color="auto" w:fill="auto"/>
          </w:tcPr>
          <w:p w14:paraId="4314272E"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772FEC3F" w14:textId="77777777" w:rsidR="0012790E" w:rsidRPr="001C06E6" w:rsidRDefault="0012790E">
            <w:pPr>
              <w:pStyle w:val="Totaldatarowrightaligned"/>
              <w:keepNext/>
            </w:pPr>
            <w:r w:rsidRPr="001C06E6">
              <w:t>330.7</w:t>
            </w:r>
          </w:p>
        </w:tc>
        <w:tc>
          <w:tcPr>
            <w:tcW w:w="1045" w:type="dxa"/>
            <w:tcBorders>
              <w:top w:val="single" w:sz="4" w:space="0" w:color="293F5B"/>
              <w:bottom w:val="single" w:sz="4" w:space="0" w:color="293F5B"/>
            </w:tcBorders>
            <w:shd w:val="clear" w:color="auto" w:fill="auto"/>
          </w:tcPr>
          <w:p w14:paraId="0487133E" w14:textId="77777777" w:rsidR="0012790E" w:rsidRPr="001C06E6" w:rsidRDefault="0012790E">
            <w:pPr>
              <w:pStyle w:val="Totaldatarowrightaligned"/>
              <w:keepNext/>
            </w:pPr>
            <w:r w:rsidRPr="001C06E6">
              <w:t>1,042.5</w:t>
            </w:r>
          </w:p>
        </w:tc>
        <w:tc>
          <w:tcPr>
            <w:tcW w:w="1045" w:type="dxa"/>
            <w:tcBorders>
              <w:top w:val="single" w:sz="4" w:space="0" w:color="293F5B"/>
              <w:bottom w:val="single" w:sz="4" w:space="0" w:color="293F5B"/>
            </w:tcBorders>
            <w:shd w:val="clear" w:color="auto" w:fill="auto"/>
          </w:tcPr>
          <w:p w14:paraId="4CF9E9CB" w14:textId="77777777" w:rsidR="0012790E" w:rsidRPr="001C06E6" w:rsidRDefault="0012790E">
            <w:pPr>
              <w:pStyle w:val="Totaldatarowrightaligned"/>
              <w:keepNext/>
            </w:pPr>
            <w:r w:rsidRPr="001C06E6">
              <w:t>888.8</w:t>
            </w:r>
          </w:p>
        </w:tc>
        <w:tc>
          <w:tcPr>
            <w:tcW w:w="1045" w:type="dxa"/>
            <w:tcBorders>
              <w:top w:val="single" w:sz="4" w:space="0" w:color="293F5B"/>
              <w:bottom w:val="single" w:sz="4" w:space="0" w:color="293F5B"/>
            </w:tcBorders>
            <w:shd w:val="clear" w:color="auto" w:fill="auto"/>
          </w:tcPr>
          <w:p w14:paraId="2A8AFA66" w14:textId="77777777" w:rsidR="0012790E" w:rsidRPr="001C06E6" w:rsidRDefault="0012790E">
            <w:pPr>
              <w:pStyle w:val="Totaldatarowrightaligned"/>
              <w:keepNext/>
            </w:pPr>
            <w:r w:rsidRPr="001C06E6">
              <w:t>544.7</w:t>
            </w:r>
          </w:p>
        </w:tc>
        <w:tc>
          <w:tcPr>
            <w:tcW w:w="1045" w:type="dxa"/>
            <w:tcBorders>
              <w:top w:val="single" w:sz="4" w:space="0" w:color="293F5B"/>
              <w:bottom w:val="single" w:sz="4" w:space="0" w:color="293F5B"/>
            </w:tcBorders>
            <w:shd w:val="clear" w:color="auto" w:fill="auto"/>
          </w:tcPr>
          <w:p w14:paraId="30B4D2E1" w14:textId="77777777" w:rsidR="0012790E" w:rsidRPr="001C06E6" w:rsidRDefault="0012790E">
            <w:pPr>
              <w:pStyle w:val="Totaldatarowrightaligned"/>
              <w:keepNext/>
            </w:pPr>
            <w:r w:rsidRPr="001C06E6">
              <w:t>566.6</w:t>
            </w:r>
          </w:p>
        </w:tc>
      </w:tr>
      <w:tr w:rsidR="0012790E" w:rsidRPr="001C06E6" w14:paraId="6857783A" w14:textId="77777777">
        <w:tc>
          <w:tcPr>
            <w:tcW w:w="2497" w:type="dxa"/>
            <w:tcBorders>
              <w:top w:val="single" w:sz="4" w:space="0" w:color="293F5B"/>
            </w:tcBorders>
            <w:shd w:val="clear" w:color="auto" w:fill="auto"/>
          </w:tcPr>
          <w:p w14:paraId="4BB11B50"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6471B004" w14:textId="77777777" w:rsidR="0012790E" w:rsidRPr="001C06E6" w:rsidRDefault="0012790E">
            <w:pPr>
              <w:pStyle w:val="AgencyName"/>
              <w:keepNext/>
            </w:pPr>
          </w:p>
        </w:tc>
        <w:tc>
          <w:tcPr>
            <w:tcW w:w="1045" w:type="dxa"/>
            <w:tcBorders>
              <w:top w:val="single" w:sz="4" w:space="0" w:color="293F5B"/>
            </w:tcBorders>
            <w:shd w:val="clear" w:color="auto" w:fill="auto"/>
          </w:tcPr>
          <w:p w14:paraId="787A6F21" w14:textId="77777777" w:rsidR="0012790E" w:rsidRPr="001C06E6" w:rsidRDefault="0012790E">
            <w:pPr>
              <w:pStyle w:val="AgencyName"/>
              <w:keepNext/>
            </w:pPr>
          </w:p>
        </w:tc>
        <w:tc>
          <w:tcPr>
            <w:tcW w:w="1045" w:type="dxa"/>
            <w:tcBorders>
              <w:top w:val="single" w:sz="4" w:space="0" w:color="293F5B"/>
            </w:tcBorders>
            <w:shd w:val="clear" w:color="auto" w:fill="auto"/>
          </w:tcPr>
          <w:p w14:paraId="0C06317D" w14:textId="77777777" w:rsidR="0012790E" w:rsidRPr="001C06E6" w:rsidRDefault="0012790E">
            <w:pPr>
              <w:pStyle w:val="AgencyName"/>
              <w:keepNext/>
            </w:pPr>
          </w:p>
        </w:tc>
        <w:tc>
          <w:tcPr>
            <w:tcW w:w="1045" w:type="dxa"/>
            <w:tcBorders>
              <w:top w:val="single" w:sz="4" w:space="0" w:color="293F5B"/>
            </w:tcBorders>
            <w:shd w:val="clear" w:color="auto" w:fill="auto"/>
          </w:tcPr>
          <w:p w14:paraId="64A53C7C" w14:textId="77777777" w:rsidR="0012790E" w:rsidRPr="001C06E6" w:rsidRDefault="0012790E">
            <w:pPr>
              <w:pStyle w:val="AgencyName"/>
              <w:keepNext/>
            </w:pPr>
          </w:p>
        </w:tc>
        <w:tc>
          <w:tcPr>
            <w:tcW w:w="1045" w:type="dxa"/>
            <w:tcBorders>
              <w:top w:val="single" w:sz="4" w:space="0" w:color="293F5B"/>
            </w:tcBorders>
            <w:shd w:val="clear" w:color="auto" w:fill="auto"/>
          </w:tcPr>
          <w:p w14:paraId="320E441A" w14:textId="77777777" w:rsidR="0012790E" w:rsidRPr="001C06E6" w:rsidRDefault="0012790E">
            <w:pPr>
              <w:pStyle w:val="AgencyName"/>
              <w:keepNext/>
            </w:pPr>
          </w:p>
        </w:tc>
      </w:tr>
      <w:tr w:rsidR="0012790E" w:rsidRPr="001C06E6" w14:paraId="78686977" w14:textId="77777777">
        <w:tc>
          <w:tcPr>
            <w:tcW w:w="2497" w:type="dxa"/>
            <w:tcBorders>
              <w:bottom w:val="single" w:sz="4" w:space="0" w:color="293F5B"/>
            </w:tcBorders>
            <w:shd w:val="clear" w:color="auto" w:fill="auto"/>
          </w:tcPr>
          <w:p w14:paraId="7EAC40A7" w14:textId="77777777" w:rsidR="0012790E" w:rsidRPr="001C06E6" w:rsidRDefault="0012790E">
            <w:pPr>
              <w:pStyle w:val="AgencyNamewith2ptsspacing"/>
              <w:keepNext/>
            </w:pPr>
            <w:r>
              <w:t xml:space="preserve">Department of Health and Aged Care </w:t>
            </w:r>
          </w:p>
        </w:tc>
        <w:tc>
          <w:tcPr>
            <w:tcW w:w="1045" w:type="dxa"/>
            <w:tcBorders>
              <w:bottom w:val="single" w:sz="4" w:space="0" w:color="293F5B"/>
            </w:tcBorders>
            <w:shd w:val="clear" w:color="auto" w:fill="auto"/>
          </w:tcPr>
          <w:p w14:paraId="313942FA" w14:textId="77777777" w:rsidR="0012790E" w:rsidRPr="001C06E6" w:rsidRDefault="0012790E">
            <w:pPr>
              <w:pStyle w:val="Measuretabledatarightaligneditalics"/>
              <w:keepNext/>
            </w:pPr>
            <w:r>
              <w:t xml:space="preserve">nfp </w:t>
            </w:r>
          </w:p>
        </w:tc>
        <w:tc>
          <w:tcPr>
            <w:tcW w:w="1045" w:type="dxa"/>
            <w:tcBorders>
              <w:bottom w:val="single" w:sz="4" w:space="0" w:color="293F5B"/>
            </w:tcBorders>
            <w:shd w:val="clear" w:color="auto" w:fill="auto"/>
          </w:tcPr>
          <w:p w14:paraId="7CCB317B" w14:textId="77777777" w:rsidR="0012790E" w:rsidRPr="001C06E6" w:rsidRDefault="0012790E">
            <w:pPr>
              <w:pStyle w:val="Measuretabledatarightaligneditalics"/>
              <w:keepNext/>
            </w:pPr>
            <w:r>
              <w:t xml:space="preserve">nfp </w:t>
            </w:r>
          </w:p>
        </w:tc>
        <w:tc>
          <w:tcPr>
            <w:tcW w:w="1045" w:type="dxa"/>
            <w:tcBorders>
              <w:bottom w:val="single" w:sz="4" w:space="0" w:color="293F5B"/>
            </w:tcBorders>
            <w:shd w:val="clear" w:color="auto" w:fill="auto"/>
          </w:tcPr>
          <w:p w14:paraId="1A363286" w14:textId="77777777" w:rsidR="0012790E" w:rsidRPr="001C06E6" w:rsidRDefault="0012790E">
            <w:pPr>
              <w:pStyle w:val="Measuretabledatarightaligneditalics"/>
              <w:keepNext/>
            </w:pPr>
            <w:r>
              <w:t xml:space="preserve">nfp </w:t>
            </w:r>
          </w:p>
        </w:tc>
        <w:tc>
          <w:tcPr>
            <w:tcW w:w="1045" w:type="dxa"/>
            <w:tcBorders>
              <w:bottom w:val="single" w:sz="4" w:space="0" w:color="293F5B"/>
            </w:tcBorders>
            <w:shd w:val="clear" w:color="auto" w:fill="auto"/>
          </w:tcPr>
          <w:p w14:paraId="2C3CF574" w14:textId="77777777" w:rsidR="0012790E" w:rsidRPr="001C06E6" w:rsidRDefault="0012790E">
            <w:pPr>
              <w:pStyle w:val="Measuretabledatarightaligneditalics"/>
              <w:keepNext/>
            </w:pPr>
            <w:r>
              <w:t xml:space="preserve">nfp </w:t>
            </w:r>
          </w:p>
        </w:tc>
        <w:tc>
          <w:tcPr>
            <w:tcW w:w="1045" w:type="dxa"/>
            <w:tcBorders>
              <w:bottom w:val="single" w:sz="4" w:space="0" w:color="293F5B"/>
            </w:tcBorders>
            <w:shd w:val="clear" w:color="auto" w:fill="auto"/>
          </w:tcPr>
          <w:p w14:paraId="39A13483" w14:textId="77777777" w:rsidR="0012790E" w:rsidRPr="001C06E6" w:rsidRDefault="0012790E">
            <w:pPr>
              <w:pStyle w:val="Measuretabledatarightaligneditalics"/>
              <w:keepNext/>
            </w:pPr>
            <w:r>
              <w:t xml:space="preserve">nfp </w:t>
            </w:r>
          </w:p>
        </w:tc>
      </w:tr>
    </w:tbl>
    <w:p w14:paraId="58A2FF4D" w14:textId="77777777" w:rsidR="0012790E" w:rsidRPr="001C06E6" w:rsidRDefault="0012790E">
      <w:pPr>
        <w:keepNext/>
        <w:widowControl w:val="0"/>
        <w:spacing w:line="184" w:lineRule="exact"/>
        <w:rPr>
          <w:i/>
          <w:iCs/>
          <w:color w:val="000000"/>
          <w:sz w:val="16"/>
          <w:szCs w:val="16"/>
          <w:lang w:val="en-AU"/>
        </w:rPr>
      </w:pPr>
    </w:p>
    <w:p w14:paraId="00291D98" w14:textId="77777777" w:rsidR="0012790E" w:rsidRDefault="0012790E" w:rsidP="54937204">
      <w:pPr>
        <w:pStyle w:val="Normal2"/>
        <w:rPr>
          <w:rFonts w:cs="Book Antiqua"/>
          <w:lang w:val="en-US"/>
        </w:rPr>
      </w:pPr>
      <w:r w:rsidRPr="54937204">
        <w:rPr>
          <w:rFonts w:cs="Book Antiqua"/>
          <w:lang w:val="en-US"/>
        </w:rPr>
        <w:t>The Government will provide $3.4 billion over five years from 2023–24 for new and amended listings on the Pharmaceutical Benefits Scheme (PBS) and the Repatriation Pharmaceutical Benefits Scheme. Examples of new and amended PBS listings since the 2023–24 MYEFO include:</w:t>
      </w:r>
    </w:p>
    <w:p w14:paraId="446103EB" w14:textId="77777777" w:rsidR="0012790E" w:rsidRDefault="0012790E">
      <w:pPr>
        <w:pStyle w:val="Bullet"/>
      </w:pPr>
      <w:r w:rsidRPr="001C06E6">
        <w:t>nirmatrelvir and ritonavir (Paxlovid®) and molnupiravir (Lagevrio®), for the treatment of adults with COVID</w:t>
      </w:r>
      <w:r>
        <w:noBreakHyphen/>
      </w:r>
      <w:r w:rsidRPr="001C06E6">
        <w:t>19</w:t>
      </w:r>
      <w:r>
        <w:t xml:space="preserve"> </w:t>
      </w:r>
    </w:p>
    <w:p w14:paraId="58E034F3" w14:textId="77777777" w:rsidR="0012790E" w:rsidRDefault="0012790E">
      <w:pPr>
        <w:pStyle w:val="Bullet"/>
      </w:pPr>
      <w:r w:rsidRPr="001C06E6">
        <w:t>acalabrutinib (Calquence®) from 1</w:t>
      </w:r>
      <w:r>
        <w:t> </w:t>
      </w:r>
      <w:r w:rsidRPr="001C06E6">
        <w:t>January</w:t>
      </w:r>
      <w:r>
        <w:t> </w:t>
      </w:r>
      <w:r w:rsidRPr="001C06E6">
        <w:t>2024, for the treatment of patients with previously untreated chronic lymphocytic leukaemia or small lymphocytic lymphoma</w:t>
      </w:r>
      <w:r>
        <w:t xml:space="preserve"> </w:t>
      </w:r>
    </w:p>
    <w:p w14:paraId="2C5C29B1" w14:textId="77777777" w:rsidR="0012790E" w:rsidRDefault="0012790E">
      <w:pPr>
        <w:pStyle w:val="Bullet"/>
      </w:pPr>
      <w:r w:rsidRPr="001C06E6">
        <w:t>lumacaftor with ivacaftor (Orkambi®) from 1</w:t>
      </w:r>
      <w:r>
        <w:t> </w:t>
      </w:r>
      <w:r w:rsidRPr="001C06E6">
        <w:t>January</w:t>
      </w:r>
      <w:r>
        <w:t> </w:t>
      </w:r>
      <w:r w:rsidRPr="001C06E6">
        <w:t>2024, for the treatment of cystic fibrosis in one</w:t>
      </w:r>
      <w:r>
        <w:noBreakHyphen/>
      </w:r>
      <w:r w:rsidRPr="001C06E6">
        <w:t>year</w:t>
      </w:r>
      <w:r>
        <w:noBreakHyphen/>
      </w:r>
      <w:r w:rsidRPr="001C06E6">
        <w:t>old infants, homozygous for the F508del mutation</w:t>
      </w:r>
      <w:r>
        <w:t xml:space="preserve"> </w:t>
      </w:r>
    </w:p>
    <w:p w14:paraId="66B835DA" w14:textId="77777777" w:rsidR="0012790E" w:rsidRDefault="0012790E">
      <w:pPr>
        <w:pStyle w:val="Bullet"/>
      </w:pPr>
      <w:r w:rsidRPr="001C06E6">
        <w:t>natalizumab (Tysabri®) from 1</w:t>
      </w:r>
      <w:r>
        <w:t> </w:t>
      </w:r>
      <w:r w:rsidRPr="001C06E6">
        <w:t>February</w:t>
      </w:r>
      <w:r>
        <w:t> </w:t>
      </w:r>
      <w:r w:rsidRPr="001C06E6">
        <w:t>2024, for the treatment of relapsing remitting multiple sclerosis</w:t>
      </w:r>
      <w:r>
        <w:t xml:space="preserve"> </w:t>
      </w:r>
    </w:p>
    <w:p w14:paraId="43F6E222" w14:textId="77777777" w:rsidR="0012790E" w:rsidRDefault="0012790E">
      <w:pPr>
        <w:pStyle w:val="Bullet"/>
      </w:pPr>
      <w:r w:rsidRPr="001C06E6">
        <w:t>tebentafusp (Kimmtrak®) from 1</w:t>
      </w:r>
      <w:r>
        <w:t> </w:t>
      </w:r>
      <w:r w:rsidRPr="001C06E6">
        <w:t>February</w:t>
      </w:r>
      <w:r>
        <w:t> </w:t>
      </w:r>
      <w:r w:rsidRPr="001C06E6">
        <w:t>2024, for the treatment of advanced melanoma of the middle layer of the eye (uvea)</w:t>
      </w:r>
      <w:r>
        <w:t xml:space="preserve"> </w:t>
      </w:r>
    </w:p>
    <w:p w14:paraId="714E0871" w14:textId="77777777" w:rsidR="0012790E" w:rsidRDefault="0012790E">
      <w:pPr>
        <w:pStyle w:val="Bullet"/>
      </w:pPr>
      <w:r w:rsidRPr="001C06E6">
        <w:t>dapagliflozin (Forxiga®) from 1</w:t>
      </w:r>
      <w:r>
        <w:t> </w:t>
      </w:r>
      <w:r w:rsidRPr="001C06E6">
        <w:t>March</w:t>
      </w:r>
      <w:r>
        <w:t> </w:t>
      </w:r>
      <w:r w:rsidRPr="001C06E6">
        <w:t>2024, for the treatment of chronic heart failure in patients with a left ventricular ejection fraction (LVEF) greater than 40 per cent</w:t>
      </w:r>
      <w:r>
        <w:t xml:space="preserve"> </w:t>
      </w:r>
    </w:p>
    <w:p w14:paraId="59A6CBF0" w14:textId="77777777" w:rsidR="0012790E" w:rsidRDefault="0012790E">
      <w:pPr>
        <w:pStyle w:val="Bullet"/>
      </w:pPr>
      <w:r w:rsidRPr="001C06E6">
        <w:t>empagliflozin (Jardiance®) from 1</w:t>
      </w:r>
      <w:r>
        <w:t> </w:t>
      </w:r>
      <w:r w:rsidRPr="001C06E6">
        <w:t>April</w:t>
      </w:r>
      <w:r>
        <w:t> </w:t>
      </w:r>
      <w:r w:rsidRPr="001C06E6">
        <w:t>2024, for the treatment of chronic kidney disease</w:t>
      </w:r>
      <w:r>
        <w:t xml:space="preserve"> </w:t>
      </w:r>
    </w:p>
    <w:p w14:paraId="6EEA9DD0" w14:textId="77777777" w:rsidR="0012790E" w:rsidRDefault="0012790E">
      <w:pPr>
        <w:pStyle w:val="Bullet"/>
      </w:pPr>
      <w:r w:rsidRPr="001C06E6">
        <w:t>niraparib (Zejula®) from 1</w:t>
      </w:r>
      <w:r>
        <w:t> </w:t>
      </w:r>
      <w:r w:rsidRPr="001C06E6">
        <w:t>April</w:t>
      </w:r>
      <w:r>
        <w:t> </w:t>
      </w:r>
      <w:r w:rsidRPr="001C06E6">
        <w:t>2024, for the treatment of patients with newly diagnosed ovarian cancer that is Homologous Recombination Deficiency positive</w:t>
      </w:r>
      <w:r>
        <w:t xml:space="preserve"> </w:t>
      </w:r>
    </w:p>
    <w:p w14:paraId="39B5166B" w14:textId="77777777" w:rsidR="0012790E" w:rsidRDefault="0012790E">
      <w:pPr>
        <w:pStyle w:val="Bullet"/>
      </w:pPr>
      <w:r w:rsidRPr="001C06E6">
        <w:t>abemaciclib (Verzenio®) from 1</w:t>
      </w:r>
      <w:r>
        <w:t> </w:t>
      </w:r>
      <w:r w:rsidRPr="001C06E6">
        <w:t>May</w:t>
      </w:r>
      <w:r>
        <w:t> </w:t>
      </w:r>
      <w:r w:rsidRPr="001C06E6">
        <w:t>2024, for the treatment of Hormone Receptor Positive, Human Epidermal Growth Factor Receptor 2 Negative Early Breast Cancer</w:t>
      </w:r>
      <w:r>
        <w:t xml:space="preserve"> </w:t>
      </w:r>
    </w:p>
    <w:p w14:paraId="7329E966" w14:textId="77777777" w:rsidR="0012790E" w:rsidRDefault="0012790E">
      <w:pPr>
        <w:pStyle w:val="Bullet"/>
      </w:pPr>
      <w:r w:rsidRPr="001C06E6">
        <w:t>mavacamten (Camzyos®) from 1</w:t>
      </w:r>
      <w:r>
        <w:t> </w:t>
      </w:r>
      <w:r w:rsidRPr="001C06E6">
        <w:t>May</w:t>
      </w:r>
      <w:r>
        <w:t> </w:t>
      </w:r>
      <w:r w:rsidRPr="001C06E6">
        <w:t>2024, for the treatment of adults with symptomatic obstructive hypertrophic cardiomyopathy</w:t>
      </w:r>
      <w:r>
        <w:t xml:space="preserve"> </w:t>
      </w:r>
    </w:p>
    <w:p w14:paraId="29EBE8CA" w14:textId="77777777" w:rsidR="0012790E" w:rsidRDefault="0012790E">
      <w:pPr>
        <w:pStyle w:val="Bullet"/>
      </w:pPr>
      <w:r w:rsidRPr="001C06E6">
        <w:t>tafamidis (Vyndamax®) from 1</w:t>
      </w:r>
      <w:r>
        <w:t> </w:t>
      </w:r>
      <w:r w:rsidRPr="001C06E6">
        <w:t>May</w:t>
      </w:r>
      <w:r>
        <w:t> </w:t>
      </w:r>
      <w:r w:rsidRPr="001C06E6">
        <w:t>2024, for the treatment of transthyretin amyloid cardiomyopathy.</w:t>
      </w:r>
      <w:r>
        <w:t xml:space="preserve"> </w:t>
      </w:r>
    </w:p>
    <w:p w14:paraId="5A4E553D" w14:textId="77777777" w:rsidR="0012790E" w:rsidRDefault="0012790E" w:rsidP="54937204">
      <w:pPr>
        <w:pStyle w:val="Normal2"/>
        <w:rPr>
          <w:rFonts w:cs="Book Antiqua"/>
          <w:lang w:val="en-US"/>
        </w:rPr>
      </w:pPr>
      <w:r w:rsidRPr="54937204">
        <w:rPr>
          <w:rFonts w:cs="Book Antiqua"/>
          <w:lang w:val="en-US"/>
        </w:rPr>
        <w:t xml:space="preserve">The financial implications for some elements of this measure are not for publication (nfp), as disclosure of funding would reveal individual arrangements between third parties and the Commonwealth that are confidential and commercially privileged, which must not be disclosed under Deeds of Agreements. </w:t>
      </w:r>
    </w:p>
    <w:p w14:paraId="0A28E66C" w14:textId="77777777" w:rsidR="0012790E" w:rsidRPr="001C06E6" w:rsidRDefault="0012790E">
      <w:pPr>
        <w:pStyle w:val="MeasureTitle"/>
        <w:rPr>
          <w:b w:val="0"/>
          <w:bCs/>
        </w:rPr>
      </w:pPr>
      <w:r w:rsidRPr="001C06E6">
        <w:rPr>
          <w:bCs/>
        </w:rPr>
        <w:t>Portfolio Administrative Matters</w:t>
      </w:r>
    </w:p>
    <w:p w14:paraId="5E1C67DE"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B941DED" w14:textId="77777777">
        <w:tc>
          <w:tcPr>
            <w:tcW w:w="2497" w:type="dxa"/>
            <w:tcBorders>
              <w:top w:val="single" w:sz="4" w:space="0" w:color="293F5B"/>
              <w:bottom w:val="single" w:sz="4" w:space="0" w:color="293F5B"/>
            </w:tcBorders>
            <w:shd w:val="clear" w:color="auto" w:fill="auto"/>
          </w:tcPr>
          <w:p w14:paraId="02C9970E"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AB49AAD"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D9EA73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A825EBC"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56793AD2"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3D2730B" w14:textId="77777777" w:rsidR="0012790E" w:rsidRPr="001C06E6" w:rsidRDefault="0012790E">
            <w:pPr>
              <w:pStyle w:val="MeasureTableYearHeadings"/>
              <w:keepNext/>
            </w:pPr>
            <w:r w:rsidRPr="001C06E6">
              <w:t>2027</w:t>
            </w:r>
            <w:r>
              <w:noBreakHyphen/>
            </w:r>
            <w:r w:rsidRPr="001C06E6">
              <w:t>28</w:t>
            </w:r>
          </w:p>
        </w:tc>
      </w:tr>
      <w:tr w:rsidR="0012790E" w:rsidRPr="001C06E6" w14:paraId="1F1FD76E" w14:textId="77777777">
        <w:tc>
          <w:tcPr>
            <w:tcW w:w="2497" w:type="dxa"/>
            <w:tcBorders>
              <w:top w:val="single" w:sz="4" w:space="0" w:color="293F5B"/>
              <w:bottom w:val="single" w:sz="4" w:space="0" w:color="293F5B"/>
            </w:tcBorders>
            <w:shd w:val="clear" w:color="auto" w:fill="auto"/>
          </w:tcPr>
          <w:p w14:paraId="3C4CD807" w14:textId="77777777" w:rsidR="0012790E" w:rsidRPr="001C06E6" w:rsidRDefault="0012790E">
            <w:pPr>
              <w:pStyle w:val="MeasureTableHeadingleftalignedwith2ptsspacing"/>
              <w:keepNext/>
            </w:pPr>
            <w:r>
              <w:t xml:space="preserve">National Health and Medical Research Council </w:t>
            </w:r>
          </w:p>
        </w:tc>
        <w:tc>
          <w:tcPr>
            <w:tcW w:w="1045" w:type="dxa"/>
            <w:tcBorders>
              <w:top w:val="single" w:sz="4" w:space="0" w:color="293F5B"/>
              <w:bottom w:val="single" w:sz="4" w:space="0" w:color="293F5B"/>
            </w:tcBorders>
            <w:shd w:val="clear" w:color="auto" w:fill="auto"/>
          </w:tcPr>
          <w:p w14:paraId="6B085098" w14:textId="77777777" w:rsidR="0012790E" w:rsidRPr="001C06E6" w:rsidRDefault="0012790E">
            <w:pPr>
              <w:pStyle w:val="MeasureTableDataRightAlignedwith2ptsspacing"/>
              <w:keepNext/>
            </w:pPr>
            <w:r>
              <w:t xml:space="preserve">9.0 </w:t>
            </w:r>
          </w:p>
        </w:tc>
        <w:tc>
          <w:tcPr>
            <w:tcW w:w="1045" w:type="dxa"/>
            <w:tcBorders>
              <w:top w:val="single" w:sz="4" w:space="0" w:color="293F5B"/>
              <w:bottom w:val="single" w:sz="4" w:space="0" w:color="293F5B"/>
            </w:tcBorders>
            <w:shd w:val="clear" w:color="auto" w:fill="auto"/>
          </w:tcPr>
          <w:p w14:paraId="3908BF12"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F96E617"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B05BDF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654D298" w14:textId="77777777" w:rsidR="0012790E" w:rsidRPr="001C06E6" w:rsidRDefault="0012790E">
            <w:pPr>
              <w:pStyle w:val="MeasureTableDataRightAlignedwith2ptsspacing"/>
              <w:keepNext/>
            </w:pPr>
            <w:r>
              <w:t xml:space="preserve">- </w:t>
            </w:r>
          </w:p>
        </w:tc>
      </w:tr>
      <w:tr w:rsidR="0012790E" w:rsidRPr="001C06E6" w14:paraId="4BD386AC" w14:textId="77777777">
        <w:tc>
          <w:tcPr>
            <w:tcW w:w="2497" w:type="dxa"/>
            <w:tcBorders>
              <w:top w:val="single" w:sz="4" w:space="0" w:color="293F5B"/>
              <w:bottom w:val="single" w:sz="4" w:space="0" w:color="293F5B"/>
            </w:tcBorders>
            <w:shd w:val="clear" w:color="auto" w:fill="auto"/>
          </w:tcPr>
          <w:p w14:paraId="23985202"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258ECF4D" w14:textId="77777777" w:rsidR="0012790E" w:rsidRPr="001C06E6" w:rsidRDefault="0012790E">
            <w:pPr>
              <w:pStyle w:val="MeasureTableDataRightAlignedwith2ptsspacing"/>
              <w:keepNext/>
            </w:pPr>
            <w:r>
              <w:t xml:space="preserve">7.0 </w:t>
            </w:r>
          </w:p>
        </w:tc>
        <w:tc>
          <w:tcPr>
            <w:tcW w:w="1045" w:type="dxa"/>
            <w:tcBorders>
              <w:top w:val="single" w:sz="4" w:space="0" w:color="293F5B"/>
              <w:bottom w:val="single" w:sz="4" w:space="0" w:color="293F5B"/>
            </w:tcBorders>
            <w:shd w:val="clear" w:color="auto" w:fill="auto"/>
          </w:tcPr>
          <w:p w14:paraId="72B375C4" w14:textId="77777777" w:rsidR="0012790E" w:rsidRPr="001C06E6" w:rsidRDefault="0012790E">
            <w:pPr>
              <w:pStyle w:val="MeasureTableDataRightAlignedwith2ptsspacing"/>
              <w:keepNext/>
            </w:pPr>
            <w:r>
              <w:t xml:space="preserve">24.2 </w:t>
            </w:r>
          </w:p>
        </w:tc>
        <w:tc>
          <w:tcPr>
            <w:tcW w:w="1045" w:type="dxa"/>
            <w:tcBorders>
              <w:top w:val="single" w:sz="4" w:space="0" w:color="293F5B"/>
              <w:bottom w:val="single" w:sz="4" w:space="0" w:color="293F5B"/>
            </w:tcBorders>
            <w:shd w:val="clear" w:color="auto" w:fill="auto"/>
          </w:tcPr>
          <w:p w14:paraId="69B9D444" w14:textId="77777777" w:rsidR="0012790E" w:rsidRPr="001C06E6" w:rsidRDefault="0012790E">
            <w:pPr>
              <w:pStyle w:val="MeasureTableDataRightAlignedwith2ptsspacing"/>
              <w:keepNext/>
            </w:pPr>
            <w:r>
              <w:t xml:space="preserve">22.7 </w:t>
            </w:r>
          </w:p>
        </w:tc>
        <w:tc>
          <w:tcPr>
            <w:tcW w:w="1045" w:type="dxa"/>
            <w:tcBorders>
              <w:top w:val="single" w:sz="4" w:space="0" w:color="293F5B"/>
              <w:bottom w:val="single" w:sz="4" w:space="0" w:color="293F5B"/>
            </w:tcBorders>
            <w:shd w:val="clear" w:color="auto" w:fill="auto"/>
          </w:tcPr>
          <w:p w14:paraId="19111C7B" w14:textId="77777777" w:rsidR="0012790E" w:rsidRPr="001C06E6" w:rsidRDefault="0012790E">
            <w:pPr>
              <w:pStyle w:val="MeasureTableDataRightAlignedwith2ptsspacing"/>
              <w:keepNext/>
            </w:pPr>
            <w:r>
              <w:t xml:space="preserve">10.6 </w:t>
            </w:r>
          </w:p>
        </w:tc>
        <w:tc>
          <w:tcPr>
            <w:tcW w:w="1045" w:type="dxa"/>
            <w:tcBorders>
              <w:top w:val="single" w:sz="4" w:space="0" w:color="293F5B"/>
              <w:bottom w:val="single" w:sz="4" w:space="0" w:color="293F5B"/>
            </w:tcBorders>
            <w:shd w:val="clear" w:color="auto" w:fill="auto"/>
          </w:tcPr>
          <w:p w14:paraId="407E641D" w14:textId="77777777" w:rsidR="0012790E" w:rsidRPr="001C06E6" w:rsidRDefault="0012790E">
            <w:pPr>
              <w:pStyle w:val="MeasureTableDataRightAlignedwith2ptsspacing"/>
              <w:keepNext/>
            </w:pPr>
            <w:r>
              <w:t xml:space="preserve">8.8 </w:t>
            </w:r>
          </w:p>
        </w:tc>
      </w:tr>
      <w:tr w:rsidR="0012790E" w:rsidRPr="001C06E6" w14:paraId="150086FA" w14:textId="77777777">
        <w:tc>
          <w:tcPr>
            <w:tcW w:w="2497" w:type="dxa"/>
            <w:tcBorders>
              <w:top w:val="single" w:sz="4" w:space="0" w:color="293F5B"/>
              <w:bottom w:val="single" w:sz="4" w:space="0" w:color="293F5B"/>
            </w:tcBorders>
            <w:shd w:val="clear" w:color="auto" w:fill="auto"/>
          </w:tcPr>
          <w:p w14:paraId="0CE26208" w14:textId="77777777" w:rsidR="0012790E" w:rsidRPr="001C06E6" w:rsidRDefault="0012790E">
            <w:pPr>
              <w:pStyle w:val="MeasureTableHeadingleftalignedwith2ptsspacing"/>
              <w:keepNext/>
            </w:pPr>
            <w:r w:rsidRPr="001C06E6">
              <w:t>National Blood Authority</w:t>
            </w:r>
          </w:p>
        </w:tc>
        <w:tc>
          <w:tcPr>
            <w:tcW w:w="1045" w:type="dxa"/>
            <w:tcBorders>
              <w:top w:val="single" w:sz="4" w:space="0" w:color="293F5B"/>
              <w:bottom w:val="single" w:sz="4" w:space="0" w:color="293F5B"/>
            </w:tcBorders>
            <w:shd w:val="clear" w:color="auto" w:fill="auto"/>
          </w:tcPr>
          <w:p w14:paraId="63D795C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09B1C49" w14:textId="77777777" w:rsidR="0012790E" w:rsidRPr="001C06E6" w:rsidRDefault="0012790E">
            <w:pPr>
              <w:pStyle w:val="MeasureTableDataRightAlignedwith2ptsspacing"/>
              <w:keepNext/>
            </w:pPr>
            <w:r w:rsidRPr="001C06E6">
              <w:t>2.6</w:t>
            </w:r>
          </w:p>
        </w:tc>
        <w:tc>
          <w:tcPr>
            <w:tcW w:w="1045" w:type="dxa"/>
            <w:tcBorders>
              <w:top w:val="single" w:sz="4" w:space="0" w:color="293F5B"/>
              <w:bottom w:val="single" w:sz="4" w:space="0" w:color="293F5B"/>
            </w:tcBorders>
            <w:shd w:val="clear" w:color="auto" w:fill="auto"/>
          </w:tcPr>
          <w:p w14:paraId="3999008D" w14:textId="77777777" w:rsidR="0012790E" w:rsidRPr="001C06E6" w:rsidRDefault="0012790E">
            <w:pPr>
              <w:pStyle w:val="MeasureTableDataRightAlignedwith2ptsspacing"/>
              <w:keepNext/>
            </w:pPr>
            <w:r w:rsidRPr="001C06E6">
              <w:t>2.7</w:t>
            </w:r>
          </w:p>
        </w:tc>
        <w:tc>
          <w:tcPr>
            <w:tcW w:w="1045" w:type="dxa"/>
            <w:tcBorders>
              <w:top w:val="single" w:sz="4" w:space="0" w:color="293F5B"/>
              <w:bottom w:val="single" w:sz="4" w:space="0" w:color="293F5B"/>
            </w:tcBorders>
            <w:shd w:val="clear" w:color="auto" w:fill="auto"/>
          </w:tcPr>
          <w:p w14:paraId="3DB6E782" w14:textId="77777777" w:rsidR="0012790E" w:rsidRPr="001C06E6" w:rsidRDefault="0012790E">
            <w:pPr>
              <w:pStyle w:val="MeasureTableDataRightAlignedwith2ptsspacing"/>
              <w:keepNext/>
            </w:pPr>
            <w:r w:rsidRPr="001C06E6">
              <w:t>2.8</w:t>
            </w:r>
          </w:p>
        </w:tc>
        <w:tc>
          <w:tcPr>
            <w:tcW w:w="1045" w:type="dxa"/>
            <w:tcBorders>
              <w:top w:val="single" w:sz="4" w:space="0" w:color="293F5B"/>
              <w:bottom w:val="single" w:sz="4" w:space="0" w:color="293F5B"/>
            </w:tcBorders>
            <w:shd w:val="clear" w:color="auto" w:fill="auto"/>
          </w:tcPr>
          <w:p w14:paraId="2CDC283D" w14:textId="77777777" w:rsidR="0012790E" w:rsidRPr="001C06E6" w:rsidRDefault="0012790E">
            <w:pPr>
              <w:pStyle w:val="MeasureTableDataRightAlignedwith2ptsspacing"/>
              <w:keepNext/>
            </w:pPr>
            <w:r w:rsidRPr="001C06E6">
              <w:t>2.8</w:t>
            </w:r>
          </w:p>
        </w:tc>
      </w:tr>
      <w:tr w:rsidR="0012790E" w:rsidRPr="001C06E6" w14:paraId="0C20F38F" w14:textId="77777777">
        <w:tc>
          <w:tcPr>
            <w:tcW w:w="2497" w:type="dxa"/>
            <w:tcBorders>
              <w:top w:val="single" w:sz="4" w:space="0" w:color="293F5B"/>
              <w:bottom w:val="single" w:sz="4" w:space="0" w:color="293F5B"/>
            </w:tcBorders>
            <w:shd w:val="clear" w:color="auto" w:fill="auto"/>
          </w:tcPr>
          <w:p w14:paraId="5046DDFD" w14:textId="77777777" w:rsidR="0012790E" w:rsidRPr="001C06E6" w:rsidRDefault="0012790E">
            <w:pPr>
              <w:pStyle w:val="MeasureTableHeadingleftalignedwith2ptsspacing"/>
              <w:keepNext/>
            </w:pPr>
            <w:r>
              <w:t xml:space="preserve">National Mental Health Commission </w:t>
            </w:r>
          </w:p>
        </w:tc>
        <w:tc>
          <w:tcPr>
            <w:tcW w:w="1045" w:type="dxa"/>
            <w:tcBorders>
              <w:top w:val="single" w:sz="4" w:space="0" w:color="293F5B"/>
              <w:bottom w:val="single" w:sz="4" w:space="0" w:color="293F5B"/>
            </w:tcBorders>
            <w:shd w:val="clear" w:color="auto" w:fill="auto"/>
          </w:tcPr>
          <w:p w14:paraId="49BF2374"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4BFEC3C" w14:textId="77777777" w:rsidR="0012790E" w:rsidRPr="001C06E6" w:rsidRDefault="0012790E">
            <w:pPr>
              <w:pStyle w:val="MeasureTableDataRightAlignedwith2ptsspacing"/>
              <w:keepNext/>
            </w:pPr>
            <w:r>
              <w:t xml:space="preserve">-12.7 </w:t>
            </w:r>
          </w:p>
        </w:tc>
        <w:tc>
          <w:tcPr>
            <w:tcW w:w="1045" w:type="dxa"/>
            <w:tcBorders>
              <w:top w:val="single" w:sz="4" w:space="0" w:color="293F5B"/>
              <w:bottom w:val="single" w:sz="4" w:space="0" w:color="293F5B"/>
            </w:tcBorders>
            <w:shd w:val="clear" w:color="auto" w:fill="auto"/>
          </w:tcPr>
          <w:p w14:paraId="11D6A47F" w14:textId="77777777" w:rsidR="0012790E" w:rsidRPr="001C06E6" w:rsidRDefault="0012790E">
            <w:pPr>
              <w:pStyle w:val="MeasureTableDataRightAlignedwith2ptsspacing"/>
              <w:keepNext/>
            </w:pPr>
            <w:r>
              <w:t xml:space="preserve">-17.2 </w:t>
            </w:r>
          </w:p>
        </w:tc>
        <w:tc>
          <w:tcPr>
            <w:tcW w:w="1045" w:type="dxa"/>
            <w:tcBorders>
              <w:top w:val="single" w:sz="4" w:space="0" w:color="293F5B"/>
              <w:bottom w:val="single" w:sz="4" w:space="0" w:color="293F5B"/>
            </w:tcBorders>
            <w:shd w:val="clear" w:color="auto" w:fill="auto"/>
          </w:tcPr>
          <w:p w14:paraId="727168C9" w14:textId="77777777" w:rsidR="0012790E" w:rsidRPr="001C06E6" w:rsidRDefault="0012790E">
            <w:pPr>
              <w:pStyle w:val="MeasureTableDataRightAlignedwith2ptsspacing"/>
              <w:keepNext/>
            </w:pPr>
            <w:r>
              <w:t xml:space="preserve">-17.6 </w:t>
            </w:r>
          </w:p>
        </w:tc>
        <w:tc>
          <w:tcPr>
            <w:tcW w:w="1045" w:type="dxa"/>
            <w:tcBorders>
              <w:top w:val="single" w:sz="4" w:space="0" w:color="293F5B"/>
              <w:bottom w:val="single" w:sz="4" w:space="0" w:color="293F5B"/>
            </w:tcBorders>
            <w:shd w:val="clear" w:color="auto" w:fill="auto"/>
          </w:tcPr>
          <w:p w14:paraId="03CDE042" w14:textId="77777777" w:rsidR="0012790E" w:rsidRPr="001C06E6" w:rsidRDefault="0012790E">
            <w:pPr>
              <w:pStyle w:val="MeasureTableDataRightAlignedwith2ptsspacing"/>
              <w:keepNext/>
            </w:pPr>
            <w:r>
              <w:t xml:space="preserve">-17.8 </w:t>
            </w:r>
          </w:p>
        </w:tc>
      </w:tr>
      <w:tr w:rsidR="0012790E" w:rsidRPr="001C06E6" w14:paraId="13D7E5AA" w14:textId="77777777">
        <w:tc>
          <w:tcPr>
            <w:tcW w:w="2497" w:type="dxa"/>
            <w:tcBorders>
              <w:top w:val="single" w:sz="4" w:space="0" w:color="293F5B"/>
              <w:bottom w:val="single" w:sz="4" w:space="0" w:color="293F5B"/>
            </w:tcBorders>
            <w:shd w:val="clear" w:color="auto" w:fill="auto"/>
          </w:tcPr>
          <w:p w14:paraId="672C7589"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2FA5F8A4" w14:textId="77777777" w:rsidR="0012790E" w:rsidRPr="001C06E6" w:rsidRDefault="0012790E">
            <w:pPr>
              <w:pStyle w:val="MeasureTableDataRightAlignedwith2ptsspacing"/>
              <w:keepNext/>
            </w:pPr>
            <w:r w:rsidRPr="001C06E6">
              <w:t>-8.4</w:t>
            </w:r>
          </w:p>
        </w:tc>
        <w:tc>
          <w:tcPr>
            <w:tcW w:w="1045" w:type="dxa"/>
            <w:tcBorders>
              <w:top w:val="single" w:sz="4" w:space="0" w:color="293F5B"/>
              <w:bottom w:val="single" w:sz="4" w:space="0" w:color="293F5B"/>
            </w:tcBorders>
            <w:shd w:val="clear" w:color="auto" w:fill="auto"/>
          </w:tcPr>
          <w:p w14:paraId="0D406653" w14:textId="77777777" w:rsidR="0012790E" w:rsidRPr="001C06E6" w:rsidRDefault="0012790E">
            <w:pPr>
              <w:pStyle w:val="MeasureTableDataRightAlignedwith2ptsspacing"/>
              <w:keepNext/>
            </w:pPr>
            <w:r w:rsidRPr="001C06E6">
              <w:t>8.4</w:t>
            </w:r>
          </w:p>
        </w:tc>
        <w:tc>
          <w:tcPr>
            <w:tcW w:w="1045" w:type="dxa"/>
            <w:tcBorders>
              <w:top w:val="single" w:sz="4" w:space="0" w:color="293F5B"/>
              <w:bottom w:val="single" w:sz="4" w:space="0" w:color="293F5B"/>
            </w:tcBorders>
            <w:shd w:val="clear" w:color="auto" w:fill="auto"/>
          </w:tcPr>
          <w:p w14:paraId="7AA2413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DACA44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3266AB2" w14:textId="77777777" w:rsidR="0012790E" w:rsidRPr="001C06E6" w:rsidRDefault="0012790E">
            <w:pPr>
              <w:pStyle w:val="MeasureTableDataRightAlignedwith2ptsspacing"/>
              <w:keepNext/>
            </w:pPr>
            <w:r w:rsidRPr="001C06E6">
              <w:t>-</w:t>
            </w:r>
          </w:p>
        </w:tc>
      </w:tr>
      <w:tr w:rsidR="0012790E" w:rsidRPr="001C06E6" w14:paraId="3A9BE5F3" w14:textId="77777777">
        <w:tc>
          <w:tcPr>
            <w:tcW w:w="2497" w:type="dxa"/>
            <w:tcBorders>
              <w:top w:val="single" w:sz="4" w:space="0" w:color="293F5B"/>
              <w:bottom w:val="single" w:sz="4" w:space="0" w:color="293F5B"/>
            </w:tcBorders>
            <w:shd w:val="clear" w:color="auto" w:fill="auto"/>
          </w:tcPr>
          <w:p w14:paraId="5C926AAC"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78131FFF" w14:textId="77777777" w:rsidR="0012790E" w:rsidRPr="001C06E6" w:rsidRDefault="0012790E">
            <w:pPr>
              <w:pStyle w:val="Totaldatarowrightaligned"/>
              <w:keepNext/>
            </w:pPr>
            <w:r w:rsidRPr="001C06E6">
              <w:t>7.6</w:t>
            </w:r>
          </w:p>
        </w:tc>
        <w:tc>
          <w:tcPr>
            <w:tcW w:w="1045" w:type="dxa"/>
            <w:tcBorders>
              <w:top w:val="single" w:sz="4" w:space="0" w:color="293F5B"/>
              <w:bottom w:val="single" w:sz="4" w:space="0" w:color="293F5B"/>
            </w:tcBorders>
            <w:shd w:val="clear" w:color="auto" w:fill="auto"/>
          </w:tcPr>
          <w:p w14:paraId="10BF7FD6" w14:textId="77777777" w:rsidR="0012790E" w:rsidRPr="001C06E6" w:rsidRDefault="0012790E">
            <w:pPr>
              <w:pStyle w:val="Totaldatarowrightaligned"/>
              <w:keepNext/>
            </w:pPr>
            <w:r w:rsidRPr="001C06E6">
              <w:t>22.6</w:t>
            </w:r>
          </w:p>
        </w:tc>
        <w:tc>
          <w:tcPr>
            <w:tcW w:w="1045" w:type="dxa"/>
            <w:tcBorders>
              <w:top w:val="single" w:sz="4" w:space="0" w:color="293F5B"/>
              <w:bottom w:val="single" w:sz="4" w:space="0" w:color="293F5B"/>
            </w:tcBorders>
            <w:shd w:val="clear" w:color="auto" w:fill="auto"/>
          </w:tcPr>
          <w:p w14:paraId="1D97F482" w14:textId="77777777" w:rsidR="0012790E" w:rsidRPr="001C06E6" w:rsidRDefault="0012790E">
            <w:pPr>
              <w:pStyle w:val="Totaldatarowrightaligned"/>
              <w:keepNext/>
            </w:pPr>
            <w:r w:rsidRPr="001C06E6">
              <w:t>8.2</w:t>
            </w:r>
          </w:p>
        </w:tc>
        <w:tc>
          <w:tcPr>
            <w:tcW w:w="1045" w:type="dxa"/>
            <w:tcBorders>
              <w:top w:val="single" w:sz="4" w:space="0" w:color="293F5B"/>
              <w:bottom w:val="single" w:sz="4" w:space="0" w:color="293F5B"/>
            </w:tcBorders>
            <w:shd w:val="clear" w:color="auto" w:fill="auto"/>
          </w:tcPr>
          <w:p w14:paraId="698BE8CE" w14:textId="77777777" w:rsidR="0012790E" w:rsidRPr="001C06E6" w:rsidRDefault="0012790E">
            <w:pPr>
              <w:pStyle w:val="Totaldatarowrightaligned"/>
              <w:keepNext/>
            </w:pPr>
            <w:r w:rsidRPr="001C06E6">
              <w:t>-4.2</w:t>
            </w:r>
          </w:p>
        </w:tc>
        <w:tc>
          <w:tcPr>
            <w:tcW w:w="1045" w:type="dxa"/>
            <w:tcBorders>
              <w:top w:val="single" w:sz="4" w:space="0" w:color="293F5B"/>
              <w:bottom w:val="single" w:sz="4" w:space="0" w:color="293F5B"/>
            </w:tcBorders>
            <w:shd w:val="clear" w:color="auto" w:fill="auto"/>
          </w:tcPr>
          <w:p w14:paraId="376F0EEA" w14:textId="77777777" w:rsidR="0012790E" w:rsidRPr="001C06E6" w:rsidRDefault="0012790E">
            <w:pPr>
              <w:pStyle w:val="Totaldatarowrightaligned"/>
              <w:keepNext/>
            </w:pPr>
            <w:r w:rsidRPr="001C06E6">
              <w:t>-6.2</w:t>
            </w:r>
          </w:p>
        </w:tc>
      </w:tr>
    </w:tbl>
    <w:p w14:paraId="09D164EF"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4119ED81" w14:textId="77777777" w:rsidR="0012790E" w:rsidRDefault="0012790E" w:rsidP="54937204">
      <w:pPr>
        <w:pStyle w:val="Normal2"/>
        <w:rPr>
          <w:rFonts w:cs="Book Antiqua"/>
          <w:lang w:val="en-US"/>
        </w:rPr>
      </w:pPr>
      <w:r w:rsidRPr="54937204">
        <w:rPr>
          <w:rFonts w:cs="Book Antiqua"/>
          <w:lang w:val="en-US"/>
        </w:rPr>
        <w:t>The Government will provide $28.0 million over five years from 2023–24 (and $2.8 million per year ongoing) to maintain and improve transparent, efficient and effective administration of the Health and Aged Care Portfolio. Funding includes:</w:t>
      </w:r>
    </w:p>
    <w:p w14:paraId="1AB94F0C" w14:textId="77777777" w:rsidR="0012790E" w:rsidRDefault="0012790E">
      <w:pPr>
        <w:pStyle w:val="Bullet"/>
      </w:pPr>
      <w:r w:rsidRPr="001C06E6">
        <w:t>$11.0</w:t>
      </w:r>
      <w:r>
        <w:t> </w:t>
      </w:r>
      <w:r w:rsidRPr="001C06E6">
        <w:t xml:space="preserve">million over four years from </w:t>
      </w:r>
      <w:r>
        <w:t>2024–25</w:t>
      </w:r>
      <w:r w:rsidRPr="001C06E6">
        <w:t xml:space="preserve"> (and $2.8</w:t>
      </w:r>
      <w:r>
        <w:t> </w:t>
      </w:r>
      <w:r w:rsidRPr="001C06E6">
        <w:t>million per year ongoing) to support operations of the National Blood Authority</w:t>
      </w:r>
      <w:r>
        <w:t xml:space="preserve"> </w:t>
      </w:r>
    </w:p>
    <w:p w14:paraId="521A4963" w14:textId="77777777" w:rsidR="0012790E" w:rsidRDefault="0012790E">
      <w:pPr>
        <w:pStyle w:val="Bullet"/>
      </w:pPr>
      <w:r w:rsidRPr="001C06E6">
        <w:t>$9.0</w:t>
      </w:r>
      <w:r>
        <w:t> </w:t>
      </w:r>
      <w:r w:rsidRPr="001C06E6">
        <w:t xml:space="preserve">million in </w:t>
      </w:r>
      <w:r>
        <w:t>2023–24</w:t>
      </w:r>
      <w:r w:rsidRPr="001C06E6">
        <w:t xml:space="preserve"> for increased operational costs for the National Health and Medical Research Council, including implementation of the Sapphire Grants Management system</w:t>
      </w:r>
      <w:r>
        <w:t xml:space="preserve"> </w:t>
      </w:r>
    </w:p>
    <w:p w14:paraId="557E467C" w14:textId="77777777" w:rsidR="0012790E" w:rsidRDefault="0012790E">
      <w:pPr>
        <w:pStyle w:val="Bullet"/>
      </w:pPr>
      <w:r w:rsidRPr="001C06E6">
        <w:t>$8.0</w:t>
      </w:r>
      <w:r>
        <w:t> </w:t>
      </w:r>
      <w:r w:rsidRPr="001C06E6">
        <w:t xml:space="preserve">million over three years from </w:t>
      </w:r>
      <w:r>
        <w:t>2024–25</w:t>
      </w:r>
      <w:r w:rsidRPr="001C06E6">
        <w:t xml:space="preserve"> to support the Australian Sports Foundation to complete technology upgrades, including enhancement of cyber security for the fundraising platform.</w:t>
      </w:r>
      <w:r>
        <w:t xml:space="preserve"> </w:t>
      </w:r>
    </w:p>
    <w:p w14:paraId="6862F5FC" w14:textId="1AC6A8BA" w:rsidR="0012790E" w:rsidRDefault="0012790E" w:rsidP="54937204">
      <w:pPr>
        <w:pStyle w:val="Normal2"/>
        <w:rPr>
          <w:rFonts w:cs="Book Antiqua"/>
          <w:lang w:val="en-US"/>
        </w:rPr>
      </w:pPr>
      <w:r w:rsidRPr="54937204">
        <w:rPr>
          <w:rFonts w:cs="Book Antiqua"/>
          <w:lang w:val="en-US"/>
        </w:rPr>
        <w:t>The Government will also provide $18.0 million over three years from 2023–24 in additional departmental capital with the costs to be met from savings identified over two</w:t>
      </w:r>
      <w:r w:rsidR="00E12869">
        <w:rPr>
          <w:rFonts w:cs="Book Antiqua"/>
          <w:lang w:val="en-US"/>
        </w:rPr>
        <w:t> </w:t>
      </w:r>
      <w:r w:rsidRPr="54937204">
        <w:rPr>
          <w:rFonts w:cs="Book Antiqua"/>
          <w:lang w:val="en-US"/>
        </w:rPr>
        <w:t>years from 2026–27 within the Department of Health and Aged Care’s future operating</w:t>
      </w:r>
      <w:r w:rsidR="00E12869">
        <w:rPr>
          <w:rFonts w:cs="Book Antiqua"/>
          <w:lang w:val="en-US"/>
        </w:rPr>
        <w:t> </w:t>
      </w:r>
      <w:r w:rsidRPr="54937204">
        <w:rPr>
          <w:rFonts w:cs="Book Antiqua"/>
          <w:lang w:val="en-US"/>
        </w:rPr>
        <w:t xml:space="preserve">expenses. </w:t>
      </w:r>
    </w:p>
    <w:p w14:paraId="3783B6D0" w14:textId="77777777" w:rsidR="0012790E" w:rsidRDefault="0012790E" w:rsidP="54937204">
      <w:pPr>
        <w:pStyle w:val="Normal2"/>
        <w:rPr>
          <w:rFonts w:cs="Book Antiqua"/>
          <w:lang w:val="en-US"/>
        </w:rPr>
      </w:pPr>
      <w:r w:rsidRPr="54937204">
        <w:rPr>
          <w:rFonts w:cs="Book Antiqua"/>
          <w:lang w:val="en-US"/>
        </w:rPr>
        <w:t xml:space="preserve">The Government will transfer the functions and funding of the National Mental Health Commission to the Department of Health and Aged Care while considering the most appropriate longer term arrangements. </w:t>
      </w:r>
    </w:p>
    <w:p w14:paraId="5309237A" w14:textId="77777777" w:rsidR="0012790E" w:rsidRPr="001C06E6" w:rsidRDefault="0012790E">
      <w:pPr>
        <w:pStyle w:val="MeasureTitle"/>
        <w:rPr>
          <w:b w:val="0"/>
          <w:bCs/>
        </w:rPr>
      </w:pPr>
      <w:r w:rsidRPr="001C06E6">
        <w:rPr>
          <w:bCs/>
        </w:rPr>
        <w:t>Preventive Health</w:t>
      </w:r>
    </w:p>
    <w:p w14:paraId="20A2D7F6"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CDA95BE" w14:textId="77777777">
        <w:tc>
          <w:tcPr>
            <w:tcW w:w="2497" w:type="dxa"/>
            <w:tcBorders>
              <w:top w:val="single" w:sz="4" w:space="0" w:color="293F5B"/>
              <w:bottom w:val="single" w:sz="4" w:space="0" w:color="293F5B"/>
            </w:tcBorders>
            <w:shd w:val="clear" w:color="auto" w:fill="auto"/>
          </w:tcPr>
          <w:p w14:paraId="2243CDA3"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E34B4D1"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7097E28"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239A244"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812ED76"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92C8AED" w14:textId="77777777" w:rsidR="0012790E" w:rsidRPr="001C06E6" w:rsidRDefault="0012790E">
            <w:pPr>
              <w:pStyle w:val="MeasureTableYearHeadings"/>
              <w:keepNext/>
            </w:pPr>
            <w:r w:rsidRPr="001C06E6">
              <w:t>2027</w:t>
            </w:r>
            <w:r>
              <w:noBreakHyphen/>
            </w:r>
            <w:r w:rsidRPr="001C06E6">
              <w:t>28</w:t>
            </w:r>
          </w:p>
        </w:tc>
      </w:tr>
      <w:tr w:rsidR="00BD2046" w:rsidRPr="001C06E6" w14:paraId="799F1D3A" w14:textId="77777777" w:rsidTr="00AC2FA9">
        <w:tc>
          <w:tcPr>
            <w:tcW w:w="2497" w:type="dxa"/>
            <w:tcBorders>
              <w:top w:val="single" w:sz="4" w:space="0" w:color="293F5B"/>
              <w:bottom w:val="single" w:sz="4" w:space="0" w:color="293F5B"/>
            </w:tcBorders>
            <w:shd w:val="clear" w:color="auto" w:fill="auto"/>
          </w:tcPr>
          <w:p w14:paraId="28AF6661" w14:textId="77777777" w:rsidR="00BD2046" w:rsidRPr="001C06E6" w:rsidRDefault="00BD2046" w:rsidP="00BD2046">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6BF74E3C" w14:textId="77777777" w:rsidR="00BD2046" w:rsidRPr="001C06E6" w:rsidRDefault="00BD2046" w:rsidP="00BD2046">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9813A14" w14:textId="2EE83E8B" w:rsidR="00BD2046" w:rsidRPr="001C06E6" w:rsidRDefault="000E41E9" w:rsidP="00BD2046">
            <w:pPr>
              <w:pStyle w:val="MeasureTableDataRightAlignedwith2ptsspacing"/>
              <w:keepNext/>
            </w:pPr>
            <w:r>
              <w:rPr>
                <w:szCs w:val="16"/>
              </w:rPr>
              <w:t>205.2</w:t>
            </w:r>
          </w:p>
        </w:tc>
        <w:tc>
          <w:tcPr>
            <w:tcW w:w="1045" w:type="dxa"/>
            <w:tcBorders>
              <w:top w:val="single" w:sz="4" w:space="0" w:color="293F5B"/>
              <w:bottom w:val="single" w:sz="4" w:space="0" w:color="293F5B"/>
            </w:tcBorders>
            <w:shd w:val="clear" w:color="auto" w:fill="auto"/>
          </w:tcPr>
          <w:p w14:paraId="3D9DC27E" w14:textId="1EB432D7" w:rsidR="00BD2046" w:rsidRPr="001C06E6" w:rsidRDefault="000E41E9" w:rsidP="00BD2046">
            <w:pPr>
              <w:pStyle w:val="MeasureTableDataRightAlignedwith2ptsspacing"/>
              <w:keepNext/>
            </w:pPr>
            <w:r>
              <w:rPr>
                <w:szCs w:val="16"/>
              </w:rPr>
              <w:t>203.2</w:t>
            </w:r>
          </w:p>
        </w:tc>
        <w:tc>
          <w:tcPr>
            <w:tcW w:w="1045" w:type="dxa"/>
            <w:tcBorders>
              <w:top w:val="single" w:sz="4" w:space="0" w:color="293F5B"/>
              <w:bottom w:val="single" w:sz="4" w:space="0" w:color="293F5B"/>
            </w:tcBorders>
            <w:shd w:val="clear" w:color="auto" w:fill="auto"/>
          </w:tcPr>
          <w:p w14:paraId="683B4293" w14:textId="77777777" w:rsidR="00BD2046" w:rsidRPr="001C06E6" w:rsidRDefault="00BD2046" w:rsidP="00BD2046">
            <w:pPr>
              <w:pStyle w:val="MeasureTableDataRightAlignedwith2ptsspacing"/>
              <w:keepNext/>
            </w:pPr>
            <w:r>
              <w:t xml:space="preserve">12.3 </w:t>
            </w:r>
          </w:p>
        </w:tc>
        <w:tc>
          <w:tcPr>
            <w:tcW w:w="1045" w:type="dxa"/>
            <w:tcBorders>
              <w:top w:val="single" w:sz="4" w:space="0" w:color="293F5B"/>
              <w:bottom w:val="single" w:sz="4" w:space="0" w:color="293F5B"/>
            </w:tcBorders>
            <w:shd w:val="clear" w:color="auto" w:fill="auto"/>
          </w:tcPr>
          <w:p w14:paraId="4475E355" w14:textId="77777777" w:rsidR="00BD2046" w:rsidRPr="001C06E6" w:rsidRDefault="00BD2046" w:rsidP="00BD2046">
            <w:pPr>
              <w:pStyle w:val="MeasureTableDataRightAlignedwith2ptsspacing"/>
              <w:keepNext/>
            </w:pPr>
            <w:r>
              <w:t xml:space="preserve">12.4 </w:t>
            </w:r>
          </w:p>
        </w:tc>
      </w:tr>
      <w:tr w:rsidR="0012790E" w:rsidRPr="001C06E6" w14:paraId="374B2B7D" w14:textId="77777777">
        <w:tc>
          <w:tcPr>
            <w:tcW w:w="2497" w:type="dxa"/>
            <w:tcBorders>
              <w:top w:val="single" w:sz="4" w:space="0" w:color="293F5B"/>
              <w:bottom w:val="single" w:sz="4" w:space="0" w:color="293F5B"/>
            </w:tcBorders>
            <w:shd w:val="clear" w:color="auto" w:fill="auto"/>
          </w:tcPr>
          <w:p w14:paraId="683122BE"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400EC9C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25FFA0A" w14:textId="77777777" w:rsidR="0012790E" w:rsidRPr="001C06E6" w:rsidRDefault="0012790E">
            <w:pPr>
              <w:pStyle w:val="MeasureTableDataRightAlignedwith2ptsspacing"/>
              <w:keepNext/>
            </w:pPr>
            <w:r w:rsidRPr="001C06E6">
              <w:t>3.1</w:t>
            </w:r>
          </w:p>
        </w:tc>
        <w:tc>
          <w:tcPr>
            <w:tcW w:w="1045" w:type="dxa"/>
            <w:tcBorders>
              <w:top w:val="single" w:sz="4" w:space="0" w:color="293F5B"/>
              <w:bottom w:val="single" w:sz="4" w:space="0" w:color="293F5B"/>
            </w:tcBorders>
            <w:shd w:val="clear" w:color="auto" w:fill="auto"/>
          </w:tcPr>
          <w:p w14:paraId="07081931" w14:textId="77777777" w:rsidR="0012790E" w:rsidRPr="001C06E6" w:rsidRDefault="0012790E">
            <w:pPr>
              <w:pStyle w:val="MeasureTableDataRightAlignedwith2ptsspacing"/>
              <w:keepNext/>
            </w:pPr>
            <w:r w:rsidRPr="001C06E6">
              <w:t>3.2</w:t>
            </w:r>
          </w:p>
        </w:tc>
        <w:tc>
          <w:tcPr>
            <w:tcW w:w="1045" w:type="dxa"/>
            <w:tcBorders>
              <w:top w:val="single" w:sz="4" w:space="0" w:color="293F5B"/>
              <w:bottom w:val="single" w:sz="4" w:space="0" w:color="293F5B"/>
            </w:tcBorders>
            <w:shd w:val="clear" w:color="auto" w:fill="auto"/>
          </w:tcPr>
          <w:p w14:paraId="5CBB322F" w14:textId="77777777" w:rsidR="0012790E" w:rsidRPr="001C06E6" w:rsidRDefault="0012790E">
            <w:pPr>
              <w:pStyle w:val="MeasureTableDataRightAlignedwith2ptsspacing"/>
              <w:keepNext/>
            </w:pPr>
            <w:r w:rsidRPr="001C06E6">
              <w:t>3.3</w:t>
            </w:r>
          </w:p>
        </w:tc>
        <w:tc>
          <w:tcPr>
            <w:tcW w:w="1045" w:type="dxa"/>
            <w:tcBorders>
              <w:top w:val="single" w:sz="4" w:space="0" w:color="293F5B"/>
              <w:bottom w:val="single" w:sz="4" w:space="0" w:color="293F5B"/>
            </w:tcBorders>
            <w:shd w:val="clear" w:color="auto" w:fill="auto"/>
          </w:tcPr>
          <w:p w14:paraId="1481168F" w14:textId="77777777" w:rsidR="0012790E" w:rsidRPr="001C06E6" w:rsidRDefault="0012790E">
            <w:pPr>
              <w:pStyle w:val="MeasureTableDataRightAlignedwith2ptsspacing"/>
              <w:keepNext/>
            </w:pPr>
            <w:r w:rsidRPr="001C06E6">
              <w:t>-</w:t>
            </w:r>
          </w:p>
        </w:tc>
      </w:tr>
      <w:tr w:rsidR="0012790E" w:rsidRPr="001C06E6" w14:paraId="722824F7" w14:textId="77777777">
        <w:tc>
          <w:tcPr>
            <w:tcW w:w="2497" w:type="dxa"/>
            <w:tcBorders>
              <w:top w:val="single" w:sz="4" w:space="0" w:color="293F5B"/>
              <w:bottom w:val="single" w:sz="4" w:space="0" w:color="293F5B"/>
            </w:tcBorders>
            <w:shd w:val="clear" w:color="auto" w:fill="auto"/>
          </w:tcPr>
          <w:p w14:paraId="59D03572"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239F4ADB"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1077160" w14:textId="77777777" w:rsidR="0012790E" w:rsidRPr="001C06E6" w:rsidRDefault="0012790E">
            <w:pPr>
              <w:pStyle w:val="Totaldatarowrightaligned"/>
              <w:keepNext/>
            </w:pPr>
            <w:r w:rsidRPr="001C06E6">
              <w:t>208.3</w:t>
            </w:r>
          </w:p>
        </w:tc>
        <w:tc>
          <w:tcPr>
            <w:tcW w:w="1045" w:type="dxa"/>
            <w:tcBorders>
              <w:top w:val="single" w:sz="4" w:space="0" w:color="293F5B"/>
              <w:bottom w:val="single" w:sz="4" w:space="0" w:color="293F5B"/>
            </w:tcBorders>
            <w:shd w:val="clear" w:color="auto" w:fill="auto"/>
          </w:tcPr>
          <w:p w14:paraId="05954419" w14:textId="77777777" w:rsidR="0012790E" w:rsidRPr="001C06E6" w:rsidRDefault="0012790E">
            <w:pPr>
              <w:pStyle w:val="Totaldatarowrightaligned"/>
              <w:keepNext/>
            </w:pPr>
            <w:r w:rsidRPr="001C06E6">
              <w:t>206.4</w:t>
            </w:r>
          </w:p>
        </w:tc>
        <w:tc>
          <w:tcPr>
            <w:tcW w:w="1045" w:type="dxa"/>
            <w:tcBorders>
              <w:top w:val="single" w:sz="4" w:space="0" w:color="293F5B"/>
              <w:bottom w:val="single" w:sz="4" w:space="0" w:color="293F5B"/>
            </w:tcBorders>
            <w:shd w:val="clear" w:color="auto" w:fill="auto"/>
          </w:tcPr>
          <w:p w14:paraId="4A622CDA" w14:textId="77777777" w:rsidR="0012790E" w:rsidRPr="001C06E6" w:rsidRDefault="0012790E">
            <w:pPr>
              <w:pStyle w:val="Totaldatarowrightaligned"/>
              <w:keepNext/>
            </w:pPr>
            <w:r w:rsidRPr="001C06E6">
              <w:t>15.6</w:t>
            </w:r>
          </w:p>
        </w:tc>
        <w:tc>
          <w:tcPr>
            <w:tcW w:w="1045" w:type="dxa"/>
            <w:tcBorders>
              <w:top w:val="single" w:sz="4" w:space="0" w:color="293F5B"/>
              <w:bottom w:val="single" w:sz="4" w:space="0" w:color="293F5B"/>
            </w:tcBorders>
            <w:shd w:val="clear" w:color="auto" w:fill="auto"/>
          </w:tcPr>
          <w:p w14:paraId="335F82C2" w14:textId="77777777" w:rsidR="0012790E" w:rsidRPr="001C06E6" w:rsidRDefault="0012790E">
            <w:pPr>
              <w:pStyle w:val="Totaldatarowrightaligned"/>
              <w:keepNext/>
            </w:pPr>
            <w:r w:rsidRPr="001C06E6">
              <w:t>12.4</w:t>
            </w:r>
          </w:p>
        </w:tc>
      </w:tr>
    </w:tbl>
    <w:p w14:paraId="091F056E"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061FFD72" w14:textId="77777777" w:rsidR="0012790E" w:rsidRDefault="0012790E">
      <w:pPr>
        <w:pStyle w:val="Normal2"/>
        <w:rPr>
          <w:rFonts w:cs="Book Antiqua"/>
        </w:rPr>
      </w:pPr>
      <w:r w:rsidRPr="001C06E6">
        <w:rPr>
          <w:rFonts w:cs="Book Antiqua"/>
        </w:rPr>
        <w:t>The Government will provide $514.8</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to support</w:t>
      </w:r>
      <w:r>
        <w:rPr>
          <w:rFonts w:cs="Book Antiqua"/>
        </w:rPr>
        <w:t xml:space="preserve"> </w:t>
      </w:r>
      <w:r w:rsidRPr="001C06E6">
        <w:rPr>
          <w:rFonts w:cs="Book Antiqua"/>
        </w:rPr>
        <w:t>preventive and other health initiatives. Funding includes:</w:t>
      </w:r>
    </w:p>
    <w:p w14:paraId="144A9F89" w14:textId="77777777" w:rsidR="0012790E" w:rsidRDefault="0012790E">
      <w:pPr>
        <w:pStyle w:val="Bullet"/>
      </w:pPr>
      <w:r w:rsidRPr="001C06E6">
        <w:t>$303.9</w:t>
      </w:r>
      <w:r>
        <w:t> </w:t>
      </w:r>
      <w:r w:rsidRPr="001C06E6">
        <w:t xml:space="preserve">million over two years from </w:t>
      </w:r>
      <w:r>
        <w:t>2024–25</w:t>
      </w:r>
      <w:r w:rsidRPr="001C06E6">
        <w:t xml:space="preserve"> to ensure the National Medical Stockpile can continue to respond to health emergencies and improve pandemic preparedness</w:t>
      </w:r>
      <w:r>
        <w:t xml:space="preserve"> </w:t>
      </w:r>
    </w:p>
    <w:p w14:paraId="0DD70930" w14:textId="778F241C" w:rsidR="0012790E" w:rsidRDefault="0012790E">
      <w:pPr>
        <w:pStyle w:val="Bullet"/>
      </w:pPr>
      <w:r w:rsidRPr="001C06E6">
        <w:t>$55.3</w:t>
      </w:r>
      <w:r>
        <w:t> </w:t>
      </w:r>
      <w:r w:rsidRPr="001C06E6">
        <w:t xml:space="preserve">million over three years from </w:t>
      </w:r>
      <w:r>
        <w:t>2024–25</w:t>
      </w:r>
      <w:r w:rsidRPr="001C06E6">
        <w:t xml:space="preserve"> to maintain the National Critical Care and</w:t>
      </w:r>
      <w:r w:rsidR="00011F56">
        <w:t> </w:t>
      </w:r>
      <w:r w:rsidRPr="001C06E6">
        <w:t>Trauma Response Centre which is Australia’s centre of excellence for health disaster response</w:t>
      </w:r>
      <w:r>
        <w:t xml:space="preserve"> </w:t>
      </w:r>
    </w:p>
    <w:p w14:paraId="0D8835AE" w14:textId="77777777" w:rsidR="0012790E" w:rsidRDefault="0012790E">
      <w:pPr>
        <w:pStyle w:val="Bullet"/>
      </w:pPr>
      <w:r w:rsidRPr="001C06E6">
        <w:t>$41.6</w:t>
      </w:r>
      <w:r>
        <w:t> </w:t>
      </w:r>
      <w:r w:rsidRPr="001C06E6">
        <w:t xml:space="preserve">million over two years from </w:t>
      </w:r>
      <w:r>
        <w:t>2024–25</w:t>
      </w:r>
      <w:r w:rsidRPr="001C06E6">
        <w:t xml:space="preserve"> to continue support for the Good Sports Program, an alcohol management program for community sporting clubs, alcohol and other drugs treatment services in areas of identified need, and fetal alcohol spectrum disorder diagnostic and support services in remote and rural regions</w:t>
      </w:r>
      <w:r>
        <w:t xml:space="preserve"> </w:t>
      </w:r>
    </w:p>
    <w:p w14:paraId="3D801360" w14:textId="77777777" w:rsidR="0012790E" w:rsidRDefault="0012790E">
      <w:pPr>
        <w:pStyle w:val="Bullet"/>
      </w:pPr>
      <w:r w:rsidRPr="001C06E6">
        <w:t>$25.0</w:t>
      </w:r>
      <w:r>
        <w:t> </w:t>
      </w:r>
      <w:r w:rsidRPr="001C06E6">
        <w:t xml:space="preserve">million over four years from </w:t>
      </w:r>
      <w:r>
        <w:t>2024–25</w:t>
      </w:r>
      <w:r w:rsidRPr="001C06E6">
        <w:t xml:space="preserve"> to continue work to increase the number and consistency of conditions screened through the newborn bloodspot screening programs</w:t>
      </w:r>
      <w:r>
        <w:t xml:space="preserve"> </w:t>
      </w:r>
    </w:p>
    <w:p w14:paraId="7574286E" w14:textId="77777777" w:rsidR="0012790E" w:rsidRDefault="0012790E">
      <w:pPr>
        <w:pStyle w:val="Bullet"/>
      </w:pPr>
      <w:r w:rsidRPr="001C06E6">
        <w:t>$22.3</w:t>
      </w:r>
      <w:r>
        <w:t> </w:t>
      </w:r>
      <w:r w:rsidRPr="001C06E6">
        <w:t xml:space="preserve">million over four years from </w:t>
      </w:r>
      <w:r>
        <w:t>2024–25</w:t>
      </w:r>
      <w:r w:rsidRPr="001C06E6">
        <w:t xml:space="preserve"> to continue funding for the Antimicrobial Use and Resistance in Australia project which monitors antimicrobial use and resistance</w:t>
      </w:r>
      <w:r>
        <w:t xml:space="preserve"> </w:t>
      </w:r>
    </w:p>
    <w:p w14:paraId="04400D02" w14:textId="77777777" w:rsidR="0012790E" w:rsidRDefault="0012790E">
      <w:pPr>
        <w:pStyle w:val="Bullet"/>
        <w:rPr>
          <w:iCs/>
        </w:rPr>
      </w:pPr>
      <w:r w:rsidRPr="001C06E6">
        <w:t>$22.1</w:t>
      </w:r>
      <w:r>
        <w:t> </w:t>
      </w:r>
      <w:r w:rsidRPr="001C06E6">
        <w:t xml:space="preserve">million over two years from </w:t>
      </w:r>
      <w:r>
        <w:t>2024–25</w:t>
      </w:r>
      <w:r w:rsidRPr="001C06E6">
        <w:t xml:space="preserve"> to continue support for preventive health and chronic disease research including patient and clinician services for Australians with chronic conditions, in support of the </w:t>
      </w:r>
      <w:r w:rsidRPr="001C06E6">
        <w:rPr>
          <w:i/>
          <w:iCs/>
        </w:rPr>
        <w:t xml:space="preserve">National Preventive Health Strategy </w:t>
      </w:r>
      <w:r>
        <w:rPr>
          <w:i/>
          <w:iCs/>
        </w:rPr>
        <w:t>2021–20</w:t>
      </w:r>
      <w:r w:rsidRPr="001C06E6">
        <w:rPr>
          <w:i/>
          <w:iCs/>
        </w:rPr>
        <w:t>30</w:t>
      </w:r>
      <w:r>
        <w:rPr>
          <w:iCs/>
        </w:rPr>
        <w:t xml:space="preserve"> </w:t>
      </w:r>
    </w:p>
    <w:p w14:paraId="283FC1BF" w14:textId="77777777" w:rsidR="0012790E" w:rsidRDefault="0012790E">
      <w:pPr>
        <w:pStyle w:val="Bullet"/>
      </w:pPr>
      <w:r w:rsidRPr="001C06E6">
        <w:t>$12.5</w:t>
      </w:r>
      <w:r>
        <w:t> </w:t>
      </w:r>
      <w:r w:rsidRPr="001C06E6">
        <w:t xml:space="preserve">million over two years from </w:t>
      </w:r>
      <w:r>
        <w:t>2024–25</w:t>
      </w:r>
      <w:r w:rsidRPr="001C06E6">
        <w:t xml:space="preserve"> to Dementia Australia to support at risk populations including those with Chronic Traumatic Encephalopathy (CTE), as well as increase public awareness about CTE</w:t>
      </w:r>
      <w:r>
        <w:t xml:space="preserve"> </w:t>
      </w:r>
    </w:p>
    <w:p w14:paraId="30F882D2" w14:textId="77777777" w:rsidR="0012790E" w:rsidRDefault="0012790E">
      <w:pPr>
        <w:pStyle w:val="Bullet"/>
        <w:rPr>
          <w:iCs/>
        </w:rPr>
      </w:pPr>
      <w:r w:rsidRPr="001C06E6">
        <w:t>$11.6</w:t>
      </w:r>
      <w:r>
        <w:t> </w:t>
      </w:r>
      <w:r w:rsidRPr="001C06E6">
        <w:t xml:space="preserve">million over two years from </w:t>
      </w:r>
      <w:r>
        <w:t>2024–25</w:t>
      </w:r>
      <w:r w:rsidRPr="001C06E6">
        <w:t xml:space="preserve"> to continue support for Men’s Sheds and existing national men’s health research and data collection initiatives, in line with the </w:t>
      </w:r>
      <w:r w:rsidRPr="001C06E6">
        <w:rPr>
          <w:i/>
          <w:iCs/>
        </w:rPr>
        <w:t xml:space="preserve">National Men’s Health Strategy </w:t>
      </w:r>
      <w:r>
        <w:rPr>
          <w:i/>
          <w:iCs/>
        </w:rPr>
        <w:t>2020–20</w:t>
      </w:r>
      <w:r w:rsidRPr="001C06E6">
        <w:rPr>
          <w:i/>
          <w:iCs/>
        </w:rPr>
        <w:t>30</w:t>
      </w:r>
      <w:r>
        <w:rPr>
          <w:iCs/>
        </w:rPr>
        <w:t xml:space="preserve"> </w:t>
      </w:r>
    </w:p>
    <w:p w14:paraId="48BF823D" w14:textId="77777777" w:rsidR="0012790E" w:rsidRDefault="0012790E">
      <w:pPr>
        <w:pStyle w:val="Bullet"/>
      </w:pPr>
      <w:r w:rsidRPr="001C06E6">
        <w:t>$6.2</w:t>
      </w:r>
      <w:r>
        <w:t> </w:t>
      </w:r>
      <w:r w:rsidRPr="001C06E6">
        <w:t xml:space="preserve">million over three years from </w:t>
      </w:r>
      <w:r>
        <w:t>2024–25</w:t>
      </w:r>
      <w:r w:rsidRPr="001C06E6">
        <w:t xml:space="preserve"> to continue funding for OzFoodNet, Australia’s national surveillance system for foodborne diseases, in collaboration with the states and territories</w:t>
      </w:r>
      <w:r>
        <w:t xml:space="preserve"> </w:t>
      </w:r>
    </w:p>
    <w:p w14:paraId="75F430BA" w14:textId="77777777" w:rsidR="0012790E" w:rsidRDefault="0012790E">
      <w:pPr>
        <w:pStyle w:val="Bullet"/>
      </w:pPr>
      <w:r w:rsidRPr="001C06E6">
        <w:t>$3.7</w:t>
      </w:r>
      <w:r>
        <w:t> </w:t>
      </w:r>
      <w:r w:rsidRPr="001C06E6">
        <w:t xml:space="preserve">million over four years from </w:t>
      </w:r>
      <w:r>
        <w:t>2024–25</w:t>
      </w:r>
      <w:r w:rsidRPr="001C06E6">
        <w:t xml:space="preserve"> to subsidise additional devices under the </w:t>
      </w:r>
      <w:r w:rsidRPr="001C06E6">
        <w:rPr>
          <w:i/>
          <w:iCs/>
        </w:rPr>
        <w:t>Insulin Pump Program</w:t>
      </w:r>
      <w:r w:rsidRPr="001C06E6">
        <w:t xml:space="preserve"> for financially disadvantaged Australians aged under 21</w:t>
      </w:r>
      <w:r>
        <w:t> </w:t>
      </w:r>
      <w:r w:rsidRPr="001C06E6">
        <w:t>years with type 1 diabetes</w:t>
      </w:r>
      <w:r>
        <w:t xml:space="preserve"> </w:t>
      </w:r>
    </w:p>
    <w:p w14:paraId="33FE5638" w14:textId="77777777" w:rsidR="0012790E" w:rsidRDefault="0012790E">
      <w:pPr>
        <w:pStyle w:val="Bullet"/>
      </w:pPr>
      <w:r w:rsidRPr="001C06E6">
        <w:t>$3.4</w:t>
      </w:r>
      <w:r>
        <w:t> </w:t>
      </w:r>
      <w:r w:rsidRPr="001C06E6">
        <w:t xml:space="preserve">million over three years from </w:t>
      </w:r>
      <w:r>
        <w:t>2024–25</w:t>
      </w:r>
      <w:r w:rsidRPr="001C06E6">
        <w:t xml:space="preserve"> to continue funding for the </w:t>
      </w:r>
      <w:r w:rsidRPr="001C06E6">
        <w:rPr>
          <w:i/>
          <w:iCs/>
        </w:rPr>
        <w:t>Vaccine Preventable Diseases Surveillance Program</w:t>
      </w:r>
      <w:r w:rsidRPr="001C06E6">
        <w:t>, which supports the surveillance reporting of fourteen nationally notifiable vaccine preventable diseases</w:t>
      </w:r>
      <w:r>
        <w:t xml:space="preserve"> </w:t>
      </w:r>
    </w:p>
    <w:p w14:paraId="3F3E658E" w14:textId="77777777" w:rsidR="0012790E" w:rsidRDefault="0012790E">
      <w:pPr>
        <w:pStyle w:val="Bullet"/>
      </w:pPr>
      <w:r w:rsidRPr="001C06E6">
        <w:t>$2.6</w:t>
      </w:r>
      <w:r>
        <w:t> </w:t>
      </w:r>
      <w:r w:rsidRPr="001C06E6">
        <w:t xml:space="preserve">million in </w:t>
      </w:r>
      <w:r>
        <w:t>2024–25</w:t>
      </w:r>
      <w:r w:rsidRPr="001C06E6">
        <w:t xml:space="preserve"> to support patient care improvement and general practitioner services, health professional education, condition awareness and digital resources for childhood dementia, juvenile arthritis, stroke, rare diseases and epilepsy</w:t>
      </w:r>
      <w:r>
        <w:t xml:space="preserve"> </w:t>
      </w:r>
    </w:p>
    <w:p w14:paraId="57CACFCD" w14:textId="77777777" w:rsidR="0012790E" w:rsidRDefault="0012790E">
      <w:pPr>
        <w:pStyle w:val="Bullet"/>
      </w:pPr>
      <w:r w:rsidRPr="001C06E6">
        <w:t>$2.0</w:t>
      </w:r>
      <w:r>
        <w:t> </w:t>
      </w:r>
      <w:r w:rsidRPr="001C06E6">
        <w:t xml:space="preserve">million over two years from </w:t>
      </w:r>
      <w:r>
        <w:t>2024–25</w:t>
      </w:r>
      <w:r w:rsidRPr="001C06E6">
        <w:t xml:space="preserve"> to continue funding for the National Heart Foundation of Australia for continued implementation of the updated Cardiovascular Disease Risk Guideline and Calculator</w:t>
      </w:r>
      <w:r>
        <w:t xml:space="preserve"> </w:t>
      </w:r>
    </w:p>
    <w:p w14:paraId="1A92D5CC" w14:textId="77777777" w:rsidR="0012790E" w:rsidRDefault="0012790E">
      <w:pPr>
        <w:pStyle w:val="Bullet"/>
      </w:pPr>
      <w:r w:rsidRPr="001C06E6">
        <w:t>$0.8</w:t>
      </w:r>
      <w:r>
        <w:t> </w:t>
      </w:r>
      <w:r w:rsidRPr="001C06E6">
        <w:t xml:space="preserve">million over two years from </w:t>
      </w:r>
      <w:r>
        <w:t>2024–25</w:t>
      </w:r>
      <w:r w:rsidRPr="001C06E6">
        <w:t xml:space="preserve"> to the National Parkinson’s Alliance to develop a National Parkinson’s Action Plan</w:t>
      </w:r>
      <w:r>
        <w:t xml:space="preserve"> </w:t>
      </w:r>
    </w:p>
    <w:p w14:paraId="0E20C349" w14:textId="77777777" w:rsidR="0012790E" w:rsidRDefault="0012790E">
      <w:pPr>
        <w:pStyle w:val="Bullet"/>
      </w:pPr>
      <w:r w:rsidRPr="001C06E6">
        <w:t>$0.8</w:t>
      </w:r>
      <w:r>
        <w:t> </w:t>
      </w:r>
      <w:r w:rsidRPr="001C06E6">
        <w:t xml:space="preserve">million over two years from </w:t>
      </w:r>
      <w:r>
        <w:t>2024–25</w:t>
      </w:r>
      <w:r w:rsidRPr="001C06E6">
        <w:t xml:space="preserve"> to Parkinson’s Australia to deliver a General Practitioner Education Program to better support the Australian</w:t>
      </w:r>
      <w:r>
        <w:t xml:space="preserve"> </w:t>
      </w:r>
      <w:r w:rsidRPr="001C06E6">
        <w:t>Parkinson’s community</w:t>
      </w:r>
      <w:r>
        <w:t xml:space="preserve"> </w:t>
      </w:r>
    </w:p>
    <w:p w14:paraId="19F088A3" w14:textId="77777777" w:rsidR="0012790E" w:rsidRDefault="0012790E">
      <w:pPr>
        <w:pStyle w:val="Bullet"/>
      </w:pPr>
      <w:r w:rsidRPr="001C06E6">
        <w:t>$0.5</w:t>
      </w:r>
      <w:r>
        <w:t> </w:t>
      </w:r>
      <w:r w:rsidRPr="001C06E6">
        <w:t xml:space="preserve">million over three years from </w:t>
      </w:r>
      <w:r>
        <w:t>2024–25</w:t>
      </w:r>
      <w:r w:rsidRPr="001C06E6">
        <w:t xml:space="preserve"> to continue to support the delivery of the ABC Heywire program</w:t>
      </w:r>
      <w:r>
        <w:t xml:space="preserve"> </w:t>
      </w:r>
    </w:p>
    <w:p w14:paraId="3BB682C6" w14:textId="77777777" w:rsidR="0012790E" w:rsidRDefault="0012790E">
      <w:pPr>
        <w:pStyle w:val="Bullet"/>
      </w:pPr>
      <w:r w:rsidRPr="001C06E6">
        <w:t>$0.5</w:t>
      </w:r>
      <w:r>
        <w:t> </w:t>
      </w:r>
      <w:r w:rsidRPr="001C06E6">
        <w:t xml:space="preserve">million in </w:t>
      </w:r>
      <w:r>
        <w:t>2024–25</w:t>
      </w:r>
      <w:r w:rsidRPr="001C06E6">
        <w:t xml:space="preserve"> to maintain the Consumer Health Forum’s continued viability and functions as a national peak body representing Australian healthcare consumers.</w:t>
      </w:r>
      <w:r>
        <w:t xml:space="preserve"> </w:t>
      </w:r>
    </w:p>
    <w:p w14:paraId="63C3AA30" w14:textId="77777777" w:rsidR="0012790E" w:rsidRDefault="0012790E" w:rsidP="54937204">
      <w:pPr>
        <w:pStyle w:val="Normal2"/>
        <w:rPr>
          <w:rFonts w:cs="Book Antiqua"/>
          <w:lang w:val="en-US"/>
        </w:rPr>
      </w:pPr>
      <w:r w:rsidRPr="54937204">
        <w:rPr>
          <w:rFonts w:cs="Book Antiqua"/>
          <w:lang w:val="en-US"/>
        </w:rPr>
        <w:t>The Government will achieve savings of $0.8 million in 2024–25 by ceasing COVID</w:t>
      </w:r>
      <w:r>
        <w:rPr>
          <w:rFonts w:cs="Book Antiqua"/>
        </w:rPr>
        <w:noBreakHyphen/>
      </w:r>
      <w:r w:rsidRPr="54937204">
        <w:rPr>
          <w:rFonts w:cs="Book Antiqua"/>
          <w:lang w:val="en-US"/>
        </w:rPr>
        <w:t>19 epidemic situational assessment reports which are no longer required given COVID</w:t>
      </w:r>
      <w:r>
        <w:rPr>
          <w:rFonts w:cs="Book Antiqua"/>
        </w:rPr>
        <w:noBreakHyphen/>
      </w:r>
      <w:r w:rsidRPr="54937204">
        <w:rPr>
          <w:rFonts w:cs="Book Antiqua"/>
          <w:lang w:val="en-US"/>
        </w:rPr>
        <w:t xml:space="preserve">19 is no longer declared as a Communicable Disease Incident of National Significance. </w:t>
      </w:r>
    </w:p>
    <w:p w14:paraId="6464DF7B" w14:textId="77777777" w:rsidR="0012790E" w:rsidRDefault="0012790E">
      <w:pPr>
        <w:pStyle w:val="Normal2"/>
        <w:rPr>
          <w:rFonts w:cs="Book Antiqua"/>
        </w:rPr>
      </w:pPr>
      <w:r w:rsidRPr="001C06E6">
        <w:rPr>
          <w:rFonts w:cs="Book Antiqua"/>
        </w:rPr>
        <w:t>The Government has already provided partial funding for this measure.</w:t>
      </w:r>
      <w:r>
        <w:rPr>
          <w:rFonts w:cs="Book Antiqua"/>
        </w:rPr>
        <w:t xml:space="preserve"> </w:t>
      </w:r>
    </w:p>
    <w:p w14:paraId="0CDE6F0B" w14:textId="7777777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 xml:space="preserve">Budget measure titled </w:t>
      </w:r>
      <w:r w:rsidRPr="001C06E6">
        <w:rPr>
          <w:rFonts w:cs="Book Antiqua"/>
          <w:i/>
          <w:iCs/>
        </w:rPr>
        <w:t>Preventive Health Reform</w:t>
      </w:r>
      <w:r w:rsidRPr="001C06E6">
        <w:rPr>
          <w:rFonts w:cs="Book Antiqua"/>
        </w:rPr>
        <w:t>.</w:t>
      </w:r>
      <w:r>
        <w:rPr>
          <w:rFonts w:cs="Book Antiqua"/>
        </w:rPr>
        <w:t xml:space="preserve"> </w:t>
      </w:r>
    </w:p>
    <w:p w14:paraId="4C56A80D" w14:textId="77777777" w:rsidR="0012790E" w:rsidRPr="001C06E6" w:rsidRDefault="0012790E" w:rsidP="54937204">
      <w:pPr>
        <w:pStyle w:val="MeasureTitle"/>
        <w:rPr>
          <w:b w:val="0"/>
          <w:lang w:val="en-US"/>
        </w:rPr>
      </w:pPr>
      <w:r w:rsidRPr="54937204">
        <w:rPr>
          <w:lang w:val="en-US"/>
        </w:rPr>
        <w:t>Response to HIV Taskforce Recommendations – eliminating HIV in Australia</w:t>
      </w:r>
    </w:p>
    <w:p w14:paraId="3379D743"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004A837" w14:textId="77777777">
        <w:tc>
          <w:tcPr>
            <w:tcW w:w="2497" w:type="dxa"/>
            <w:tcBorders>
              <w:top w:val="single" w:sz="4" w:space="0" w:color="293F5B"/>
              <w:bottom w:val="single" w:sz="4" w:space="0" w:color="293F5B"/>
            </w:tcBorders>
            <w:shd w:val="clear" w:color="auto" w:fill="auto"/>
          </w:tcPr>
          <w:p w14:paraId="6443E554"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BC1A601"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F0A29B6"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3EF118B"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580E706"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D2BAFD1" w14:textId="77777777" w:rsidR="0012790E" w:rsidRPr="001C06E6" w:rsidRDefault="0012790E">
            <w:pPr>
              <w:pStyle w:val="MeasureTableYearHeadings"/>
              <w:keepNext/>
            </w:pPr>
            <w:r w:rsidRPr="001C06E6">
              <w:t>2027</w:t>
            </w:r>
            <w:r>
              <w:noBreakHyphen/>
            </w:r>
            <w:r w:rsidRPr="001C06E6">
              <w:t>28</w:t>
            </w:r>
          </w:p>
        </w:tc>
      </w:tr>
      <w:tr w:rsidR="0012790E" w:rsidRPr="001C06E6" w14:paraId="1FFFA0E5" w14:textId="77777777">
        <w:tc>
          <w:tcPr>
            <w:tcW w:w="2497" w:type="dxa"/>
            <w:tcBorders>
              <w:top w:val="single" w:sz="4" w:space="0" w:color="293F5B"/>
              <w:bottom w:val="single" w:sz="4" w:space="0" w:color="293F5B"/>
            </w:tcBorders>
            <w:shd w:val="clear" w:color="auto" w:fill="auto"/>
          </w:tcPr>
          <w:p w14:paraId="4DB5FDCD"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59D687A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61FD643" w14:textId="77777777" w:rsidR="0012790E" w:rsidRPr="001C06E6" w:rsidRDefault="0012790E">
            <w:pPr>
              <w:pStyle w:val="MeasureTableDataRightAlignedwith2ptsspacing"/>
              <w:keepNext/>
            </w:pPr>
            <w:r>
              <w:t xml:space="preserve">9.8 </w:t>
            </w:r>
          </w:p>
        </w:tc>
        <w:tc>
          <w:tcPr>
            <w:tcW w:w="1045" w:type="dxa"/>
            <w:tcBorders>
              <w:top w:val="single" w:sz="4" w:space="0" w:color="293F5B"/>
              <w:bottom w:val="single" w:sz="4" w:space="0" w:color="293F5B"/>
            </w:tcBorders>
            <w:shd w:val="clear" w:color="auto" w:fill="auto"/>
          </w:tcPr>
          <w:p w14:paraId="5E6B76B8" w14:textId="77777777" w:rsidR="0012790E" w:rsidRPr="001C06E6" w:rsidRDefault="0012790E">
            <w:pPr>
              <w:pStyle w:val="MeasureTableDataRightAlignedwith2ptsspacing"/>
              <w:keepNext/>
            </w:pPr>
            <w:r>
              <w:t xml:space="preserve">8.0 </w:t>
            </w:r>
          </w:p>
        </w:tc>
        <w:tc>
          <w:tcPr>
            <w:tcW w:w="1045" w:type="dxa"/>
            <w:tcBorders>
              <w:top w:val="single" w:sz="4" w:space="0" w:color="293F5B"/>
              <w:bottom w:val="single" w:sz="4" w:space="0" w:color="293F5B"/>
            </w:tcBorders>
            <w:shd w:val="clear" w:color="auto" w:fill="auto"/>
          </w:tcPr>
          <w:p w14:paraId="5BB65B64"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DDCF067" w14:textId="77777777" w:rsidR="0012790E" w:rsidRPr="001C06E6" w:rsidRDefault="0012790E">
            <w:pPr>
              <w:pStyle w:val="MeasureTableDataRightAlignedwith2ptsspacing"/>
              <w:keepNext/>
            </w:pPr>
            <w:r>
              <w:t xml:space="preserve">- </w:t>
            </w:r>
          </w:p>
        </w:tc>
      </w:tr>
      <w:tr w:rsidR="0012790E" w:rsidRPr="001C06E6" w14:paraId="1EB4D225" w14:textId="77777777">
        <w:tc>
          <w:tcPr>
            <w:tcW w:w="2497" w:type="dxa"/>
            <w:tcBorders>
              <w:top w:val="single" w:sz="4" w:space="0" w:color="293F5B"/>
              <w:bottom w:val="single" w:sz="4" w:space="0" w:color="293F5B"/>
            </w:tcBorders>
            <w:shd w:val="clear" w:color="auto" w:fill="auto"/>
          </w:tcPr>
          <w:p w14:paraId="2CCC463D"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33AF4BD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6FDE52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54CE5C8" w14:textId="77777777" w:rsidR="0012790E" w:rsidRPr="001C06E6" w:rsidRDefault="0012790E">
            <w:pPr>
              <w:pStyle w:val="MeasureTableDataRightAlignedwith2ptsspacing"/>
              <w:keepNext/>
            </w:pPr>
            <w:r w:rsidRPr="001C06E6">
              <w:t>12.9</w:t>
            </w:r>
          </w:p>
        </w:tc>
        <w:tc>
          <w:tcPr>
            <w:tcW w:w="1045" w:type="dxa"/>
            <w:tcBorders>
              <w:top w:val="single" w:sz="4" w:space="0" w:color="293F5B"/>
              <w:bottom w:val="single" w:sz="4" w:space="0" w:color="293F5B"/>
            </w:tcBorders>
            <w:shd w:val="clear" w:color="auto" w:fill="auto"/>
          </w:tcPr>
          <w:p w14:paraId="6217F09D" w14:textId="77777777" w:rsidR="0012790E" w:rsidRPr="001C06E6" w:rsidRDefault="0012790E">
            <w:pPr>
              <w:pStyle w:val="MeasureTableDataRightAlignedwith2ptsspacing"/>
              <w:keepNext/>
            </w:pPr>
            <w:r w:rsidRPr="001C06E6">
              <w:t>13.1</w:t>
            </w:r>
          </w:p>
        </w:tc>
        <w:tc>
          <w:tcPr>
            <w:tcW w:w="1045" w:type="dxa"/>
            <w:tcBorders>
              <w:top w:val="single" w:sz="4" w:space="0" w:color="293F5B"/>
              <w:bottom w:val="single" w:sz="4" w:space="0" w:color="293F5B"/>
            </w:tcBorders>
            <w:shd w:val="clear" w:color="auto" w:fill="auto"/>
          </w:tcPr>
          <w:p w14:paraId="4B769166" w14:textId="77777777" w:rsidR="0012790E" w:rsidRPr="001C06E6" w:rsidRDefault="0012790E">
            <w:pPr>
              <w:pStyle w:val="MeasureTableDataRightAlignedwith2ptsspacing"/>
              <w:keepNext/>
            </w:pPr>
            <w:r w:rsidRPr="001C06E6">
              <w:t>-</w:t>
            </w:r>
          </w:p>
        </w:tc>
      </w:tr>
      <w:tr w:rsidR="0012790E" w:rsidRPr="001C06E6" w14:paraId="1CDBCA4B" w14:textId="77777777">
        <w:tc>
          <w:tcPr>
            <w:tcW w:w="2497" w:type="dxa"/>
            <w:tcBorders>
              <w:top w:val="single" w:sz="4" w:space="0" w:color="293F5B"/>
              <w:bottom w:val="single" w:sz="4" w:space="0" w:color="293F5B"/>
            </w:tcBorders>
            <w:shd w:val="clear" w:color="auto" w:fill="auto"/>
          </w:tcPr>
          <w:p w14:paraId="19EE91FC"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70634164"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2AD09928" w14:textId="77777777" w:rsidR="0012790E" w:rsidRPr="001C06E6" w:rsidRDefault="0012790E">
            <w:pPr>
              <w:pStyle w:val="Totaldatarowrightaligned"/>
              <w:keepNext/>
            </w:pPr>
            <w:r w:rsidRPr="001C06E6">
              <w:t>9.8</w:t>
            </w:r>
          </w:p>
        </w:tc>
        <w:tc>
          <w:tcPr>
            <w:tcW w:w="1045" w:type="dxa"/>
            <w:tcBorders>
              <w:top w:val="single" w:sz="4" w:space="0" w:color="293F5B"/>
              <w:bottom w:val="single" w:sz="4" w:space="0" w:color="293F5B"/>
            </w:tcBorders>
            <w:shd w:val="clear" w:color="auto" w:fill="auto"/>
          </w:tcPr>
          <w:p w14:paraId="1F9068E0" w14:textId="77777777" w:rsidR="0012790E" w:rsidRPr="001C06E6" w:rsidRDefault="0012790E">
            <w:pPr>
              <w:pStyle w:val="Totaldatarowrightaligned"/>
              <w:keepNext/>
            </w:pPr>
            <w:r w:rsidRPr="001C06E6">
              <w:t>20.9</w:t>
            </w:r>
          </w:p>
        </w:tc>
        <w:tc>
          <w:tcPr>
            <w:tcW w:w="1045" w:type="dxa"/>
            <w:tcBorders>
              <w:top w:val="single" w:sz="4" w:space="0" w:color="293F5B"/>
              <w:bottom w:val="single" w:sz="4" w:space="0" w:color="293F5B"/>
            </w:tcBorders>
            <w:shd w:val="clear" w:color="auto" w:fill="auto"/>
          </w:tcPr>
          <w:p w14:paraId="02142EF2" w14:textId="77777777" w:rsidR="0012790E" w:rsidRPr="001C06E6" w:rsidRDefault="0012790E">
            <w:pPr>
              <w:pStyle w:val="Totaldatarowrightaligned"/>
              <w:keepNext/>
            </w:pPr>
            <w:r w:rsidRPr="001C06E6">
              <w:t>13.1</w:t>
            </w:r>
          </w:p>
        </w:tc>
        <w:tc>
          <w:tcPr>
            <w:tcW w:w="1045" w:type="dxa"/>
            <w:tcBorders>
              <w:top w:val="single" w:sz="4" w:space="0" w:color="293F5B"/>
              <w:bottom w:val="single" w:sz="4" w:space="0" w:color="293F5B"/>
            </w:tcBorders>
            <w:shd w:val="clear" w:color="auto" w:fill="auto"/>
          </w:tcPr>
          <w:p w14:paraId="5B59BE06" w14:textId="77777777" w:rsidR="0012790E" w:rsidRPr="001C06E6" w:rsidRDefault="0012790E">
            <w:pPr>
              <w:pStyle w:val="Totaldatarowrightaligned"/>
              <w:keepNext/>
            </w:pPr>
            <w:r w:rsidRPr="001C06E6">
              <w:t>-</w:t>
            </w:r>
          </w:p>
        </w:tc>
      </w:tr>
    </w:tbl>
    <w:p w14:paraId="36EC6F1F"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276FC3DE" w14:textId="77777777" w:rsidR="0012790E" w:rsidRDefault="0012790E" w:rsidP="54937204">
      <w:pPr>
        <w:pStyle w:val="Normal2"/>
        <w:rPr>
          <w:rFonts w:cs="Book Antiqua"/>
          <w:lang w:val="en-US"/>
        </w:rPr>
      </w:pPr>
      <w:r w:rsidRPr="54937204">
        <w:rPr>
          <w:rFonts w:cs="Book Antiqua"/>
          <w:lang w:val="en-US"/>
        </w:rPr>
        <w:t>The Government will provide $43.9 million over three years from 2024–25 to expand activities that address priorities identified in the Human Immunodeficiency Virus (HIV) Taskforce Report recommendations. Funding includes:</w:t>
      </w:r>
    </w:p>
    <w:p w14:paraId="05B9D9B1" w14:textId="77777777" w:rsidR="0012790E" w:rsidRDefault="0012790E">
      <w:pPr>
        <w:pStyle w:val="Bullet"/>
      </w:pPr>
      <w:r w:rsidRPr="001C06E6">
        <w:t>$26.0</w:t>
      </w:r>
      <w:r>
        <w:t> </w:t>
      </w:r>
      <w:r w:rsidRPr="001C06E6">
        <w:t xml:space="preserve">million over two years from </w:t>
      </w:r>
      <w:r>
        <w:t>2025–26</w:t>
      </w:r>
      <w:r w:rsidRPr="001C06E6">
        <w:t xml:space="preserve"> for subsidised pre</w:t>
      </w:r>
      <w:r>
        <w:noBreakHyphen/>
      </w:r>
      <w:r w:rsidRPr="001C06E6">
        <w:t>exposure prophylaxis (PrEP) HIV prevention medication for people living in Australia without access to Medicare</w:t>
      </w:r>
      <w:r>
        <w:t xml:space="preserve"> </w:t>
      </w:r>
    </w:p>
    <w:p w14:paraId="45E11E10" w14:textId="77777777" w:rsidR="0012790E" w:rsidRDefault="0012790E">
      <w:pPr>
        <w:pStyle w:val="Bullet"/>
      </w:pPr>
      <w:r w:rsidRPr="001C06E6">
        <w:t>$3.8</w:t>
      </w:r>
      <w:r>
        <w:t> </w:t>
      </w:r>
      <w:r w:rsidRPr="001C06E6">
        <w:t xml:space="preserve">million over two years from </w:t>
      </w:r>
      <w:r>
        <w:t>2024–25</w:t>
      </w:r>
      <w:r w:rsidRPr="001C06E6">
        <w:t xml:space="preserve"> for the national implementation of the HIV testing vending machine initiative</w:t>
      </w:r>
      <w:r>
        <w:t xml:space="preserve"> </w:t>
      </w:r>
    </w:p>
    <w:p w14:paraId="684B1F95" w14:textId="77777777" w:rsidR="0012790E" w:rsidRDefault="0012790E">
      <w:pPr>
        <w:pStyle w:val="Bullet"/>
      </w:pPr>
      <w:r w:rsidRPr="001C06E6">
        <w:t>$3.7</w:t>
      </w:r>
      <w:r>
        <w:t> </w:t>
      </w:r>
      <w:r w:rsidRPr="001C06E6">
        <w:t xml:space="preserve">million over two years from </w:t>
      </w:r>
      <w:r>
        <w:t>2024–25</w:t>
      </w:r>
      <w:r w:rsidRPr="001C06E6">
        <w:t xml:space="preserve"> of additional funding to peak HIV organisations to continue activities that support the national response to HIV</w:t>
      </w:r>
      <w:r>
        <w:t xml:space="preserve"> </w:t>
      </w:r>
    </w:p>
    <w:p w14:paraId="250773D1" w14:textId="77777777" w:rsidR="0012790E" w:rsidRDefault="0012790E">
      <w:pPr>
        <w:pStyle w:val="Bullet"/>
      </w:pPr>
      <w:r w:rsidRPr="001C06E6">
        <w:t>$3.0</w:t>
      </w:r>
      <w:r>
        <w:t> </w:t>
      </w:r>
      <w:r w:rsidRPr="001C06E6">
        <w:t xml:space="preserve">million over two years from </w:t>
      </w:r>
      <w:r>
        <w:t>2024–25</w:t>
      </w:r>
      <w:r w:rsidRPr="001C06E6">
        <w:t xml:space="preserve"> for the continuation of the Emen8 website</w:t>
      </w:r>
      <w:r>
        <w:t xml:space="preserve"> </w:t>
      </w:r>
    </w:p>
    <w:p w14:paraId="29F2E6DA" w14:textId="7A1FA9C1" w:rsidR="0012790E" w:rsidRDefault="0012790E">
      <w:pPr>
        <w:pStyle w:val="Bullet"/>
      </w:pPr>
      <w:r w:rsidRPr="001C06E6">
        <w:t>$2.5</w:t>
      </w:r>
      <w:r>
        <w:t> </w:t>
      </w:r>
      <w:r w:rsidRPr="001C06E6">
        <w:t xml:space="preserve">million over two years from </w:t>
      </w:r>
      <w:r>
        <w:t>2024–25</w:t>
      </w:r>
      <w:r w:rsidRPr="001C06E6">
        <w:t xml:space="preserve"> to expand the national HIV self</w:t>
      </w:r>
      <w:r>
        <w:noBreakHyphen/>
      </w:r>
      <w:r w:rsidRPr="001C06E6">
        <w:t>test mail out</w:t>
      </w:r>
      <w:r w:rsidR="00011F56">
        <w:t> </w:t>
      </w:r>
      <w:r w:rsidRPr="001C06E6">
        <w:t>initiative</w:t>
      </w:r>
      <w:r>
        <w:t xml:space="preserve"> </w:t>
      </w:r>
    </w:p>
    <w:p w14:paraId="668F0F70" w14:textId="77777777" w:rsidR="0012790E" w:rsidRDefault="0012790E">
      <w:pPr>
        <w:pStyle w:val="Bullet"/>
      </w:pPr>
      <w:r w:rsidRPr="001C06E6">
        <w:t>$2.1</w:t>
      </w:r>
      <w:r>
        <w:t> </w:t>
      </w:r>
      <w:r w:rsidRPr="001C06E6">
        <w:t xml:space="preserve">million over two years from </w:t>
      </w:r>
      <w:r>
        <w:t>2024–25</w:t>
      </w:r>
      <w:r w:rsidRPr="001C06E6">
        <w:t xml:space="preserve"> to continue funding for the HIV Online Learning Australia</w:t>
      </w:r>
      <w:r>
        <w:t xml:space="preserve"> </w:t>
      </w:r>
    </w:p>
    <w:p w14:paraId="19501827" w14:textId="22D6BB45" w:rsidR="0012790E" w:rsidRDefault="0012790E">
      <w:pPr>
        <w:pStyle w:val="Bullet"/>
      </w:pPr>
      <w:r w:rsidRPr="001C06E6">
        <w:t>$1.6</w:t>
      </w:r>
      <w:r>
        <w:t> </w:t>
      </w:r>
      <w:r w:rsidRPr="001C06E6">
        <w:t xml:space="preserve">million in </w:t>
      </w:r>
      <w:r>
        <w:t>2024–25</w:t>
      </w:r>
      <w:r w:rsidRPr="001C06E6">
        <w:t xml:space="preserve"> to develop a workforce education and training pilot on HIV</w:t>
      </w:r>
      <w:r w:rsidR="00011F56">
        <w:t> </w:t>
      </w:r>
      <w:r w:rsidRPr="001C06E6">
        <w:t>prevention</w:t>
      </w:r>
      <w:r>
        <w:t xml:space="preserve"> </w:t>
      </w:r>
    </w:p>
    <w:p w14:paraId="30BB4931" w14:textId="77777777" w:rsidR="0012790E" w:rsidRPr="00011F56" w:rsidRDefault="0012790E">
      <w:pPr>
        <w:pStyle w:val="Bullet"/>
        <w:rPr>
          <w:spacing w:val="-2"/>
        </w:rPr>
      </w:pPr>
      <w:r w:rsidRPr="00011F56">
        <w:rPr>
          <w:spacing w:val="-2"/>
        </w:rPr>
        <w:t xml:space="preserve">$1.0 million in 2024–25 to establish a national HIV multicultural peer navigation program. </w:t>
      </w:r>
    </w:p>
    <w:p w14:paraId="1BF3990C" w14:textId="77777777" w:rsidR="0012790E" w:rsidRDefault="0012790E">
      <w:pPr>
        <w:pStyle w:val="Normal2"/>
        <w:rPr>
          <w:rFonts w:cs="Book Antiqua"/>
        </w:rPr>
      </w:pPr>
      <w:r w:rsidRPr="001C06E6">
        <w:rPr>
          <w:rFonts w:cs="Book Antiqua"/>
        </w:rPr>
        <w:t>The Treasury manages Commonwealth payments to the states and territories.</w:t>
      </w:r>
      <w:r>
        <w:rPr>
          <w:rFonts w:cs="Book Antiqua"/>
        </w:rPr>
        <w:t xml:space="preserve"> </w:t>
      </w:r>
    </w:p>
    <w:p w14:paraId="6B431655" w14:textId="7777777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 xml:space="preserve">Budget measure titled </w:t>
      </w:r>
      <w:r w:rsidRPr="001C06E6">
        <w:rPr>
          <w:rFonts w:cs="Book Antiqua"/>
          <w:i/>
          <w:iCs/>
        </w:rPr>
        <w:t>Enhancing National</w:t>
      </w:r>
      <w:r>
        <w:rPr>
          <w:rFonts w:cs="Book Antiqua"/>
          <w:i/>
          <w:iCs/>
        </w:rPr>
        <w:t xml:space="preserve"> </w:t>
      </w:r>
      <w:r w:rsidRPr="001C06E6">
        <w:rPr>
          <w:rFonts w:cs="Book Antiqua"/>
          <w:i/>
          <w:iCs/>
        </w:rPr>
        <w:t>Strategies for Bloodborne Viruses and Sexually Transmissible Infections</w:t>
      </w:r>
      <w:r w:rsidRPr="001C06E6">
        <w:rPr>
          <w:rFonts w:cs="Book Antiqua"/>
        </w:rPr>
        <w:t xml:space="preserve"> and </w:t>
      </w:r>
      <w:r>
        <w:rPr>
          <w:rFonts w:cs="Book Antiqua"/>
        </w:rPr>
        <w:t xml:space="preserve">2022–23 </w:t>
      </w:r>
      <w:r w:rsidRPr="001C06E6">
        <w:rPr>
          <w:rFonts w:cs="Book Antiqua"/>
        </w:rPr>
        <w:t xml:space="preserve">October Budget measure titled </w:t>
      </w:r>
      <w:r w:rsidRPr="001C06E6">
        <w:rPr>
          <w:rFonts w:cs="Book Antiqua"/>
          <w:i/>
          <w:iCs/>
        </w:rPr>
        <w:t>Renewing Australia’s Efforts to End the HIV Pandemic</w:t>
      </w:r>
      <w:r w:rsidRPr="001C06E6">
        <w:rPr>
          <w:rFonts w:cs="Book Antiqua"/>
        </w:rPr>
        <w:t>.</w:t>
      </w:r>
      <w:r>
        <w:rPr>
          <w:rFonts w:cs="Book Antiqua"/>
        </w:rPr>
        <w:t xml:space="preserve"> </w:t>
      </w:r>
    </w:p>
    <w:p w14:paraId="07BCA4D5" w14:textId="77777777" w:rsidR="0012790E" w:rsidRPr="001C06E6" w:rsidRDefault="0012790E">
      <w:pPr>
        <w:pStyle w:val="MeasureTitle"/>
        <w:rPr>
          <w:b w:val="0"/>
          <w:bCs/>
        </w:rPr>
      </w:pPr>
      <w:r w:rsidRPr="001C06E6">
        <w:rPr>
          <w:bCs/>
        </w:rPr>
        <w:t>Securing Cheaper</w:t>
      </w:r>
      <w:r>
        <w:rPr>
          <w:b w:val="0"/>
          <w:bCs/>
        </w:rPr>
        <w:t> </w:t>
      </w:r>
      <w:r w:rsidRPr="001C06E6">
        <w:rPr>
          <w:bCs/>
        </w:rPr>
        <w:t>Medicines</w:t>
      </w:r>
    </w:p>
    <w:p w14:paraId="6B0C2CDC"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2086A6A" w14:textId="77777777">
        <w:tc>
          <w:tcPr>
            <w:tcW w:w="2497" w:type="dxa"/>
            <w:tcBorders>
              <w:top w:val="single" w:sz="4" w:space="0" w:color="293F5B"/>
              <w:bottom w:val="single" w:sz="4" w:space="0" w:color="293F5B"/>
            </w:tcBorders>
            <w:shd w:val="clear" w:color="auto" w:fill="auto"/>
          </w:tcPr>
          <w:p w14:paraId="4D21D793"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65812B9"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BD30166"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8E976C2"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F7D95A3"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FE29204" w14:textId="77777777" w:rsidR="0012790E" w:rsidRPr="001C06E6" w:rsidRDefault="0012790E">
            <w:pPr>
              <w:pStyle w:val="MeasureTableYearHeadings"/>
              <w:keepNext/>
            </w:pPr>
            <w:r w:rsidRPr="001C06E6">
              <w:t>2027</w:t>
            </w:r>
            <w:r>
              <w:noBreakHyphen/>
            </w:r>
            <w:r w:rsidRPr="001C06E6">
              <w:t>28</w:t>
            </w:r>
          </w:p>
        </w:tc>
      </w:tr>
      <w:tr w:rsidR="0012790E" w:rsidRPr="001C06E6" w14:paraId="5B40A737" w14:textId="77777777">
        <w:tc>
          <w:tcPr>
            <w:tcW w:w="2497" w:type="dxa"/>
            <w:tcBorders>
              <w:top w:val="single" w:sz="4" w:space="0" w:color="293F5B"/>
              <w:bottom w:val="single" w:sz="4" w:space="0" w:color="293F5B"/>
            </w:tcBorders>
            <w:shd w:val="clear" w:color="auto" w:fill="auto"/>
          </w:tcPr>
          <w:p w14:paraId="17E71883"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17A40F52" w14:textId="77777777" w:rsidR="0012790E" w:rsidRPr="001C06E6" w:rsidRDefault="0012790E">
            <w:pPr>
              <w:pStyle w:val="MeasureTableDataRightAlignedwith2ptsspacing"/>
              <w:keepNext/>
            </w:pPr>
            <w:r w:rsidRPr="001C06E6">
              <w:t>0.5</w:t>
            </w:r>
          </w:p>
        </w:tc>
        <w:tc>
          <w:tcPr>
            <w:tcW w:w="1045" w:type="dxa"/>
            <w:tcBorders>
              <w:top w:val="single" w:sz="4" w:space="0" w:color="293F5B"/>
              <w:bottom w:val="single" w:sz="4" w:space="0" w:color="293F5B"/>
            </w:tcBorders>
            <w:shd w:val="clear" w:color="auto" w:fill="auto"/>
          </w:tcPr>
          <w:p w14:paraId="0BEC69F9" w14:textId="77777777" w:rsidR="0012790E" w:rsidRPr="001C06E6" w:rsidRDefault="0012790E">
            <w:pPr>
              <w:pStyle w:val="MeasureTableDataRightAlignedwith2ptsspacing"/>
              <w:keepNext/>
            </w:pPr>
            <w:r w:rsidRPr="001C06E6">
              <w:t>1.1</w:t>
            </w:r>
          </w:p>
        </w:tc>
        <w:tc>
          <w:tcPr>
            <w:tcW w:w="1045" w:type="dxa"/>
            <w:tcBorders>
              <w:top w:val="single" w:sz="4" w:space="0" w:color="293F5B"/>
              <w:bottom w:val="single" w:sz="4" w:space="0" w:color="293F5B"/>
            </w:tcBorders>
            <w:shd w:val="clear" w:color="auto" w:fill="auto"/>
          </w:tcPr>
          <w:p w14:paraId="07AA3D3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8FC277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C823BE5" w14:textId="77777777" w:rsidR="0012790E" w:rsidRPr="001C06E6" w:rsidRDefault="0012790E">
            <w:pPr>
              <w:pStyle w:val="MeasureTableDataRightAlignedwith2ptsspacing"/>
              <w:keepNext/>
            </w:pPr>
            <w:r w:rsidRPr="001C06E6">
              <w:t>-</w:t>
            </w:r>
          </w:p>
        </w:tc>
      </w:tr>
      <w:tr w:rsidR="0012790E" w:rsidRPr="001C06E6" w14:paraId="27A0EAAF" w14:textId="77777777">
        <w:tc>
          <w:tcPr>
            <w:tcW w:w="2497" w:type="dxa"/>
            <w:tcBorders>
              <w:top w:val="single" w:sz="4" w:space="0" w:color="293F5B"/>
              <w:bottom w:val="single" w:sz="4" w:space="0" w:color="293F5B"/>
            </w:tcBorders>
            <w:shd w:val="clear" w:color="auto" w:fill="auto"/>
          </w:tcPr>
          <w:p w14:paraId="5A5BDFE4"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11A911C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E1C0B56"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34EBA860" w14:textId="77777777" w:rsidR="0012790E" w:rsidRPr="001C06E6" w:rsidRDefault="0012790E">
            <w:pPr>
              <w:pStyle w:val="MeasureTableDataRightAlignedwith2ptsspacing"/>
              <w:keepNext/>
            </w:pPr>
            <w:r>
              <w:t xml:space="preserve">103.3 </w:t>
            </w:r>
          </w:p>
        </w:tc>
        <w:tc>
          <w:tcPr>
            <w:tcW w:w="1045" w:type="dxa"/>
            <w:tcBorders>
              <w:top w:val="single" w:sz="4" w:space="0" w:color="293F5B"/>
              <w:bottom w:val="single" w:sz="4" w:space="0" w:color="293F5B"/>
            </w:tcBorders>
            <w:shd w:val="clear" w:color="auto" w:fill="auto"/>
          </w:tcPr>
          <w:p w14:paraId="4FA74550" w14:textId="77777777" w:rsidR="0012790E" w:rsidRPr="001C06E6" w:rsidRDefault="0012790E">
            <w:pPr>
              <w:pStyle w:val="MeasureTableDataRightAlignedwith2ptsspacing"/>
              <w:keepNext/>
            </w:pPr>
            <w:r>
              <w:t xml:space="preserve">143.6 </w:t>
            </w:r>
          </w:p>
        </w:tc>
        <w:tc>
          <w:tcPr>
            <w:tcW w:w="1045" w:type="dxa"/>
            <w:tcBorders>
              <w:top w:val="single" w:sz="4" w:space="0" w:color="293F5B"/>
              <w:bottom w:val="single" w:sz="4" w:space="0" w:color="293F5B"/>
            </w:tcBorders>
            <w:shd w:val="clear" w:color="auto" w:fill="auto"/>
          </w:tcPr>
          <w:p w14:paraId="5F1AF11E" w14:textId="77777777" w:rsidR="0012790E" w:rsidRPr="001C06E6" w:rsidRDefault="0012790E">
            <w:pPr>
              <w:pStyle w:val="MeasureTableDataRightAlignedwith2ptsspacing"/>
              <w:keepNext/>
            </w:pPr>
            <w:r>
              <w:t xml:space="preserve">177.8 </w:t>
            </w:r>
          </w:p>
        </w:tc>
      </w:tr>
      <w:tr w:rsidR="0012790E" w:rsidRPr="001C06E6" w14:paraId="3E92EDD6" w14:textId="77777777">
        <w:tc>
          <w:tcPr>
            <w:tcW w:w="2497" w:type="dxa"/>
            <w:tcBorders>
              <w:top w:val="single" w:sz="4" w:space="0" w:color="293F5B"/>
              <w:bottom w:val="single" w:sz="4" w:space="0" w:color="293F5B"/>
            </w:tcBorders>
            <w:shd w:val="clear" w:color="auto" w:fill="auto"/>
          </w:tcPr>
          <w:p w14:paraId="63580CCB" w14:textId="77777777" w:rsidR="0012790E" w:rsidRPr="001C06E6" w:rsidRDefault="0012790E">
            <w:pPr>
              <w:pStyle w:val="MeasureTableHeadingleftalignedwith2ptsspacing"/>
              <w:keepNext/>
            </w:pPr>
            <w:r w:rsidRPr="001C06E6">
              <w:t>Department of Veterans' Affairs</w:t>
            </w:r>
          </w:p>
        </w:tc>
        <w:tc>
          <w:tcPr>
            <w:tcW w:w="1045" w:type="dxa"/>
            <w:tcBorders>
              <w:top w:val="single" w:sz="4" w:space="0" w:color="293F5B"/>
              <w:bottom w:val="single" w:sz="4" w:space="0" w:color="293F5B"/>
            </w:tcBorders>
            <w:shd w:val="clear" w:color="auto" w:fill="auto"/>
          </w:tcPr>
          <w:p w14:paraId="43EFC40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0410DAC" w14:textId="77777777" w:rsidR="0012790E" w:rsidRPr="001C06E6" w:rsidRDefault="0012790E">
            <w:pPr>
              <w:pStyle w:val="MeasureTableDataRightAlignedwith2ptsspacing"/>
              <w:keepNext/>
            </w:pPr>
            <w:r w:rsidRPr="001C06E6">
              <w:t>0.4</w:t>
            </w:r>
          </w:p>
        </w:tc>
        <w:tc>
          <w:tcPr>
            <w:tcW w:w="1045" w:type="dxa"/>
            <w:tcBorders>
              <w:top w:val="single" w:sz="4" w:space="0" w:color="293F5B"/>
              <w:bottom w:val="single" w:sz="4" w:space="0" w:color="293F5B"/>
            </w:tcBorders>
            <w:shd w:val="clear" w:color="auto" w:fill="auto"/>
          </w:tcPr>
          <w:p w14:paraId="3AB66F5A" w14:textId="77777777" w:rsidR="0012790E" w:rsidRPr="001C06E6" w:rsidRDefault="0012790E">
            <w:pPr>
              <w:pStyle w:val="MeasureTableDataRightAlignedwith2ptsspacing"/>
              <w:keepNext/>
            </w:pPr>
            <w:r w:rsidRPr="001C06E6">
              <w:t>1.1</w:t>
            </w:r>
          </w:p>
        </w:tc>
        <w:tc>
          <w:tcPr>
            <w:tcW w:w="1045" w:type="dxa"/>
            <w:tcBorders>
              <w:top w:val="single" w:sz="4" w:space="0" w:color="293F5B"/>
              <w:bottom w:val="single" w:sz="4" w:space="0" w:color="293F5B"/>
            </w:tcBorders>
            <w:shd w:val="clear" w:color="auto" w:fill="auto"/>
          </w:tcPr>
          <w:p w14:paraId="03DAB0CE" w14:textId="77777777" w:rsidR="0012790E" w:rsidRPr="001C06E6" w:rsidRDefault="0012790E">
            <w:pPr>
              <w:pStyle w:val="MeasureTableDataRightAlignedwith2ptsspacing"/>
              <w:keepNext/>
            </w:pPr>
            <w:r w:rsidRPr="001C06E6">
              <w:t>1.9</w:t>
            </w:r>
          </w:p>
        </w:tc>
        <w:tc>
          <w:tcPr>
            <w:tcW w:w="1045" w:type="dxa"/>
            <w:tcBorders>
              <w:top w:val="single" w:sz="4" w:space="0" w:color="293F5B"/>
              <w:bottom w:val="single" w:sz="4" w:space="0" w:color="293F5B"/>
            </w:tcBorders>
            <w:shd w:val="clear" w:color="auto" w:fill="auto"/>
          </w:tcPr>
          <w:p w14:paraId="77BD91E5" w14:textId="77777777" w:rsidR="0012790E" w:rsidRPr="001C06E6" w:rsidRDefault="0012790E">
            <w:pPr>
              <w:pStyle w:val="MeasureTableDataRightAlignedwith2ptsspacing"/>
              <w:keepNext/>
            </w:pPr>
            <w:r w:rsidRPr="001C06E6">
              <w:t>2.4</w:t>
            </w:r>
          </w:p>
        </w:tc>
      </w:tr>
      <w:tr w:rsidR="0012790E" w:rsidRPr="001C06E6" w14:paraId="61A16EFE" w14:textId="77777777">
        <w:tc>
          <w:tcPr>
            <w:tcW w:w="2497" w:type="dxa"/>
            <w:tcBorders>
              <w:top w:val="single" w:sz="4" w:space="0" w:color="293F5B"/>
              <w:bottom w:val="single" w:sz="4" w:space="0" w:color="293F5B"/>
            </w:tcBorders>
            <w:shd w:val="clear" w:color="auto" w:fill="auto"/>
          </w:tcPr>
          <w:p w14:paraId="25BAF719"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10A63115" w14:textId="77777777" w:rsidR="0012790E" w:rsidRPr="001C06E6" w:rsidRDefault="0012790E">
            <w:pPr>
              <w:pStyle w:val="Totaldatarowrightaligned"/>
              <w:keepNext/>
            </w:pPr>
            <w:r w:rsidRPr="001C06E6">
              <w:t>0.5</w:t>
            </w:r>
          </w:p>
        </w:tc>
        <w:tc>
          <w:tcPr>
            <w:tcW w:w="1045" w:type="dxa"/>
            <w:tcBorders>
              <w:top w:val="single" w:sz="4" w:space="0" w:color="293F5B"/>
              <w:bottom w:val="single" w:sz="4" w:space="0" w:color="293F5B"/>
            </w:tcBorders>
            <w:shd w:val="clear" w:color="auto" w:fill="auto"/>
          </w:tcPr>
          <w:p w14:paraId="52B5B28B" w14:textId="77777777" w:rsidR="0012790E" w:rsidRPr="001C06E6" w:rsidRDefault="0012790E">
            <w:pPr>
              <w:pStyle w:val="Totaldatarowrightaligned"/>
              <w:keepNext/>
            </w:pPr>
            <w:r w:rsidRPr="001C06E6">
              <w:t>1.5</w:t>
            </w:r>
          </w:p>
        </w:tc>
        <w:tc>
          <w:tcPr>
            <w:tcW w:w="1045" w:type="dxa"/>
            <w:tcBorders>
              <w:top w:val="single" w:sz="4" w:space="0" w:color="293F5B"/>
              <w:bottom w:val="single" w:sz="4" w:space="0" w:color="293F5B"/>
            </w:tcBorders>
            <w:shd w:val="clear" w:color="auto" w:fill="auto"/>
          </w:tcPr>
          <w:p w14:paraId="1F8F5604" w14:textId="77777777" w:rsidR="0012790E" w:rsidRPr="001C06E6" w:rsidRDefault="0012790E">
            <w:pPr>
              <w:pStyle w:val="Totaldatarowrightaligned"/>
              <w:keepNext/>
            </w:pPr>
            <w:r w:rsidRPr="001C06E6">
              <w:t>104.4</w:t>
            </w:r>
          </w:p>
        </w:tc>
        <w:tc>
          <w:tcPr>
            <w:tcW w:w="1045" w:type="dxa"/>
            <w:tcBorders>
              <w:top w:val="single" w:sz="4" w:space="0" w:color="293F5B"/>
              <w:bottom w:val="single" w:sz="4" w:space="0" w:color="293F5B"/>
            </w:tcBorders>
            <w:shd w:val="clear" w:color="auto" w:fill="auto"/>
          </w:tcPr>
          <w:p w14:paraId="58E390EC" w14:textId="77777777" w:rsidR="0012790E" w:rsidRPr="001C06E6" w:rsidRDefault="0012790E">
            <w:pPr>
              <w:pStyle w:val="Totaldatarowrightaligned"/>
              <w:keepNext/>
            </w:pPr>
            <w:r w:rsidRPr="001C06E6">
              <w:t>145.5</w:t>
            </w:r>
          </w:p>
        </w:tc>
        <w:tc>
          <w:tcPr>
            <w:tcW w:w="1045" w:type="dxa"/>
            <w:tcBorders>
              <w:top w:val="single" w:sz="4" w:space="0" w:color="293F5B"/>
              <w:bottom w:val="single" w:sz="4" w:space="0" w:color="293F5B"/>
            </w:tcBorders>
            <w:shd w:val="clear" w:color="auto" w:fill="auto"/>
          </w:tcPr>
          <w:p w14:paraId="2D3B93CA" w14:textId="77777777" w:rsidR="0012790E" w:rsidRPr="001C06E6" w:rsidRDefault="0012790E">
            <w:pPr>
              <w:pStyle w:val="Totaldatarowrightaligned"/>
              <w:keepNext/>
            </w:pPr>
            <w:r w:rsidRPr="001C06E6">
              <w:t>180.3</w:t>
            </w:r>
          </w:p>
        </w:tc>
      </w:tr>
      <w:tr w:rsidR="0012790E" w:rsidRPr="001C06E6" w14:paraId="13B90154" w14:textId="77777777">
        <w:tc>
          <w:tcPr>
            <w:tcW w:w="2497" w:type="dxa"/>
            <w:tcBorders>
              <w:top w:val="single" w:sz="4" w:space="0" w:color="293F5B"/>
            </w:tcBorders>
            <w:shd w:val="clear" w:color="auto" w:fill="auto"/>
          </w:tcPr>
          <w:p w14:paraId="092BF279"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7601CA85" w14:textId="77777777" w:rsidR="0012790E" w:rsidRPr="001C06E6" w:rsidRDefault="0012790E">
            <w:pPr>
              <w:pStyle w:val="AgencyName"/>
              <w:keepNext/>
            </w:pPr>
          </w:p>
        </w:tc>
        <w:tc>
          <w:tcPr>
            <w:tcW w:w="1045" w:type="dxa"/>
            <w:tcBorders>
              <w:top w:val="single" w:sz="4" w:space="0" w:color="293F5B"/>
            </w:tcBorders>
            <w:shd w:val="clear" w:color="auto" w:fill="auto"/>
          </w:tcPr>
          <w:p w14:paraId="3DC343DB" w14:textId="77777777" w:rsidR="0012790E" w:rsidRPr="001C06E6" w:rsidRDefault="0012790E">
            <w:pPr>
              <w:pStyle w:val="AgencyName"/>
              <w:keepNext/>
            </w:pPr>
          </w:p>
        </w:tc>
        <w:tc>
          <w:tcPr>
            <w:tcW w:w="1045" w:type="dxa"/>
            <w:tcBorders>
              <w:top w:val="single" w:sz="4" w:space="0" w:color="293F5B"/>
            </w:tcBorders>
            <w:shd w:val="clear" w:color="auto" w:fill="auto"/>
          </w:tcPr>
          <w:p w14:paraId="070F05FF" w14:textId="77777777" w:rsidR="0012790E" w:rsidRPr="001C06E6" w:rsidRDefault="0012790E">
            <w:pPr>
              <w:pStyle w:val="AgencyName"/>
              <w:keepNext/>
            </w:pPr>
          </w:p>
        </w:tc>
        <w:tc>
          <w:tcPr>
            <w:tcW w:w="1045" w:type="dxa"/>
            <w:tcBorders>
              <w:top w:val="single" w:sz="4" w:space="0" w:color="293F5B"/>
            </w:tcBorders>
            <w:shd w:val="clear" w:color="auto" w:fill="auto"/>
          </w:tcPr>
          <w:p w14:paraId="6665CE84" w14:textId="77777777" w:rsidR="0012790E" w:rsidRPr="001C06E6" w:rsidRDefault="0012790E">
            <w:pPr>
              <w:pStyle w:val="AgencyName"/>
              <w:keepNext/>
            </w:pPr>
          </w:p>
        </w:tc>
        <w:tc>
          <w:tcPr>
            <w:tcW w:w="1045" w:type="dxa"/>
            <w:tcBorders>
              <w:top w:val="single" w:sz="4" w:space="0" w:color="293F5B"/>
            </w:tcBorders>
            <w:shd w:val="clear" w:color="auto" w:fill="auto"/>
          </w:tcPr>
          <w:p w14:paraId="6AB097B6" w14:textId="77777777" w:rsidR="0012790E" w:rsidRPr="001C06E6" w:rsidRDefault="0012790E">
            <w:pPr>
              <w:pStyle w:val="AgencyName"/>
              <w:keepNext/>
            </w:pPr>
          </w:p>
        </w:tc>
      </w:tr>
      <w:tr w:rsidR="0012790E" w:rsidRPr="001C06E6" w14:paraId="3142C8F8" w14:textId="77777777">
        <w:tc>
          <w:tcPr>
            <w:tcW w:w="2497" w:type="dxa"/>
            <w:tcBorders>
              <w:bottom w:val="single" w:sz="4" w:space="0" w:color="293F5B"/>
            </w:tcBorders>
            <w:shd w:val="clear" w:color="auto" w:fill="auto"/>
          </w:tcPr>
          <w:p w14:paraId="3B74AFAF" w14:textId="77777777" w:rsidR="0012790E" w:rsidRPr="001C06E6" w:rsidRDefault="0012790E">
            <w:pPr>
              <w:pStyle w:val="AgencyNamewith2ptsspacing"/>
              <w:keepNext/>
            </w:pPr>
            <w:r>
              <w:t xml:space="preserve">Department of Health and Aged Care </w:t>
            </w:r>
          </w:p>
        </w:tc>
        <w:tc>
          <w:tcPr>
            <w:tcW w:w="1045" w:type="dxa"/>
            <w:tcBorders>
              <w:bottom w:val="single" w:sz="4" w:space="0" w:color="293F5B"/>
            </w:tcBorders>
            <w:shd w:val="clear" w:color="auto" w:fill="auto"/>
          </w:tcPr>
          <w:p w14:paraId="0684A0F3"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291F2B9F" w14:textId="77777777" w:rsidR="0012790E" w:rsidRPr="001C06E6" w:rsidRDefault="0012790E">
            <w:pPr>
              <w:pStyle w:val="Measuretabledatarightaligneditalics"/>
              <w:keepNext/>
            </w:pPr>
            <w:r>
              <w:t xml:space="preserve">1.2 </w:t>
            </w:r>
          </w:p>
        </w:tc>
        <w:tc>
          <w:tcPr>
            <w:tcW w:w="1045" w:type="dxa"/>
            <w:tcBorders>
              <w:bottom w:val="single" w:sz="4" w:space="0" w:color="293F5B"/>
            </w:tcBorders>
            <w:shd w:val="clear" w:color="auto" w:fill="auto"/>
          </w:tcPr>
          <w:p w14:paraId="2BD94615" w14:textId="77777777" w:rsidR="0012790E" w:rsidRPr="001C06E6" w:rsidRDefault="0012790E">
            <w:pPr>
              <w:pStyle w:val="Measuretabledatarightaligneditalics"/>
              <w:keepNext/>
            </w:pPr>
            <w:r>
              <w:t xml:space="preserve">2.8 </w:t>
            </w:r>
          </w:p>
        </w:tc>
        <w:tc>
          <w:tcPr>
            <w:tcW w:w="1045" w:type="dxa"/>
            <w:tcBorders>
              <w:bottom w:val="single" w:sz="4" w:space="0" w:color="293F5B"/>
            </w:tcBorders>
            <w:shd w:val="clear" w:color="auto" w:fill="auto"/>
          </w:tcPr>
          <w:p w14:paraId="49626CDE" w14:textId="77777777" w:rsidR="0012790E" w:rsidRPr="001C06E6" w:rsidRDefault="0012790E">
            <w:pPr>
              <w:pStyle w:val="Measuretabledatarightaligneditalics"/>
              <w:keepNext/>
            </w:pPr>
            <w:r>
              <w:t xml:space="preserve">3.9 </w:t>
            </w:r>
          </w:p>
        </w:tc>
        <w:tc>
          <w:tcPr>
            <w:tcW w:w="1045" w:type="dxa"/>
            <w:tcBorders>
              <w:bottom w:val="single" w:sz="4" w:space="0" w:color="293F5B"/>
            </w:tcBorders>
            <w:shd w:val="clear" w:color="auto" w:fill="auto"/>
          </w:tcPr>
          <w:p w14:paraId="5FF7674C" w14:textId="77777777" w:rsidR="0012790E" w:rsidRPr="001C06E6" w:rsidRDefault="0012790E">
            <w:pPr>
              <w:pStyle w:val="Measuretabledatarightaligneditalics"/>
              <w:keepNext/>
            </w:pPr>
            <w:r>
              <w:t xml:space="preserve">4.8 </w:t>
            </w:r>
          </w:p>
        </w:tc>
      </w:tr>
    </w:tbl>
    <w:p w14:paraId="6A249D52" w14:textId="77777777" w:rsidR="0012790E" w:rsidRPr="001C06E6" w:rsidRDefault="0012790E">
      <w:pPr>
        <w:keepNext/>
        <w:widowControl w:val="0"/>
        <w:spacing w:line="184" w:lineRule="exact"/>
        <w:rPr>
          <w:i/>
          <w:iCs/>
          <w:color w:val="000000"/>
          <w:sz w:val="16"/>
          <w:szCs w:val="16"/>
          <w:lang w:val="en-AU"/>
        </w:rPr>
      </w:pPr>
    </w:p>
    <w:p w14:paraId="19B43AB8" w14:textId="77777777" w:rsidR="0012790E" w:rsidRDefault="0012790E">
      <w:pPr>
        <w:pStyle w:val="Normal2"/>
        <w:rPr>
          <w:rFonts w:cs="Book Antiqua"/>
        </w:rPr>
      </w:pPr>
      <w:r w:rsidRPr="001C06E6">
        <w:rPr>
          <w:rFonts w:cs="Book Antiqua"/>
        </w:rPr>
        <w:t>The Government will provide $480.2</w:t>
      </w:r>
      <w:r>
        <w:rPr>
          <w:rFonts w:cs="Book Antiqua"/>
        </w:rPr>
        <w:t> </w:t>
      </w:r>
      <w:r w:rsidRPr="001C06E6">
        <w:rPr>
          <w:rFonts w:cs="Book Antiqua"/>
        </w:rPr>
        <w:t xml:space="preserve">million over five years from </w:t>
      </w:r>
      <w:r>
        <w:rPr>
          <w:rFonts w:cs="Book Antiqua"/>
        </w:rPr>
        <w:t>2023–24</w:t>
      </w:r>
      <w:r w:rsidRPr="001C06E6">
        <w:rPr>
          <w:rFonts w:cs="Book Antiqua"/>
        </w:rPr>
        <w:t xml:space="preserve"> to reduce</w:t>
      </w:r>
      <w:r>
        <w:rPr>
          <w:rFonts w:cs="Book Antiqua"/>
        </w:rPr>
        <w:t xml:space="preserve"> </w:t>
      </w:r>
      <w:r w:rsidRPr="001C06E6">
        <w:rPr>
          <w:rFonts w:cs="Book Antiqua"/>
        </w:rPr>
        <w:t>patient costs and improve access to medicines. Funding includes:</w:t>
      </w:r>
    </w:p>
    <w:p w14:paraId="323D55D9" w14:textId="6FD221FA" w:rsidR="0012790E" w:rsidRDefault="0012790E">
      <w:pPr>
        <w:pStyle w:val="Bullet"/>
      </w:pPr>
      <w:r w:rsidRPr="001C06E6">
        <w:t>$318.0</w:t>
      </w:r>
      <w:r>
        <w:t> </w:t>
      </w:r>
      <w:r w:rsidRPr="001C06E6">
        <w:t xml:space="preserve">million over five years from </w:t>
      </w:r>
      <w:r>
        <w:t>2023–24</w:t>
      </w:r>
      <w:r w:rsidRPr="001C06E6">
        <w:t xml:space="preserve"> (and an additional $166.4</w:t>
      </w:r>
      <w:r>
        <w:t> </w:t>
      </w:r>
      <w:r w:rsidRPr="001C06E6">
        <w:t xml:space="preserve">million in </w:t>
      </w:r>
      <w:r w:rsidR="008D2E0C">
        <w:br/>
      </w:r>
      <w:r>
        <w:t>2028–29</w:t>
      </w:r>
      <w:r w:rsidRPr="001C06E6">
        <w:t>) as part of the Eighth Community Pharmacy Agreement for:</w:t>
      </w:r>
      <w:r>
        <w:t xml:space="preserve"> </w:t>
      </w:r>
    </w:p>
    <w:p w14:paraId="761337BA" w14:textId="77777777" w:rsidR="0012790E" w:rsidRDefault="0012790E">
      <w:pPr>
        <w:pStyle w:val="Dash"/>
      </w:pPr>
      <w:r w:rsidRPr="001C06E6">
        <w:t>PBS general co</w:t>
      </w:r>
      <w:r>
        <w:noBreakHyphen/>
      </w:r>
      <w:r w:rsidRPr="001C06E6">
        <w:t>payments to not be indexed between 1</w:t>
      </w:r>
      <w:r>
        <w:t> </w:t>
      </w:r>
      <w:r w:rsidRPr="001C06E6">
        <w:t>January</w:t>
      </w:r>
      <w:r>
        <w:t> </w:t>
      </w:r>
      <w:r w:rsidRPr="001C06E6">
        <w:t>2025 and 31</w:t>
      </w:r>
      <w:r>
        <w:t> </w:t>
      </w:r>
      <w:r w:rsidRPr="001C06E6">
        <w:t>December</w:t>
      </w:r>
      <w:r>
        <w:t> </w:t>
      </w:r>
      <w:r w:rsidRPr="001C06E6">
        <w:t>2025 (inclusive), with indexation resuming on 1</w:t>
      </w:r>
      <w:r>
        <w:t> </w:t>
      </w:r>
      <w:r w:rsidRPr="001C06E6">
        <w:t>January</w:t>
      </w:r>
      <w:r>
        <w:t> </w:t>
      </w:r>
      <w:r w:rsidRPr="001C06E6">
        <w:t>2026</w:t>
      </w:r>
      <w:r>
        <w:t xml:space="preserve"> </w:t>
      </w:r>
    </w:p>
    <w:p w14:paraId="5A4DC8DD" w14:textId="77777777" w:rsidR="0012790E" w:rsidRDefault="0012790E">
      <w:pPr>
        <w:pStyle w:val="Dash"/>
      </w:pPr>
      <w:r w:rsidRPr="001C06E6">
        <w:t>PBS concessional co</w:t>
      </w:r>
      <w:r>
        <w:noBreakHyphen/>
      </w:r>
      <w:r w:rsidRPr="001C06E6">
        <w:t>payments to not be indexed between 1</w:t>
      </w:r>
      <w:r>
        <w:t> </w:t>
      </w:r>
      <w:r w:rsidRPr="001C06E6">
        <w:t>January</w:t>
      </w:r>
      <w:r>
        <w:t> </w:t>
      </w:r>
      <w:r w:rsidRPr="001C06E6">
        <w:t>2025 and 31</w:t>
      </w:r>
      <w:r>
        <w:t> </w:t>
      </w:r>
      <w:r w:rsidRPr="001C06E6">
        <w:t>December</w:t>
      </w:r>
      <w:r>
        <w:t> </w:t>
      </w:r>
      <w:r w:rsidRPr="001C06E6">
        <w:t>2029 (inclusive), with indexation resuming on 1</w:t>
      </w:r>
      <w:r>
        <w:t> </w:t>
      </w:r>
      <w:r w:rsidRPr="001C06E6">
        <w:t>January</w:t>
      </w:r>
      <w:r>
        <w:t> </w:t>
      </w:r>
      <w:r w:rsidRPr="001C06E6">
        <w:t>2030</w:t>
      </w:r>
      <w:r>
        <w:t xml:space="preserve"> </w:t>
      </w:r>
    </w:p>
    <w:p w14:paraId="751FAE82" w14:textId="4B9A85CB" w:rsidR="0012790E" w:rsidRDefault="0012790E" w:rsidP="00AC2FA9">
      <w:pPr>
        <w:pStyle w:val="Normal2"/>
        <w:ind w:left="284"/>
        <w:rPr>
          <w:rFonts w:cs="Book Antiqua"/>
          <w:lang w:val="en-US"/>
        </w:rPr>
      </w:pPr>
      <w:r w:rsidRPr="54937204">
        <w:rPr>
          <w:rFonts w:cs="Book Antiqua"/>
          <w:lang w:val="en-US"/>
        </w:rPr>
        <w:t>The $1 optional discount available on patient co</w:t>
      </w:r>
      <w:r>
        <w:rPr>
          <w:rFonts w:cs="Book Antiqua"/>
        </w:rPr>
        <w:noBreakHyphen/>
      </w:r>
      <w:r w:rsidRPr="54937204">
        <w:rPr>
          <w:rFonts w:cs="Book Antiqua"/>
          <w:lang w:val="en-US"/>
        </w:rPr>
        <w:t>payments for subsidised prescriptions will be reduced each year by the relevant notional indexation amount until the $1</w:t>
      </w:r>
      <w:r w:rsidR="008D2E0C">
        <w:rPr>
          <w:rFonts w:cs="Book Antiqua"/>
          <w:lang w:val="en-US"/>
        </w:rPr>
        <w:t> </w:t>
      </w:r>
      <w:r w:rsidRPr="54937204">
        <w:rPr>
          <w:rFonts w:cs="Book Antiqua"/>
          <w:lang w:val="en-US"/>
        </w:rPr>
        <w:t>discount has been reduced from $1 to zero.</w:t>
      </w:r>
    </w:p>
    <w:p w14:paraId="5B76A477" w14:textId="77777777" w:rsidR="0012790E" w:rsidRDefault="0012790E">
      <w:pPr>
        <w:pStyle w:val="Bullet"/>
      </w:pPr>
      <w:r w:rsidRPr="001C06E6">
        <w:t>$151.1</w:t>
      </w:r>
      <w:r>
        <w:t> </w:t>
      </w:r>
      <w:r w:rsidRPr="001C06E6">
        <w:t xml:space="preserve">million over five years from </w:t>
      </w:r>
      <w:r>
        <w:t>2023–24</w:t>
      </w:r>
      <w:r w:rsidRPr="001C06E6">
        <w:t xml:space="preserve"> (and an additional $45.6</w:t>
      </w:r>
      <w:r>
        <w:t> </w:t>
      </w:r>
      <w:r w:rsidRPr="001C06E6">
        <w:t xml:space="preserve">million in </w:t>
      </w:r>
      <w:r>
        <w:t>2028–29</w:t>
      </w:r>
      <w:r w:rsidRPr="001C06E6">
        <w:t>), as part of the Eighth Community Pharmacy Agreement to increase the Dose Administration Aids cap to 90 per week</w:t>
      </w:r>
      <w:r>
        <w:t xml:space="preserve"> </w:t>
      </w:r>
    </w:p>
    <w:p w14:paraId="71905127" w14:textId="77777777" w:rsidR="0012790E" w:rsidRDefault="0012790E">
      <w:pPr>
        <w:pStyle w:val="Bullet"/>
      </w:pPr>
      <w:r w:rsidRPr="001C06E6">
        <w:t>$11.1</w:t>
      </w:r>
      <w:r>
        <w:t> </w:t>
      </w:r>
      <w:r w:rsidRPr="001C06E6">
        <w:t xml:space="preserve">million over five years from </w:t>
      </w:r>
      <w:r>
        <w:t>2023–24</w:t>
      </w:r>
      <w:r w:rsidRPr="001C06E6">
        <w:t xml:space="preserve"> (and $2.8</w:t>
      </w:r>
      <w:r>
        <w:t> </w:t>
      </w:r>
      <w:r w:rsidRPr="001C06E6">
        <w:t>million per year ongoing) to improve access to Pharmaceutical Benefits Scheme subsidised medicines for First Nations people</w:t>
      </w:r>
      <w:r>
        <w:t xml:space="preserve"> </w:t>
      </w:r>
    </w:p>
    <w:p w14:paraId="488642E6" w14:textId="77777777" w:rsidR="0012790E" w:rsidRDefault="0012790E">
      <w:pPr>
        <w:pStyle w:val="Bullet"/>
      </w:pPr>
      <w:r w:rsidRPr="001C06E6">
        <w:t xml:space="preserve">continuation of funding in </w:t>
      </w:r>
      <w:r>
        <w:t>2024–25</w:t>
      </w:r>
      <w:r w:rsidRPr="001C06E6">
        <w:t xml:space="preserve"> for legal action seeking compensation for losses incurred as a result of pharmaceutical companies delaying the listing of generic forms of medicines on the Pharmaceutical Benefits Scheme through undue legal actions.</w:t>
      </w:r>
      <w:r>
        <w:t xml:space="preserve"> </w:t>
      </w:r>
    </w:p>
    <w:p w14:paraId="61C14399" w14:textId="77777777" w:rsidR="0012790E" w:rsidRDefault="0012790E" w:rsidP="54937204">
      <w:pPr>
        <w:pStyle w:val="Normal2"/>
        <w:rPr>
          <w:rFonts w:cs="Book Antiqua"/>
          <w:lang w:val="en-US"/>
        </w:rPr>
      </w:pPr>
      <w:r w:rsidRPr="54937204">
        <w:rPr>
          <w:rFonts w:cs="Book Antiqua"/>
          <w:lang w:val="en-US"/>
        </w:rPr>
        <w:t xml:space="preserve">Under the Eighth Community Pharmacy Agreement, the Government will provide up to an additional $3 billion for community pharmacy and cheaper medicines. Parts of this measure are included in this additional funding. </w:t>
      </w:r>
    </w:p>
    <w:p w14:paraId="4E4B40D0" w14:textId="77777777" w:rsidR="0012790E" w:rsidRDefault="0012790E" w:rsidP="54937204">
      <w:pPr>
        <w:pStyle w:val="Normal2"/>
        <w:rPr>
          <w:rFonts w:cs="Book Antiqua"/>
          <w:lang w:val="en-US"/>
        </w:rPr>
      </w:pPr>
      <w:r w:rsidRPr="54937204">
        <w:rPr>
          <w:rFonts w:cs="Book Antiqua"/>
          <w:lang w:val="en-US"/>
        </w:rPr>
        <w:t xml:space="preserve">Some financial implications of this measure are not for publication (nfp) due to legal sensitivities. </w:t>
      </w:r>
    </w:p>
    <w:p w14:paraId="38024B8C" w14:textId="77777777" w:rsidR="0012790E" w:rsidRPr="001C06E6" w:rsidRDefault="0012790E">
      <w:pPr>
        <w:pStyle w:val="MeasureTitle"/>
        <w:rPr>
          <w:b w:val="0"/>
          <w:bCs/>
        </w:rPr>
      </w:pPr>
      <w:r w:rsidRPr="001C06E6">
        <w:rPr>
          <w:bCs/>
        </w:rPr>
        <w:t>Sport Integrity Australia – funding support</w:t>
      </w:r>
    </w:p>
    <w:p w14:paraId="4B19077C"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997ED9F" w14:textId="77777777">
        <w:tc>
          <w:tcPr>
            <w:tcW w:w="2497" w:type="dxa"/>
            <w:tcBorders>
              <w:top w:val="single" w:sz="4" w:space="0" w:color="293F5B"/>
              <w:bottom w:val="single" w:sz="4" w:space="0" w:color="293F5B"/>
            </w:tcBorders>
            <w:shd w:val="clear" w:color="auto" w:fill="auto"/>
          </w:tcPr>
          <w:p w14:paraId="1A4100C8"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AC7BF3D"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C00650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63147B0"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B980BF9"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3100B8C" w14:textId="77777777" w:rsidR="0012790E" w:rsidRPr="001C06E6" w:rsidRDefault="0012790E">
            <w:pPr>
              <w:pStyle w:val="MeasureTableYearHeadings"/>
              <w:keepNext/>
            </w:pPr>
            <w:r w:rsidRPr="001C06E6">
              <w:t>2027</w:t>
            </w:r>
            <w:r>
              <w:noBreakHyphen/>
            </w:r>
            <w:r w:rsidRPr="001C06E6">
              <w:t>28</w:t>
            </w:r>
          </w:p>
        </w:tc>
      </w:tr>
      <w:tr w:rsidR="0012790E" w:rsidRPr="001C06E6" w14:paraId="25687F7C" w14:textId="77777777" w:rsidTr="00AC2FA9">
        <w:tc>
          <w:tcPr>
            <w:tcW w:w="2497" w:type="dxa"/>
            <w:tcBorders>
              <w:top w:val="single" w:sz="4" w:space="0" w:color="293F5B"/>
              <w:bottom w:val="single" w:sz="4" w:space="0" w:color="293F5B"/>
            </w:tcBorders>
            <w:shd w:val="clear" w:color="auto" w:fill="auto"/>
          </w:tcPr>
          <w:p w14:paraId="5483DEF4" w14:textId="77777777" w:rsidR="0012790E" w:rsidRPr="001C06E6" w:rsidRDefault="0012790E">
            <w:pPr>
              <w:pStyle w:val="MeasureTableHeadingleftalignedwith2ptsspacing"/>
              <w:keepNext/>
            </w:pPr>
            <w:r w:rsidRPr="001C06E6">
              <w:t>Sport Integrity Australia</w:t>
            </w:r>
          </w:p>
        </w:tc>
        <w:tc>
          <w:tcPr>
            <w:tcW w:w="1045" w:type="dxa"/>
            <w:tcBorders>
              <w:top w:val="single" w:sz="4" w:space="0" w:color="293F5B"/>
              <w:bottom w:val="single" w:sz="4" w:space="0" w:color="293F5B"/>
            </w:tcBorders>
            <w:shd w:val="clear" w:color="auto" w:fill="auto"/>
          </w:tcPr>
          <w:p w14:paraId="620D0996" w14:textId="020F1B81" w:rsidR="0012790E" w:rsidRPr="001C06E6" w:rsidRDefault="00442B0C">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29359C41" w14:textId="189EDC96" w:rsidR="0012790E" w:rsidRPr="001C06E6" w:rsidRDefault="00304F41">
            <w:pPr>
              <w:pStyle w:val="MeasureTableDataRightAlignedwith2ptsspacing"/>
              <w:keepNext/>
            </w:pPr>
            <w:r>
              <w:t>19.1</w:t>
            </w:r>
          </w:p>
        </w:tc>
        <w:tc>
          <w:tcPr>
            <w:tcW w:w="1045" w:type="dxa"/>
            <w:tcBorders>
              <w:top w:val="single" w:sz="4" w:space="0" w:color="293F5B"/>
              <w:bottom w:val="single" w:sz="4" w:space="0" w:color="293F5B"/>
            </w:tcBorders>
            <w:shd w:val="clear" w:color="auto" w:fill="auto"/>
          </w:tcPr>
          <w:p w14:paraId="08B83E83" w14:textId="21812D3B" w:rsidR="0012790E" w:rsidRPr="001C06E6" w:rsidRDefault="00304F41">
            <w:pPr>
              <w:pStyle w:val="MeasureTableDataRightAlignedwith2ptsspacing"/>
              <w:keepNext/>
            </w:pPr>
            <w:r>
              <w:t>19.</w:t>
            </w:r>
            <w:r w:rsidR="005D770D">
              <w:t>1</w:t>
            </w:r>
          </w:p>
        </w:tc>
        <w:tc>
          <w:tcPr>
            <w:tcW w:w="1045" w:type="dxa"/>
            <w:tcBorders>
              <w:top w:val="single" w:sz="4" w:space="0" w:color="293F5B"/>
              <w:bottom w:val="single" w:sz="4" w:space="0" w:color="293F5B"/>
            </w:tcBorders>
            <w:shd w:val="clear" w:color="auto" w:fill="auto"/>
          </w:tcPr>
          <w:p w14:paraId="1F42D35A" w14:textId="73B0E687" w:rsidR="0012790E" w:rsidRPr="001C06E6" w:rsidRDefault="00304F41" w:rsidP="003F02F4">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61B2DA2B" w14:textId="6488CECA" w:rsidR="0012790E" w:rsidRPr="001C06E6" w:rsidRDefault="003F02F4">
            <w:pPr>
              <w:pStyle w:val="MeasureTableDataRightAlignedwith2ptsspacing"/>
              <w:keepNext/>
            </w:pPr>
            <w:r>
              <w:t>-</w:t>
            </w:r>
          </w:p>
        </w:tc>
      </w:tr>
      <w:tr w:rsidR="0012790E" w:rsidRPr="001C06E6" w14:paraId="126DF2CB" w14:textId="77777777">
        <w:tc>
          <w:tcPr>
            <w:tcW w:w="2497" w:type="dxa"/>
            <w:tcBorders>
              <w:top w:val="single" w:sz="4" w:space="0" w:color="293F5B"/>
              <w:bottom w:val="single" w:sz="4" w:space="0" w:color="293F5B"/>
            </w:tcBorders>
            <w:shd w:val="clear" w:color="auto" w:fill="auto"/>
          </w:tcPr>
          <w:p w14:paraId="34EF860C" w14:textId="77777777" w:rsidR="0012790E" w:rsidRPr="001C06E6" w:rsidRDefault="0012790E">
            <w:pPr>
              <w:pStyle w:val="MeasureTableHeadingleftalignedwith2ptsspacing"/>
              <w:keepNext/>
            </w:pPr>
            <w:r>
              <w:t xml:space="preserve">Department of Industry, Science and Resources </w:t>
            </w:r>
          </w:p>
        </w:tc>
        <w:tc>
          <w:tcPr>
            <w:tcW w:w="1045" w:type="dxa"/>
            <w:tcBorders>
              <w:top w:val="single" w:sz="4" w:space="0" w:color="293F5B"/>
              <w:bottom w:val="single" w:sz="4" w:space="0" w:color="293F5B"/>
            </w:tcBorders>
            <w:shd w:val="clear" w:color="auto" w:fill="auto"/>
          </w:tcPr>
          <w:p w14:paraId="63F6579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C8A5460" w14:textId="77777777" w:rsidR="0012790E" w:rsidRPr="001C06E6" w:rsidRDefault="0012790E">
            <w:pPr>
              <w:pStyle w:val="MeasureTableDataRightAlignedwith2ptsspacing"/>
              <w:keepNext/>
            </w:pPr>
            <w:r>
              <w:t xml:space="preserve">9.5 </w:t>
            </w:r>
          </w:p>
        </w:tc>
        <w:tc>
          <w:tcPr>
            <w:tcW w:w="1045" w:type="dxa"/>
            <w:tcBorders>
              <w:top w:val="single" w:sz="4" w:space="0" w:color="293F5B"/>
              <w:bottom w:val="single" w:sz="4" w:space="0" w:color="293F5B"/>
            </w:tcBorders>
            <w:shd w:val="clear" w:color="auto" w:fill="auto"/>
          </w:tcPr>
          <w:p w14:paraId="61D3ECFF" w14:textId="77777777" w:rsidR="0012790E" w:rsidRPr="001C06E6" w:rsidRDefault="0012790E">
            <w:pPr>
              <w:pStyle w:val="MeasureTableDataRightAlignedwith2ptsspacing"/>
              <w:keepNext/>
            </w:pPr>
            <w:r>
              <w:t xml:space="preserve">9.7 </w:t>
            </w:r>
          </w:p>
        </w:tc>
        <w:tc>
          <w:tcPr>
            <w:tcW w:w="1045" w:type="dxa"/>
            <w:tcBorders>
              <w:top w:val="single" w:sz="4" w:space="0" w:color="293F5B"/>
              <w:bottom w:val="single" w:sz="4" w:space="0" w:color="293F5B"/>
            </w:tcBorders>
            <w:shd w:val="clear" w:color="auto" w:fill="auto"/>
          </w:tcPr>
          <w:p w14:paraId="1A37D1E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A7B2CAE" w14:textId="77777777" w:rsidR="0012790E" w:rsidRPr="001C06E6" w:rsidRDefault="0012790E">
            <w:pPr>
              <w:pStyle w:val="MeasureTableDataRightAlignedwith2ptsspacing"/>
              <w:keepNext/>
            </w:pPr>
            <w:r>
              <w:t xml:space="preserve">- </w:t>
            </w:r>
          </w:p>
        </w:tc>
      </w:tr>
      <w:tr w:rsidR="0012790E" w:rsidRPr="001C06E6" w14:paraId="6F9B885D" w14:textId="77777777">
        <w:tc>
          <w:tcPr>
            <w:tcW w:w="2497" w:type="dxa"/>
            <w:tcBorders>
              <w:top w:val="single" w:sz="4" w:space="0" w:color="293F5B"/>
              <w:bottom w:val="single" w:sz="4" w:space="0" w:color="293F5B"/>
            </w:tcBorders>
            <w:shd w:val="clear" w:color="auto" w:fill="auto"/>
          </w:tcPr>
          <w:p w14:paraId="1F081896" w14:textId="77777777" w:rsidR="0012790E" w:rsidRPr="001C06E6" w:rsidRDefault="0012790E">
            <w:pPr>
              <w:pStyle w:val="MeasureTableHeadingleftalignedwith2ptsspacing"/>
              <w:keepNext/>
            </w:pPr>
            <w:r>
              <w:t xml:space="preserve">Office of the Director of Public Prosecutions </w:t>
            </w:r>
          </w:p>
        </w:tc>
        <w:tc>
          <w:tcPr>
            <w:tcW w:w="1045" w:type="dxa"/>
            <w:tcBorders>
              <w:top w:val="single" w:sz="4" w:space="0" w:color="293F5B"/>
              <w:bottom w:val="single" w:sz="4" w:space="0" w:color="293F5B"/>
            </w:tcBorders>
            <w:shd w:val="clear" w:color="auto" w:fill="auto"/>
          </w:tcPr>
          <w:p w14:paraId="14A3E6DF"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EDCAB36" w14:textId="6F71FE10" w:rsidR="0012790E" w:rsidRPr="001C06E6" w:rsidRDefault="003455B8">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22A12B48" w14:textId="032C8E1F" w:rsidR="0012790E" w:rsidRPr="001C06E6" w:rsidRDefault="003455B8">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1C063BF4" w14:textId="5F54FAB9" w:rsidR="0012790E" w:rsidRPr="001C06E6" w:rsidRDefault="003455B8">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3636CE77" w14:textId="5A2385A4" w:rsidR="0012790E" w:rsidRPr="001C06E6" w:rsidRDefault="003455B8">
            <w:pPr>
              <w:pStyle w:val="MeasureTableDataRightAlignedwith2ptsspacing"/>
              <w:keepNext/>
            </w:pPr>
            <w:r>
              <w:t>-</w:t>
            </w:r>
          </w:p>
        </w:tc>
      </w:tr>
      <w:tr w:rsidR="0012790E" w:rsidRPr="001C06E6" w14:paraId="0A41DAE8" w14:textId="77777777">
        <w:tc>
          <w:tcPr>
            <w:tcW w:w="2497" w:type="dxa"/>
            <w:tcBorders>
              <w:top w:val="single" w:sz="4" w:space="0" w:color="293F5B"/>
              <w:bottom w:val="single" w:sz="4" w:space="0" w:color="293F5B"/>
            </w:tcBorders>
            <w:shd w:val="clear" w:color="auto" w:fill="auto"/>
          </w:tcPr>
          <w:p w14:paraId="6E83A428"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4B3D7D3B"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10FA0D17" w14:textId="77777777" w:rsidR="0012790E" w:rsidRPr="001C06E6" w:rsidRDefault="0012790E">
            <w:pPr>
              <w:pStyle w:val="Totaldatarowrightaligned"/>
              <w:keepNext/>
            </w:pPr>
            <w:r w:rsidRPr="001C06E6">
              <w:t>28.5</w:t>
            </w:r>
          </w:p>
        </w:tc>
        <w:tc>
          <w:tcPr>
            <w:tcW w:w="1045" w:type="dxa"/>
            <w:tcBorders>
              <w:top w:val="single" w:sz="4" w:space="0" w:color="293F5B"/>
              <w:bottom w:val="single" w:sz="4" w:space="0" w:color="293F5B"/>
            </w:tcBorders>
            <w:shd w:val="clear" w:color="auto" w:fill="auto"/>
          </w:tcPr>
          <w:p w14:paraId="63D4D7DC" w14:textId="77777777" w:rsidR="0012790E" w:rsidRPr="001C06E6" w:rsidRDefault="0012790E">
            <w:pPr>
              <w:pStyle w:val="Totaldatarowrightaligned"/>
              <w:keepNext/>
            </w:pPr>
            <w:r w:rsidRPr="001C06E6">
              <w:t>28.8</w:t>
            </w:r>
          </w:p>
        </w:tc>
        <w:tc>
          <w:tcPr>
            <w:tcW w:w="1045" w:type="dxa"/>
            <w:tcBorders>
              <w:top w:val="single" w:sz="4" w:space="0" w:color="293F5B"/>
              <w:bottom w:val="single" w:sz="4" w:space="0" w:color="293F5B"/>
            </w:tcBorders>
            <w:shd w:val="clear" w:color="auto" w:fill="auto"/>
          </w:tcPr>
          <w:p w14:paraId="776A0F13"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AD14B48" w14:textId="77777777" w:rsidR="0012790E" w:rsidRPr="001C06E6" w:rsidRDefault="0012790E">
            <w:pPr>
              <w:pStyle w:val="Totaldatarowrightaligned"/>
              <w:keepNext/>
            </w:pPr>
            <w:r w:rsidRPr="001C06E6">
              <w:t>-</w:t>
            </w:r>
          </w:p>
        </w:tc>
      </w:tr>
      <w:tr w:rsidR="0012790E" w:rsidRPr="001C06E6" w14:paraId="324D495F" w14:textId="77777777">
        <w:tc>
          <w:tcPr>
            <w:tcW w:w="2497" w:type="dxa"/>
            <w:tcBorders>
              <w:top w:val="single" w:sz="4" w:space="0" w:color="293F5B"/>
            </w:tcBorders>
            <w:shd w:val="clear" w:color="auto" w:fill="auto"/>
          </w:tcPr>
          <w:p w14:paraId="1B77B047"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59B25DE5" w14:textId="77777777" w:rsidR="0012790E" w:rsidRPr="001C06E6" w:rsidRDefault="0012790E">
            <w:pPr>
              <w:pStyle w:val="AgencyName"/>
              <w:keepNext/>
            </w:pPr>
          </w:p>
        </w:tc>
        <w:tc>
          <w:tcPr>
            <w:tcW w:w="1045" w:type="dxa"/>
            <w:tcBorders>
              <w:top w:val="single" w:sz="4" w:space="0" w:color="293F5B"/>
            </w:tcBorders>
            <w:shd w:val="clear" w:color="auto" w:fill="auto"/>
          </w:tcPr>
          <w:p w14:paraId="2AC90CAF" w14:textId="77777777" w:rsidR="0012790E" w:rsidRPr="001C06E6" w:rsidRDefault="0012790E">
            <w:pPr>
              <w:pStyle w:val="AgencyName"/>
              <w:keepNext/>
            </w:pPr>
          </w:p>
        </w:tc>
        <w:tc>
          <w:tcPr>
            <w:tcW w:w="1045" w:type="dxa"/>
            <w:tcBorders>
              <w:top w:val="single" w:sz="4" w:space="0" w:color="293F5B"/>
            </w:tcBorders>
            <w:shd w:val="clear" w:color="auto" w:fill="auto"/>
          </w:tcPr>
          <w:p w14:paraId="7DF85E07" w14:textId="77777777" w:rsidR="0012790E" w:rsidRPr="001C06E6" w:rsidRDefault="0012790E">
            <w:pPr>
              <w:pStyle w:val="AgencyName"/>
              <w:keepNext/>
            </w:pPr>
          </w:p>
        </w:tc>
        <w:tc>
          <w:tcPr>
            <w:tcW w:w="1045" w:type="dxa"/>
            <w:tcBorders>
              <w:top w:val="single" w:sz="4" w:space="0" w:color="293F5B"/>
            </w:tcBorders>
            <w:shd w:val="clear" w:color="auto" w:fill="auto"/>
          </w:tcPr>
          <w:p w14:paraId="3C3C252F" w14:textId="77777777" w:rsidR="0012790E" w:rsidRPr="001C06E6" w:rsidRDefault="0012790E">
            <w:pPr>
              <w:pStyle w:val="AgencyName"/>
              <w:keepNext/>
            </w:pPr>
          </w:p>
        </w:tc>
        <w:tc>
          <w:tcPr>
            <w:tcW w:w="1045" w:type="dxa"/>
            <w:tcBorders>
              <w:top w:val="single" w:sz="4" w:space="0" w:color="293F5B"/>
            </w:tcBorders>
            <w:shd w:val="clear" w:color="auto" w:fill="auto"/>
          </w:tcPr>
          <w:p w14:paraId="6A6B529D" w14:textId="77777777" w:rsidR="0012790E" w:rsidRPr="001C06E6" w:rsidRDefault="0012790E">
            <w:pPr>
              <w:pStyle w:val="AgencyName"/>
              <w:keepNext/>
            </w:pPr>
          </w:p>
        </w:tc>
      </w:tr>
      <w:tr w:rsidR="0012790E" w:rsidRPr="001C06E6" w14:paraId="73B80DAF" w14:textId="77777777">
        <w:tc>
          <w:tcPr>
            <w:tcW w:w="2497" w:type="dxa"/>
            <w:tcBorders>
              <w:bottom w:val="single" w:sz="4" w:space="0" w:color="293F5B"/>
            </w:tcBorders>
            <w:shd w:val="clear" w:color="auto" w:fill="auto"/>
          </w:tcPr>
          <w:p w14:paraId="5A049069" w14:textId="77777777" w:rsidR="0012790E" w:rsidRPr="001C06E6" w:rsidRDefault="0012790E">
            <w:pPr>
              <w:pStyle w:val="AgencyNamewith2ptsspacing"/>
              <w:keepNext/>
            </w:pPr>
            <w:r>
              <w:t xml:space="preserve">Department of Industry, Science and Resources </w:t>
            </w:r>
          </w:p>
        </w:tc>
        <w:tc>
          <w:tcPr>
            <w:tcW w:w="1045" w:type="dxa"/>
            <w:tcBorders>
              <w:bottom w:val="single" w:sz="4" w:space="0" w:color="293F5B"/>
            </w:tcBorders>
            <w:shd w:val="clear" w:color="auto" w:fill="auto"/>
          </w:tcPr>
          <w:p w14:paraId="7C24F03F"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30219481" w14:textId="77777777" w:rsidR="0012790E" w:rsidRPr="001C06E6" w:rsidRDefault="0012790E">
            <w:pPr>
              <w:pStyle w:val="Measuretabledatarightaligneditalics"/>
              <w:keepNext/>
            </w:pPr>
            <w:r>
              <w:t xml:space="preserve">1.0 </w:t>
            </w:r>
          </w:p>
        </w:tc>
        <w:tc>
          <w:tcPr>
            <w:tcW w:w="1045" w:type="dxa"/>
            <w:tcBorders>
              <w:bottom w:val="single" w:sz="4" w:space="0" w:color="293F5B"/>
            </w:tcBorders>
            <w:shd w:val="clear" w:color="auto" w:fill="auto"/>
          </w:tcPr>
          <w:p w14:paraId="134AD6D5" w14:textId="77777777" w:rsidR="0012790E" w:rsidRPr="001C06E6" w:rsidRDefault="0012790E">
            <w:pPr>
              <w:pStyle w:val="Measuretabledatarightaligneditalics"/>
              <w:keepNext/>
            </w:pPr>
            <w:r>
              <w:t xml:space="preserve">1.0 </w:t>
            </w:r>
          </w:p>
        </w:tc>
        <w:tc>
          <w:tcPr>
            <w:tcW w:w="1045" w:type="dxa"/>
            <w:tcBorders>
              <w:bottom w:val="single" w:sz="4" w:space="0" w:color="293F5B"/>
            </w:tcBorders>
            <w:shd w:val="clear" w:color="auto" w:fill="auto"/>
          </w:tcPr>
          <w:p w14:paraId="3920652C"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2AD620E0" w14:textId="77777777" w:rsidR="0012790E" w:rsidRPr="001C06E6" w:rsidRDefault="0012790E">
            <w:pPr>
              <w:pStyle w:val="Measuretabledatarightaligneditalics"/>
              <w:keepNext/>
            </w:pPr>
            <w:r>
              <w:t xml:space="preserve">- </w:t>
            </w:r>
          </w:p>
        </w:tc>
      </w:tr>
    </w:tbl>
    <w:p w14:paraId="76F1EA62" w14:textId="77777777" w:rsidR="0012790E" w:rsidRPr="001C06E6" w:rsidRDefault="0012790E">
      <w:pPr>
        <w:keepNext/>
        <w:widowControl w:val="0"/>
        <w:spacing w:line="184" w:lineRule="exact"/>
        <w:rPr>
          <w:i/>
          <w:iCs/>
          <w:color w:val="000000"/>
          <w:sz w:val="16"/>
          <w:szCs w:val="16"/>
          <w:lang w:val="en-AU"/>
        </w:rPr>
      </w:pPr>
    </w:p>
    <w:p w14:paraId="39B99C86" w14:textId="77777777" w:rsidR="0012790E" w:rsidRDefault="0012790E">
      <w:pPr>
        <w:pStyle w:val="Normal2"/>
        <w:rPr>
          <w:rFonts w:cs="Book Antiqua"/>
        </w:rPr>
      </w:pPr>
      <w:r w:rsidRPr="001C06E6">
        <w:rPr>
          <w:rFonts w:cs="Book Antiqua"/>
        </w:rPr>
        <w:t>The Government will provide $93.8</w:t>
      </w:r>
      <w:r>
        <w:rPr>
          <w:rFonts w:cs="Book Antiqua"/>
        </w:rPr>
        <w:t> </w:t>
      </w:r>
      <w:r w:rsidRPr="001C06E6">
        <w:rPr>
          <w:rFonts w:cs="Book Antiqua"/>
        </w:rPr>
        <w:t xml:space="preserve">million over five years from </w:t>
      </w:r>
      <w:r>
        <w:rPr>
          <w:rFonts w:cs="Book Antiqua"/>
        </w:rPr>
        <w:t>2023–24</w:t>
      </w:r>
      <w:r w:rsidRPr="001C06E6">
        <w:rPr>
          <w:rFonts w:cs="Book Antiqua"/>
        </w:rPr>
        <w:t xml:space="preserve"> (and $8.6</w:t>
      </w:r>
      <w:r>
        <w:rPr>
          <w:rFonts w:cs="Book Antiqua"/>
        </w:rPr>
        <w:t> </w:t>
      </w:r>
      <w:r w:rsidRPr="001C06E6">
        <w:rPr>
          <w:rFonts w:cs="Book Antiqua"/>
        </w:rPr>
        <w:t>million per year ongoing) to safeguard the integrity of Australian sport. Funding</w:t>
      </w:r>
      <w:r>
        <w:rPr>
          <w:rFonts w:cs="Book Antiqua"/>
        </w:rPr>
        <w:t xml:space="preserve"> </w:t>
      </w:r>
      <w:r w:rsidRPr="001C06E6">
        <w:rPr>
          <w:rFonts w:cs="Book Antiqua"/>
        </w:rPr>
        <w:t>includes:</w:t>
      </w:r>
    </w:p>
    <w:p w14:paraId="20B6A250" w14:textId="77777777" w:rsidR="0012790E" w:rsidRDefault="0012790E">
      <w:pPr>
        <w:pStyle w:val="Bullet"/>
      </w:pPr>
      <w:r w:rsidRPr="001C06E6">
        <w:t>$38.2</w:t>
      </w:r>
      <w:r>
        <w:t> </w:t>
      </w:r>
      <w:r w:rsidRPr="001C06E6">
        <w:t xml:space="preserve">million over two years from </w:t>
      </w:r>
      <w:r>
        <w:t>2024–25</w:t>
      </w:r>
      <w:r w:rsidRPr="001C06E6">
        <w:t xml:space="preserve"> to continue Sport Integrity Australia’s existing activities and operations</w:t>
      </w:r>
      <w:r>
        <w:t xml:space="preserve"> </w:t>
      </w:r>
    </w:p>
    <w:p w14:paraId="197DA48B" w14:textId="77777777" w:rsidR="0012790E" w:rsidRDefault="0012790E">
      <w:pPr>
        <w:pStyle w:val="Bullet"/>
      </w:pPr>
      <w:r w:rsidRPr="001C06E6">
        <w:t>$36.3</w:t>
      </w:r>
      <w:r>
        <w:t> </w:t>
      </w:r>
      <w:r w:rsidRPr="001C06E6">
        <w:t xml:space="preserve">million over five years from </w:t>
      </w:r>
      <w:r>
        <w:t>2023–24</w:t>
      </w:r>
      <w:r w:rsidRPr="001C06E6">
        <w:t xml:space="preserve"> (and $8.0</w:t>
      </w:r>
      <w:r>
        <w:t> </w:t>
      </w:r>
      <w:r w:rsidRPr="001C06E6">
        <w:t>million per year ongoing) to increase Sport Integrity Australia’s capability to address contemporary challenges to make sport safe for all participants from the grassroots to elite levels</w:t>
      </w:r>
      <w:r>
        <w:t xml:space="preserve"> </w:t>
      </w:r>
    </w:p>
    <w:p w14:paraId="041E14EF" w14:textId="77777777" w:rsidR="0012790E" w:rsidRDefault="0012790E">
      <w:pPr>
        <w:pStyle w:val="Bullet"/>
      </w:pPr>
      <w:r w:rsidRPr="001C06E6">
        <w:t>$17.3</w:t>
      </w:r>
      <w:r>
        <w:t> </w:t>
      </w:r>
      <w:r w:rsidRPr="001C06E6">
        <w:t xml:space="preserve">million over two years from </w:t>
      </w:r>
      <w:r>
        <w:t>2024–25</w:t>
      </w:r>
      <w:r w:rsidRPr="001C06E6">
        <w:t xml:space="preserve"> to continue the operations of the Australian Sports Drug Testing Laboratory</w:t>
      </w:r>
      <w:r>
        <w:t xml:space="preserve"> </w:t>
      </w:r>
    </w:p>
    <w:p w14:paraId="1115BD4A" w14:textId="77777777" w:rsidR="0012790E" w:rsidRDefault="0012790E">
      <w:pPr>
        <w:pStyle w:val="Bullet"/>
      </w:pPr>
      <w:r w:rsidRPr="001C06E6">
        <w:t>$1.2</w:t>
      </w:r>
      <w:r>
        <w:t> </w:t>
      </w:r>
      <w:r w:rsidRPr="001C06E6">
        <w:t xml:space="preserve">million over three years from </w:t>
      </w:r>
      <w:r>
        <w:t>2024–25</w:t>
      </w:r>
      <w:r w:rsidRPr="001C06E6">
        <w:t xml:space="preserve"> (and $0.6</w:t>
      </w:r>
      <w:r>
        <w:t> </w:t>
      </w:r>
      <w:r w:rsidRPr="001C06E6">
        <w:t xml:space="preserve">million per year ongoing from </w:t>
      </w:r>
      <w:r>
        <w:t>2027–28</w:t>
      </w:r>
      <w:r w:rsidRPr="001C06E6">
        <w:t>) for the Commonwealth Director of Public Prosecutions to support the investigation and prosecution of new national sport integrity offences for sport related corruption and bribery, arising from the ratification of the Macolin Convention</w:t>
      </w:r>
      <w:r>
        <w:t xml:space="preserve"> </w:t>
      </w:r>
    </w:p>
    <w:p w14:paraId="0A0B76A9" w14:textId="77777777" w:rsidR="0012790E" w:rsidRDefault="0012790E">
      <w:pPr>
        <w:pStyle w:val="Bullet"/>
      </w:pPr>
      <w:r w:rsidRPr="001C06E6">
        <w:t>$0.3</w:t>
      </w:r>
      <w:r>
        <w:t> </w:t>
      </w:r>
      <w:r w:rsidRPr="001C06E6">
        <w:t xml:space="preserve">million over two years from </w:t>
      </w:r>
      <w:r>
        <w:t>2023–24</w:t>
      </w:r>
      <w:r w:rsidRPr="001C06E6">
        <w:t xml:space="preserve"> for Sport Integrity Australia to progress ratification of the Macolin Convention and establish national sport integrity offences.</w:t>
      </w:r>
      <w:r>
        <w:t xml:space="preserve"> </w:t>
      </w:r>
    </w:p>
    <w:p w14:paraId="74D3DC67" w14:textId="77777777" w:rsidR="0012790E" w:rsidRDefault="0012790E">
      <w:pPr>
        <w:pStyle w:val="Normal2"/>
        <w:rPr>
          <w:rFonts w:cs="Book Antiqua"/>
        </w:rPr>
      </w:pPr>
      <w:r w:rsidRPr="001C06E6">
        <w:rPr>
          <w:rFonts w:cs="Book Antiqua"/>
        </w:rPr>
        <w:t>The Government has already provided partial funding for this measure.</w:t>
      </w:r>
      <w:r>
        <w:rPr>
          <w:rFonts w:cs="Book Antiqua"/>
        </w:rPr>
        <w:t xml:space="preserve"> </w:t>
      </w:r>
    </w:p>
    <w:p w14:paraId="7EBB3F4B" w14:textId="77777777" w:rsidR="0012790E" w:rsidRPr="001C06E6" w:rsidRDefault="0012790E">
      <w:pPr>
        <w:pStyle w:val="MeasureTitle"/>
        <w:rPr>
          <w:b w:val="0"/>
          <w:bCs/>
        </w:rPr>
      </w:pPr>
      <w:r w:rsidRPr="001C06E6">
        <w:rPr>
          <w:bCs/>
        </w:rPr>
        <w:t>Strengthening Medicare</w:t>
      </w:r>
    </w:p>
    <w:p w14:paraId="70782564"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7D9AB90" w14:textId="77777777">
        <w:tc>
          <w:tcPr>
            <w:tcW w:w="2497" w:type="dxa"/>
            <w:tcBorders>
              <w:top w:val="single" w:sz="4" w:space="0" w:color="293F5B"/>
              <w:bottom w:val="single" w:sz="4" w:space="0" w:color="293F5B"/>
            </w:tcBorders>
            <w:shd w:val="clear" w:color="auto" w:fill="auto"/>
          </w:tcPr>
          <w:p w14:paraId="4C3F64F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37121AE6"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C9EACFD"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E5F5207"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9DADADE"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C0B4818" w14:textId="77777777" w:rsidR="0012790E" w:rsidRPr="001C06E6" w:rsidRDefault="0012790E">
            <w:pPr>
              <w:pStyle w:val="MeasureTableYearHeadings"/>
              <w:keepNext/>
            </w:pPr>
            <w:r w:rsidRPr="001C06E6">
              <w:t>2027</w:t>
            </w:r>
            <w:r>
              <w:noBreakHyphen/>
            </w:r>
            <w:r w:rsidRPr="001C06E6">
              <w:t>28</w:t>
            </w:r>
          </w:p>
        </w:tc>
      </w:tr>
      <w:tr w:rsidR="0012790E" w:rsidRPr="001C06E6" w14:paraId="462EA1E2" w14:textId="77777777">
        <w:tc>
          <w:tcPr>
            <w:tcW w:w="2497" w:type="dxa"/>
            <w:tcBorders>
              <w:top w:val="single" w:sz="4" w:space="0" w:color="293F5B"/>
              <w:bottom w:val="single" w:sz="4" w:space="0" w:color="293F5B"/>
            </w:tcBorders>
            <w:shd w:val="clear" w:color="auto" w:fill="auto"/>
          </w:tcPr>
          <w:p w14:paraId="2497B444"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6AEB5F54" w14:textId="77777777" w:rsidR="0012790E" w:rsidRPr="001C06E6" w:rsidRDefault="0012790E">
            <w:pPr>
              <w:pStyle w:val="MeasureTableDataRightAlignedwith2ptsspacing"/>
              <w:keepNext/>
            </w:pPr>
            <w:r>
              <w:t xml:space="preserve">0.2 </w:t>
            </w:r>
          </w:p>
        </w:tc>
        <w:tc>
          <w:tcPr>
            <w:tcW w:w="1045" w:type="dxa"/>
            <w:tcBorders>
              <w:top w:val="single" w:sz="4" w:space="0" w:color="293F5B"/>
              <w:bottom w:val="single" w:sz="4" w:space="0" w:color="293F5B"/>
            </w:tcBorders>
            <w:shd w:val="clear" w:color="auto" w:fill="auto"/>
          </w:tcPr>
          <w:p w14:paraId="62B5166B" w14:textId="77777777" w:rsidR="0012790E" w:rsidRPr="001C06E6" w:rsidRDefault="0012790E">
            <w:pPr>
              <w:pStyle w:val="MeasureTableDataRightAlignedwith2ptsspacing"/>
              <w:keepNext/>
            </w:pPr>
            <w:r>
              <w:t xml:space="preserve">118.0 </w:t>
            </w:r>
          </w:p>
        </w:tc>
        <w:tc>
          <w:tcPr>
            <w:tcW w:w="1045" w:type="dxa"/>
            <w:tcBorders>
              <w:top w:val="single" w:sz="4" w:space="0" w:color="293F5B"/>
              <w:bottom w:val="single" w:sz="4" w:space="0" w:color="293F5B"/>
            </w:tcBorders>
            <w:shd w:val="clear" w:color="auto" w:fill="auto"/>
          </w:tcPr>
          <w:p w14:paraId="5829FF48" w14:textId="77777777" w:rsidR="0012790E" w:rsidRPr="001C06E6" w:rsidRDefault="0012790E">
            <w:pPr>
              <w:pStyle w:val="MeasureTableDataRightAlignedwith2ptsspacing"/>
              <w:keepNext/>
            </w:pPr>
            <w:r>
              <w:t xml:space="preserve">78.5 </w:t>
            </w:r>
          </w:p>
        </w:tc>
        <w:tc>
          <w:tcPr>
            <w:tcW w:w="1045" w:type="dxa"/>
            <w:tcBorders>
              <w:top w:val="single" w:sz="4" w:space="0" w:color="293F5B"/>
              <w:bottom w:val="single" w:sz="4" w:space="0" w:color="293F5B"/>
            </w:tcBorders>
            <w:shd w:val="clear" w:color="auto" w:fill="auto"/>
          </w:tcPr>
          <w:p w14:paraId="5E334306" w14:textId="77777777" w:rsidR="0012790E" w:rsidRPr="001C06E6" w:rsidRDefault="0012790E">
            <w:pPr>
              <w:pStyle w:val="MeasureTableDataRightAlignedwith2ptsspacing"/>
              <w:keepNext/>
            </w:pPr>
            <w:r>
              <w:t xml:space="preserve">120.0 </w:t>
            </w:r>
          </w:p>
        </w:tc>
        <w:tc>
          <w:tcPr>
            <w:tcW w:w="1045" w:type="dxa"/>
            <w:tcBorders>
              <w:top w:val="single" w:sz="4" w:space="0" w:color="293F5B"/>
              <w:bottom w:val="single" w:sz="4" w:space="0" w:color="293F5B"/>
            </w:tcBorders>
            <w:shd w:val="clear" w:color="auto" w:fill="auto"/>
          </w:tcPr>
          <w:p w14:paraId="6F9F1D29" w14:textId="77777777" w:rsidR="0012790E" w:rsidRPr="001C06E6" w:rsidRDefault="0012790E">
            <w:pPr>
              <w:pStyle w:val="MeasureTableDataRightAlignedwith2ptsspacing"/>
              <w:keepNext/>
            </w:pPr>
            <w:r>
              <w:t xml:space="preserve">104.3 </w:t>
            </w:r>
          </w:p>
        </w:tc>
      </w:tr>
      <w:tr w:rsidR="0012790E" w:rsidRPr="001C06E6" w14:paraId="460311FE" w14:textId="77777777">
        <w:tc>
          <w:tcPr>
            <w:tcW w:w="2497" w:type="dxa"/>
            <w:tcBorders>
              <w:top w:val="single" w:sz="4" w:space="0" w:color="293F5B"/>
              <w:bottom w:val="single" w:sz="4" w:space="0" w:color="293F5B"/>
            </w:tcBorders>
            <w:shd w:val="clear" w:color="auto" w:fill="auto"/>
          </w:tcPr>
          <w:p w14:paraId="06053BD6"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11D5475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E1E190A" w14:textId="77777777" w:rsidR="0012790E" w:rsidRPr="001C06E6" w:rsidRDefault="0012790E">
            <w:pPr>
              <w:pStyle w:val="MeasureTableDataRightAlignedwith2ptsspacing"/>
              <w:keepNext/>
            </w:pPr>
            <w:r w:rsidRPr="001C06E6">
              <w:t>185.6</w:t>
            </w:r>
          </w:p>
        </w:tc>
        <w:tc>
          <w:tcPr>
            <w:tcW w:w="1045" w:type="dxa"/>
            <w:tcBorders>
              <w:top w:val="single" w:sz="4" w:space="0" w:color="293F5B"/>
              <w:bottom w:val="single" w:sz="4" w:space="0" w:color="293F5B"/>
            </w:tcBorders>
            <w:shd w:val="clear" w:color="auto" w:fill="auto"/>
          </w:tcPr>
          <w:p w14:paraId="23B35EF7" w14:textId="77777777" w:rsidR="0012790E" w:rsidRPr="001C06E6" w:rsidRDefault="0012790E">
            <w:pPr>
              <w:pStyle w:val="MeasureTableDataRightAlignedwith2ptsspacing"/>
              <w:keepNext/>
            </w:pPr>
            <w:r w:rsidRPr="001C06E6">
              <w:t>169.8</w:t>
            </w:r>
          </w:p>
        </w:tc>
        <w:tc>
          <w:tcPr>
            <w:tcW w:w="1045" w:type="dxa"/>
            <w:tcBorders>
              <w:top w:val="single" w:sz="4" w:space="0" w:color="293F5B"/>
              <w:bottom w:val="single" w:sz="4" w:space="0" w:color="293F5B"/>
            </w:tcBorders>
            <w:shd w:val="clear" w:color="auto" w:fill="auto"/>
          </w:tcPr>
          <w:p w14:paraId="334EE467" w14:textId="77777777" w:rsidR="0012790E" w:rsidRPr="001C06E6" w:rsidRDefault="0012790E">
            <w:pPr>
              <w:pStyle w:val="MeasureTableDataRightAlignedwith2ptsspacing"/>
              <w:keepNext/>
            </w:pPr>
            <w:r w:rsidRPr="001C06E6">
              <w:t>138.1</w:t>
            </w:r>
          </w:p>
        </w:tc>
        <w:tc>
          <w:tcPr>
            <w:tcW w:w="1045" w:type="dxa"/>
            <w:tcBorders>
              <w:top w:val="single" w:sz="4" w:space="0" w:color="293F5B"/>
              <w:bottom w:val="single" w:sz="4" w:space="0" w:color="293F5B"/>
            </w:tcBorders>
            <w:shd w:val="clear" w:color="auto" w:fill="auto"/>
          </w:tcPr>
          <w:p w14:paraId="749CFF82" w14:textId="77777777" w:rsidR="0012790E" w:rsidRPr="001C06E6" w:rsidRDefault="0012790E">
            <w:pPr>
              <w:pStyle w:val="MeasureTableDataRightAlignedwith2ptsspacing"/>
              <w:keepNext/>
            </w:pPr>
            <w:r w:rsidRPr="001C06E6">
              <w:t>138.6</w:t>
            </w:r>
          </w:p>
        </w:tc>
      </w:tr>
      <w:tr w:rsidR="0012790E" w:rsidRPr="001C06E6" w14:paraId="35CC8D8D" w14:textId="77777777">
        <w:tc>
          <w:tcPr>
            <w:tcW w:w="2497" w:type="dxa"/>
            <w:tcBorders>
              <w:top w:val="single" w:sz="4" w:space="0" w:color="293F5B"/>
              <w:bottom w:val="single" w:sz="4" w:space="0" w:color="293F5B"/>
            </w:tcBorders>
            <w:shd w:val="clear" w:color="auto" w:fill="auto"/>
          </w:tcPr>
          <w:p w14:paraId="7ED6092C"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742ADD4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B772BFB" w14:textId="77777777" w:rsidR="0012790E" w:rsidRPr="001C06E6" w:rsidRDefault="0012790E">
            <w:pPr>
              <w:pStyle w:val="MeasureTableDataRightAlignedwith2ptsspacing"/>
              <w:keepNext/>
            </w:pPr>
            <w:r w:rsidRPr="001C06E6">
              <w:t>52.0</w:t>
            </w:r>
          </w:p>
        </w:tc>
        <w:tc>
          <w:tcPr>
            <w:tcW w:w="1045" w:type="dxa"/>
            <w:tcBorders>
              <w:top w:val="single" w:sz="4" w:space="0" w:color="293F5B"/>
              <w:bottom w:val="single" w:sz="4" w:space="0" w:color="293F5B"/>
            </w:tcBorders>
            <w:shd w:val="clear" w:color="auto" w:fill="auto"/>
          </w:tcPr>
          <w:p w14:paraId="15DF1188" w14:textId="77777777" w:rsidR="0012790E" w:rsidRPr="001C06E6" w:rsidRDefault="0012790E">
            <w:pPr>
              <w:pStyle w:val="MeasureTableDataRightAlignedwith2ptsspacing"/>
              <w:keepNext/>
            </w:pPr>
            <w:r w:rsidRPr="001C06E6">
              <w:t>3.2</w:t>
            </w:r>
          </w:p>
        </w:tc>
        <w:tc>
          <w:tcPr>
            <w:tcW w:w="1045" w:type="dxa"/>
            <w:tcBorders>
              <w:top w:val="single" w:sz="4" w:space="0" w:color="293F5B"/>
              <w:bottom w:val="single" w:sz="4" w:space="0" w:color="293F5B"/>
            </w:tcBorders>
            <w:shd w:val="clear" w:color="auto" w:fill="auto"/>
          </w:tcPr>
          <w:p w14:paraId="29B03D9D" w14:textId="77777777" w:rsidR="0012790E" w:rsidRPr="001C06E6" w:rsidRDefault="0012790E">
            <w:pPr>
              <w:pStyle w:val="MeasureTableDataRightAlignedwith2ptsspacing"/>
              <w:keepNext/>
            </w:pPr>
            <w:r w:rsidRPr="001C06E6">
              <w:t>1.8</w:t>
            </w:r>
          </w:p>
        </w:tc>
        <w:tc>
          <w:tcPr>
            <w:tcW w:w="1045" w:type="dxa"/>
            <w:tcBorders>
              <w:top w:val="single" w:sz="4" w:space="0" w:color="293F5B"/>
              <w:bottom w:val="single" w:sz="4" w:space="0" w:color="293F5B"/>
            </w:tcBorders>
            <w:shd w:val="clear" w:color="auto" w:fill="auto"/>
          </w:tcPr>
          <w:p w14:paraId="69387425" w14:textId="77777777" w:rsidR="0012790E" w:rsidRPr="001C06E6" w:rsidRDefault="0012790E">
            <w:pPr>
              <w:pStyle w:val="MeasureTableDataRightAlignedwith2ptsspacing"/>
              <w:keepNext/>
            </w:pPr>
            <w:r w:rsidRPr="001C06E6">
              <w:t>1.3</w:t>
            </w:r>
          </w:p>
        </w:tc>
      </w:tr>
      <w:tr w:rsidR="0012790E" w:rsidRPr="001C06E6" w14:paraId="3624E306" w14:textId="77777777">
        <w:tc>
          <w:tcPr>
            <w:tcW w:w="2497" w:type="dxa"/>
            <w:tcBorders>
              <w:top w:val="single" w:sz="4" w:space="0" w:color="293F5B"/>
              <w:bottom w:val="single" w:sz="4" w:space="0" w:color="293F5B"/>
            </w:tcBorders>
            <w:shd w:val="clear" w:color="auto" w:fill="auto"/>
          </w:tcPr>
          <w:p w14:paraId="035F3976" w14:textId="77777777" w:rsidR="0012790E" w:rsidRPr="001C06E6" w:rsidRDefault="0012790E">
            <w:pPr>
              <w:pStyle w:val="MeasureTableHeadingleftalignedwith2ptsspacing"/>
              <w:keepNext/>
            </w:pPr>
            <w:r>
              <w:t xml:space="preserve">Australian Digital Health Agency </w:t>
            </w:r>
          </w:p>
        </w:tc>
        <w:tc>
          <w:tcPr>
            <w:tcW w:w="1045" w:type="dxa"/>
            <w:tcBorders>
              <w:top w:val="single" w:sz="4" w:space="0" w:color="293F5B"/>
              <w:bottom w:val="single" w:sz="4" w:space="0" w:color="293F5B"/>
            </w:tcBorders>
            <w:shd w:val="clear" w:color="auto" w:fill="auto"/>
          </w:tcPr>
          <w:p w14:paraId="772C122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0C20590" w14:textId="77777777" w:rsidR="0012790E" w:rsidRPr="001C06E6" w:rsidRDefault="0012790E">
            <w:pPr>
              <w:pStyle w:val="MeasureTableDataRightAlignedwith2ptsspacing"/>
              <w:keepNext/>
            </w:pPr>
            <w:r>
              <w:t xml:space="preserve">9.0 </w:t>
            </w:r>
          </w:p>
        </w:tc>
        <w:tc>
          <w:tcPr>
            <w:tcW w:w="1045" w:type="dxa"/>
            <w:tcBorders>
              <w:top w:val="single" w:sz="4" w:space="0" w:color="293F5B"/>
              <w:bottom w:val="single" w:sz="4" w:space="0" w:color="293F5B"/>
            </w:tcBorders>
            <w:shd w:val="clear" w:color="auto" w:fill="auto"/>
          </w:tcPr>
          <w:p w14:paraId="5E5C4E96"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63FB247"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4A702D8" w14:textId="77777777" w:rsidR="0012790E" w:rsidRPr="001C06E6" w:rsidRDefault="0012790E">
            <w:pPr>
              <w:pStyle w:val="MeasureTableDataRightAlignedwith2ptsspacing"/>
              <w:keepNext/>
            </w:pPr>
            <w:r>
              <w:t xml:space="preserve">- </w:t>
            </w:r>
          </w:p>
        </w:tc>
      </w:tr>
      <w:tr w:rsidR="0012790E" w:rsidRPr="001C06E6" w14:paraId="2FC0A293" w14:textId="77777777">
        <w:tc>
          <w:tcPr>
            <w:tcW w:w="2497" w:type="dxa"/>
            <w:tcBorders>
              <w:top w:val="single" w:sz="4" w:space="0" w:color="293F5B"/>
              <w:bottom w:val="single" w:sz="4" w:space="0" w:color="293F5B"/>
            </w:tcBorders>
            <w:shd w:val="clear" w:color="auto" w:fill="auto"/>
          </w:tcPr>
          <w:p w14:paraId="40262CC1" w14:textId="77777777" w:rsidR="0012790E" w:rsidRPr="001C06E6" w:rsidRDefault="0012790E">
            <w:pPr>
              <w:pStyle w:val="MeasureTableHeadingleftalignedwith2ptsspacing"/>
              <w:keepNext/>
            </w:pPr>
            <w:r>
              <w:t xml:space="preserve">Commonwealth Scientific and Industrial Research Organisation </w:t>
            </w:r>
          </w:p>
        </w:tc>
        <w:tc>
          <w:tcPr>
            <w:tcW w:w="1045" w:type="dxa"/>
            <w:tcBorders>
              <w:top w:val="single" w:sz="4" w:space="0" w:color="293F5B"/>
              <w:bottom w:val="single" w:sz="4" w:space="0" w:color="293F5B"/>
            </w:tcBorders>
            <w:shd w:val="clear" w:color="auto" w:fill="auto"/>
          </w:tcPr>
          <w:p w14:paraId="138FBE3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C80C5C8" w14:textId="77777777" w:rsidR="0012790E" w:rsidRPr="001C06E6" w:rsidRDefault="0012790E">
            <w:pPr>
              <w:pStyle w:val="MeasureTableDataRightAlignedwith2ptsspacing"/>
              <w:keepNext/>
            </w:pPr>
            <w:r>
              <w:t xml:space="preserve">1.9   </w:t>
            </w:r>
          </w:p>
        </w:tc>
        <w:tc>
          <w:tcPr>
            <w:tcW w:w="1045" w:type="dxa"/>
            <w:tcBorders>
              <w:top w:val="single" w:sz="4" w:space="0" w:color="293F5B"/>
              <w:bottom w:val="single" w:sz="4" w:space="0" w:color="293F5B"/>
            </w:tcBorders>
            <w:shd w:val="clear" w:color="auto" w:fill="auto"/>
          </w:tcPr>
          <w:p w14:paraId="43304AE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EB6FB3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CD0C274" w14:textId="77777777" w:rsidR="0012790E" w:rsidRPr="001C06E6" w:rsidRDefault="0012790E">
            <w:pPr>
              <w:pStyle w:val="MeasureTableDataRightAlignedwith2ptsspacing"/>
              <w:keepNext/>
            </w:pPr>
            <w:r>
              <w:t xml:space="preserve">-   </w:t>
            </w:r>
          </w:p>
        </w:tc>
      </w:tr>
      <w:tr w:rsidR="0012790E" w:rsidRPr="001C06E6" w14:paraId="7C8B9CE9" w14:textId="77777777">
        <w:tc>
          <w:tcPr>
            <w:tcW w:w="2497" w:type="dxa"/>
            <w:tcBorders>
              <w:top w:val="single" w:sz="4" w:space="0" w:color="293F5B"/>
              <w:bottom w:val="single" w:sz="4" w:space="0" w:color="293F5B"/>
            </w:tcBorders>
            <w:shd w:val="clear" w:color="auto" w:fill="auto"/>
          </w:tcPr>
          <w:p w14:paraId="0C29B15B"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36859C44" w14:textId="77777777" w:rsidR="0012790E" w:rsidRPr="001C06E6" w:rsidRDefault="0012790E">
            <w:pPr>
              <w:pStyle w:val="Totaldatarowrightaligned"/>
              <w:keepNext/>
            </w:pPr>
            <w:r w:rsidRPr="001C06E6">
              <w:t>0.2</w:t>
            </w:r>
          </w:p>
        </w:tc>
        <w:tc>
          <w:tcPr>
            <w:tcW w:w="1045" w:type="dxa"/>
            <w:tcBorders>
              <w:top w:val="single" w:sz="4" w:space="0" w:color="293F5B"/>
              <w:bottom w:val="single" w:sz="4" w:space="0" w:color="293F5B"/>
            </w:tcBorders>
            <w:shd w:val="clear" w:color="auto" w:fill="auto"/>
          </w:tcPr>
          <w:p w14:paraId="3EC8BCFD" w14:textId="77777777" w:rsidR="0012790E" w:rsidRPr="001C06E6" w:rsidRDefault="0012790E">
            <w:pPr>
              <w:pStyle w:val="Totaldatarowrightaligned"/>
              <w:keepNext/>
            </w:pPr>
            <w:r w:rsidRPr="001C06E6">
              <w:t>366.5</w:t>
            </w:r>
          </w:p>
        </w:tc>
        <w:tc>
          <w:tcPr>
            <w:tcW w:w="1045" w:type="dxa"/>
            <w:tcBorders>
              <w:top w:val="single" w:sz="4" w:space="0" w:color="293F5B"/>
              <w:bottom w:val="single" w:sz="4" w:space="0" w:color="293F5B"/>
            </w:tcBorders>
            <w:shd w:val="clear" w:color="auto" w:fill="auto"/>
          </w:tcPr>
          <w:p w14:paraId="3606F90C" w14:textId="77777777" w:rsidR="0012790E" w:rsidRPr="001C06E6" w:rsidRDefault="0012790E">
            <w:pPr>
              <w:pStyle w:val="Totaldatarowrightaligned"/>
              <w:keepNext/>
            </w:pPr>
            <w:r w:rsidRPr="001C06E6">
              <w:t>251.5</w:t>
            </w:r>
          </w:p>
        </w:tc>
        <w:tc>
          <w:tcPr>
            <w:tcW w:w="1045" w:type="dxa"/>
            <w:tcBorders>
              <w:top w:val="single" w:sz="4" w:space="0" w:color="293F5B"/>
              <w:bottom w:val="single" w:sz="4" w:space="0" w:color="293F5B"/>
            </w:tcBorders>
            <w:shd w:val="clear" w:color="auto" w:fill="auto"/>
          </w:tcPr>
          <w:p w14:paraId="448D119C" w14:textId="77777777" w:rsidR="0012790E" w:rsidRPr="001C06E6" w:rsidRDefault="0012790E">
            <w:pPr>
              <w:pStyle w:val="Totaldatarowrightaligned"/>
              <w:keepNext/>
            </w:pPr>
            <w:r w:rsidRPr="001C06E6">
              <w:t>260.0</w:t>
            </w:r>
          </w:p>
        </w:tc>
        <w:tc>
          <w:tcPr>
            <w:tcW w:w="1045" w:type="dxa"/>
            <w:tcBorders>
              <w:top w:val="single" w:sz="4" w:space="0" w:color="293F5B"/>
              <w:bottom w:val="single" w:sz="4" w:space="0" w:color="293F5B"/>
            </w:tcBorders>
            <w:shd w:val="clear" w:color="auto" w:fill="auto"/>
          </w:tcPr>
          <w:p w14:paraId="72E955C0" w14:textId="77777777" w:rsidR="0012790E" w:rsidRPr="001C06E6" w:rsidRDefault="0012790E">
            <w:pPr>
              <w:pStyle w:val="Totaldatarowrightaligned"/>
              <w:keepNext/>
            </w:pPr>
            <w:r w:rsidRPr="001C06E6">
              <w:t>244.1</w:t>
            </w:r>
          </w:p>
        </w:tc>
      </w:tr>
      <w:tr w:rsidR="0012790E" w:rsidRPr="001C06E6" w14:paraId="3130AACA" w14:textId="77777777">
        <w:tc>
          <w:tcPr>
            <w:tcW w:w="2497" w:type="dxa"/>
            <w:tcBorders>
              <w:top w:val="single" w:sz="4" w:space="0" w:color="293F5B"/>
            </w:tcBorders>
            <w:shd w:val="clear" w:color="auto" w:fill="auto"/>
          </w:tcPr>
          <w:p w14:paraId="130F81B8"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54F0390C" w14:textId="77777777" w:rsidR="0012790E" w:rsidRPr="001C06E6" w:rsidRDefault="0012790E">
            <w:pPr>
              <w:pStyle w:val="AgencyName"/>
              <w:keepNext/>
            </w:pPr>
          </w:p>
        </w:tc>
        <w:tc>
          <w:tcPr>
            <w:tcW w:w="1045" w:type="dxa"/>
            <w:tcBorders>
              <w:top w:val="single" w:sz="4" w:space="0" w:color="293F5B"/>
            </w:tcBorders>
            <w:shd w:val="clear" w:color="auto" w:fill="auto"/>
          </w:tcPr>
          <w:p w14:paraId="1EC96CF5" w14:textId="77777777" w:rsidR="0012790E" w:rsidRPr="001C06E6" w:rsidRDefault="0012790E">
            <w:pPr>
              <w:pStyle w:val="AgencyName"/>
              <w:keepNext/>
            </w:pPr>
          </w:p>
        </w:tc>
        <w:tc>
          <w:tcPr>
            <w:tcW w:w="1045" w:type="dxa"/>
            <w:tcBorders>
              <w:top w:val="single" w:sz="4" w:space="0" w:color="293F5B"/>
            </w:tcBorders>
            <w:shd w:val="clear" w:color="auto" w:fill="auto"/>
          </w:tcPr>
          <w:p w14:paraId="3065C68D" w14:textId="77777777" w:rsidR="0012790E" w:rsidRPr="001C06E6" w:rsidRDefault="0012790E">
            <w:pPr>
              <w:pStyle w:val="AgencyName"/>
              <w:keepNext/>
            </w:pPr>
          </w:p>
        </w:tc>
        <w:tc>
          <w:tcPr>
            <w:tcW w:w="1045" w:type="dxa"/>
            <w:tcBorders>
              <w:top w:val="single" w:sz="4" w:space="0" w:color="293F5B"/>
            </w:tcBorders>
            <w:shd w:val="clear" w:color="auto" w:fill="auto"/>
          </w:tcPr>
          <w:p w14:paraId="4B7ED701" w14:textId="77777777" w:rsidR="0012790E" w:rsidRPr="001C06E6" w:rsidRDefault="0012790E">
            <w:pPr>
              <w:pStyle w:val="AgencyName"/>
              <w:keepNext/>
            </w:pPr>
          </w:p>
        </w:tc>
        <w:tc>
          <w:tcPr>
            <w:tcW w:w="1045" w:type="dxa"/>
            <w:tcBorders>
              <w:top w:val="single" w:sz="4" w:space="0" w:color="293F5B"/>
            </w:tcBorders>
            <w:shd w:val="clear" w:color="auto" w:fill="auto"/>
          </w:tcPr>
          <w:p w14:paraId="5C0B1BA7" w14:textId="77777777" w:rsidR="0012790E" w:rsidRPr="001C06E6" w:rsidRDefault="0012790E">
            <w:pPr>
              <w:pStyle w:val="AgencyName"/>
              <w:keepNext/>
            </w:pPr>
          </w:p>
        </w:tc>
      </w:tr>
      <w:tr w:rsidR="0012790E" w:rsidRPr="001C06E6" w14:paraId="033C22EB" w14:textId="77777777">
        <w:tc>
          <w:tcPr>
            <w:tcW w:w="2497" w:type="dxa"/>
            <w:tcBorders>
              <w:bottom w:val="single" w:sz="4" w:space="0" w:color="293F5B"/>
            </w:tcBorders>
            <w:shd w:val="clear" w:color="auto" w:fill="auto"/>
          </w:tcPr>
          <w:p w14:paraId="3314C80C" w14:textId="77777777" w:rsidR="0012790E" w:rsidRPr="001C06E6" w:rsidRDefault="0012790E">
            <w:pPr>
              <w:pStyle w:val="AgencyNamewith2ptsspacing"/>
              <w:keepNext/>
            </w:pPr>
            <w:r>
              <w:t xml:space="preserve">Department of Health and Aged Care </w:t>
            </w:r>
          </w:p>
        </w:tc>
        <w:tc>
          <w:tcPr>
            <w:tcW w:w="1045" w:type="dxa"/>
            <w:tcBorders>
              <w:bottom w:val="single" w:sz="4" w:space="0" w:color="293F5B"/>
            </w:tcBorders>
            <w:shd w:val="clear" w:color="auto" w:fill="auto"/>
          </w:tcPr>
          <w:p w14:paraId="3F4B44D5"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459C7C5D" w14:textId="77777777" w:rsidR="0012790E" w:rsidRPr="001C06E6" w:rsidRDefault="0012790E">
            <w:pPr>
              <w:pStyle w:val="Measuretabledatarightaligneditalics"/>
              <w:keepNext/>
            </w:pPr>
            <w:r>
              <w:t xml:space="preserve">0.2 </w:t>
            </w:r>
          </w:p>
        </w:tc>
        <w:tc>
          <w:tcPr>
            <w:tcW w:w="1045" w:type="dxa"/>
            <w:tcBorders>
              <w:bottom w:val="single" w:sz="4" w:space="0" w:color="293F5B"/>
            </w:tcBorders>
            <w:shd w:val="clear" w:color="auto" w:fill="auto"/>
          </w:tcPr>
          <w:p w14:paraId="1F5BE596" w14:textId="77777777" w:rsidR="0012790E" w:rsidRPr="001C06E6" w:rsidRDefault="0012790E">
            <w:pPr>
              <w:pStyle w:val="Measuretabledatarightaligneditalics"/>
              <w:keepNext/>
            </w:pPr>
            <w:r>
              <w:t xml:space="preserve">-0.7 </w:t>
            </w:r>
          </w:p>
        </w:tc>
        <w:tc>
          <w:tcPr>
            <w:tcW w:w="1045" w:type="dxa"/>
            <w:tcBorders>
              <w:bottom w:val="single" w:sz="4" w:space="0" w:color="293F5B"/>
            </w:tcBorders>
            <w:shd w:val="clear" w:color="auto" w:fill="auto"/>
          </w:tcPr>
          <w:p w14:paraId="23837141" w14:textId="77777777" w:rsidR="0012790E" w:rsidRPr="001C06E6" w:rsidRDefault="0012790E">
            <w:pPr>
              <w:pStyle w:val="Measuretabledatarightaligneditalics"/>
              <w:keepNext/>
            </w:pPr>
            <w:r>
              <w:t xml:space="preserve">-0.7 </w:t>
            </w:r>
          </w:p>
        </w:tc>
        <w:tc>
          <w:tcPr>
            <w:tcW w:w="1045" w:type="dxa"/>
            <w:tcBorders>
              <w:bottom w:val="single" w:sz="4" w:space="0" w:color="293F5B"/>
            </w:tcBorders>
            <w:shd w:val="clear" w:color="auto" w:fill="auto"/>
          </w:tcPr>
          <w:p w14:paraId="049C8237" w14:textId="77777777" w:rsidR="0012790E" w:rsidRPr="001C06E6" w:rsidRDefault="0012790E">
            <w:pPr>
              <w:pStyle w:val="Measuretabledatarightaligneditalics"/>
              <w:keepNext/>
            </w:pPr>
            <w:r>
              <w:t xml:space="preserve">-0.7 </w:t>
            </w:r>
          </w:p>
        </w:tc>
      </w:tr>
    </w:tbl>
    <w:p w14:paraId="351447EB" w14:textId="77777777" w:rsidR="0012790E" w:rsidRPr="001C06E6" w:rsidRDefault="0012790E">
      <w:pPr>
        <w:keepNext/>
        <w:widowControl w:val="0"/>
        <w:spacing w:line="184" w:lineRule="exact"/>
        <w:rPr>
          <w:i/>
          <w:iCs/>
          <w:color w:val="000000"/>
          <w:sz w:val="16"/>
          <w:szCs w:val="16"/>
          <w:lang w:val="en-AU"/>
        </w:rPr>
      </w:pPr>
    </w:p>
    <w:p w14:paraId="6617E534" w14:textId="74E1A638" w:rsidR="0012790E" w:rsidRDefault="0012790E" w:rsidP="54937204">
      <w:pPr>
        <w:pStyle w:val="Normal2"/>
        <w:rPr>
          <w:rFonts w:cs="Book Antiqua"/>
          <w:lang w:val="en-US"/>
        </w:rPr>
      </w:pPr>
      <w:r w:rsidRPr="54937204">
        <w:rPr>
          <w:rFonts w:cs="Book Antiqua"/>
          <w:lang w:val="en-US"/>
        </w:rPr>
        <w:t>The Government will provide $1.2 billion over five years from 2023–24 ($14.8 million per</w:t>
      </w:r>
      <w:r w:rsidR="007D7BA4">
        <w:rPr>
          <w:rFonts w:cs="Book Antiqua"/>
          <w:lang w:val="en-US"/>
        </w:rPr>
        <w:t> </w:t>
      </w:r>
      <w:r w:rsidRPr="54937204">
        <w:rPr>
          <w:rFonts w:cs="Book Antiqua"/>
          <w:lang w:val="en-US"/>
        </w:rPr>
        <w:t>year ongoing) to strengthen Medicare by supporting earlier discharge from hospital for older Australians, improving access to essential services, modernising Australia’s digital health infrastructure</w:t>
      </w:r>
      <w:r w:rsidR="008F28CB">
        <w:rPr>
          <w:rFonts w:cs="Book Antiqua"/>
          <w:lang w:val="en-US"/>
        </w:rPr>
        <w:t xml:space="preserve"> </w:t>
      </w:r>
      <w:r w:rsidRPr="54937204">
        <w:rPr>
          <w:rFonts w:cs="Book Antiqua"/>
          <w:lang w:val="en-US"/>
        </w:rPr>
        <w:t xml:space="preserve">and ensuring the integrity and compliance of Medicare. </w:t>
      </w:r>
    </w:p>
    <w:p w14:paraId="3DC0DCC6" w14:textId="76E4A383" w:rsidR="0012790E" w:rsidRDefault="0012790E">
      <w:pPr>
        <w:pStyle w:val="Normal2"/>
        <w:rPr>
          <w:rFonts w:cs="Book Antiqua"/>
        </w:rPr>
      </w:pPr>
      <w:r w:rsidRPr="001C06E6">
        <w:rPr>
          <w:rFonts w:cs="Book Antiqua"/>
        </w:rPr>
        <w:t>Funding to support older Australians through earlier discharge from hospital</w:t>
      </w:r>
      <w:r w:rsidR="0042777A">
        <w:rPr>
          <w:rFonts w:cs="Book Antiqua"/>
        </w:rPr>
        <w:t xml:space="preserve"> includes</w:t>
      </w:r>
      <w:r w:rsidRPr="001C06E6">
        <w:rPr>
          <w:rFonts w:cs="Book Antiqua"/>
        </w:rPr>
        <w:t>:</w:t>
      </w:r>
    </w:p>
    <w:p w14:paraId="2AE26C73" w14:textId="77777777" w:rsidR="0012790E" w:rsidRDefault="0012790E">
      <w:pPr>
        <w:pStyle w:val="Bullet"/>
      </w:pPr>
      <w:r w:rsidRPr="001C06E6">
        <w:t>$610.4</w:t>
      </w:r>
      <w:r>
        <w:t> </w:t>
      </w:r>
      <w:r w:rsidRPr="001C06E6">
        <w:t xml:space="preserve">million over four years from </w:t>
      </w:r>
      <w:r>
        <w:t>2024–25</w:t>
      </w:r>
      <w:r w:rsidRPr="001C06E6">
        <w:t xml:space="preserve"> for states and territories to invest in initiatives that address long stay older patient challenges, unique to each jurisdiction</w:t>
      </w:r>
      <w:r>
        <w:t xml:space="preserve"> </w:t>
      </w:r>
    </w:p>
    <w:p w14:paraId="4B674D6C" w14:textId="5F274608" w:rsidR="0012790E" w:rsidRDefault="0012790E">
      <w:pPr>
        <w:pStyle w:val="Bullet"/>
      </w:pPr>
      <w:r w:rsidRPr="001C06E6">
        <w:t>$190.0</w:t>
      </w:r>
      <w:r>
        <w:t> </w:t>
      </w:r>
      <w:r w:rsidRPr="001C06E6">
        <w:t xml:space="preserve">million over three years from </w:t>
      </w:r>
      <w:r>
        <w:t>2025–26</w:t>
      </w:r>
      <w:r w:rsidRPr="001C06E6">
        <w:t xml:space="preserve"> for the extension and redesign of the Commonwealth’s </w:t>
      </w:r>
      <w:r w:rsidRPr="001C06E6">
        <w:rPr>
          <w:i/>
          <w:iCs/>
        </w:rPr>
        <w:t>Transition Care Programme</w:t>
      </w:r>
      <w:r w:rsidRPr="001C06E6">
        <w:t xml:space="preserve"> to provide short</w:t>
      </w:r>
      <w:r>
        <w:noBreakHyphen/>
      </w:r>
      <w:r w:rsidRPr="001C06E6">
        <w:t>term care of up to 12</w:t>
      </w:r>
      <w:r w:rsidR="007D7BA4">
        <w:t> </w:t>
      </w:r>
      <w:r w:rsidRPr="001C06E6">
        <w:t>weeks for older people after a hospital stay</w:t>
      </w:r>
      <w:r>
        <w:t xml:space="preserve"> </w:t>
      </w:r>
    </w:p>
    <w:p w14:paraId="5511F350" w14:textId="77777777" w:rsidR="0012790E" w:rsidRDefault="0012790E">
      <w:pPr>
        <w:pStyle w:val="Bullet"/>
      </w:pPr>
      <w:r w:rsidRPr="001C06E6">
        <w:t>$56.8</w:t>
      </w:r>
      <w:r>
        <w:t> </w:t>
      </w:r>
      <w:r w:rsidRPr="001C06E6">
        <w:t xml:space="preserve">million over five years from </w:t>
      </w:r>
      <w:r>
        <w:t>2023–24</w:t>
      </w:r>
      <w:r w:rsidRPr="001C06E6">
        <w:t xml:space="preserve"> for the expansion of the Commonwealth’s successful </w:t>
      </w:r>
      <w:r w:rsidRPr="001C06E6">
        <w:rPr>
          <w:i/>
          <w:iCs/>
        </w:rPr>
        <w:t>Acute to Residential Care Transition Service</w:t>
      </w:r>
      <w:r w:rsidRPr="001C06E6">
        <w:t xml:space="preserve"> dementia program to transition long</w:t>
      </w:r>
      <w:r>
        <w:noBreakHyphen/>
      </w:r>
      <w:r w:rsidRPr="001C06E6">
        <w:t>stay patients with behavioural psychological symptoms of dementia out of hospital into a residential aged care home</w:t>
      </w:r>
      <w:r>
        <w:t xml:space="preserve"> </w:t>
      </w:r>
    </w:p>
    <w:p w14:paraId="2CB01E0E" w14:textId="77777777" w:rsidR="0012790E" w:rsidRDefault="0012790E">
      <w:pPr>
        <w:pStyle w:val="Bullet"/>
      </w:pPr>
      <w:r w:rsidRPr="001C06E6">
        <w:t>$24.9</w:t>
      </w:r>
      <w:r>
        <w:t> </w:t>
      </w:r>
      <w:r w:rsidRPr="001C06E6">
        <w:t xml:space="preserve">million over two years from </w:t>
      </w:r>
      <w:r>
        <w:t>2024–25</w:t>
      </w:r>
      <w:r w:rsidRPr="001C06E6">
        <w:t xml:space="preserve"> for the continuation of the </w:t>
      </w:r>
      <w:r w:rsidRPr="001C06E6">
        <w:rPr>
          <w:i/>
          <w:iCs/>
        </w:rPr>
        <w:t>Comprehensive Palliative Care in Aged Care</w:t>
      </w:r>
      <w:r w:rsidRPr="001C06E6">
        <w:t xml:space="preserve"> program to support states to deliver specialist palliative care services in residential aged care.</w:t>
      </w:r>
      <w:r>
        <w:t xml:space="preserve"> </w:t>
      </w:r>
    </w:p>
    <w:p w14:paraId="7B7DB854" w14:textId="77777777" w:rsidR="0012790E" w:rsidRDefault="0012790E" w:rsidP="54937204">
      <w:pPr>
        <w:pStyle w:val="Normal2"/>
        <w:rPr>
          <w:rFonts w:cs="Book Antiqua"/>
          <w:lang w:val="en-US"/>
        </w:rPr>
      </w:pPr>
      <w:r w:rsidRPr="54937204">
        <w:rPr>
          <w:rFonts w:cs="Book Antiqua"/>
          <w:lang w:val="en-US"/>
        </w:rPr>
        <w:t xml:space="preserve">This funding to support older Australians is a component of the $1.2 billion package of Strengthening Medicare measures agreed at National Cabinet in December 2023 and has been developed in consultation with the states and territories. </w:t>
      </w:r>
    </w:p>
    <w:p w14:paraId="21156607" w14:textId="7A85E8C9" w:rsidR="0012790E" w:rsidRDefault="0012790E">
      <w:pPr>
        <w:pStyle w:val="Normal2"/>
        <w:rPr>
          <w:rFonts w:cs="Book Antiqua"/>
        </w:rPr>
      </w:pPr>
      <w:r w:rsidRPr="001C06E6">
        <w:rPr>
          <w:rFonts w:cs="Book Antiqua"/>
        </w:rPr>
        <w:t>Funding to improve access to essential health services</w:t>
      </w:r>
      <w:r w:rsidR="0042777A">
        <w:rPr>
          <w:rFonts w:cs="Book Antiqua"/>
        </w:rPr>
        <w:t xml:space="preserve"> includes</w:t>
      </w:r>
      <w:r w:rsidRPr="001C06E6">
        <w:rPr>
          <w:rFonts w:cs="Book Antiqua"/>
        </w:rPr>
        <w:t>:</w:t>
      </w:r>
    </w:p>
    <w:p w14:paraId="4CF7E998" w14:textId="77777777" w:rsidR="0012790E" w:rsidRDefault="0012790E">
      <w:pPr>
        <w:pStyle w:val="Bullet"/>
      </w:pPr>
      <w:r w:rsidRPr="001C06E6">
        <w:t>$73.8</w:t>
      </w:r>
      <w:r>
        <w:t> </w:t>
      </w:r>
      <w:r w:rsidRPr="001C06E6">
        <w:t xml:space="preserve">million over three years from </w:t>
      </w:r>
      <w:r>
        <w:t>2024–25</w:t>
      </w:r>
      <w:r w:rsidRPr="001C06E6">
        <w:t xml:space="preserve"> to support the Royal Flying Doctor Service to deliver essential services to people living in remote communities through access to primary care, aeromedical evacuations and dental health services</w:t>
      </w:r>
      <w:r>
        <w:t xml:space="preserve"> </w:t>
      </w:r>
    </w:p>
    <w:p w14:paraId="5DC937E5" w14:textId="77777777" w:rsidR="0012790E" w:rsidRDefault="0012790E">
      <w:pPr>
        <w:pStyle w:val="Bullet"/>
      </w:pPr>
      <w:r w:rsidRPr="001C06E6">
        <w:t>$47.5</w:t>
      </w:r>
      <w:r>
        <w:t> </w:t>
      </w:r>
      <w:r w:rsidRPr="001C06E6">
        <w:t xml:space="preserve">million over four years from </w:t>
      </w:r>
      <w:r>
        <w:t>2024–25</w:t>
      </w:r>
      <w:r w:rsidRPr="001C06E6">
        <w:t xml:space="preserve"> (and $14.1</w:t>
      </w:r>
      <w:r>
        <w:t> </w:t>
      </w:r>
      <w:r w:rsidRPr="001C06E6">
        <w:t>million per year ongoing) to expand Healthdirect Australia to provide national and state</w:t>
      </w:r>
      <w:r w:rsidRPr="001C06E6">
        <w:rPr>
          <w:rFonts w:ascii="Times New Roman" w:hAnsi="Times New Roman"/>
        </w:rPr>
        <w:t>‐</w:t>
      </w:r>
      <w:r w:rsidRPr="001C06E6">
        <w:t>based virtual health services to assist consumers access the most appropriate care.</w:t>
      </w:r>
      <w:r>
        <w:t xml:space="preserve"> </w:t>
      </w:r>
    </w:p>
    <w:p w14:paraId="0B723791" w14:textId="6C705820" w:rsidR="0012790E" w:rsidRDefault="0012790E" w:rsidP="54937204">
      <w:pPr>
        <w:pStyle w:val="Normal2"/>
        <w:rPr>
          <w:rFonts w:cs="Book Antiqua"/>
          <w:lang w:val="en-US"/>
        </w:rPr>
      </w:pPr>
      <w:r w:rsidRPr="54937204">
        <w:rPr>
          <w:rFonts w:cs="Book Antiqua"/>
          <w:lang w:val="en-US"/>
        </w:rPr>
        <w:t>Funding to support the financial sustainability of general practices, modernise Australia’s digital health infrastructure, and improve the integrity and compliance of Medicare</w:t>
      </w:r>
      <w:r w:rsidR="000D0605">
        <w:rPr>
          <w:rFonts w:cs="Book Antiqua"/>
          <w:lang w:val="en-US"/>
        </w:rPr>
        <w:t xml:space="preserve"> includes</w:t>
      </w:r>
      <w:r w:rsidRPr="54937204">
        <w:rPr>
          <w:rFonts w:cs="Book Antiqua"/>
          <w:lang w:val="en-US"/>
        </w:rPr>
        <w:t>:</w:t>
      </w:r>
    </w:p>
    <w:p w14:paraId="37CA7451" w14:textId="77777777" w:rsidR="0012790E" w:rsidRDefault="0012790E">
      <w:pPr>
        <w:pStyle w:val="Bullet"/>
      </w:pPr>
      <w:r w:rsidRPr="001C06E6">
        <w:t>$57.4</w:t>
      </w:r>
      <w:r>
        <w:t> </w:t>
      </w:r>
      <w:r w:rsidRPr="001C06E6">
        <w:t xml:space="preserve">million over two years from </w:t>
      </w:r>
      <w:r>
        <w:t>2024–25</w:t>
      </w:r>
      <w:r w:rsidRPr="001C06E6">
        <w:t xml:space="preserve"> to extend Practice Incentive Program Quality Improvement incentive payments for an additional year to 30</w:t>
      </w:r>
      <w:r>
        <w:t> </w:t>
      </w:r>
      <w:r w:rsidRPr="001C06E6">
        <w:t>June</w:t>
      </w:r>
      <w:r>
        <w:t> </w:t>
      </w:r>
      <w:r w:rsidRPr="001C06E6">
        <w:t>2025</w:t>
      </w:r>
      <w:r>
        <w:t xml:space="preserve"> </w:t>
      </w:r>
    </w:p>
    <w:p w14:paraId="6CDD1B91" w14:textId="77777777" w:rsidR="0012790E" w:rsidRDefault="0012790E">
      <w:pPr>
        <w:pStyle w:val="Bullet"/>
      </w:pPr>
      <w:r w:rsidRPr="001C06E6">
        <w:t>$57.4</w:t>
      </w:r>
      <w:r>
        <w:t> </w:t>
      </w:r>
      <w:r w:rsidRPr="001C06E6">
        <w:t xml:space="preserve">million in </w:t>
      </w:r>
      <w:r>
        <w:t>2024–25</w:t>
      </w:r>
      <w:r w:rsidRPr="001C06E6">
        <w:t xml:space="preserve"> to continue initiatives under the </w:t>
      </w:r>
      <w:r w:rsidRPr="001C06E6">
        <w:rPr>
          <w:i/>
          <w:iCs/>
        </w:rPr>
        <w:t>Health Delivery Modernisation Program</w:t>
      </w:r>
      <w:r w:rsidRPr="001C06E6">
        <w:t xml:space="preserve"> and to update My Health Record</w:t>
      </w:r>
      <w:r>
        <w:t xml:space="preserve"> </w:t>
      </w:r>
    </w:p>
    <w:p w14:paraId="79778933" w14:textId="77777777" w:rsidR="0012790E" w:rsidRDefault="0012790E">
      <w:pPr>
        <w:pStyle w:val="Bullet"/>
      </w:pPr>
      <w:r w:rsidRPr="001C06E6">
        <w:t>$18.1</w:t>
      </w:r>
      <w:r>
        <w:t> </w:t>
      </w:r>
      <w:r w:rsidRPr="001C06E6">
        <w:t xml:space="preserve">million over four years from </w:t>
      </w:r>
      <w:r>
        <w:t>2024–25</w:t>
      </w:r>
      <w:r w:rsidRPr="001C06E6">
        <w:t xml:space="preserve"> (and $0.5</w:t>
      </w:r>
      <w:r>
        <w:t> </w:t>
      </w:r>
      <w:r w:rsidRPr="001C06E6">
        <w:t xml:space="preserve">million per year ongoing) to extend and expand the Government’s response to the </w:t>
      </w:r>
      <w:r w:rsidRPr="001C06E6">
        <w:rPr>
          <w:i/>
          <w:iCs/>
        </w:rPr>
        <w:t>Independent Review of Medicare Integrity and Compliance</w:t>
      </w:r>
      <w:r w:rsidRPr="001C06E6">
        <w:t xml:space="preserve"> (the Philip Review)</w:t>
      </w:r>
      <w:r>
        <w:t xml:space="preserve"> </w:t>
      </w:r>
    </w:p>
    <w:p w14:paraId="79D76FB9" w14:textId="77777777" w:rsidR="0012790E" w:rsidRDefault="0012790E">
      <w:pPr>
        <w:pStyle w:val="Bullet"/>
      </w:pPr>
      <w:r w:rsidRPr="001C06E6">
        <w:t>$16.0</w:t>
      </w:r>
      <w:r>
        <w:t> </w:t>
      </w:r>
      <w:r w:rsidRPr="001C06E6">
        <w:t xml:space="preserve">million over four years from </w:t>
      </w:r>
      <w:r>
        <w:t>2024–25</w:t>
      </w:r>
      <w:r w:rsidRPr="001C06E6">
        <w:t xml:space="preserve"> (and $0.2</w:t>
      </w:r>
      <w:r>
        <w:t> </w:t>
      </w:r>
      <w:r w:rsidRPr="001C06E6">
        <w:t>million per year ongoing) to implement system changes to MyMedicare, enabling the payment of incentives to general practitioners and general practices to support wrap around primary care for frequent hospital users.</w:t>
      </w:r>
      <w:r>
        <w:t xml:space="preserve"> </w:t>
      </w:r>
    </w:p>
    <w:p w14:paraId="58E5F255" w14:textId="0C139362" w:rsidR="0012790E" w:rsidRDefault="0012790E">
      <w:pPr>
        <w:pStyle w:val="Normal2"/>
        <w:rPr>
          <w:rFonts w:cs="Book Antiqua"/>
        </w:rPr>
      </w:pPr>
      <w:r w:rsidRPr="001C06E6">
        <w:rPr>
          <w:rFonts w:cs="Book Antiqua"/>
        </w:rPr>
        <w:t>The Government will also achieve efficiencies of $33.7</w:t>
      </w:r>
      <w:r>
        <w:rPr>
          <w:rFonts w:cs="Book Antiqua"/>
        </w:rPr>
        <w:t> </w:t>
      </w:r>
      <w:r w:rsidRPr="001C06E6">
        <w:rPr>
          <w:rFonts w:cs="Book Antiqua"/>
        </w:rPr>
        <w:t>million over five years from</w:t>
      </w:r>
      <w:r>
        <w:rPr>
          <w:rFonts w:cs="Book Antiqua"/>
        </w:rPr>
        <w:t xml:space="preserve"> </w:t>
      </w:r>
      <w:r w:rsidR="00714404">
        <w:rPr>
          <w:rFonts w:cs="Book Antiqua"/>
        </w:rPr>
        <w:br/>
      </w:r>
      <w:r>
        <w:rPr>
          <w:rFonts w:cs="Book Antiqua"/>
        </w:rPr>
        <w:t>2023–24</w:t>
      </w:r>
      <w:r w:rsidRPr="001C06E6">
        <w:rPr>
          <w:rFonts w:cs="Book Antiqua"/>
        </w:rPr>
        <w:t>, including:</w:t>
      </w:r>
    </w:p>
    <w:p w14:paraId="088E96E7" w14:textId="1A0E171F" w:rsidR="0012790E" w:rsidRDefault="0012790E">
      <w:pPr>
        <w:pStyle w:val="Bullet"/>
      </w:pPr>
      <w:r w:rsidRPr="001C06E6">
        <w:t>$33.6</w:t>
      </w:r>
      <w:r>
        <w:t> </w:t>
      </w:r>
      <w:r w:rsidRPr="001C06E6">
        <w:t xml:space="preserve">million over three years from </w:t>
      </w:r>
      <w:r>
        <w:t>2025–26</w:t>
      </w:r>
      <w:r w:rsidRPr="001C06E6">
        <w:t xml:space="preserve"> by reducing the timeframe during which claims for Medicare bulk billed services can be lodged from two years to 12 months after the date of service, to enable quicker responses to fraud and non</w:t>
      </w:r>
      <w:r>
        <w:noBreakHyphen/>
      </w:r>
      <w:r w:rsidRPr="001C06E6">
        <w:t>compliance in</w:t>
      </w:r>
      <w:r w:rsidR="00714404">
        <w:t> </w:t>
      </w:r>
      <w:r w:rsidRPr="001C06E6">
        <w:t>Medicare</w:t>
      </w:r>
      <w:r>
        <w:t xml:space="preserve"> </w:t>
      </w:r>
    </w:p>
    <w:p w14:paraId="613FBE3C" w14:textId="77777777" w:rsidR="0012790E" w:rsidRDefault="0012790E">
      <w:pPr>
        <w:pStyle w:val="Bullet"/>
      </w:pPr>
      <w:r w:rsidRPr="001C06E6">
        <w:t>$0.2</w:t>
      </w:r>
      <w:r>
        <w:t> </w:t>
      </w:r>
      <w:r w:rsidRPr="001C06E6">
        <w:t xml:space="preserve">million in </w:t>
      </w:r>
      <w:r>
        <w:t>2023–24</w:t>
      </w:r>
      <w:r w:rsidRPr="001C06E6">
        <w:t xml:space="preserve"> by redirecting the Commonwealth’s contribution to the Royal Flying Doctor Service’s Guiding Rural Outback Wellbeing program for an aquaponics unit that has now been funded through an alternative source.</w:t>
      </w:r>
      <w:r>
        <w:t xml:space="preserve"> </w:t>
      </w:r>
    </w:p>
    <w:p w14:paraId="6571E4FA" w14:textId="11A60AE4" w:rsidR="0012790E" w:rsidRDefault="0012790E">
      <w:pPr>
        <w:pStyle w:val="Normal2"/>
        <w:rPr>
          <w:rFonts w:cs="Book Antiqua"/>
        </w:rPr>
      </w:pPr>
      <w:r w:rsidRPr="001C06E6">
        <w:rPr>
          <w:rFonts w:cs="Book Antiqua"/>
        </w:rPr>
        <w:t>The Government will provide $3.0</w:t>
      </w:r>
      <w:r>
        <w:rPr>
          <w:rFonts w:cs="Book Antiqua"/>
        </w:rPr>
        <w:t> </w:t>
      </w:r>
      <w:r w:rsidRPr="001C06E6">
        <w:rPr>
          <w:rFonts w:cs="Book Antiqua"/>
        </w:rPr>
        <w:t xml:space="preserve">million over two years from </w:t>
      </w:r>
      <w:r>
        <w:rPr>
          <w:rFonts w:cs="Book Antiqua"/>
        </w:rPr>
        <w:t>2024–25</w:t>
      </w:r>
      <w:r w:rsidRPr="001C06E6">
        <w:rPr>
          <w:rFonts w:cs="Book Antiqua"/>
        </w:rPr>
        <w:t xml:space="preserve"> and forgo</w:t>
      </w:r>
      <w:r>
        <w:rPr>
          <w:rFonts w:cs="Book Antiqua"/>
        </w:rPr>
        <w:t xml:space="preserve"> </w:t>
      </w:r>
      <w:r w:rsidRPr="001C06E6">
        <w:rPr>
          <w:rFonts w:cs="Book Antiqua"/>
        </w:rPr>
        <w:t>revenue</w:t>
      </w:r>
      <w:r w:rsidR="00714404">
        <w:rPr>
          <w:rFonts w:cs="Book Antiqua"/>
        </w:rPr>
        <w:t> </w:t>
      </w:r>
      <w:r w:rsidRPr="001C06E6">
        <w:rPr>
          <w:rFonts w:cs="Book Antiqua"/>
        </w:rPr>
        <w:t>of $2.5</w:t>
      </w:r>
      <w:r>
        <w:rPr>
          <w:rFonts w:cs="Book Antiqua"/>
        </w:rPr>
        <w:t> </w:t>
      </w:r>
      <w:r w:rsidRPr="001C06E6">
        <w:rPr>
          <w:rFonts w:cs="Book Antiqua"/>
        </w:rPr>
        <w:t xml:space="preserve">million over three years from </w:t>
      </w:r>
      <w:r>
        <w:rPr>
          <w:rFonts w:cs="Book Antiqua"/>
        </w:rPr>
        <w:t>2025–26</w:t>
      </w:r>
      <w:r w:rsidRPr="001C06E6">
        <w:rPr>
          <w:rFonts w:cs="Book Antiqua"/>
        </w:rPr>
        <w:t xml:space="preserve"> through repealing the </w:t>
      </w:r>
      <w:r w:rsidRPr="001C06E6">
        <w:rPr>
          <w:rFonts w:cs="Book Antiqua"/>
          <w:i/>
          <w:iCs/>
        </w:rPr>
        <w:t>Health</w:t>
      </w:r>
      <w:r>
        <w:rPr>
          <w:rFonts w:cs="Book Antiqua"/>
          <w:i/>
          <w:iCs/>
        </w:rPr>
        <w:t xml:space="preserve"> </w:t>
      </w:r>
      <w:r w:rsidRPr="001C06E6">
        <w:rPr>
          <w:rFonts w:cs="Book Antiqua"/>
          <w:i/>
          <w:iCs/>
        </w:rPr>
        <w:t>Insurance (Pathology) (Fees) Act 1991</w:t>
      </w:r>
      <w:r w:rsidRPr="001C06E6">
        <w:rPr>
          <w:rFonts w:cs="Book Antiqua"/>
        </w:rPr>
        <w:t xml:space="preserve"> and removing fees imposed on the pathology</w:t>
      </w:r>
      <w:r>
        <w:rPr>
          <w:rFonts w:cs="Book Antiqua"/>
        </w:rPr>
        <w:t xml:space="preserve"> </w:t>
      </w:r>
      <w:r w:rsidRPr="001C06E6">
        <w:rPr>
          <w:rFonts w:cs="Book Antiqua"/>
        </w:rPr>
        <w:t>sector for</w:t>
      </w:r>
      <w:r w:rsidR="00714404">
        <w:rPr>
          <w:rFonts w:cs="Book Antiqua"/>
        </w:rPr>
        <w:t> </w:t>
      </w:r>
      <w:r w:rsidRPr="001C06E6">
        <w:rPr>
          <w:rFonts w:cs="Book Antiqua"/>
        </w:rPr>
        <w:t>certain accreditations.</w:t>
      </w:r>
      <w:r>
        <w:rPr>
          <w:rFonts w:cs="Book Antiqua"/>
        </w:rPr>
        <w:t xml:space="preserve"> </w:t>
      </w:r>
    </w:p>
    <w:p w14:paraId="5D6A3B36" w14:textId="77777777" w:rsidR="0012790E" w:rsidRDefault="0012790E" w:rsidP="54937204">
      <w:pPr>
        <w:pStyle w:val="Normal2"/>
        <w:rPr>
          <w:rFonts w:cs="Book Antiqua"/>
          <w:lang w:val="en-US"/>
        </w:rPr>
      </w:pPr>
      <w:r w:rsidRPr="54937204">
        <w:rPr>
          <w:rFonts w:cs="Book Antiqua"/>
          <w:lang w:val="en-US"/>
        </w:rPr>
        <w:t xml:space="preserve">The Government will retain General Use Items on the Prescribed List of Medical Devices and Human Tissue Products post 1 July 2024, to provide certainty for the private hospital sector and private patients regarding the benefits payable by private health insurers for their use. </w:t>
      </w:r>
    </w:p>
    <w:p w14:paraId="4F6E7223" w14:textId="77777777" w:rsidR="0012790E" w:rsidRDefault="0012790E">
      <w:pPr>
        <w:pStyle w:val="Normal2"/>
        <w:rPr>
          <w:rFonts w:cs="Book Antiqua"/>
        </w:rPr>
      </w:pPr>
      <w:r w:rsidRPr="001C06E6">
        <w:rPr>
          <w:rFonts w:cs="Book Antiqua"/>
        </w:rPr>
        <w:t xml:space="preserve">The measure builds on the </w:t>
      </w:r>
      <w:r>
        <w:rPr>
          <w:rFonts w:cs="Book Antiqua"/>
        </w:rPr>
        <w:t>2023–24 </w:t>
      </w:r>
      <w:r w:rsidRPr="001C06E6">
        <w:rPr>
          <w:rFonts w:cs="Book Antiqua"/>
        </w:rPr>
        <w:t xml:space="preserve">Budget measure titled </w:t>
      </w:r>
      <w:r w:rsidRPr="001C06E6">
        <w:rPr>
          <w:rFonts w:cs="Book Antiqua"/>
          <w:i/>
          <w:iCs/>
        </w:rPr>
        <w:t>Strengthening Medicare</w:t>
      </w:r>
      <w:r w:rsidRPr="001C06E6">
        <w:rPr>
          <w:rFonts w:cs="Book Antiqua"/>
        </w:rPr>
        <w:t>.</w:t>
      </w:r>
      <w:r>
        <w:rPr>
          <w:rFonts w:cs="Book Antiqua"/>
        </w:rPr>
        <w:t xml:space="preserve"> </w:t>
      </w:r>
    </w:p>
    <w:p w14:paraId="5B1D9BA7"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within the existing resourcing of the Department of Health and Aged Care. </w:t>
      </w:r>
    </w:p>
    <w:p w14:paraId="40DA7525" w14:textId="7F5C93C2" w:rsidR="00050D8B" w:rsidRDefault="00050D8B" w:rsidP="54937204">
      <w:pPr>
        <w:pStyle w:val="Normal2"/>
        <w:rPr>
          <w:rFonts w:cs="Book Antiqua"/>
          <w:lang w:val="en-US"/>
        </w:rPr>
      </w:pPr>
      <w:r>
        <w:rPr>
          <w:rFonts w:cs="Book Antiqua"/>
          <w:lang w:val="en-US"/>
        </w:rPr>
        <w:t xml:space="preserve">See also the related payment measure titled </w:t>
      </w:r>
      <w:r w:rsidRPr="00A65328">
        <w:rPr>
          <w:rFonts w:cs="Book Antiqua"/>
          <w:i/>
          <w:iCs/>
          <w:lang w:val="en-US"/>
        </w:rPr>
        <w:t>Strengthening Medicare – Medicare Urgent Care Clinics – additional funding</w:t>
      </w:r>
      <w:r>
        <w:rPr>
          <w:rFonts w:cs="Book Antiqua"/>
          <w:i/>
          <w:iCs/>
          <w:lang w:val="en-US"/>
        </w:rPr>
        <w:t>.</w:t>
      </w:r>
    </w:p>
    <w:p w14:paraId="19E947F0" w14:textId="77777777" w:rsidR="0012790E" w:rsidRPr="001C06E6" w:rsidRDefault="0012790E" w:rsidP="54937204">
      <w:pPr>
        <w:pStyle w:val="MeasureTitle"/>
        <w:rPr>
          <w:b w:val="0"/>
          <w:lang w:val="en-US"/>
        </w:rPr>
      </w:pPr>
      <w:bookmarkStart w:id="4" w:name="_Hlk166147146"/>
      <w:r w:rsidRPr="54937204">
        <w:rPr>
          <w:lang w:val="en-US"/>
        </w:rPr>
        <w:t>Strengthening Medicare – Medicare Urgent Care Clinics – additional funding</w:t>
      </w:r>
    </w:p>
    <w:bookmarkEnd w:id="4"/>
    <w:p w14:paraId="257975BD"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3D8B15E" w14:textId="77777777">
        <w:tc>
          <w:tcPr>
            <w:tcW w:w="2497" w:type="dxa"/>
            <w:tcBorders>
              <w:top w:val="single" w:sz="4" w:space="0" w:color="293F5B"/>
              <w:bottom w:val="single" w:sz="4" w:space="0" w:color="293F5B"/>
            </w:tcBorders>
            <w:shd w:val="clear" w:color="auto" w:fill="auto"/>
          </w:tcPr>
          <w:p w14:paraId="3FA6AC4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82CDB3D"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BE3A81F"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7B59BEF"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D2BDE3E"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6F9AFC4" w14:textId="77777777" w:rsidR="0012790E" w:rsidRPr="001C06E6" w:rsidRDefault="0012790E">
            <w:pPr>
              <w:pStyle w:val="MeasureTableYearHeadings"/>
              <w:keepNext/>
            </w:pPr>
            <w:r w:rsidRPr="001C06E6">
              <w:t>2027</w:t>
            </w:r>
            <w:r>
              <w:noBreakHyphen/>
            </w:r>
            <w:r w:rsidRPr="001C06E6">
              <w:t>28</w:t>
            </w:r>
          </w:p>
        </w:tc>
      </w:tr>
      <w:tr w:rsidR="0012790E" w:rsidRPr="001C06E6" w14:paraId="6863D6AE" w14:textId="77777777">
        <w:tc>
          <w:tcPr>
            <w:tcW w:w="2497" w:type="dxa"/>
            <w:tcBorders>
              <w:top w:val="single" w:sz="4" w:space="0" w:color="293F5B"/>
              <w:bottom w:val="single" w:sz="4" w:space="0" w:color="293F5B"/>
            </w:tcBorders>
            <w:shd w:val="clear" w:color="auto" w:fill="auto"/>
          </w:tcPr>
          <w:p w14:paraId="1B1941B6"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32FA9F7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3C347A1" w14:textId="77777777" w:rsidR="0012790E" w:rsidRPr="001C06E6" w:rsidRDefault="0012790E">
            <w:pPr>
              <w:pStyle w:val="MeasureTableDataRightAlignedwith2ptsspacing"/>
              <w:keepNext/>
            </w:pPr>
            <w:r w:rsidRPr="001C06E6">
              <w:t>1.7</w:t>
            </w:r>
          </w:p>
        </w:tc>
        <w:tc>
          <w:tcPr>
            <w:tcW w:w="1045" w:type="dxa"/>
            <w:tcBorders>
              <w:top w:val="single" w:sz="4" w:space="0" w:color="293F5B"/>
              <w:bottom w:val="single" w:sz="4" w:space="0" w:color="293F5B"/>
            </w:tcBorders>
            <w:shd w:val="clear" w:color="auto" w:fill="auto"/>
          </w:tcPr>
          <w:p w14:paraId="059FD152" w14:textId="77777777" w:rsidR="0012790E" w:rsidRPr="001C06E6" w:rsidRDefault="0012790E">
            <w:pPr>
              <w:pStyle w:val="MeasureTableDataRightAlignedwith2ptsspacing"/>
              <w:keepNext/>
            </w:pPr>
            <w:r w:rsidRPr="001C06E6">
              <w:t>1.5</w:t>
            </w:r>
          </w:p>
        </w:tc>
        <w:tc>
          <w:tcPr>
            <w:tcW w:w="1045" w:type="dxa"/>
            <w:tcBorders>
              <w:top w:val="single" w:sz="4" w:space="0" w:color="293F5B"/>
              <w:bottom w:val="single" w:sz="4" w:space="0" w:color="293F5B"/>
            </w:tcBorders>
            <w:shd w:val="clear" w:color="auto" w:fill="auto"/>
          </w:tcPr>
          <w:p w14:paraId="5F2DE47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EA3AE54" w14:textId="77777777" w:rsidR="0012790E" w:rsidRPr="001C06E6" w:rsidRDefault="0012790E">
            <w:pPr>
              <w:pStyle w:val="MeasureTableDataRightAlignedwith2ptsspacing"/>
              <w:keepNext/>
            </w:pPr>
            <w:r w:rsidRPr="001C06E6">
              <w:t>-</w:t>
            </w:r>
          </w:p>
        </w:tc>
      </w:tr>
      <w:tr w:rsidR="0012790E" w:rsidRPr="001C06E6" w14:paraId="09719747" w14:textId="77777777">
        <w:tc>
          <w:tcPr>
            <w:tcW w:w="2497" w:type="dxa"/>
            <w:tcBorders>
              <w:top w:val="single" w:sz="4" w:space="0" w:color="293F5B"/>
              <w:bottom w:val="single" w:sz="4" w:space="0" w:color="293F5B"/>
            </w:tcBorders>
            <w:shd w:val="clear" w:color="auto" w:fill="auto"/>
          </w:tcPr>
          <w:p w14:paraId="592FCF50"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1A3124C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A5DA629" w14:textId="77777777" w:rsidR="0012790E" w:rsidRPr="001C06E6" w:rsidRDefault="0012790E">
            <w:pPr>
              <w:pStyle w:val="MeasureTableDataRightAlignedwith2ptsspacing"/>
              <w:keepNext/>
            </w:pPr>
            <w:r>
              <w:t xml:space="preserve">84.1 </w:t>
            </w:r>
          </w:p>
        </w:tc>
        <w:tc>
          <w:tcPr>
            <w:tcW w:w="1045" w:type="dxa"/>
            <w:tcBorders>
              <w:top w:val="single" w:sz="4" w:space="0" w:color="293F5B"/>
              <w:bottom w:val="single" w:sz="4" w:space="0" w:color="293F5B"/>
            </w:tcBorders>
            <w:shd w:val="clear" w:color="auto" w:fill="auto"/>
          </w:tcPr>
          <w:p w14:paraId="25BC5CFF" w14:textId="77777777" w:rsidR="0012790E" w:rsidRPr="001C06E6" w:rsidRDefault="0012790E">
            <w:pPr>
              <w:pStyle w:val="MeasureTableDataRightAlignedwith2ptsspacing"/>
              <w:keepNext/>
            </w:pPr>
            <w:r>
              <w:t xml:space="preserve">73.8 </w:t>
            </w:r>
          </w:p>
        </w:tc>
        <w:tc>
          <w:tcPr>
            <w:tcW w:w="1045" w:type="dxa"/>
            <w:tcBorders>
              <w:top w:val="single" w:sz="4" w:space="0" w:color="293F5B"/>
              <w:bottom w:val="single" w:sz="4" w:space="0" w:color="293F5B"/>
            </w:tcBorders>
            <w:shd w:val="clear" w:color="auto" w:fill="auto"/>
          </w:tcPr>
          <w:p w14:paraId="46485DE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1475AC1" w14:textId="77777777" w:rsidR="0012790E" w:rsidRPr="001C06E6" w:rsidRDefault="0012790E">
            <w:pPr>
              <w:pStyle w:val="MeasureTableDataRightAlignedwith2ptsspacing"/>
              <w:keepNext/>
            </w:pPr>
            <w:r>
              <w:t xml:space="preserve">- </w:t>
            </w:r>
          </w:p>
        </w:tc>
      </w:tr>
      <w:tr w:rsidR="0012790E" w:rsidRPr="001C06E6" w14:paraId="41DBAA47" w14:textId="77777777">
        <w:tc>
          <w:tcPr>
            <w:tcW w:w="2497" w:type="dxa"/>
            <w:tcBorders>
              <w:top w:val="single" w:sz="4" w:space="0" w:color="293F5B"/>
              <w:bottom w:val="single" w:sz="4" w:space="0" w:color="293F5B"/>
            </w:tcBorders>
            <w:shd w:val="clear" w:color="auto" w:fill="auto"/>
          </w:tcPr>
          <w:p w14:paraId="65C52741"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577FC5B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BD2281F" w14:textId="77777777" w:rsidR="0012790E" w:rsidRPr="001C06E6" w:rsidRDefault="0012790E">
            <w:pPr>
              <w:pStyle w:val="MeasureTableDataRightAlignedwith2ptsspacing"/>
              <w:keepNext/>
            </w:pPr>
            <w:r w:rsidRPr="001C06E6">
              <w:t>32.7</w:t>
            </w:r>
          </w:p>
        </w:tc>
        <w:tc>
          <w:tcPr>
            <w:tcW w:w="1045" w:type="dxa"/>
            <w:tcBorders>
              <w:top w:val="single" w:sz="4" w:space="0" w:color="293F5B"/>
              <w:bottom w:val="single" w:sz="4" w:space="0" w:color="293F5B"/>
            </w:tcBorders>
            <w:shd w:val="clear" w:color="auto" w:fill="auto"/>
          </w:tcPr>
          <w:p w14:paraId="285A1125" w14:textId="77777777" w:rsidR="0012790E" w:rsidRPr="001C06E6" w:rsidRDefault="0012790E">
            <w:pPr>
              <w:pStyle w:val="MeasureTableDataRightAlignedwith2ptsspacing"/>
              <w:keepNext/>
            </w:pPr>
            <w:r w:rsidRPr="001C06E6">
              <w:t>30.1</w:t>
            </w:r>
          </w:p>
        </w:tc>
        <w:tc>
          <w:tcPr>
            <w:tcW w:w="1045" w:type="dxa"/>
            <w:tcBorders>
              <w:top w:val="single" w:sz="4" w:space="0" w:color="293F5B"/>
              <w:bottom w:val="single" w:sz="4" w:space="0" w:color="293F5B"/>
            </w:tcBorders>
            <w:shd w:val="clear" w:color="auto" w:fill="auto"/>
          </w:tcPr>
          <w:p w14:paraId="225070C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303BFA4" w14:textId="77777777" w:rsidR="0012790E" w:rsidRPr="001C06E6" w:rsidRDefault="0012790E">
            <w:pPr>
              <w:pStyle w:val="MeasureTableDataRightAlignedwith2ptsspacing"/>
              <w:keepNext/>
            </w:pPr>
            <w:r w:rsidRPr="001C06E6">
              <w:t>-</w:t>
            </w:r>
          </w:p>
        </w:tc>
      </w:tr>
      <w:tr w:rsidR="0012790E" w:rsidRPr="001C06E6" w14:paraId="0340B59B" w14:textId="77777777">
        <w:tc>
          <w:tcPr>
            <w:tcW w:w="2497" w:type="dxa"/>
            <w:tcBorders>
              <w:top w:val="single" w:sz="4" w:space="0" w:color="293F5B"/>
              <w:bottom w:val="single" w:sz="4" w:space="0" w:color="293F5B"/>
            </w:tcBorders>
            <w:shd w:val="clear" w:color="auto" w:fill="auto"/>
          </w:tcPr>
          <w:p w14:paraId="23204C60" w14:textId="77777777" w:rsidR="0012790E" w:rsidRPr="001C06E6" w:rsidRDefault="0012790E">
            <w:pPr>
              <w:pStyle w:val="MeasureTableHeadingleftalignedwith2ptsspacing"/>
              <w:keepNext/>
            </w:pPr>
            <w:r w:rsidRPr="001C06E6">
              <w:t>Department of Veterans' Affairs</w:t>
            </w:r>
          </w:p>
        </w:tc>
        <w:tc>
          <w:tcPr>
            <w:tcW w:w="1045" w:type="dxa"/>
            <w:tcBorders>
              <w:top w:val="single" w:sz="4" w:space="0" w:color="293F5B"/>
              <w:bottom w:val="single" w:sz="4" w:space="0" w:color="293F5B"/>
            </w:tcBorders>
            <w:shd w:val="clear" w:color="auto" w:fill="auto"/>
          </w:tcPr>
          <w:p w14:paraId="291EBC8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B33E6C8" w14:textId="77777777" w:rsidR="0012790E" w:rsidRPr="001C06E6" w:rsidRDefault="0012790E">
            <w:pPr>
              <w:pStyle w:val="MeasureTableDataRightAlignedwith2ptsspacing"/>
              <w:keepNext/>
            </w:pPr>
            <w:r w:rsidRPr="001C06E6">
              <w:t>1.6</w:t>
            </w:r>
          </w:p>
        </w:tc>
        <w:tc>
          <w:tcPr>
            <w:tcW w:w="1045" w:type="dxa"/>
            <w:tcBorders>
              <w:top w:val="single" w:sz="4" w:space="0" w:color="293F5B"/>
              <w:bottom w:val="single" w:sz="4" w:space="0" w:color="293F5B"/>
            </w:tcBorders>
            <w:shd w:val="clear" w:color="auto" w:fill="auto"/>
          </w:tcPr>
          <w:p w14:paraId="312948AB" w14:textId="77777777" w:rsidR="0012790E" w:rsidRPr="001C06E6" w:rsidRDefault="0012790E">
            <w:pPr>
              <w:pStyle w:val="MeasureTableDataRightAlignedwith2ptsspacing"/>
              <w:keepNext/>
            </w:pPr>
            <w:r w:rsidRPr="001C06E6">
              <w:t>1.5</w:t>
            </w:r>
          </w:p>
        </w:tc>
        <w:tc>
          <w:tcPr>
            <w:tcW w:w="1045" w:type="dxa"/>
            <w:tcBorders>
              <w:top w:val="single" w:sz="4" w:space="0" w:color="293F5B"/>
              <w:bottom w:val="single" w:sz="4" w:space="0" w:color="293F5B"/>
            </w:tcBorders>
            <w:shd w:val="clear" w:color="auto" w:fill="auto"/>
          </w:tcPr>
          <w:p w14:paraId="17D5A2F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9D88A5B" w14:textId="77777777" w:rsidR="0012790E" w:rsidRPr="001C06E6" w:rsidRDefault="0012790E">
            <w:pPr>
              <w:pStyle w:val="MeasureTableDataRightAlignedwith2ptsspacing"/>
              <w:keepNext/>
            </w:pPr>
            <w:r w:rsidRPr="001C06E6">
              <w:t>-</w:t>
            </w:r>
          </w:p>
        </w:tc>
      </w:tr>
      <w:tr w:rsidR="0012790E" w:rsidRPr="001C06E6" w14:paraId="18DFA291" w14:textId="77777777">
        <w:tc>
          <w:tcPr>
            <w:tcW w:w="2497" w:type="dxa"/>
            <w:tcBorders>
              <w:top w:val="single" w:sz="4" w:space="0" w:color="293F5B"/>
              <w:bottom w:val="single" w:sz="4" w:space="0" w:color="293F5B"/>
            </w:tcBorders>
            <w:shd w:val="clear" w:color="auto" w:fill="auto"/>
          </w:tcPr>
          <w:p w14:paraId="6483A830"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29D83213"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6605DE50" w14:textId="77777777" w:rsidR="0012790E" w:rsidRPr="001C06E6" w:rsidRDefault="0012790E">
            <w:pPr>
              <w:pStyle w:val="Totaldatarowrightaligned"/>
              <w:keepNext/>
            </w:pPr>
            <w:r w:rsidRPr="001C06E6">
              <w:t>120.0</w:t>
            </w:r>
          </w:p>
        </w:tc>
        <w:tc>
          <w:tcPr>
            <w:tcW w:w="1045" w:type="dxa"/>
            <w:tcBorders>
              <w:top w:val="single" w:sz="4" w:space="0" w:color="293F5B"/>
              <w:bottom w:val="single" w:sz="4" w:space="0" w:color="293F5B"/>
            </w:tcBorders>
            <w:shd w:val="clear" w:color="auto" w:fill="auto"/>
          </w:tcPr>
          <w:p w14:paraId="0A2E93FC" w14:textId="77777777" w:rsidR="0012790E" w:rsidRPr="001C06E6" w:rsidRDefault="0012790E">
            <w:pPr>
              <w:pStyle w:val="Totaldatarowrightaligned"/>
              <w:keepNext/>
            </w:pPr>
            <w:r w:rsidRPr="001C06E6">
              <w:t>106.9</w:t>
            </w:r>
          </w:p>
        </w:tc>
        <w:tc>
          <w:tcPr>
            <w:tcW w:w="1045" w:type="dxa"/>
            <w:tcBorders>
              <w:top w:val="single" w:sz="4" w:space="0" w:color="293F5B"/>
              <w:bottom w:val="single" w:sz="4" w:space="0" w:color="293F5B"/>
            </w:tcBorders>
            <w:shd w:val="clear" w:color="auto" w:fill="auto"/>
          </w:tcPr>
          <w:p w14:paraId="37EFD3C2"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069B8F93" w14:textId="77777777" w:rsidR="0012790E" w:rsidRPr="001C06E6" w:rsidRDefault="0012790E">
            <w:pPr>
              <w:pStyle w:val="Totaldatarowrightaligned"/>
              <w:keepNext/>
            </w:pPr>
            <w:r w:rsidRPr="001C06E6">
              <w:t>-</w:t>
            </w:r>
          </w:p>
        </w:tc>
      </w:tr>
    </w:tbl>
    <w:p w14:paraId="566C55F0"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1529BA0C" w14:textId="77777777" w:rsidR="0012790E" w:rsidRDefault="0012790E" w:rsidP="54937204">
      <w:pPr>
        <w:pStyle w:val="Normal2"/>
        <w:rPr>
          <w:rFonts w:cs="Book Antiqua"/>
          <w:lang w:val="en-US"/>
        </w:rPr>
      </w:pPr>
      <w:r w:rsidRPr="54937204">
        <w:rPr>
          <w:rFonts w:cs="Book Antiqua"/>
          <w:lang w:val="en-US"/>
        </w:rPr>
        <w:t xml:space="preserve">The Government will provide $227.0 million over three years from 2023–24 to boost the capacity of Medicare Urgent Care Clinics. This will include a further 29 Medicare Urgent Care Clinics across Australia, which will take the total number of Medicare Urgent Care Clinics to 87. The Government is also providing additional support to clinics in regional and rural Australia. </w:t>
      </w:r>
    </w:p>
    <w:p w14:paraId="7CD31A60" w14:textId="400E0D84" w:rsidR="0012790E" w:rsidRDefault="0012790E" w:rsidP="54937204">
      <w:pPr>
        <w:pStyle w:val="Normal2"/>
        <w:rPr>
          <w:rFonts w:cs="Book Antiqua"/>
          <w:lang w:val="en-US"/>
        </w:rPr>
      </w:pPr>
      <w:r w:rsidRPr="54937204">
        <w:rPr>
          <w:rFonts w:cs="Book Antiqua"/>
          <w:lang w:val="en-US"/>
        </w:rPr>
        <w:t>Medicare Urgent Care Clinics reduce pressure on hospital emergency departments by supporting Australians to access care for urgent, but not life</w:t>
      </w:r>
      <w:r>
        <w:rPr>
          <w:rFonts w:cs="Book Antiqua"/>
        </w:rPr>
        <w:noBreakHyphen/>
      </w:r>
      <w:r w:rsidRPr="54937204">
        <w:rPr>
          <w:rFonts w:cs="Book Antiqua"/>
          <w:lang w:val="en-US"/>
        </w:rPr>
        <w:t>threatening conditions. All</w:t>
      </w:r>
      <w:r w:rsidR="00714404">
        <w:rPr>
          <w:rFonts w:cs="Book Antiqua"/>
          <w:lang w:val="en-US"/>
        </w:rPr>
        <w:t> </w:t>
      </w:r>
      <w:r w:rsidRPr="54937204">
        <w:rPr>
          <w:rFonts w:cs="Book Antiqua"/>
          <w:lang w:val="en-US"/>
        </w:rPr>
        <w:t xml:space="preserve">Medicare Urgent Care Clinics are open during extended business hours with no appointments or referrals required, and with no out of pocket costs. </w:t>
      </w:r>
    </w:p>
    <w:p w14:paraId="49A7C1AC" w14:textId="77777777" w:rsidR="0012790E" w:rsidRDefault="0012790E" w:rsidP="54937204">
      <w:pPr>
        <w:pStyle w:val="Normal2"/>
        <w:rPr>
          <w:rFonts w:cs="Book Antiqua"/>
          <w:lang w:val="en-US"/>
        </w:rPr>
      </w:pPr>
      <w:r w:rsidRPr="54937204">
        <w:rPr>
          <w:rFonts w:cs="Book Antiqua"/>
          <w:lang w:val="en-US"/>
        </w:rPr>
        <w:t xml:space="preserve">This measure is a component of the $1.2 billion package of Strengthening Medicare measures agreed at National Cabinet in December 2023 and has been developed in consultation with the states and territories. </w:t>
      </w:r>
    </w:p>
    <w:p w14:paraId="43BDB36F" w14:textId="4AE83127" w:rsidR="0012790E" w:rsidRDefault="0012790E" w:rsidP="54937204">
      <w:pPr>
        <w:pStyle w:val="Normal2"/>
        <w:rPr>
          <w:rFonts w:cs="Book Antiqua"/>
          <w:lang w:val="en-US"/>
        </w:rPr>
      </w:pPr>
      <w:r w:rsidRPr="54937204">
        <w:rPr>
          <w:rFonts w:cs="Book Antiqua"/>
          <w:lang w:val="en-US"/>
        </w:rPr>
        <w:t xml:space="preserve">This measure builds on the 2022–23 October Budget measure titled </w:t>
      </w:r>
      <w:r w:rsidRPr="54937204">
        <w:rPr>
          <w:rFonts w:cs="Book Antiqua"/>
          <w:i/>
          <w:iCs/>
          <w:lang w:val="en-US"/>
        </w:rPr>
        <w:t>Urgent Care Clinics</w:t>
      </w:r>
      <w:r w:rsidRPr="54937204">
        <w:rPr>
          <w:rFonts w:cs="Book Antiqua"/>
          <w:lang w:val="en-US"/>
        </w:rPr>
        <w:t>, the</w:t>
      </w:r>
      <w:r w:rsidR="007D7BA4">
        <w:rPr>
          <w:rFonts w:cs="Book Antiqua"/>
          <w:lang w:val="en-US"/>
        </w:rPr>
        <w:t> </w:t>
      </w:r>
      <w:r w:rsidRPr="54937204">
        <w:rPr>
          <w:rFonts w:cs="Book Antiqua"/>
          <w:lang w:val="en-US"/>
        </w:rPr>
        <w:t xml:space="preserve">2023–24 Budget measure titled </w:t>
      </w:r>
      <w:r w:rsidRPr="54937204">
        <w:rPr>
          <w:rFonts w:cs="Book Antiqua"/>
          <w:i/>
          <w:iCs/>
          <w:lang w:val="en-US"/>
        </w:rPr>
        <w:t>Medicare Urgent Care Clinics–additional funding</w:t>
      </w:r>
      <w:r w:rsidRPr="54937204">
        <w:rPr>
          <w:rFonts w:cs="Book Antiqua"/>
          <w:lang w:val="en-US"/>
        </w:rPr>
        <w:t xml:space="preserve"> and the 2023–24 MYEFO measure titled </w:t>
      </w:r>
      <w:r w:rsidRPr="54937204">
        <w:rPr>
          <w:rFonts w:cs="Book Antiqua"/>
          <w:i/>
          <w:iCs/>
          <w:lang w:val="en-US"/>
        </w:rPr>
        <w:t>Urgent Care Clinics and Services</w:t>
      </w:r>
      <w:r w:rsidRPr="54937204">
        <w:rPr>
          <w:rFonts w:cs="Book Antiqua"/>
          <w:lang w:val="en-US"/>
        </w:rPr>
        <w:t xml:space="preserve">. </w:t>
      </w:r>
    </w:p>
    <w:p w14:paraId="5F997BE5" w14:textId="22E3B1B3" w:rsidR="0012790E" w:rsidRDefault="0012790E">
      <w:pPr>
        <w:pStyle w:val="Normal2"/>
        <w:rPr>
          <w:rFonts w:cs="Book Antiqua"/>
        </w:rPr>
      </w:pPr>
      <w:r w:rsidRPr="001C06E6">
        <w:rPr>
          <w:rFonts w:cs="Book Antiqua"/>
        </w:rPr>
        <w:t xml:space="preserve">See also the related payment measure titled </w:t>
      </w:r>
      <w:r w:rsidRPr="001C06E6">
        <w:rPr>
          <w:rFonts w:cs="Book Antiqua"/>
          <w:i/>
          <w:iCs/>
        </w:rPr>
        <w:t>Strengthening Medicare</w:t>
      </w:r>
      <w:r w:rsidRPr="001C06E6">
        <w:rPr>
          <w:rFonts w:cs="Book Antiqua"/>
        </w:rPr>
        <w:t xml:space="preserve"> in the Health</w:t>
      </w:r>
      <w:r>
        <w:rPr>
          <w:rFonts w:cs="Book Antiqua"/>
        </w:rPr>
        <w:t xml:space="preserve"> </w:t>
      </w:r>
      <w:r w:rsidRPr="001C06E6">
        <w:rPr>
          <w:rFonts w:cs="Book Antiqua"/>
        </w:rPr>
        <w:t>and Aged</w:t>
      </w:r>
      <w:r w:rsidR="00714404">
        <w:rPr>
          <w:rFonts w:cs="Book Antiqua"/>
        </w:rPr>
        <w:t> </w:t>
      </w:r>
      <w:r w:rsidRPr="001C06E6">
        <w:rPr>
          <w:rFonts w:cs="Book Antiqua"/>
        </w:rPr>
        <w:t>Care portfolio.</w:t>
      </w:r>
      <w:r>
        <w:rPr>
          <w:rFonts w:cs="Book Antiqua"/>
        </w:rPr>
        <w:t xml:space="preserve"> </w:t>
      </w:r>
    </w:p>
    <w:p w14:paraId="1E32E07A" w14:textId="77777777" w:rsidR="0012790E" w:rsidRPr="001C06E6" w:rsidRDefault="0012790E" w:rsidP="54937204">
      <w:pPr>
        <w:pStyle w:val="MeasureTitle"/>
        <w:rPr>
          <w:b w:val="0"/>
          <w:lang w:val="en-US"/>
        </w:rPr>
      </w:pPr>
      <w:r w:rsidRPr="54937204">
        <w:rPr>
          <w:lang w:val="en-US"/>
        </w:rPr>
        <w:t>Strengthening Medicare – an effective and clinically appropriate Medicare Benefits Schedule (MBS)</w:t>
      </w:r>
    </w:p>
    <w:p w14:paraId="20DA6B75"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1C85897" w14:textId="77777777">
        <w:tc>
          <w:tcPr>
            <w:tcW w:w="2497" w:type="dxa"/>
            <w:tcBorders>
              <w:top w:val="single" w:sz="4" w:space="0" w:color="293F5B"/>
              <w:bottom w:val="single" w:sz="4" w:space="0" w:color="293F5B"/>
            </w:tcBorders>
            <w:shd w:val="clear" w:color="auto" w:fill="auto"/>
          </w:tcPr>
          <w:p w14:paraId="765937C0"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7BCAF31"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C99E11C"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65DE81B"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B9E343E"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F46FF99" w14:textId="77777777" w:rsidR="0012790E" w:rsidRPr="001C06E6" w:rsidRDefault="0012790E">
            <w:pPr>
              <w:pStyle w:val="MeasureTableYearHeadings"/>
              <w:keepNext/>
            </w:pPr>
            <w:r w:rsidRPr="001C06E6">
              <w:t>2027</w:t>
            </w:r>
            <w:r>
              <w:noBreakHyphen/>
            </w:r>
            <w:r w:rsidRPr="001C06E6">
              <w:t>28</w:t>
            </w:r>
          </w:p>
        </w:tc>
      </w:tr>
      <w:tr w:rsidR="00E551D1" w:rsidRPr="001C06E6" w14:paraId="08464FF1" w14:textId="77777777" w:rsidTr="00AC2FA9">
        <w:tc>
          <w:tcPr>
            <w:tcW w:w="2497" w:type="dxa"/>
            <w:tcBorders>
              <w:top w:val="single" w:sz="4" w:space="0" w:color="293F5B"/>
              <w:bottom w:val="single" w:sz="4" w:space="0" w:color="293F5B"/>
            </w:tcBorders>
            <w:shd w:val="clear" w:color="auto" w:fill="auto"/>
          </w:tcPr>
          <w:p w14:paraId="6DFB61AF" w14:textId="77777777" w:rsidR="00E551D1" w:rsidRPr="001C06E6" w:rsidRDefault="00E551D1" w:rsidP="00E551D1">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5FDF65B1" w14:textId="77777777" w:rsidR="00E551D1" w:rsidRPr="001C06E6" w:rsidRDefault="00E551D1" w:rsidP="00E551D1">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84D1F87" w14:textId="6ECCBB99" w:rsidR="00E551D1" w:rsidRPr="001C06E6" w:rsidRDefault="00E551D1" w:rsidP="00E551D1">
            <w:pPr>
              <w:pStyle w:val="MeasureTableDataRightAlignedwith2ptsspacing"/>
              <w:keepNext/>
            </w:pPr>
            <w:r>
              <w:rPr>
                <w:szCs w:val="16"/>
              </w:rPr>
              <w:t>78.9</w:t>
            </w:r>
          </w:p>
        </w:tc>
        <w:tc>
          <w:tcPr>
            <w:tcW w:w="1045" w:type="dxa"/>
            <w:tcBorders>
              <w:top w:val="single" w:sz="4" w:space="0" w:color="293F5B"/>
              <w:bottom w:val="single" w:sz="4" w:space="0" w:color="293F5B"/>
            </w:tcBorders>
            <w:shd w:val="clear" w:color="auto" w:fill="auto"/>
          </w:tcPr>
          <w:p w14:paraId="61BF4AEB" w14:textId="3F45BEF7" w:rsidR="00E551D1" w:rsidRPr="001C06E6" w:rsidRDefault="00E551D1" w:rsidP="00E551D1">
            <w:pPr>
              <w:pStyle w:val="MeasureTableDataRightAlignedwith2ptsspacing"/>
              <w:keepNext/>
            </w:pPr>
            <w:r>
              <w:rPr>
                <w:szCs w:val="16"/>
              </w:rPr>
              <w:t>28.8</w:t>
            </w:r>
          </w:p>
        </w:tc>
        <w:tc>
          <w:tcPr>
            <w:tcW w:w="1045" w:type="dxa"/>
            <w:tcBorders>
              <w:top w:val="single" w:sz="4" w:space="0" w:color="293F5B"/>
              <w:bottom w:val="single" w:sz="4" w:space="0" w:color="293F5B"/>
            </w:tcBorders>
            <w:shd w:val="clear" w:color="auto" w:fill="auto"/>
          </w:tcPr>
          <w:p w14:paraId="02AA0127" w14:textId="71BBD03C" w:rsidR="00E551D1" w:rsidRPr="001C06E6" w:rsidRDefault="00E551D1" w:rsidP="00E551D1">
            <w:pPr>
              <w:pStyle w:val="MeasureTableDataRightAlignedwith2ptsspacing"/>
              <w:keepNext/>
            </w:pPr>
            <w:r>
              <w:rPr>
                <w:szCs w:val="16"/>
              </w:rPr>
              <w:t>51.2</w:t>
            </w:r>
          </w:p>
        </w:tc>
        <w:tc>
          <w:tcPr>
            <w:tcW w:w="1045" w:type="dxa"/>
            <w:tcBorders>
              <w:top w:val="single" w:sz="4" w:space="0" w:color="293F5B"/>
              <w:bottom w:val="single" w:sz="4" w:space="0" w:color="293F5B"/>
            </w:tcBorders>
            <w:shd w:val="clear" w:color="auto" w:fill="auto"/>
          </w:tcPr>
          <w:p w14:paraId="4EFAD83C" w14:textId="4D308B14" w:rsidR="00E551D1" w:rsidRPr="001C06E6" w:rsidRDefault="00E551D1" w:rsidP="00E551D1">
            <w:pPr>
              <w:pStyle w:val="MeasureTableDataRightAlignedwith2ptsspacing"/>
              <w:keepNext/>
            </w:pPr>
            <w:r>
              <w:rPr>
                <w:szCs w:val="16"/>
              </w:rPr>
              <w:t>114.9</w:t>
            </w:r>
          </w:p>
        </w:tc>
      </w:tr>
      <w:tr w:rsidR="0012790E" w:rsidRPr="001C06E6" w14:paraId="6EA0F219" w14:textId="77777777">
        <w:tc>
          <w:tcPr>
            <w:tcW w:w="2497" w:type="dxa"/>
            <w:tcBorders>
              <w:top w:val="single" w:sz="4" w:space="0" w:color="293F5B"/>
              <w:bottom w:val="single" w:sz="4" w:space="0" w:color="293F5B"/>
            </w:tcBorders>
            <w:shd w:val="clear" w:color="auto" w:fill="auto"/>
          </w:tcPr>
          <w:p w14:paraId="0C758860"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13FD8AB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0BF5F08" w14:textId="77777777" w:rsidR="0012790E" w:rsidRPr="001C06E6" w:rsidRDefault="0012790E">
            <w:pPr>
              <w:pStyle w:val="MeasureTableDataRightAlignedwith2ptsspacing"/>
              <w:keepNext/>
            </w:pPr>
            <w:r w:rsidRPr="001C06E6">
              <w:t>4.1</w:t>
            </w:r>
          </w:p>
        </w:tc>
        <w:tc>
          <w:tcPr>
            <w:tcW w:w="1045" w:type="dxa"/>
            <w:tcBorders>
              <w:top w:val="single" w:sz="4" w:space="0" w:color="293F5B"/>
              <w:bottom w:val="single" w:sz="4" w:space="0" w:color="293F5B"/>
            </w:tcBorders>
            <w:shd w:val="clear" w:color="auto" w:fill="auto"/>
          </w:tcPr>
          <w:p w14:paraId="48AD737F" w14:textId="77777777" w:rsidR="0012790E" w:rsidRPr="001C06E6" w:rsidRDefault="0012790E">
            <w:pPr>
              <w:pStyle w:val="MeasureTableDataRightAlignedwith2ptsspacing"/>
              <w:keepNext/>
            </w:pPr>
            <w:r w:rsidRPr="001C06E6">
              <w:t>-1.5</w:t>
            </w:r>
          </w:p>
        </w:tc>
        <w:tc>
          <w:tcPr>
            <w:tcW w:w="1045" w:type="dxa"/>
            <w:tcBorders>
              <w:top w:val="single" w:sz="4" w:space="0" w:color="293F5B"/>
              <w:bottom w:val="single" w:sz="4" w:space="0" w:color="293F5B"/>
            </w:tcBorders>
            <w:shd w:val="clear" w:color="auto" w:fill="auto"/>
          </w:tcPr>
          <w:p w14:paraId="4134B4D1" w14:textId="77777777" w:rsidR="0012790E" w:rsidRPr="001C06E6" w:rsidRDefault="0012790E">
            <w:pPr>
              <w:pStyle w:val="MeasureTableDataRightAlignedwith2ptsspacing"/>
              <w:keepNext/>
            </w:pPr>
            <w:r w:rsidRPr="001C06E6">
              <w:t>-1.9</w:t>
            </w:r>
          </w:p>
        </w:tc>
        <w:tc>
          <w:tcPr>
            <w:tcW w:w="1045" w:type="dxa"/>
            <w:tcBorders>
              <w:top w:val="single" w:sz="4" w:space="0" w:color="293F5B"/>
              <w:bottom w:val="single" w:sz="4" w:space="0" w:color="293F5B"/>
            </w:tcBorders>
            <w:shd w:val="clear" w:color="auto" w:fill="auto"/>
          </w:tcPr>
          <w:p w14:paraId="1E098786" w14:textId="77777777" w:rsidR="0012790E" w:rsidRPr="001C06E6" w:rsidRDefault="0012790E">
            <w:pPr>
              <w:pStyle w:val="MeasureTableDataRightAlignedwith2ptsspacing"/>
              <w:keepNext/>
            </w:pPr>
            <w:r w:rsidRPr="001C06E6">
              <w:t>-2.3</w:t>
            </w:r>
          </w:p>
        </w:tc>
      </w:tr>
      <w:tr w:rsidR="0012790E" w:rsidRPr="001C06E6" w14:paraId="6AFB13D5" w14:textId="77777777">
        <w:tc>
          <w:tcPr>
            <w:tcW w:w="2497" w:type="dxa"/>
            <w:tcBorders>
              <w:top w:val="single" w:sz="4" w:space="0" w:color="293F5B"/>
              <w:bottom w:val="single" w:sz="4" w:space="0" w:color="293F5B"/>
            </w:tcBorders>
            <w:shd w:val="clear" w:color="auto" w:fill="auto"/>
          </w:tcPr>
          <w:p w14:paraId="2F74A1CB" w14:textId="77777777" w:rsidR="0012790E" w:rsidRPr="001C06E6" w:rsidRDefault="0012790E">
            <w:pPr>
              <w:pStyle w:val="MeasureTableHeadingleftalignedwith2ptsspacing"/>
              <w:keepNext/>
            </w:pPr>
            <w:r w:rsidRPr="001C06E6">
              <w:t>Department of Veterans' Affairs</w:t>
            </w:r>
          </w:p>
        </w:tc>
        <w:tc>
          <w:tcPr>
            <w:tcW w:w="1045" w:type="dxa"/>
            <w:tcBorders>
              <w:top w:val="single" w:sz="4" w:space="0" w:color="293F5B"/>
              <w:bottom w:val="single" w:sz="4" w:space="0" w:color="293F5B"/>
            </w:tcBorders>
            <w:shd w:val="clear" w:color="auto" w:fill="auto"/>
          </w:tcPr>
          <w:p w14:paraId="286FB43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060DEFE" w14:textId="77777777" w:rsidR="0012790E" w:rsidRPr="001C06E6" w:rsidRDefault="0012790E">
            <w:pPr>
              <w:pStyle w:val="MeasureTableDataRightAlignedwith2ptsspacing"/>
              <w:keepNext/>
            </w:pPr>
            <w:r w:rsidRPr="001C06E6">
              <w:t>1.1</w:t>
            </w:r>
          </w:p>
        </w:tc>
        <w:tc>
          <w:tcPr>
            <w:tcW w:w="1045" w:type="dxa"/>
            <w:tcBorders>
              <w:top w:val="single" w:sz="4" w:space="0" w:color="293F5B"/>
              <w:bottom w:val="single" w:sz="4" w:space="0" w:color="293F5B"/>
            </w:tcBorders>
            <w:shd w:val="clear" w:color="auto" w:fill="auto"/>
          </w:tcPr>
          <w:p w14:paraId="7F57A7A3" w14:textId="77777777" w:rsidR="0012790E" w:rsidRPr="001C06E6" w:rsidRDefault="0012790E">
            <w:pPr>
              <w:pStyle w:val="MeasureTableDataRightAlignedwith2ptsspacing"/>
              <w:keepNext/>
            </w:pPr>
            <w:r w:rsidRPr="001C06E6">
              <w:t>1.1</w:t>
            </w:r>
          </w:p>
        </w:tc>
        <w:tc>
          <w:tcPr>
            <w:tcW w:w="1045" w:type="dxa"/>
            <w:tcBorders>
              <w:top w:val="single" w:sz="4" w:space="0" w:color="293F5B"/>
              <w:bottom w:val="single" w:sz="4" w:space="0" w:color="293F5B"/>
            </w:tcBorders>
            <w:shd w:val="clear" w:color="auto" w:fill="auto"/>
          </w:tcPr>
          <w:p w14:paraId="60C71199" w14:textId="77777777" w:rsidR="0012790E" w:rsidRPr="001C06E6" w:rsidRDefault="0012790E">
            <w:pPr>
              <w:pStyle w:val="MeasureTableDataRightAlignedwith2ptsspacing"/>
              <w:keepNext/>
            </w:pPr>
            <w:r w:rsidRPr="001C06E6">
              <w:t>1.4</w:t>
            </w:r>
          </w:p>
        </w:tc>
        <w:tc>
          <w:tcPr>
            <w:tcW w:w="1045" w:type="dxa"/>
            <w:tcBorders>
              <w:top w:val="single" w:sz="4" w:space="0" w:color="293F5B"/>
              <w:bottom w:val="single" w:sz="4" w:space="0" w:color="293F5B"/>
            </w:tcBorders>
            <w:shd w:val="clear" w:color="auto" w:fill="auto"/>
          </w:tcPr>
          <w:p w14:paraId="4FFAFE50" w14:textId="77777777" w:rsidR="0012790E" w:rsidRPr="001C06E6" w:rsidRDefault="0012790E">
            <w:pPr>
              <w:pStyle w:val="MeasureTableDataRightAlignedwith2ptsspacing"/>
              <w:keepNext/>
            </w:pPr>
            <w:r w:rsidRPr="001C06E6">
              <w:t>2.2</w:t>
            </w:r>
          </w:p>
        </w:tc>
      </w:tr>
      <w:tr w:rsidR="0012790E" w:rsidRPr="001C06E6" w14:paraId="5EF25C90" w14:textId="77777777">
        <w:tc>
          <w:tcPr>
            <w:tcW w:w="2497" w:type="dxa"/>
            <w:tcBorders>
              <w:top w:val="single" w:sz="4" w:space="0" w:color="293F5B"/>
              <w:bottom w:val="single" w:sz="4" w:space="0" w:color="293F5B"/>
            </w:tcBorders>
            <w:shd w:val="clear" w:color="auto" w:fill="auto"/>
          </w:tcPr>
          <w:p w14:paraId="3D34CB3D"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2D65BC8D"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2FF3B73" w14:textId="5A544CB7" w:rsidR="0012790E" w:rsidRPr="001C06E6" w:rsidRDefault="005A5C6E">
            <w:pPr>
              <w:pStyle w:val="Totaldatarowrightaligned"/>
              <w:keepNext/>
            </w:pPr>
            <w:r>
              <w:t>84.1</w:t>
            </w:r>
          </w:p>
        </w:tc>
        <w:tc>
          <w:tcPr>
            <w:tcW w:w="1045" w:type="dxa"/>
            <w:tcBorders>
              <w:top w:val="single" w:sz="4" w:space="0" w:color="293F5B"/>
              <w:bottom w:val="single" w:sz="4" w:space="0" w:color="293F5B"/>
            </w:tcBorders>
            <w:shd w:val="clear" w:color="auto" w:fill="auto"/>
          </w:tcPr>
          <w:p w14:paraId="04987689" w14:textId="6F0FE923" w:rsidR="0012790E" w:rsidRPr="001C06E6" w:rsidRDefault="005A5C6E">
            <w:pPr>
              <w:pStyle w:val="Totaldatarowrightaligned"/>
              <w:keepNext/>
            </w:pPr>
            <w:r>
              <w:t>28.4</w:t>
            </w:r>
          </w:p>
        </w:tc>
        <w:tc>
          <w:tcPr>
            <w:tcW w:w="1045" w:type="dxa"/>
            <w:tcBorders>
              <w:top w:val="single" w:sz="4" w:space="0" w:color="293F5B"/>
              <w:bottom w:val="single" w:sz="4" w:space="0" w:color="293F5B"/>
            </w:tcBorders>
            <w:shd w:val="clear" w:color="auto" w:fill="auto"/>
          </w:tcPr>
          <w:p w14:paraId="68080B62" w14:textId="506FC9B1" w:rsidR="0012790E" w:rsidRPr="001C06E6" w:rsidRDefault="005A5C6E">
            <w:pPr>
              <w:pStyle w:val="Totaldatarowrightaligned"/>
              <w:keepNext/>
            </w:pPr>
            <w:r>
              <w:t>50.8</w:t>
            </w:r>
          </w:p>
        </w:tc>
        <w:tc>
          <w:tcPr>
            <w:tcW w:w="1045" w:type="dxa"/>
            <w:tcBorders>
              <w:top w:val="single" w:sz="4" w:space="0" w:color="293F5B"/>
              <w:bottom w:val="single" w:sz="4" w:space="0" w:color="293F5B"/>
            </w:tcBorders>
            <w:shd w:val="clear" w:color="auto" w:fill="auto"/>
          </w:tcPr>
          <w:p w14:paraId="17A98F7D" w14:textId="6B996D61" w:rsidR="0012790E" w:rsidRPr="001C06E6" w:rsidRDefault="005A5C6E">
            <w:pPr>
              <w:pStyle w:val="Totaldatarowrightaligned"/>
              <w:keepNext/>
            </w:pPr>
            <w:r>
              <w:t>114.9</w:t>
            </w:r>
          </w:p>
        </w:tc>
      </w:tr>
    </w:tbl>
    <w:p w14:paraId="12D5FC52"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363DA0DE" w14:textId="77777777" w:rsidR="0012790E" w:rsidRDefault="0012790E" w:rsidP="54937204">
      <w:pPr>
        <w:pStyle w:val="Normal2"/>
        <w:rPr>
          <w:rFonts w:cs="Book Antiqua"/>
          <w:lang w:val="en-US"/>
        </w:rPr>
      </w:pPr>
      <w:r w:rsidRPr="54937204">
        <w:rPr>
          <w:rFonts w:cs="Book Antiqua"/>
          <w:lang w:val="en-US"/>
        </w:rPr>
        <w:t>The Government will provide $895.6 million over four years from 2024–25 to ensure the Medicare Benefits Schedule (MBS) remains clinically appropriate and reflects modern medical practices. Funding includes:</w:t>
      </w:r>
    </w:p>
    <w:p w14:paraId="75513EA2" w14:textId="77777777" w:rsidR="0012790E" w:rsidRDefault="0012790E">
      <w:pPr>
        <w:pStyle w:val="Bullet"/>
      </w:pPr>
      <w:r w:rsidRPr="001C06E6">
        <w:t>$335.7</w:t>
      </w:r>
      <w:r>
        <w:t> </w:t>
      </w:r>
      <w:r w:rsidRPr="001C06E6">
        <w:t xml:space="preserve">million over four years from </w:t>
      </w:r>
      <w:r>
        <w:t>2024–25</w:t>
      </w:r>
      <w:r w:rsidRPr="001C06E6">
        <w:t xml:space="preserve"> to introduce two new permanent items on the MBS for Polymerase Chain Reaction (PCR) pathology testing for COVID</w:t>
      </w:r>
      <w:r>
        <w:noBreakHyphen/>
      </w:r>
      <w:r w:rsidRPr="001C06E6">
        <w:t>19 and other respiratory pathogens</w:t>
      </w:r>
      <w:r>
        <w:t xml:space="preserve"> </w:t>
      </w:r>
    </w:p>
    <w:p w14:paraId="48DCD2D3" w14:textId="77777777" w:rsidR="0012790E" w:rsidRDefault="0012790E">
      <w:pPr>
        <w:pStyle w:val="Bullet"/>
      </w:pPr>
      <w:r w:rsidRPr="001C06E6">
        <w:t>$200.2</w:t>
      </w:r>
      <w:r>
        <w:t> </w:t>
      </w:r>
      <w:r w:rsidRPr="001C06E6">
        <w:t xml:space="preserve">million over four years from </w:t>
      </w:r>
      <w:r>
        <w:t>2024–25</w:t>
      </w:r>
      <w:r w:rsidRPr="001C06E6">
        <w:t xml:space="preserve"> to improve primary health care and clinical practice through amendments to items on the MBS, including:</w:t>
      </w:r>
      <w:r>
        <w:t xml:space="preserve"> </w:t>
      </w:r>
    </w:p>
    <w:p w14:paraId="5A90B9CC" w14:textId="77777777" w:rsidR="0012790E" w:rsidRDefault="0012790E">
      <w:pPr>
        <w:pStyle w:val="Dash"/>
      </w:pPr>
      <w:r w:rsidRPr="001C06E6">
        <w:t>$56.5</w:t>
      </w:r>
      <w:r>
        <w:t> </w:t>
      </w:r>
      <w:r w:rsidRPr="001C06E6">
        <w:t xml:space="preserve">million over four years from </w:t>
      </w:r>
      <w:r>
        <w:t>2024–25</w:t>
      </w:r>
      <w:r w:rsidRPr="001C06E6">
        <w:t xml:space="preserve"> to promote high quality and tailored maternity care by implementing recommendations from the MBS Review Taskforce, for participating midwives</w:t>
      </w:r>
      <w:r>
        <w:t xml:space="preserve"> </w:t>
      </w:r>
    </w:p>
    <w:p w14:paraId="7D34BC72" w14:textId="374C4177" w:rsidR="0012790E" w:rsidRDefault="0012790E">
      <w:pPr>
        <w:pStyle w:val="Dash"/>
      </w:pPr>
      <w:r w:rsidRPr="001C06E6">
        <w:t>$49.1</w:t>
      </w:r>
      <w:r>
        <w:t> </w:t>
      </w:r>
      <w:r w:rsidRPr="001C06E6">
        <w:t xml:space="preserve">million over four years from </w:t>
      </w:r>
      <w:r>
        <w:t>2024–25</w:t>
      </w:r>
      <w:r w:rsidRPr="001C06E6">
        <w:t xml:space="preserve"> for gynecology consultations of 45</w:t>
      </w:r>
      <w:r w:rsidR="007D7BA4">
        <w:t> </w:t>
      </w:r>
      <w:r w:rsidRPr="001C06E6">
        <w:t>minutes or longer with patients who have complex conditions such as endometriosis and pelvic pain</w:t>
      </w:r>
      <w:r>
        <w:t xml:space="preserve"> </w:t>
      </w:r>
    </w:p>
    <w:p w14:paraId="6B2E4C7C" w14:textId="77777777" w:rsidR="0012790E" w:rsidRDefault="0012790E">
      <w:pPr>
        <w:pStyle w:val="Dash"/>
      </w:pPr>
      <w:r w:rsidRPr="001C06E6">
        <w:t>$33.7</w:t>
      </w:r>
      <w:r>
        <w:t> </w:t>
      </w:r>
      <w:r w:rsidRPr="001C06E6">
        <w:t xml:space="preserve">million over four years from </w:t>
      </w:r>
      <w:r>
        <w:t>2024–25</w:t>
      </w:r>
      <w:r w:rsidRPr="001C06E6">
        <w:t xml:space="preserve"> to introduce a new MBS item to provide positron emission tomography/computed tomography (PET/CT) imaging for the assessment of treatment response and recurrence for patients with an eligible rare or uncommon cancer type.</w:t>
      </w:r>
      <w:r>
        <w:t xml:space="preserve"> </w:t>
      </w:r>
    </w:p>
    <w:p w14:paraId="6A39209D" w14:textId="77777777" w:rsidR="0012790E" w:rsidRDefault="0012790E">
      <w:pPr>
        <w:pStyle w:val="Bullet"/>
      </w:pPr>
      <w:r w:rsidRPr="001C06E6">
        <w:t>$174.1</w:t>
      </w:r>
      <w:r>
        <w:t> </w:t>
      </w:r>
      <w:r w:rsidRPr="001C06E6">
        <w:t xml:space="preserve">million over three years from </w:t>
      </w:r>
      <w:r>
        <w:t>2025–26</w:t>
      </w:r>
      <w:r w:rsidRPr="001C06E6">
        <w:t xml:space="preserve"> to introduce indexation for labour</w:t>
      </w:r>
      <w:r>
        <w:noBreakHyphen/>
      </w:r>
      <w:r w:rsidRPr="001C06E6">
        <w:t>intensive pathology services, including pregnancy and infertility testing, immunology, and tissue pathology</w:t>
      </w:r>
      <w:r>
        <w:t xml:space="preserve"> </w:t>
      </w:r>
    </w:p>
    <w:p w14:paraId="2CA512B5" w14:textId="77777777" w:rsidR="0012790E" w:rsidRDefault="0012790E">
      <w:pPr>
        <w:pStyle w:val="Bullet"/>
      </w:pPr>
      <w:r w:rsidRPr="001C06E6">
        <w:t>$92.8</w:t>
      </w:r>
      <w:r>
        <w:t> </w:t>
      </w:r>
      <w:r w:rsidRPr="001C06E6">
        <w:t xml:space="preserve">million over four years from </w:t>
      </w:r>
      <w:r>
        <w:t>2024–25</w:t>
      </w:r>
      <w:r w:rsidRPr="001C06E6">
        <w:t xml:space="preserve"> to improve the viability of nuclear medicine imaging through a targeted schedule fee increase and reintroducing annual indexation, in line with other diagnostic imaging arrangements</w:t>
      </w:r>
      <w:r>
        <w:t xml:space="preserve"> </w:t>
      </w:r>
    </w:p>
    <w:p w14:paraId="53CB8444" w14:textId="7DEA5329" w:rsidR="0012790E" w:rsidRDefault="0012790E">
      <w:pPr>
        <w:pStyle w:val="Bullet"/>
      </w:pPr>
      <w:r w:rsidRPr="001C06E6">
        <w:t>$69.8</w:t>
      </w:r>
      <w:r>
        <w:t> </w:t>
      </w:r>
      <w:r w:rsidRPr="001C06E6">
        <w:t xml:space="preserve">million over four years from </w:t>
      </w:r>
      <w:r>
        <w:t>2024–25</w:t>
      </w:r>
      <w:r w:rsidRPr="001C06E6">
        <w:t xml:space="preserve"> to remove the barriers to accessing Medicare</w:t>
      </w:r>
      <w:r w:rsidR="00714404">
        <w:t> </w:t>
      </w:r>
      <w:r w:rsidRPr="001C06E6">
        <w:t>rebates for MRI machines in metropolitan areas to reduce waiting times and costs for patients</w:t>
      </w:r>
      <w:r>
        <w:t xml:space="preserve"> </w:t>
      </w:r>
    </w:p>
    <w:p w14:paraId="419E0EBA" w14:textId="77777777" w:rsidR="0012790E" w:rsidRDefault="0012790E">
      <w:pPr>
        <w:pStyle w:val="Bullet"/>
      </w:pPr>
      <w:r w:rsidRPr="001C06E6">
        <w:t>$23.1</w:t>
      </w:r>
      <w:r>
        <w:t> </w:t>
      </w:r>
      <w:r w:rsidRPr="001C06E6">
        <w:t xml:space="preserve">million over two years from </w:t>
      </w:r>
      <w:r>
        <w:t>2024–25</w:t>
      </w:r>
      <w:r w:rsidRPr="001C06E6">
        <w:t xml:space="preserve"> to extend the MBS Continuous Review program to ensure the MBS remains clinically appropriate.</w:t>
      </w:r>
      <w:r>
        <w:t xml:space="preserve"> </w:t>
      </w:r>
    </w:p>
    <w:p w14:paraId="67A7D03B" w14:textId="5A2F6BB2" w:rsidR="0012790E" w:rsidRDefault="0012790E">
      <w:pPr>
        <w:pStyle w:val="Normal2"/>
        <w:rPr>
          <w:rFonts w:cs="Book Antiqua"/>
        </w:rPr>
      </w:pPr>
      <w:r w:rsidRPr="001C06E6">
        <w:rPr>
          <w:rFonts w:cs="Book Antiqua"/>
        </w:rPr>
        <w:t>The Government will also achieve efficiencies of $617.4</w:t>
      </w:r>
      <w:r>
        <w:rPr>
          <w:rFonts w:cs="Book Antiqua"/>
        </w:rPr>
        <w:t> </w:t>
      </w:r>
      <w:r w:rsidRPr="001C06E6">
        <w:rPr>
          <w:rFonts w:cs="Book Antiqua"/>
        </w:rPr>
        <w:t>million over four years from</w:t>
      </w:r>
      <w:r>
        <w:rPr>
          <w:rFonts w:cs="Book Antiqua"/>
        </w:rPr>
        <w:t xml:space="preserve"> </w:t>
      </w:r>
      <w:r w:rsidR="007D7BA4">
        <w:rPr>
          <w:rFonts w:cs="Book Antiqua"/>
        </w:rPr>
        <w:br/>
      </w:r>
      <w:r>
        <w:rPr>
          <w:rFonts w:cs="Book Antiqua"/>
        </w:rPr>
        <w:t>2024–25</w:t>
      </w:r>
      <w:r w:rsidRPr="001C06E6">
        <w:rPr>
          <w:rFonts w:cs="Book Antiqua"/>
        </w:rPr>
        <w:t>, including:</w:t>
      </w:r>
    </w:p>
    <w:p w14:paraId="2BEC5F65" w14:textId="77777777" w:rsidR="0012790E" w:rsidRDefault="0012790E">
      <w:pPr>
        <w:pStyle w:val="Bullet"/>
      </w:pPr>
      <w:r w:rsidRPr="001C06E6">
        <w:t>$356.3</w:t>
      </w:r>
      <w:r>
        <w:t> </w:t>
      </w:r>
      <w:r w:rsidRPr="001C06E6">
        <w:t xml:space="preserve">million over three years from </w:t>
      </w:r>
      <w:r>
        <w:t>2025–26</w:t>
      </w:r>
      <w:r w:rsidRPr="001C06E6">
        <w:t xml:space="preserve"> through amending MBS pathology items, in line with recommendations by the MBS Review Taskforce – Diagnostic Medicine Clinical Committee to reduce unnecessary testing to achieve better patient outcomes</w:t>
      </w:r>
      <w:r>
        <w:t xml:space="preserve"> </w:t>
      </w:r>
    </w:p>
    <w:p w14:paraId="2614781D" w14:textId="77777777" w:rsidR="0012790E" w:rsidRDefault="0012790E">
      <w:pPr>
        <w:pStyle w:val="Bullet"/>
      </w:pPr>
      <w:r w:rsidRPr="001C06E6">
        <w:t>$188.8</w:t>
      </w:r>
      <w:r>
        <w:t> </w:t>
      </w:r>
      <w:r w:rsidRPr="001C06E6">
        <w:t xml:space="preserve">million over four years from </w:t>
      </w:r>
      <w:r>
        <w:t>2024–25</w:t>
      </w:r>
      <w:r w:rsidRPr="001C06E6">
        <w:t xml:space="preserve"> by amending the schedule fee for certain CT items to reflect recent technological advances in CT scanning that have reduced scan times for many examinations, enabling faster throughput</w:t>
      </w:r>
      <w:r>
        <w:t xml:space="preserve"> </w:t>
      </w:r>
    </w:p>
    <w:p w14:paraId="7A50C2E1" w14:textId="77777777" w:rsidR="0012790E" w:rsidRPr="002C1D87" w:rsidRDefault="0012790E">
      <w:pPr>
        <w:pStyle w:val="Bullet"/>
        <w:rPr>
          <w:spacing w:val="-2"/>
        </w:rPr>
      </w:pPr>
      <w:r w:rsidRPr="002C1D87">
        <w:rPr>
          <w:spacing w:val="-2"/>
        </w:rPr>
        <w:t xml:space="preserve">$72.3 million over four years from 2024–25 by aligning the MBS to contemporary practice. </w:t>
      </w:r>
    </w:p>
    <w:p w14:paraId="0751237C" w14:textId="77777777" w:rsidR="0012790E" w:rsidRPr="001C06E6" w:rsidRDefault="0012790E">
      <w:pPr>
        <w:pStyle w:val="MeasureTitle"/>
        <w:rPr>
          <w:b w:val="0"/>
          <w:bCs/>
        </w:rPr>
      </w:pPr>
      <w:r w:rsidRPr="001C06E6">
        <w:rPr>
          <w:bCs/>
        </w:rPr>
        <w:t>Supporting Ongoing Access to Vaccines</w:t>
      </w:r>
    </w:p>
    <w:p w14:paraId="4ECAF555"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4E1D9FDB" w14:textId="77777777">
        <w:tc>
          <w:tcPr>
            <w:tcW w:w="2497" w:type="dxa"/>
            <w:tcBorders>
              <w:top w:val="single" w:sz="4" w:space="0" w:color="293F5B"/>
              <w:bottom w:val="single" w:sz="4" w:space="0" w:color="293F5B"/>
            </w:tcBorders>
            <w:shd w:val="clear" w:color="auto" w:fill="auto"/>
          </w:tcPr>
          <w:p w14:paraId="5B329AF0"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3F6ED9F4"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AAC4DA5"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F2B6AE9"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FB160C9"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2DAC753" w14:textId="77777777" w:rsidR="0012790E" w:rsidRPr="001C06E6" w:rsidRDefault="0012790E">
            <w:pPr>
              <w:pStyle w:val="MeasureTableYearHeadings"/>
              <w:keepNext/>
            </w:pPr>
            <w:r w:rsidRPr="001C06E6">
              <w:t>2027</w:t>
            </w:r>
            <w:r>
              <w:noBreakHyphen/>
            </w:r>
            <w:r w:rsidRPr="001C06E6">
              <w:t>28</w:t>
            </w:r>
          </w:p>
        </w:tc>
      </w:tr>
      <w:tr w:rsidR="0012790E" w:rsidRPr="001C06E6" w14:paraId="143B99F7" w14:textId="77777777">
        <w:tc>
          <w:tcPr>
            <w:tcW w:w="2497" w:type="dxa"/>
            <w:tcBorders>
              <w:top w:val="single" w:sz="4" w:space="0" w:color="293F5B"/>
              <w:bottom w:val="single" w:sz="4" w:space="0" w:color="293F5B"/>
            </w:tcBorders>
            <w:shd w:val="clear" w:color="auto" w:fill="auto"/>
          </w:tcPr>
          <w:p w14:paraId="618A7331"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17720874"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CBB01F7" w14:textId="77777777" w:rsidR="0012790E" w:rsidRPr="001C06E6" w:rsidRDefault="0012790E">
            <w:pPr>
              <w:pStyle w:val="MeasureTableDataRightAlignedwith2ptsspacing"/>
              <w:keepNext/>
            </w:pPr>
            <w:r>
              <w:t xml:space="preserve">111.2 </w:t>
            </w:r>
          </w:p>
        </w:tc>
        <w:tc>
          <w:tcPr>
            <w:tcW w:w="1045" w:type="dxa"/>
            <w:tcBorders>
              <w:top w:val="single" w:sz="4" w:space="0" w:color="293F5B"/>
              <w:bottom w:val="single" w:sz="4" w:space="0" w:color="293F5B"/>
            </w:tcBorders>
            <w:shd w:val="clear" w:color="auto" w:fill="auto"/>
          </w:tcPr>
          <w:p w14:paraId="7D472091" w14:textId="77777777" w:rsidR="0012790E" w:rsidRPr="001C06E6" w:rsidRDefault="0012790E">
            <w:pPr>
              <w:pStyle w:val="MeasureTableDataRightAlignedwith2ptsspacing"/>
              <w:keepNext/>
            </w:pPr>
            <w:r>
              <w:t xml:space="preserve">205.9 </w:t>
            </w:r>
          </w:p>
        </w:tc>
        <w:tc>
          <w:tcPr>
            <w:tcW w:w="1045" w:type="dxa"/>
            <w:tcBorders>
              <w:top w:val="single" w:sz="4" w:space="0" w:color="293F5B"/>
              <w:bottom w:val="single" w:sz="4" w:space="0" w:color="293F5B"/>
            </w:tcBorders>
            <w:shd w:val="clear" w:color="auto" w:fill="auto"/>
          </w:tcPr>
          <w:p w14:paraId="2CB95197" w14:textId="77777777" w:rsidR="0012790E" w:rsidRPr="001C06E6" w:rsidRDefault="0012790E">
            <w:pPr>
              <w:pStyle w:val="MeasureTableDataRightAlignedwith2ptsspacing"/>
              <w:keepNext/>
            </w:pPr>
            <w:r>
              <w:t xml:space="preserve">103.1 </w:t>
            </w:r>
          </w:p>
        </w:tc>
        <w:tc>
          <w:tcPr>
            <w:tcW w:w="1045" w:type="dxa"/>
            <w:tcBorders>
              <w:top w:val="single" w:sz="4" w:space="0" w:color="293F5B"/>
              <w:bottom w:val="single" w:sz="4" w:space="0" w:color="293F5B"/>
            </w:tcBorders>
            <w:shd w:val="clear" w:color="auto" w:fill="auto"/>
          </w:tcPr>
          <w:p w14:paraId="5C7BCB85" w14:textId="77777777" w:rsidR="0012790E" w:rsidRPr="001C06E6" w:rsidRDefault="0012790E">
            <w:pPr>
              <w:pStyle w:val="MeasureTableDataRightAlignedwith2ptsspacing"/>
              <w:keepNext/>
            </w:pPr>
            <w:r>
              <w:t xml:space="preserve">107.8 </w:t>
            </w:r>
          </w:p>
        </w:tc>
      </w:tr>
      <w:tr w:rsidR="0012790E" w:rsidRPr="001C06E6" w14:paraId="75E62762" w14:textId="77777777">
        <w:tc>
          <w:tcPr>
            <w:tcW w:w="2497" w:type="dxa"/>
            <w:tcBorders>
              <w:top w:val="single" w:sz="4" w:space="0" w:color="293F5B"/>
              <w:bottom w:val="single" w:sz="4" w:space="0" w:color="293F5B"/>
            </w:tcBorders>
            <w:shd w:val="clear" w:color="auto" w:fill="auto"/>
          </w:tcPr>
          <w:p w14:paraId="4D8E5ABE"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693C05D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EB8C247" w14:textId="77777777" w:rsidR="0012790E" w:rsidRPr="001C06E6" w:rsidRDefault="0012790E">
            <w:pPr>
              <w:pStyle w:val="MeasureTableDataRightAlignedwith2ptsspacing"/>
              <w:keepNext/>
            </w:pPr>
            <w:r w:rsidRPr="001C06E6">
              <w:t>6.9</w:t>
            </w:r>
          </w:p>
        </w:tc>
        <w:tc>
          <w:tcPr>
            <w:tcW w:w="1045" w:type="dxa"/>
            <w:tcBorders>
              <w:top w:val="single" w:sz="4" w:space="0" w:color="293F5B"/>
              <w:bottom w:val="single" w:sz="4" w:space="0" w:color="293F5B"/>
            </w:tcBorders>
            <w:shd w:val="clear" w:color="auto" w:fill="auto"/>
          </w:tcPr>
          <w:p w14:paraId="5101E7F9" w14:textId="77777777" w:rsidR="0012790E" w:rsidRPr="001C06E6" w:rsidRDefault="0012790E">
            <w:pPr>
              <w:pStyle w:val="MeasureTableDataRightAlignedwith2ptsspacing"/>
              <w:keepNext/>
            </w:pPr>
            <w:r w:rsidRPr="001C06E6">
              <w:t>3.3</w:t>
            </w:r>
          </w:p>
        </w:tc>
        <w:tc>
          <w:tcPr>
            <w:tcW w:w="1045" w:type="dxa"/>
            <w:tcBorders>
              <w:top w:val="single" w:sz="4" w:space="0" w:color="293F5B"/>
              <w:bottom w:val="single" w:sz="4" w:space="0" w:color="293F5B"/>
            </w:tcBorders>
            <w:shd w:val="clear" w:color="auto" w:fill="auto"/>
          </w:tcPr>
          <w:p w14:paraId="512D0E8D" w14:textId="77777777" w:rsidR="0012790E" w:rsidRPr="001C06E6" w:rsidRDefault="0012790E">
            <w:pPr>
              <w:pStyle w:val="MeasureTableDataRightAlignedwith2ptsspacing"/>
              <w:keepNext/>
            </w:pPr>
            <w:r w:rsidRPr="001C06E6">
              <w:t>2.9</w:t>
            </w:r>
          </w:p>
        </w:tc>
        <w:tc>
          <w:tcPr>
            <w:tcW w:w="1045" w:type="dxa"/>
            <w:tcBorders>
              <w:top w:val="single" w:sz="4" w:space="0" w:color="293F5B"/>
              <w:bottom w:val="single" w:sz="4" w:space="0" w:color="293F5B"/>
            </w:tcBorders>
            <w:shd w:val="clear" w:color="auto" w:fill="auto"/>
          </w:tcPr>
          <w:p w14:paraId="489421EC" w14:textId="77777777" w:rsidR="0012790E" w:rsidRPr="001C06E6" w:rsidRDefault="0012790E">
            <w:pPr>
              <w:pStyle w:val="MeasureTableDataRightAlignedwith2ptsspacing"/>
              <w:keepNext/>
            </w:pPr>
            <w:r w:rsidRPr="001C06E6">
              <w:t>3.0</w:t>
            </w:r>
          </w:p>
        </w:tc>
      </w:tr>
      <w:tr w:rsidR="0012790E" w:rsidRPr="001C06E6" w14:paraId="48DAC792" w14:textId="77777777">
        <w:tc>
          <w:tcPr>
            <w:tcW w:w="2497" w:type="dxa"/>
            <w:tcBorders>
              <w:top w:val="single" w:sz="4" w:space="0" w:color="293F5B"/>
              <w:bottom w:val="single" w:sz="4" w:space="0" w:color="293F5B"/>
            </w:tcBorders>
            <w:shd w:val="clear" w:color="auto" w:fill="auto"/>
          </w:tcPr>
          <w:p w14:paraId="1981D3D7" w14:textId="77777777" w:rsidR="0012790E" w:rsidRPr="001C06E6" w:rsidRDefault="0012790E">
            <w:pPr>
              <w:pStyle w:val="MeasureTableHeadingleftalignedwith2ptsspacing"/>
              <w:keepNext/>
            </w:pPr>
            <w:r w:rsidRPr="001C06E6">
              <w:t>Department of Veterans' Affairs</w:t>
            </w:r>
          </w:p>
        </w:tc>
        <w:tc>
          <w:tcPr>
            <w:tcW w:w="1045" w:type="dxa"/>
            <w:tcBorders>
              <w:top w:val="single" w:sz="4" w:space="0" w:color="293F5B"/>
              <w:bottom w:val="single" w:sz="4" w:space="0" w:color="293F5B"/>
            </w:tcBorders>
            <w:shd w:val="clear" w:color="auto" w:fill="auto"/>
          </w:tcPr>
          <w:p w14:paraId="24A88EB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176B686" w14:textId="77777777" w:rsidR="0012790E" w:rsidRPr="001C06E6" w:rsidRDefault="0012790E">
            <w:pPr>
              <w:pStyle w:val="MeasureTableDataRightAlignedwith2ptsspacing"/>
              <w:keepNext/>
            </w:pPr>
            <w:r w:rsidRPr="001C06E6">
              <w:t>0.8</w:t>
            </w:r>
          </w:p>
        </w:tc>
        <w:tc>
          <w:tcPr>
            <w:tcW w:w="1045" w:type="dxa"/>
            <w:tcBorders>
              <w:top w:val="single" w:sz="4" w:space="0" w:color="293F5B"/>
              <w:bottom w:val="single" w:sz="4" w:space="0" w:color="293F5B"/>
            </w:tcBorders>
            <w:shd w:val="clear" w:color="auto" w:fill="auto"/>
          </w:tcPr>
          <w:p w14:paraId="7245228B" w14:textId="77777777" w:rsidR="0012790E" w:rsidRPr="001C06E6" w:rsidRDefault="0012790E">
            <w:pPr>
              <w:pStyle w:val="MeasureTableDataRightAlignedwith2ptsspacing"/>
              <w:keepNext/>
            </w:pPr>
            <w:r w:rsidRPr="001C06E6">
              <w:t>1.2</w:t>
            </w:r>
          </w:p>
        </w:tc>
        <w:tc>
          <w:tcPr>
            <w:tcW w:w="1045" w:type="dxa"/>
            <w:tcBorders>
              <w:top w:val="single" w:sz="4" w:space="0" w:color="293F5B"/>
              <w:bottom w:val="single" w:sz="4" w:space="0" w:color="293F5B"/>
            </w:tcBorders>
            <w:shd w:val="clear" w:color="auto" w:fill="auto"/>
          </w:tcPr>
          <w:p w14:paraId="614B360A" w14:textId="77777777" w:rsidR="0012790E" w:rsidRPr="001C06E6" w:rsidRDefault="0012790E">
            <w:pPr>
              <w:pStyle w:val="MeasureTableDataRightAlignedwith2ptsspacing"/>
              <w:keepNext/>
            </w:pPr>
            <w:r w:rsidRPr="001C06E6">
              <w:t>1.3</w:t>
            </w:r>
          </w:p>
        </w:tc>
        <w:tc>
          <w:tcPr>
            <w:tcW w:w="1045" w:type="dxa"/>
            <w:tcBorders>
              <w:top w:val="single" w:sz="4" w:space="0" w:color="293F5B"/>
              <w:bottom w:val="single" w:sz="4" w:space="0" w:color="293F5B"/>
            </w:tcBorders>
            <w:shd w:val="clear" w:color="auto" w:fill="auto"/>
          </w:tcPr>
          <w:p w14:paraId="1D650E1A" w14:textId="77777777" w:rsidR="0012790E" w:rsidRPr="001C06E6" w:rsidRDefault="0012790E">
            <w:pPr>
              <w:pStyle w:val="MeasureTableDataRightAlignedwith2ptsspacing"/>
              <w:keepNext/>
            </w:pPr>
            <w:r w:rsidRPr="001C06E6">
              <w:t>1.3</w:t>
            </w:r>
          </w:p>
        </w:tc>
      </w:tr>
      <w:tr w:rsidR="0012790E" w:rsidRPr="001C06E6" w14:paraId="09009678" w14:textId="77777777">
        <w:tc>
          <w:tcPr>
            <w:tcW w:w="2497" w:type="dxa"/>
            <w:tcBorders>
              <w:top w:val="single" w:sz="4" w:space="0" w:color="293F5B"/>
              <w:bottom w:val="single" w:sz="4" w:space="0" w:color="293F5B"/>
            </w:tcBorders>
            <w:shd w:val="clear" w:color="auto" w:fill="auto"/>
          </w:tcPr>
          <w:p w14:paraId="0C271ADD"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533E363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4B218E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F72D9C6" w14:textId="77777777" w:rsidR="0012790E" w:rsidRPr="001C06E6" w:rsidRDefault="0012790E">
            <w:pPr>
              <w:pStyle w:val="MeasureTableDataRightAlignedwith2ptsspacing"/>
              <w:keepNext/>
            </w:pPr>
            <w:r w:rsidRPr="001C06E6">
              <w:t>28.2</w:t>
            </w:r>
          </w:p>
        </w:tc>
        <w:tc>
          <w:tcPr>
            <w:tcW w:w="1045" w:type="dxa"/>
            <w:tcBorders>
              <w:top w:val="single" w:sz="4" w:space="0" w:color="293F5B"/>
              <w:bottom w:val="single" w:sz="4" w:space="0" w:color="293F5B"/>
            </w:tcBorders>
            <w:shd w:val="clear" w:color="auto" w:fill="auto"/>
          </w:tcPr>
          <w:p w14:paraId="441931B5" w14:textId="77777777" w:rsidR="0012790E" w:rsidRPr="001C06E6" w:rsidRDefault="0012790E">
            <w:pPr>
              <w:pStyle w:val="MeasureTableDataRightAlignedwith2ptsspacing"/>
              <w:keepNext/>
            </w:pPr>
            <w:r w:rsidRPr="001C06E6">
              <w:t>27.3</w:t>
            </w:r>
          </w:p>
        </w:tc>
        <w:tc>
          <w:tcPr>
            <w:tcW w:w="1045" w:type="dxa"/>
            <w:tcBorders>
              <w:top w:val="single" w:sz="4" w:space="0" w:color="293F5B"/>
              <w:bottom w:val="single" w:sz="4" w:space="0" w:color="293F5B"/>
            </w:tcBorders>
            <w:shd w:val="clear" w:color="auto" w:fill="auto"/>
          </w:tcPr>
          <w:p w14:paraId="1594D01D" w14:textId="77777777" w:rsidR="0012790E" w:rsidRPr="001C06E6" w:rsidRDefault="0012790E">
            <w:pPr>
              <w:pStyle w:val="MeasureTableDataRightAlignedwith2ptsspacing"/>
              <w:keepNext/>
            </w:pPr>
            <w:r w:rsidRPr="001C06E6">
              <w:t>27.1</w:t>
            </w:r>
          </w:p>
        </w:tc>
      </w:tr>
      <w:tr w:rsidR="0012790E" w:rsidRPr="001C06E6" w14:paraId="1B0711FE" w14:textId="77777777">
        <w:tc>
          <w:tcPr>
            <w:tcW w:w="2497" w:type="dxa"/>
            <w:tcBorders>
              <w:top w:val="single" w:sz="4" w:space="0" w:color="293F5B"/>
              <w:bottom w:val="single" w:sz="4" w:space="0" w:color="293F5B"/>
            </w:tcBorders>
            <w:shd w:val="clear" w:color="auto" w:fill="auto"/>
          </w:tcPr>
          <w:p w14:paraId="76993A54"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6F5FA651"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437C70BB" w14:textId="77777777" w:rsidR="0012790E" w:rsidRPr="001C06E6" w:rsidRDefault="0012790E">
            <w:pPr>
              <w:pStyle w:val="Totaldatarowrightaligned"/>
              <w:keepNext/>
            </w:pPr>
            <w:r w:rsidRPr="001C06E6">
              <w:t>118.8</w:t>
            </w:r>
          </w:p>
        </w:tc>
        <w:tc>
          <w:tcPr>
            <w:tcW w:w="1045" w:type="dxa"/>
            <w:tcBorders>
              <w:top w:val="single" w:sz="4" w:space="0" w:color="293F5B"/>
              <w:bottom w:val="single" w:sz="4" w:space="0" w:color="293F5B"/>
            </w:tcBorders>
            <w:shd w:val="clear" w:color="auto" w:fill="auto"/>
          </w:tcPr>
          <w:p w14:paraId="17FD80CA" w14:textId="77777777" w:rsidR="0012790E" w:rsidRPr="001C06E6" w:rsidRDefault="0012790E">
            <w:pPr>
              <w:pStyle w:val="Totaldatarowrightaligned"/>
              <w:keepNext/>
            </w:pPr>
            <w:r w:rsidRPr="001C06E6">
              <w:t>238.5</w:t>
            </w:r>
          </w:p>
        </w:tc>
        <w:tc>
          <w:tcPr>
            <w:tcW w:w="1045" w:type="dxa"/>
            <w:tcBorders>
              <w:top w:val="single" w:sz="4" w:space="0" w:color="293F5B"/>
              <w:bottom w:val="single" w:sz="4" w:space="0" w:color="293F5B"/>
            </w:tcBorders>
            <w:shd w:val="clear" w:color="auto" w:fill="auto"/>
          </w:tcPr>
          <w:p w14:paraId="73428A77" w14:textId="77777777" w:rsidR="0012790E" w:rsidRPr="001C06E6" w:rsidRDefault="0012790E">
            <w:pPr>
              <w:pStyle w:val="Totaldatarowrightaligned"/>
              <w:keepNext/>
            </w:pPr>
            <w:r w:rsidRPr="001C06E6">
              <w:t>134.5</w:t>
            </w:r>
          </w:p>
        </w:tc>
        <w:tc>
          <w:tcPr>
            <w:tcW w:w="1045" w:type="dxa"/>
            <w:tcBorders>
              <w:top w:val="single" w:sz="4" w:space="0" w:color="293F5B"/>
              <w:bottom w:val="single" w:sz="4" w:space="0" w:color="293F5B"/>
            </w:tcBorders>
            <w:shd w:val="clear" w:color="auto" w:fill="auto"/>
          </w:tcPr>
          <w:p w14:paraId="5AC6E333" w14:textId="77777777" w:rsidR="0012790E" w:rsidRPr="001C06E6" w:rsidRDefault="0012790E">
            <w:pPr>
              <w:pStyle w:val="Totaldatarowrightaligned"/>
              <w:keepNext/>
            </w:pPr>
            <w:r w:rsidRPr="001C06E6">
              <w:t>139.2</w:t>
            </w:r>
          </w:p>
        </w:tc>
      </w:tr>
    </w:tbl>
    <w:p w14:paraId="7949F76A"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25A59BEA" w14:textId="3FB9319C" w:rsidR="0012790E" w:rsidRDefault="0012790E">
      <w:pPr>
        <w:pStyle w:val="Normal2"/>
        <w:rPr>
          <w:rFonts w:cs="Book Antiqua"/>
        </w:rPr>
      </w:pPr>
      <w:r w:rsidRPr="001C06E6">
        <w:rPr>
          <w:rFonts w:cs="Book Antiqua"/>
        </w:rPr>
        <w:t>The Government will provide $631.1</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(and $112.1</w:t>
      </w:r>
      <w:r>
        <w:rPr>
          <w:rFonts w:cs="Book Antiqua"/>
        </w:rPr>
        <w:t> </w:t>
      </w:r>
      <w:r w:rsidRPr="001C06E6">
        <w:rPr>
          <w:rFonts w:cs="Book Antiqua"/>
        </w:rPr>
        <w:t>million per year ongoing) to support ongoing access to life</w:t>
      </w:r>
      <w:r>
        <w:rPr>
          <w:rFonts w:cs="Book Antiqua"/>
        </w:rPr>
        <w:noBreakHyphen/>
      </w:r>
      <w:r w:rsidRPr="001C06E6">
        <w:rPr>
          <w:rFonts w:cs="Book Antiqua"/>
        </w:rPr>
        <w:t>saving vaccines. Funding</w:t>
      </w:r>
      <w:r w:rsidR="002C1D87">
        <w:rPr>
          <w:rFonts w:cs="Book Antiqua"/>
        </w:rPr>
        <w:t> </w:t>
      </w:r>
      <w:r w:rsidRPr="001C06E6">
        <w:rPr>
          <w:rFonts w:cs="Book Antiqua"/>
        </w:rPr>
        <w:t>includes:</w:t>
      </w:r>
    </w:p>
    <w:p w14:paraId="5D5B23F7" w14:textId="77777777" w:rsidR="0012790E" w:rsidRDefault="0012790E">
      <w:pPr>
        <w:pStyle w:val="Bullet"/>
      </w:pPr>
      <w:r w:rsidRPr="001C06E6">
        <w:t>$490.0</w:t>
      </w:r>
      <w:r>
        <w:t> </w:t>
      </w:r>
      <w:r w:rsidRPr="001C06E6">
        <w:t xml:space="preserve">million over four years from </w:t>
      </w:r>
      <w:r>
        <w:t>2024–25</w:t>
      </w:r>
      <w:r w:rsidRPr="001C06E6">
        <w:t xml:space="preserve"> (and $107.4</w:t>
      </w:r>
      <w:r>
        <w:t> </w:t>
      </w:r>
      <w:r w:rsidRPr="001C06E6">
        <w:t>million per year ongoing) to continue the National COVID</w:t>
      </w:r>
      <w:r>
        <w:noBreakHyphen/>
      </w:r>
      <w:r w:rsidRPr="001C06E6">
        <w:t>19 Vaccine Program</w:t>
      </w:r>
      <w:r>
        <w:t xml:space="preserve"> </w:t>
      </w:r>
    </w:p>
    <w:p w14:paraId="0C7FB145" w14:textId="77777777" w:rsidR="0012790E" w:rsidRDefault="0012790E">
      <w:pPr>
        <w:pStyle w:val="Bullet"/>
      </w:pPr>
      <w:r w:rsidRPr="001C06E6">
        <w:t>$82.5</w:t>
      </w:r>
      <w:r>
        <w:t> </w:t>
      </w:r>
      <w:r w:rsidRPr="001C06E6">
        <w:t xml:space="preserve">million over three years from </w:t>
      </w:r>
      <w:r>
        <w:t>2025–26</w:t>
      </w:r>
      <w:r w:rsidRPr="001C06E6">
        <w:t xml:space="preserve"> to ensure ongoing joint responsibility with states and territories for vaccination programs</w:t>
      </w:r>
      <w:r>
        <w:t xml:space="preserve"> </w:t>
      </w:r>
    </w:p>
    <w:p w14:paraId="19C0652F" w14:textId="77777777" w:rsidR="0012790E" w:rsidRDefault="0012790E">
      <w:pPr>
        <w:pStyle w:val="Bullet"/>
      </w:pPr>
      <w:r w:rsidRPr="001C06E6">
        <w:t>$57.7</w:t>
      </w:r>
      <w:r>
        <w:t> </w:t>
      </w:r>
      <w:r w:rsidRPr="001C06E6">
        <w:t xml:space="preserve">million over four years from </w:t>
      </w:r>
      <w:r>
        <w:t>2024–25</w:t>
      </w:r>
      <w:r w:rsidRPr="001C06E6">
        <w:t xml:space="preserve"> (and $4.8</w:t>
      </w:r>
      <w:r>
        <w:t> </w:t>
      </w:r>
      <w:r w:rsidRPr="001C06E6">
        <w:t>million per year ongoing) to expand the eligibility of Shingrix® for the prevention of shingles and postherpetic neuralgia in individuals at moderate to high risk of severe infection</w:t>
      </w:r>
      <w:r>
        <w:t xml:space="preserve"> </w:t>
      </w:r>
    </w:p>
    <w:p w14:paraId="04F669A2" w14:textId="77777777" w:rsidR="0012790E" w:rsidRDefault="0012790E">
      <w:pPr>
        <w:pStyle w:val="Bullet"/>
      </w:pPr>
      <w:r w:rsidRPr="001C06E6">
        <w:t>$0.9</w:t>
      </w:r>
      <w:r>
        <w:t> </w:t>
      </w:r>
      <w:r w:rsidRPr="001C06E6">
        <w:t xml:space="preserve">million over two years from </w:t>
      </w:r>
      <w:r>
        <w:t>2024–25</w:t>
      </w:r>
      <w:r w:rsidRPr="001C06E6">
        <w:t xml:space="preserve"> for the expansion of the National Immunisation Program Vaccinations in Pharmacy Program to allow pharmacists to administer vaccines in residential aged care homes and residential disability services.</w:t>
      </w:r>
      <w:r>
        <w:t xml:space="preserve"> </w:t>
      </w:r>
    </w:p>
    <w:p w14:paraId="7C3F301C" w14:textId="77777777" w:rsidR="0012790E" w:rsidRDefault="0012790E" w:rsidP="54937204">
      <w:pPr>
        <w:pStyle w:val="Normal2"/>
        <w:rPr>
          <w:rFonts w:cs="Book Antiqua"/>
          <w:lang w:val="en-US"/>
        </w:rPr>
      </w:pPr>
      <w:r w:rsidRPr="54937204">
        <w:rPr>
          <w:rFonts w:cs="Book Antiqua"/>
          <w:lang w:val="en-US"/>
        </w:rPr>
        <w:t xml:space="preserve">The Government will also index payments under the </w:t>
      </w:r>
      <w:r w:rsidRPr="54937204">
        <w:rPr>
          <w:rFonts w:cs="Book Antiqua"/>
          <w:i/>
          <w:iCs/>
          <w:lang w:val="en-US"/>
        </w:rPr>
        <w:t>National Immunisation Program Vaccinations in Pharmacy Program</w:t>
      </w:r>
      <w:r w:rsidRPr="54937204">
        <w:rPr>
          <w:rFonts w:cs="Book Antiqua"/>
          <w:lang w:val="en-US"/>
        </w:rPr>
        <w:t xml:space="preserve"> from 1 July 2024, in line with indexation of the Medicare Benefits Schedule. </w:t>
      </w:r>
    </w:p>
    <w:p w14:paraId="1F258E39" w14:textId="77777777" w:rsidR="0012790E" w:rsidRPr="001C06E6" w:rsidRDefault="0012790E" w:rsidP="54937204">
      <w:pPr>
        <w:pStyle w:val="Normal2"/>
        <w:rPr>
          <w:rFonts w:cs="Book Antiqua"/>
          <w:lang w:val="en-US"/>
        </w:rPr>
      </w:pPr>
      <w:r w:rsidRPr="54937204">
        <w:rPr>
          <w:rFonts w:cs="Book Antiqua"/>
          <w:lang w:val="en-US"/>
        </w:rPr>
        <w:t xml:space="preserve">The cost of this measure will be partially met from a reprioritisation of funding from the 2023–24 MYEFO measure titled </w:t>
      </w:r>
      <w:r w:rsidRPr="54937204">
        <w:rPr>
          <w:rFonts w:cs="Book Antiqua"/>
          <w:i/>
          <w:iCs/>
          <w:lang w:val="en-US"/>
        </w:rPr>
        <w:t>Continued Support for the COVID</w:t>
      </w:r>
      <w:r>
        <w:rPr>
          <w:rFonts w:cs="Book Antiqua"/>
          <w:i/>
          <w:iCs/>
        </w:rPr>
        <w:noBreakHyphen/>
      </w:r>
      <w:r w:rsidRPr="54937204">
        <w:rPr>
          <w:rFonts w:cs="Book Antiqua"/>
          <w:i/>
          <w:iCs/>
          <w:lang w:val="en-US"/>
        </w:rPr>
        <w:t xml:space="preserve">19 Response. </w:t>
      </w:r>
    </w:p>
    <w:p w14:paraId="7ECDD17B" w14:textId="77777777" w:rsidR="0012790E" w:rsidRDefault="0012790E">
      <w:pPr>
        <w:pStyle w:val="Normal2"/>
        <w:rPr>
          <w:rFonts w:cs="Book Antiqua"/>
        </w:rPr>
      </w:pPr>
      <w:r w:rsidRPr="001C06E6">
        <w:rPr>
          <w:rFonts w:cs="Book Antiqua"/>
        </w:rPr>
        <w:t xml:space="preserve">This measure extends the </w:t>
      </w:r>
      <w:r>
        <w:rPr>
          <w:rFonts w:cs="Book Antiqua"/>
        </w:rPr>
        <w:t>2023–24 </w:t>
      </w:r>
      <w:r w:rsidRPr="001C06E6">
        <w:rPr>
          <w:rFonts w:cs="Book Antiqua"/>
        </w:rPr>
        <w:t xml:space="preserve">MYEFO measure titled </w:t>
      </w:r>
      <w:r w:rsidRPr="001C06E6">
        <w:rPr>
          <w:rFonts w:cs="Book Antiqua"/>
          <w:i/>
          <w:iCs/>
        </w:rPr>
        <w:t>Continued Support for the</w:t>
      </w:r>
      <w:r>
        <w:rPr>
          <w:rFonts w:cs="Book Antiqua"/>
          <w:i/>
          <w:iCs/>
        </w:rPr>
        <w:t xml:space="preserve"> </w:t>
      </w:r>
      <w:r w:rsidRPr="001C06E6">
        <w:rPr>
          <w:rFonts w:cs="Book Antiqua"/>
          <w:i/>
          <w:iCs/>
        </w:rPr>
        <w:t>COVID</w:t>
      </w:r>
      <w:r>
        <w:rPr>
          <w:rFonts w:cs="Book Antiqua"/>
          <w:i/>
          <w:iCs/>
        </w:rPr>
        <w:noBreakHyphen/>
      </w:r>
      <w:r w:rsidRPr="001C06E6">
        <w:rPr>
          <w:rFonts w:cs="Book Antiqua"/>
          <w:i/>
          <w:iCs/>
        </w:rPr>
        <w:t>19 Response</w:t>
      </w:r>
      <w:r w:rsidRPr="001C06E6">
        <w:rPr>
          <w:rFonts w:cs="Book Antiqua"/>
        </w:rPr>
        <w:t>.</w:t>
      </w:r>
      <w:r>
        <w:rPr>
          <w:rFonts w:cs="Book Antiqua"/>
        </w:rPr>
        <w:t xml:space="preserve"> </w:t>
      </w:r>
    </w:p>
    <w:p w14:paraId="38EA6567" w14:textId="77777777" w:rsidR="0012790E" w:rsidRPr="001C06E6" w:rsidRDefault="0012790E">
      <w:pPr>
        <w:pStyle w:val="MeasureTitle"/>
        <w:rPr>
          <w:b w:val="0"/>
          <w:bCs/>
        </w:rPr>
      </w:pPr>
      <w:r w:rsidRPr="001C06E6">
        <w:rPr>
          <w:bCs/>
        </w:rPr>
        <w:t>Supporting Sports Participation</w:t>
      </w:r>
    </w:p>
    <w:p w14:paraId="1340F4DD"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216705C" w14:textId="77777777">
        <w:tc>
          <w:tcPr>
            <w:tcW w:w="2497" w:type="dxa"/>
            <w:tcBorders>
              <w:top w:val="single" w:sz="4" w:space="0" w:color="293F5B"/>
              <w:bottom w:val="single" w:sz="4" w:space="0" w:color="293F5B"/>
            </w:tcBorders>
            <w:shd w:val="clear" w:color="auto" w:fill="auto"/>
          </w:tcPr>
          <w:p w14:paraId="3DFE90F6"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A0BFC90"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8E5204A"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9149A04"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6654AD7"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6F50D92" w14:textId="77777777" w:rsidR="0012790E" w:rsidRPr="001C06E6" w:rsidRDefault="0012790E">
            <w:pPr>
              <w:pStyle w:val="MeasureTableYearHeadings"/>
              <w:keepNext/>
            </w:pPr>
            <w:r w:rsidRPr="001C06E6">
              <w:t>2027</w:t>
            </w:r>
            <w:r>
              <w:noBreakHyphen/>
            </w:r>
            <w:r w:rsidRPr="001C06E6">
              <w:t>28</w:t>
            </w:r>
          </w:p>
        </w:tc>
      </w:tr>
      <w:tr w:rsidR="0012790E" w:rsidRPr="001C06E6" w14:paraId="69AD8CB9" w14:textId="77777777">
        <w:tc>
          <w:tcPr>
            <w:tcW w:w="2497" w:type="dxa"/>
            <w:tcBorders>
              <w:top w:val="single" w:sz="4" w:space="0" w:color="293F5B"/>
              <w:bottom w:val="single" w:sz="4" w:space="0" w:color="293F5B"/>
            </w:tcBorders>
            <w:shd w:val="clear" w:color="auto" w:fill="auto"/>
          </w:tcPr>
          <w:p w14:paraId="01E1367E" w14:textId="77777777" w:rsidR="0012790E" w:rsidRPr="001C06E6" w:rsidRDefault="0012790E">
            <w:pPr>
              <w:pStyle w:val="MeasureTableHeadingleftalignedwith2ptsspacing"/>
              <w:keepNext/>
            </w:pPr>
            <w:r w:rsidRPr="001C06E6">
              <w:t>Australian Sports Commission</w:t>
            </w:r>
          </w:p>
        </w:tc>
        <w:tc>
          <w:tcPr>
            <w:tcW w:w="1045" w:type="dxa"/>
            <w:tcBorders>
              <w:top w:val="single" w:sz="4" w:space="0" w:color="293F5B"/>
              <w:bottom w:val="single" w:sz="4" w:space="0" w:color="293F5B"/>
            </w:tcBorders>
            <w:shd w:val="clear" w:color="auto" w:fill="auto"/>
          </w:tcPr>
          <w:p w14:paraId="37F434A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E958D78" w14:textId="77777777" w:rsidR="0012790E" w:rsidRPr="001C06E6" w:rsidRDefault="0012790E">
            <w:pPr>
              <w:pStyle w:val="MeasureTableDataRightAlignedwith2ptsspacing"/>
              <w:keepNext/>
            </w:pPr>
            <w:r w:rsidRPr="001C06E6">
              <w:t>38.6</w:t>
            </w:r>
          </w:p>
        </w:tc>
        <w:tc>
          <w:tcPr>
            <w:tcW w:w="1045" w:type="dxa"/>
            <w:tcBorders>
              <w:top w:val="single" w:sz="4" w:space="0" w:color="293F5B"/>
              <w:bottom w:val="single" w:sz="4" w:space="0" w:color="293F5B"/>
            </w:tcBorders>
            <w:shd w:val="clear" w:color="auto" w:fill="auto"/>
          </w:tcPr>
          <w:p w14:paraId="3A60FD0D" w14:textId="77777777" w:rsidR="0012790E" w:rsidRPr="001C06E6" w:rsidRDefault="0012790E">
            <w:pPr>
              <w:pStyle w:val="MeasureTableDataRightAlignedwith2ptsspacing"/>
              <w:keepNext/>
            </w:pPr>
            <w:r w:rsidRPr="001C06E6">
              <w:t>59.9</w:t>
            </w:r>
          </w:p>
        </w:tc>
        <w:tc>
          <w:tcPr>
            <w:tcW w:w="1045" w:type="dxa"/>
            <w:tcBorders>
              <w:top w:val="single" w:sz="4" w:space="0" w:color="293F5B"/>
              <w:bottom w:val="single" w:sz="4" w:space="0" w:color="293F5B"/>
            </w:tcBorders>
            <w:shd w:val="clear" w:color="auto" w:fill="auto"/>
          </w:tcPr>
          <w:p w14:paraId="35D8A80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3B1DE64" w14:textId="77777777" w:rsidR="0012790E" w:rsidRPr="001C06E6" w:rsidRDefault="0012790E">
            <w:pPr>
              <w:pStyle w:val="MeasureTableDataRightAlignedwith2ptsspacing"/>
              <w:keepNext/>
            </w:pPr>
            <w:r w:rsidRPr="001C06E6">
              <w:t>-</w:t>
            </w:r>
          </w:p>
        </w:tc>
      </w:tr>
      <w:tr w:rsidR="0012790E" w:rsidRPr="001C06E6" w14:paraId="39EDBD62" w14:textId="77777777">
        <w:tc>
          <w:tcPr>
            <w:tcW w:w="2497" w:type="dxa"/>
            <w:tcBorders>
              <w:top w:val="single" w:sz="4" w:space="0" w:color="293F5B"/>
              <w:bottom w:val="single" w:sz="4" w:space="0" w:color="293F5B"/>
            </w:tcBorders>
            <w:shd w:val="clear" w:color="auto" w:fill="auto"/>
          </w:tcPr>
          <w:p w14:paraId="2D0F84DD"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4768E29C"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DCA49B9" w14:textId="77777777" w:rsidR="0012790E" w:rsidRPr="001C06E6" w:rsidRDefault="0012790E">
            <w:pPr>
              <w:pStyle w:val="MeasureTableDataRightAlignedwith2ptsspacing"/>
              <w:keepNext/>
            </w:pPr>
            <w:r>
              <w:t xml:space="preserve">17.2 </w:t>
            </w:r>
          </w:p>
        </w:tc>
        <w:tc>
          <w:tcPr>
            <w:tcW w:w="1045" w:type="dxa"/>
            <w:tcBorders>
              <w:top w:val="single" w:sz="4" w:space="0" w:color="293F5B"/>
              <w:bottom w:val="single" w:sz="4" w:space="0" w:color="293F5B"/>
            </w:tcBorders>
            <w:shd w:val="clear" w:color="auto" w:fill="auto"/>
          </w:tcPr>
          <w:p w14:paraId="747B09E2" w14:textId="77777777" w:rsidR="0012790E" w:rsidRPr="001C06E6" w:rsidRDefault="0012790E">
            <w:pPr>
              <w:pStyle w:val="MeasureTableDataRightAlignedwith2ptsspacing"/>
              <w:keepNext/>
            </w:pPr>
            <w:r>
              <w:t xml:space="preserve">19.4 </w:t>
            </w:r>
          </w:p>
        </w:tc>
        <w:tc>
          <w:tcPr>
            <w:tcW w:w="1045" w:type="dxa"/>
            <w:tcBorders>
              <w:top w:val="single" w:sz="4" w:space="0" w:color="293F5B"/>
              <w:bottom w:val="single" w:sz="4" w:space="0" w:color="293F5B"/>
            </w:tcBorders>
            <w:shd w:val="clear" w:color="auto" w:fill="auto"/>
          </w:tcPr>
          <w:p w14:paraId="2F370E7A" w14:textId="77777777" w:rsidR="0012790E" w:rsidRPr="001C06E6" w:rsidRDefault="0012790E">
            <w:pPr>
              <w:pStyle w:val="MeasureTableDataRightAlignedwith2ptsspacing"/>
              <w:keepNext/>
            </w:pPr>
            <w:r>
              <w:t xml:space="preserve">2.7 </w:t>
            </w:r>
          </w:p>
        </w:tc>
        <w:tc>
          <w:tcPr>
            <w:tcW w:w="1045" w:type="dxa"/>
            <w:tcBorders>
              <w:top w:val="single" w:sz="4" w:space="0" w:color="293F5B"/>
              <w:bottom w:val="single" w:sz="4" w:space="0" w:color="293F5B"/>
            </w:tcBorders>
            <w:shd w:val="clear" w:color="auto" w:fill="auto"/>
          </w:tcPr>
          <w:p w14:paraId="6E331D08" w14:textId="77777777" w:rsidR="0012790E" w:rsidRPr="001C06E6" w:rsidRDefault="0012790E">
            <w:pPr>
              <w:pStyle w:val="MeasureTableDataRightAlignedwith2ptsspacing"/>
              <w:keepNext/>
            </w:pPr>
            <w:r>
              <w:t xml:space="preserve">0.8 </w:t>
            </w:r>
          </w:p>
        </w:tc>
      </w:tr>
      <w:tr w:rsidR="0012790E" w:rsidRPr="001C06E6" w14:paraId="0AC96A23" w14:textId="77777777">
        <w:tc>
          <w:tcPr>
            <w:tcW w:w="2497" w:type="dxa"/>
            <w:tcBorders>
              <w:top w:val="single" w:sz="4" w:space="0" w:color="293F5B"/>
              <w:bottom w:val="single" w:sz="4" w:space="0" w:color="293F5B"/>
            </w:tcBorders>
            <w:shd w:val="clear" w:color="auto" w:fill="auto"/>
          </w:tcPr>
          <w:p w14:paraId="70872DA4"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0CEEF301"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45ED1BBE" w14:textId="14E69D25" w:rsidR="0012790E" w:rsidRPr="001C06E6" w:rsidRDefault="0086071B">
            <w:pPr>
              <w:pStyle w:val="Totaldatarowrightaligned"/>
              <w:keepNext/>
            </w:pPr>
            <w:r>
              <w:t>5</w:t>
            </w:r>
            <w:r w:rsidRPr="001C06E6">
              <w:t>5</w:t>
            </w:r>
            <w:r w:rsidR="0012790E" w:rsidRPr="001C06E6">
              <w:t>.8</w:t>
            </w:r>
          </w:p>
        </w:tc>
        <w:tc>
          <w:tcPr>
            <w:tcW w:w="1045" w:type="dxa"/>
            <w:tcBorders>
              <w:top w:val="single" w:sz="4" w:space="0" w:color="293F5B"/>
              <w:bottom w:val="single" w:sz="4" w:space="0" w:color="293F5B"/>
            </w:tcBorders>
            <w:shd w:val="clear" w:color="auto" w:fill="auto"/>
          </w:tcPr>
          <w:p w14:paraId="344E3293" w14:textId="77777777" w:rsidR="0012790E" w:rsidRPr="001C06E6" w:rsidRDefault="0012790E">
            <w:pPr>
              <w:pStyle w:val="Totaldatarowrightaligned"/>
              <w:keepNext/>
            </w:pPr>
            <w:r w:rsidRPr="001C06E6">
              <w:t>79.4</w:t>
            </w:r>
          </w:p>
        </w:tc>
        <w:tc>
          <w:tcPr>
            <w:tcW w:w="1045" w:type="dxa"/>
            <w:tcBorders>
              <w:top w:val="single" w:sz="4" w:space="0" w:color="293F5B"/>
              <w:bottom w:val="single" w:sz="4" w:space="0" w:color="293F5B"/>
            </w:tcBorders>
            <w:shd w:val="clear" w:color="auto" w:fill="auto"/>
          </w:tcPr>
          <w:p w14:paraId="36F6F01E" w14:textId="77777777" w:rsidR="0012790E" w:rsidRPr="001C06E6" w:rsidRDefault="0012790E">
            <w:pPr>
              <w:pStyle w:val="Totaldatarowrightaligned"/>
              <w:keepNext/>
            </w:pPr>
            <w:r w:rsidRPr="001C06E6">
              <w:t>2.7</w:t>
            </w:r>
          </w:p>
        </w:tc>
        <w:tc>
          <w:tcPr>
            <w:tcW w:w="1045" w:type="dxa"/>
            <w:tcBorders>
              <w:top w:val="single" w:sz="4" w:space="0" w:color="293F5B"/>
              <w:bottom w:val="single" w:sz="4" w:space="0" w:color="293F5B"/>
            </w:tcBorders>
            <w:shd w:val="clear" w:color="auto" w:fill="auto"/>
          </w:tcPr>
          <w:p w14:paraId="3A668A03" w14:textId="77777777" w:rsidR="0012790E" w:rsidRPr="001C06E6" w:rsidRDefault="0012790E">
            <w:pPr>
              <w:pStyle w:val="Totaldatarowrightaligned"/>
              <w:keepNext/>
            </w:pPr>
            <w:r w:rsidRPr="001C06E6">
              <w:t>0.8</w:t>
            </w:r>
          </w:p>
        </w:tc>
      </w:tr>
    </w:tbl>
    <w:p w14:paraId="6BF97A68"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5CD9E2BD" w14:textId="77777777" w:rsidR="0012790E" w:rsidRDefault="0012790E" w:rsidP="54937204">
      <w:pPr>
        <w:pStyle w:val="Normal2"/>
        <w:rPr>
          <w:rFonts w:cs="Book Antiqua"/>
          <w:lang w:val="en-US"/>
        </w:rPr>
      </w:pPr>
      <w:r w:rsidRPr="54937204">
        <w:rPr>
          <w:rFonts w:cs="Book Antiqua"/>
          <w:lang w:val="en-US"/>
        </w:rPr>
        <w:t>The Government will provide $132.7 million over three years from 2024–25 to the Australian Sports Commission and the Department of Health and Aged Care to continue Commonwealth sport participation and high performance programs, as well as provide additional funding to support preparation for and delivery of key international events. Funding includes:</w:t>
      </w:r>
    </w:p>
    <w:p w14:paraId="2DDC4959" w14:textId="77777777" w:rsidR="0012790E" w:rsidRDefault="0012790E">
      <w:pPr>
        <w:pStyle w:val="Bullet"/>
      </w:pPr>
      <w:r w:rsidRPr="001C06E6">
        <w:t>$62.9</w:t>
      </w:r>
      <w:r>
        <w:t> </w:t>
      </w:r>
      <w:r w:rsidRPr="001C06E6">
        <w:t xml:space="preserve">million over two years from </w:t>
      </w:r>
      <w:r>
        <w:t>2024–25</w:t>
      </w:r>
      <w:r w:rsidRPr="001C06E6">
        <w:t xml:space="preserve"> towards the </w:t>
      </w:r>
      <w:r w:rsidRPr="001C06E6">
        <w:rPr>
          <w:i/>
          <w:iCs/>
        </w:rPr>
        <w:t>Sporting Schools Program</w:t>
      </w:r>
      <w:r w:rsidRPr="001C06E6">
        <w:t xml:space="preserve"> to help students to build the confidence and capability to be active for life</w:t>
      </w:r>
      <w:r>
        <w:t xml:space="preserve"> </w:t>
      </w:r>
    </w:p>
    <w:p w14:paraId="76F6A941" w14:textId="77777777" w:rsidR="0012790E" w:rsidRDefault="0012790E">
      <w:pPr>
        <w:pStyle w:val="Bullet"/>
      </w:pPr>
      <w:r w:rsidRPr="001C06E6">
        <w:t>$34.2</w:t>
      </w:r>
      <w:r>
        <w:t> </w:t>
      </w:r>
      <w:r w:rsidRPr="001C06E6">
        <w:t xml:space="preserve">million over three years from </w:t>
      </w:r>
      <w:r>
        <w:t>2024–25</w:t>
      </w:r>
      <w:r w:rsidRPr="001C06E6">
        <w:t xml:space="preserve"> towards the </w:t>
      </w:r>
      <w:r w:rsidRPr="001C06E6">
        <w:rPr>
          <w:i/>
          <w:iCs/>
        </w:rPr>
        <w:t>Water and Snow Safety Program</w:t>
      </w:r>
      <w:r w:rsidRPr="001C06E6">
        <w:t xml:space="preserve"> to reduce water and snow</w:t>
      </w:r>
      <w:r>
        <w:noBreakHyphen/>
      </w:r>
      <w:r w:rsidRPr="001C06E6">
        <w:t>related injuries and deaths through research, vocational education and training</w:t>
      </w:r>
      <w:r>
        <w:t xml:space="preserve"> </w:t>
      </w:r>
    </w:p>
    <w:p w14:paraId="6FC81F37" w14:textId="539321DD" w:rsidR="0012790E" w:rsidRDefault="0012790E">
      <w:pPr>
        <w:pStyle w:val="Bullet"/>
      </w:pPr>
      <w:r w:rsidRPr="001C06E6">
        <w:t>$17.0</w:t>
      </w:r>
      <w:r>
        <w:t> </w:t>
      </w:r>
      <w:r w:rsidRPr="001C06E6">
        <w:t xml:space="preserve">million over two years from </w:t>
      </w:r>
      <w:r>
        <w:t>2024–25</w:t>
      </w:r>
      <w:r w:rsidRPr="001C06E6">
        <w:t xml:space="preserve"> towards the </w:t>
      </w:r>
      <w:r w:rsidRPr="001C06E6">
        <w:rPr>
          <w:i/>
          <w:iCs/>
        </w:rPr>
        <w:t>Local Sporting Champions and Local Para Champions</w:t>
      </w:r>
      <w:r w:rsidRPr="001C06E6">
        <w:t xml:space="preserve"> programs to support junior competitors aged 12</w:t>
      </w:r>
      <w:r>
        <w:noBreakHyphen/>
      </w:r>
      <w:r w:rsidRPr="001C06E6">
        <w:t>24, coaches and officials to participate in state, national or international championships, including athletes with a disability</w:t>
      </w:r>
      <w:r>
        <w:t xml:space="preserve"> </w:t>
      </w:r>
    </w:p>
    <w:p w14:paraId="6B6283E1" w14:textId="77777777" w:rsidR="0012790E" w:rsidRDefault="0012790E">
      <w:pPr>
        <w:pStyle w:val="Bullet"/>
      </w:pPr>
      <w:r w:rsidRPr="001C06E6">
        <w:t>$10.5</w:t>
      </w:r>
      <w:r>
        <w:t> </w:t>
      </w:r>
      <w:r w:rsidRPr="001C06E6">
        <w:t xml:space="preserve">million over two years from </w:t>
      </w:r>
      <w:r>
        <w:t>2024–25</w:t>
      </w:r>
      <w:r w:rsidRPr="001C06E6">
        <w:t xml:space="preserve"> towards the Participation Grants program to implement priority activities under the </w:t>
      </w:r>
      <w:r w:rsidRPr="001C06E6">
        <w:rPr>
          <w:i/>
          <w:iCs/>
        </w:rPr>
        <w:t xml:space="preserve">Play Well </w:t>
      </w:r>
      <w:r w:rsidRPr="001C06E6">
        <w:t>strategy and to build sector capability to support sports participation</w:t>
      </w:r>
      <w:r>
        <w:t xml:space="preserve"> </w:t>
      </w:r>
    </w:p>
    <w:p w14:paraId="3D6A352A" w14:textId="77777777" w:rsidR="0012790E" w:rsidRDefault="0012790E">
      <w:pPr>
        <w:pStyle w:val="Bullet"/>
      </w:pPr>
      <w:r w:rsidRPr="001C06E6">
        <w:t>$6.8</w:t>
      </w:r>
      <w:r>
        <w:t> </w:t>
      </w:r>
      <w:r w:rsidRPr="001C06E6">
        <w:t xml:space="preserve">million over two years from </w:t>
      </w:r>
      <w:r>
        <w:t>2024–25</w:t>
      </w:r>
      <w:r w:rsidRPr="001C06E6">
        <w:t xml:space="preserve"> towards the </w:t>
      </w:r>
      <w:r w:rsidRPr="001C06E6">
        <w:rPr>
          <w:i/>
          <w:iCs/>
        </w:rPr>
        <w:t xml:space="preserve">Play Well </w:t>
      </w:r>
      <w:r w:rsidRPr="001C06E6">
        <w:t>priority and capability sector activities to ensure individuals of all ages, backgrounds, genders and abilities can access the benefits of sport</w:t>
      </w:r>
      <w:r>
        <w:t xml:space="preserve"> </w:t>
      </w:r>
    </w:p>
    <w:p w14:paraId="2E8671C9" w14:textId="77777777" w:rsidR="0012790E" w:rsidRDefault="0012790E">
      <w:pPr>
        <w:pStyle w:val="Bullet"/>
      </w:pPr>
      <w:r w:rsidRPr="001C06E6">
        <w:t>$1.3</w:t>
      </w:r>
      <w:r>
        <w:t> </w:t>
      </w:r>
      <w:r w:rsidRPr="001C06E6">
        <w:t xml:space="preserve">million over two years from </w:t>
      </w:r>
      <w:r>
        <w:t>2024–25</w:t>
      </w:r>
      <w:r w:rsidRPr="001C06E6">
        <w:t xml:space="preserve"> for the Sport Australia Hall of Fame to continue the Sport Australia Hall of Fame induction programs, awards, athletes scholarships and mentoring program.</w:t>
      </w:r>
      <w:r>
        <w:t xml:space="preserve"> </w:t>
      </w:r>
    </w:p>
    <w:p w14:paraId="13ACA1CC" w14:textId="383A869F" w:rsidR="0012790E" w:rsidRDefault="0012790E">
      <w:pPr>
        <w:pStyle w:val="Normal2"/>
        <w:rPr>
          <w:rFonts w:cs="Book Antiqua"/>
        </w:rPr>
      </w:pPr>
      <w:r w:rsidRPr="001C06E6">
        <w:rPr>
          <w:rFonts w:cs="Book Antiqua"/>
        </w:rPr>
        <w:t>The Government will also provide $6.0</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to support</w:t>
      </w:r>
      <w:r>
        <w:rPr>
          <w:rFonts w:cs="Book Antiqua"/>
        </w:rPr>
        <w:t xml:space="preserve"> </w:t>
      </w:r>
      <w:r w:rsidRPr="001C06E6">
        <w:rPr>
          <w:rFonts w:cs="Book Antiqua"/>
        </w:rPr>
        <w:t>the delivery of the Netball World Cup 2027 in Sydney.</w:t>
      </w:r>
      <w:r>
        <w:rPr>
          <w:rFonts w:cs="Book Antiqua"/>
        </w:rPr>
        <w:t xml:space="preserve"> </w:t>
      </w:r>
    </w:p>
    <w:p w14:paraId="60C7D59D" w14:textId="77777777" w:rsidR="0012790E" w:rsidRPr="001C06E6" w:rsidRDefault="0012790E">
      <w:pPr>
        <w:pStyle w:val="MeasureTitle"/>
        <w:rPr>
          <w:b w:val="0"/>
          <w:bCs/>
        </w:rPr>
      </w:pPr>
      <w:r w:rsidRPr="001C06E6">
        <w:rPr>
          <w:bCs/>
        </w:rPr>
        <w:t>Women's Health</w:t>
      </w:r>
    </w:p>
    <w:p w14:paraId="6D5AE550"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32B98B9" w14:textId="77777777">
        <w:tc>
          <w:tcPr>
            <w:tcW w:w="2497" w:type="dxa"/>
            <w:tcBorders>
              <w:top w:val="single" w:sz="4" w:space="0" w:color="293F5B"/>
              <w:bottom w:val="single" w:sz="4" w:space="0" w:color="293F5B"/>
            </w:tcBorders>
            <w:shd w:val="clear" w:color="auto" w:fill="auto"/>
          </w:tcPr>
          <w:p w14:paraId="531C22E0"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972CC1B"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40D14C1"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44E20E26"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F45A012"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D1AAB55" w14:textId="77777777" w:rsidR="0012790E" w:rsidRPr="001C06E6" w:rsidRDefault="0012790E">
            <w:pPr>
              <w:pStyle w:val="MeasureTableYearHeadings"/>
              <w:keepNext/>
            </w:pPr>
            <w:r w:rsidRPr="001C06E6">
              <w:t>2027</w:t>
            </w:r>
            <w:r>
              <w:noBreakHyphen/>
            </w:r>
            <w:r w:rsidRPr="001C06E6">
              <w:t>28</w:t>
            </w:r>
          </w:p>
        </w:tc>
      </w:tr>
      <w:tr w:rsidR="0012790E" w:rsidRPr="001C06E6" w14:paraId="14E77443" w14:textId="77777777">
        <w:tc>
          <w:tcPr>
            <w:tcW w:w="2497" w:type="dxa"/>
            <w:tcBorders>
              <w:top w:val="single" w:sz="4" w:space="0" w:color="293F5B"/>
              <w:bottom w:val="single" w:sz="4" w:space="0" w:color="293F5B"/>
            </w:tcBorders>
            <w:shd w:val="clear" w:color="auto" w:fill="auto"/>
          </w:tcPr>
          <w:p w14:paraId="5A8EB790"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3024FEA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64A49BA" w14:textId="77777777" w:rsidR="0012790E" w:rsidRPr="001C06E6" w:rsidRDefault="0012790E">
            <w:pPr>
              <w:pStyle w:val="MeasureTableDataRightAlignedwith2ptsspacing"/>
              <w:keepNext/>
            </w:pPr>
            <w:r>
              <w:t xml:space="preserve">21.3 </w:t>
            </w:r>
          </w:p>
        </w:tc>
        <w:tc>
          <w:tcPr>
            <w:tcW w:w="1045" w:type="dxa"/>
            <w:tcBorders>
              <w:top w:val="single" w:sz="4" w:space="0" w:color="293F5B"/>
              <w:bottom w:val="single" w:sz="4" w:space="0" w:color="293F5B"/>
            </w:tcBorders>
            <w:shd w:val="clear" w:color="auto" w:fill="auto"/>
          </w:tcPr>
          <w:p w14:paraId="3AFB1E1E" w14:textId="77777777" w:rsidR="0012790E" w:rsidRPr="001C06E6" w:rsidRDefault="0012790E">
            <w:pPr>
              <w:pStyle w:val="MeasureTableDataRightAlignedwith2ptsspacing"/>
              <w:keepNext/>
            </w:pPr>
            <w:r>
              <w:t xml:space="preserve">18.1 </w:t>
            </w:r>
          </w:p>
        </w:tc>
        <w:tc>
          <w:tcPr>
            <w:tcW w:w="1045" w:type="dxa"/>
            <w:tcBorders>
              <w:top w:val="single" w:sz="4" w:space="0" w:color="293F5B"/>
              <w:bottom w:val="single" w:sz="4" w:space="0" w:color="293F5B"/>
            </w:tcBorders>
            <w:shd w:val="clear" w:color="auto" w:fill="auto"/>
          </w:tcPr>
          <w:p w14:paraId="4EBF2B8E" w14:textId="77777777" w:rsidR="0012790E" w:rsidRPr="001C06E6" w:rsidRDefault="0012790E">
            <w:pPr>
              <w:pStyle w:val="MeasureTableDataRightAlignedwith2ptsspacing"/>
              <w:keepNext/>
            </w:pPr>
            <w:r>
              <w:t xml:space="preserve">8.8 </w:t>
            </w:r>
          </w:p>
        </w:tc>
        <w:tc>
          <w:tcPr>
            <w:tcW w:w="1045" w:type="dxa"/>
            <w:tcBorders>
              <w:top w:val="single" w:sz="4" w:space="0" w:color="293F5B"/>
              <w:bottom w:val="single" w:sz="4" w:space="0" w:color="293F5B"/>
            </w:tcBorders>
            <w:shd w:val="clear" w:color="auto" w:fill="auto"/>
          </w:tcPr>
          <w:p w14:paraId="16F6CB71" w14:textId="77777777" w:rsidR="0012790E" w:rsidRPr="001C06E6" w:rsidRDefault="0012790E">
            <w:pPr>
              <w:pStyle w:val="MeasureTableDataRightAlignedwith2ptsspacing"/>
              <w:keepNext/>
            </w:pPr>
            <w:r>
              <w:t xml:space="preserve">5.1 </w:t>
            </w:r>
          </w:p>
        </w:tc>
      </w:tr>
      <w:tr w:rsidR="0012790E" w:rsidRPr="001C06E6" w14:paraId="16191F26" w14:textId="77777777">
        <w:tc>
          <w:tcPr>
            <w:tcW w:w="2497" w:type="dxa"/>
            <w:tcBorders>
              <w:top w:val="single" w:sz="4" w:space="0" w:color="293F5B"/>
              <w:bottom w:val="single" w:sz="4" w:space="0" w:color="293F5B"/>
            </w:tcBorders>
            <w:shd w:val="clear" w:color="auto" w:fill="auto"/>
          </w:tcPr>
          <w:p w14:paraId="0E63E963"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29FD338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1AEEDED" w14:textId="77777777" w:rsidR="0012790E" w:rsidRPr="001C06E6" w:rsidRDefault="0012790E">
            <w:pPr>
              <w:pStyle w:val="MeasureTableDataRightAlignedwith2ptsspacing"/>
              <w:keepNext/>
            </w:pPr>
            <w:r w:rsidRPr="001C06E6">
              <w:t>2.0</w:t>
            </w:r>
          </w:p>
        </w:tc>
        <w:tc>
          <w:tcPr>
            <w:tcW w:w="1045" w:type="dxa"/>
            <w:tcBorders>
              <w:top w:val="single" w:sz="4" w:space="0" w:color="293F5B"/>
              <w:bottom w:val="single" w:sz="4" w:space="0" w:color="293F5B"/>
            </w:tcBorders>
            <w:shd w:val="clear" w:color="auto" w:fill="auto"/>
          </w:tcPr>
          <w:p w14:paraId="5EEA9129" w14:textId="77777777" w:rsidR="0012790E" w:rsidRPr="001C06E6" w:rsidRDefault="0012790E">
            <w:pPr>
              <w:pStyle w:val="MeasureTableDataRightAlignedwith2ptsspacing"/>
              <w:keepNext/>
            </w:pPr>
            <w:r w:rsidRPr="001C06E6">
              <w:t>0.3</w:t>
            </w:r>
          </w:p>
        </w:tc>
        <w:tc>
          <w:tcPr>
            <w:tcW w:w="1045" w:type="dxa"/>
            <w:tcBorders>
              <w:top w:val="single" w:sz="4" w:space="0" w:color="293F5B"/>
              <w:bottom w:val="single" w:sz="4" w:space="0" w:color="293F5B"/>
            </w:tcBorders>
            <w:shd w:val="clear" w:color="auto" w:fill="auto"/>
          </w:tcPr>
          <w:p w14:paraId="67CFB9AB" w14:textId="77777777" w:rsidR="0012790E" w:rsidRPr="001C06E6" w:rsidRDefault="0012790E">
            <w:pPr>
              <w:pStyle w:val="MeasureTableDataRightAlignedwith2ptsspacing"/>
              <w:keepNext/>
            </w:pPr>
            <w:r w:rsidRPr="001C06E6">
              <w:t>0.3</w:t>
            </w:r>
          </w:p>
        </w:tc>
        <w:tc>
          <w:tcPr>
            <w:tcW w:w="1045" w:type="dxa"/>
            <w:tcBorders>
              <w:top w:val="single" w:sz="4" w:space="0" w:color="293F5B"/>
              <w:bottom w:val="single" w:sz="4" w:space="0" w:color="293F5B"/>
            </w:tcBorders>
            <w:shd w:val="clear" w:color="auto" w:fill="auto"/>
          </w:tcPr>
          <w:p w14:paraId="2712C4EA" w14:textId="77777777" w:rsidR="0012790E" w:rsidRPr="001C06E6" w:rsidRDefault="0012790E">
            <w:pPr>
              <w:pStyle w:val="MeasureTableDataRightAlignedwith2ptsspacing"/>
              <w:keepNext/>
            </w:pPr>
            <w:r w:rsidRPr="001C06E6">
              <w:t>0.2</w:t>
            </w:r>
          </w:p>
        </w:tc>
      </w:tr>
      <w:tr w:rsidR="0012790E" w:rsidRPr="001C06E6" w14:paraId="44436E5C" w14:textId="77777777">
        <w:tc>
          <w:tcPr>
            <w:tcW w:w="2497" w:type="dxa"/>
            <w:tcBorders>
              <w:top w:val="single" w:sz="4" w:space="0" w:color="293F5B"/>
              <w:bottom w:val="single" w:sz="4" w:space="0" w:color="293F5B"/>
            </w:tcBorders>
            <w:shd w:val="clear" w:color="auto" w:fill="auto"/>
          </w:tcPr>
          <w:p w14:paraId="5CCCBBFC"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3554A1D1"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0AD09EA7" w14:textId="77777777" w:rsidR="0012790E" w:rsidRPr="001C06E6" w:rsidRDefault="0012790E">
            <w:pPr>
              <w:pStyle w:val="Totaldatarowrightaligned"/>
              <w:keepNext/>
            </w:pPr>
            <w:r w:rsidRPr="001C06E6">
              <w:t>23.2</w:t>
            </w:r>
          </w:p>
        </w:tc>
        <w:tc>
          <w:tcPr>
            <w:tcW w:w="1045" w:type="dxa"/>
            <w:tcBorders>
              <w:top w:val="single" w:sz="4" w:space="0" w:color="293F5B"/>
              <w:bottom w:val="single" w:sz="4" w:space="0" w:color="293F5B"/>
            </w:tcBorders>
            <w:shd w:val="clear" w:color="auto" w:fill="auto"/>
          </w:tcPr>
          <w:p w14:paraId="00632A57" w14:textId="78061985" w:rsidR="0012790E" w:rsidRPr="001C06E6" w:rsidRDefault="0012790E">
            <w:pPr>
              <w:pStyle w:val="Totaldatarowrightaligned"/>
              <w:keepNext/>
            </w:pPr>
            <w:r w:rsidRPr="001C06E6">
              <w:t>18.</w:t>
            </w:r>
            <w:r w:rsidR="00C77CB3">
              <w:t>5</w:t>
            </w:r>
          </w:p>
        </w:tc>
        <w:tc>
          <w:tcPr>
            <w:tcW w:w="1045" w:type="dxa"/>
            <w:tcBorders>
              <w:top w:val="single" w:sz="4" w:space="0" w:color="293F5B"/>
              <w:bottom w:val="single" w:sz="4" w:space="0" w:color="293F5B"/>
            </w:tcBorders>
            <w:shd w:val="clear" w:color="auto" w:fill="auto"/>
          </w:tcPr>
          <w:p w14:paraId="775BEB86" w14:textId="77777777" w:rsidR="0012790E" w:rsidRPr="001C06E6" w:rsidRDefault="0012790E">
            <w:pPr>
              <w:pStyle w:val="Totaldatarowrightaligned"/>
              <w:keepNext/>
            </w:pPr>
            <w:r w:rsidRPr="001C06E6">
              <w:t>9.1</w:t>
            </w:r>
          </w:p>
        </w:tc>
        <w:tc>
          <w:tcPr>
            <w:tcW w:w="1045" w:type="dxa"/>
            <w:tcBorders>
              <w:top w:val="single" w:sz="4" w:space="0" w:color="293F5B"/>
              <w:bottom w:val="single" w:sz="4" w:space="0" w:color="293F5B"/>
            </w:tcBorders>
            <w:shd w:val="clear" w:color="auto" w:fill="auto"/>
          </w:tcPr>
          <w:p w14:paraId="1C675C0F" w14:textId="77777777" w:rsidR="0012790E" w:rsidRPr="001C06E6" w:rsidRDefault="0012790E">
            <w:pPr>
              <w:pStyle w:val="Totaldatarowrightaligned"/>
              <w:keepNext/>
            </w:pPr>
            <w:r w:rsidRPr="001C06E6">
              <w:t>5.3</w:t>
            </w:r>
          </w:p>
        </w:tc>
      </w:tr>
    </w:tbl>
    <w:p w14:paraId="69EDA120"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5C4B436E" w14:textId="77777777" w:rsidR="0012790E" w:rsidRDefault="0012790E" w:rsidP="54937204">
      <w:pPr>
        <w:pStyle w:val="Normal2"/>
        <w:rPr>
          <w:rFonts w:cs="Book Antiqua"/>
          <w:lang w:val="en-US"/>
        </w:rPr>
      </w:pPr>
      <w:r w:rsidRPr="54937204">
        <w:rPr>
          <w:rFonts w:cs="Book Antiqua"/>
          <w:lang w:val="en-US"/>
        </w:rPr>
        <w:t>The Government will provide $56.1 million over four years from 2024–25 (and $0.4 million per year ongoing) to improve access to sexual and reproductive healthcare for women in Australia across the life</w:t>
      </w:r>
      <w:r>
        <w:rPr>
          <w:rFonts w:cs="Book Antiqua"/>
        </w:rPr>
        <w:noBreakHyphen/>
      </w:r>
      <w:r w:rsidRPr="54937204">
        <w:rPr>
          <w:rFonts w:cs="Book Antiqua"/>
          <w:lang w:val="en-US"/>
        </w:rPr>
        <w:t>course, including support for women’s health services on miscarriages, pre</w:t>
      </w:r>
      <w:r>
        <w:rPr>
          <w:rFonts w:cs="Book Antiqua"/>
        </w:rPr>
        <w:noBreakHyphen/>
      </w:r>
      <w:r w:rsidRPr="54937204">
        <w:rPr>
          <w:rFonts w:cs="Book Antiqua"/>
          <w:lang w:val="en-US"/>
        </w:rPr>
        <w:t>term or early</w:t>
      </w:r>
      <w:r>
        <w:rPr>
          <w:rFonts w:cs="Book Antiqua"/>
        </w:rPr>
        <w:noBreakHyphen/>
      </w:r>
      <w:r w:rsidRPr="54937204">
        <w:rPr>
          <w:rFonts w:cs="Book Antiqua"/>
          <w:lang w:val="en-US"/>
        </w:rPr>
        <w:t>term births, stillbirths, early pregnancy and menopause. Funding includes:</w:t>
      </w:r>
    </w:p>
    <w:p w14:paraId="4E66C800" w14:textId="77777777" w:rsidR="0012790E" w:rsidRDefault="0012790E">
      <w:pPr>
        <w:pStyle w:val="Bullet"/>
      </w:pPr>
      <w:r w:rsidRPr="001C06E6">
        <w:t>$12.5</w:t>
      </w:r>
      <w:r>
        <w:t> </w:t>
      </w:r>
      <w:r w:rsidRPr="001C06E6">
        <w:t xml:space="preserve">million over four years from </w:t>
      </w:r>
      <w:r>
        <w:t>2024–25</w:t>
      </w:r>
      <w:r w:rsidRPr="001C06E6">
        <w:t xml:space="preserve"> to provide free menstrual hygiene products to rural and remote First Nations communities to alleviate some cost of living pressures for vulnerable populations</w:t>
      </w:r>
      <w:r>
        <w:t xml:space="preserve"> </w:t>
      </w:r>
    </w:p>
    <w:p w14:paraId="58137733" w14:textId="77777777" w:rsidR="0012790E" w:rsidRDefault="0012790E">
      <w:pPr>
        <w:pStyle w:val="Bullet"/>
      </w:pPr>
      <w:r w:rsidRPr="001C06E6">
        <w:t>$8.0</w:t>
      </w:r>
      <w:r>
        <w:t> </w:t>
      </w:r>
      <w:r w:rsidRPr="001C06E6">
        <w:t xml:space="preserve">million over three years from </w:t>
      </w:r>
      <w:r>
        <w:t>2024–25</w:t>
      </w:r>
      <w:r w:rsidRPr="001C06E6">
        <w:t xml:space="preserve"> to support the development of datasets on miscarriages and sexual and reproductive health, and evaluation activities for early pregnancy assessment services</w:t>
      </w:r>
      <w:r>
        <w:t xml:space="preserve"> </w:t>
      </w:r>
    </w:p>
    <w:p w14:paraId="7DD0B923" w14:textId="77777777" w:rsidR="0012790E" w:rsidRDefault="0012790E">
      <w:pPr>
        <w:pStyle w:val="Bullet"/>
      </w:pPr>
      <w:r w:rsidRPr="001C06E6">
        <w:t>$7.0</w:t>
      </w:r>
      <w:r>
        <w:t> </w:t>
      </w:r>
      <w:r w:rsidRPr="001C06E6">
        <w:t xml:space="preserve">million over four years from </w:t>
      </w:r>
      <w:r>
        <w:t>2024–25</w:t>
      </w:r>
      <w:r w:rsidRPr="001C06E6">
        <w:t xml:space="preserve"> to support the development of miscarriage education and awareness materials, and provide funding for bereavement care services for women and families experiencing stillbirth or miscarriage</w:t>
      </w:r>
      <w:r>
        <w:t xml:space="preserve"> </w:t>
      </w:r>
    </w:p>
    <w:p w14:paraId="4B5B7D35" w14:textId="77777777" w:rsidR="0012790E" w:rsidRDefault="0012790E">
      <w:pPr>
        <w:pStyle w:val="Bullet"/>
      </w:pPr>
      <w:r w:rsidRPr="001C06E6">
        <w:t>$6.0</w:t>
      </w:r>
      <w:r>
        <w:t> </w:t>
      </w:r>
      <w:r w:rsidRPr="001C06E6">
        <w:t xml:space="preserve">million over two years from </w:t>
      </w:r>
      <w:r>
        <w:t>2024–25</w:t>
      </w:r>
      <w:r w:rsidRPr="001C06E6">
        <w:t xml:space="preserve"> to support Primary Health Networks on the Central Coast to provide local outreach trauma</w:t>
      </w:r>
      <w:r>
        <w:noBreakHyphen/>
      </w:r>
      <w:r w:rsidRPr="001C06E6">
        <w:t>informed healthcare support for women and their children experiencing domestic and family violence or homelessness</w:t>
      </w:r>
      <w:r>
        <w:t xml:space="preserve"> </w:t>
      </w:r>
    </w:p>
    <w:p w14:paraId="0FDF4016" w14:textId="486E2DF5" w:rsidR="0012790E" w:rsidRDefault="0012790E">
      <w:pPr>
        <w:pStyle w:val="Bullet"/>
      </w:pPr>
      <w:r w:rsidRPr="001C06E6">
        <w:t>$5.8</w:t>
      </w:r>
      <w:r>
        <w:t> </w:t>
      </w:r>
      <w:r w:rsidRPr="001C06E6">
        <w:t xml:space="preserve">million over two years from </w:t>
      </w:r>
      <w:r>
        <w:t>2024–25</w:t>
      </w:r>
      <w:r w:rsidRPr="001C06E6">
        <w:t xml:space="preserve"> to continue strategies to prevent preterm and</w:t>
      </w:r>
      <w:r w:rsidR="00EB5256">
        <w:t> </w:t>
      </w:r>
      <w:r w:rsidRPr="001C06E6">
        <w:t>early</w:t>
      </w:r>
      <w:r>
        <w:noBreakHyphen/>
      </w:r>
      <w:r w:rsidRPr="001C06E6">
        <w:t>term birth and reduce the number of babies born too early in participating maternity services and First Nations communities</w:t>
      </w:r>
      <w:r>
        <w:t xml:space="preserve"> </w:t>
      </w:r>
    </w:p>
    <w:p w14:paraId="02AA39B4" w14:textId="2D1CA4DA" w:rsidR="0012790E" w:rsidRDefault="0012790E">
      <w:pPr>
        <w:pStyle w:val="Bullet"/>
      </w:pPr>
      <w:r w:rsidRPr="001C06E6">
        <w:t>$5.2</w:t>
      </w:r>
      <w:r>
        <w:t> </w:t>
      </w:r>
      <w:r w:rsidRPr="001C06E6">
        <w:t xml:space="preserve">million over three years from </w:t>
      </w:r>
      <w:r>
        <w:t>2024–25</w:t>
      </w:r>
      <w:r w:rsidRPr="001C06E6">
        <w:t xml:space="preserve"> to support placement costs for health practitioners to undertake long</w:t>
      </w:r>
      <w:r>
        <w:noBreakHyphen/>
      </w:r>
      <w:r w:rsidRPr="001C06E6">
        <w:t>acting reversible contraception insertion and removal</w:t>
      </w:r>
      <w:r w:rsidR="00EB5256">
        <w:t> </w:t>
      </w:r>
      <w:r w:rsidRPr="001C06E6">
        <w:t>training</w:t>
      </w:r>
      <w:r>
        <w:t xml:space="preserve"> </w:t>
      </w:r>
    </w:p>
    <w:p w14:paraId="57745A39" w14:textId="77777777" w:rsidR="0012790E" w:rsidRDefault="0012790E">
      <w:pPr>
        <w:pStyle w:val="Bullet"/>
      </w:pPr>
      <w:r w:rsidRPr="001C06E6">
        <w:t>$5.0</w:t>
      </w:r>
      <w:r>
        <w:t> </w:t>
      </w:r>
      <w:r w:rsidRPr="001C06E6">
        <w:t xml:space="preserve">million over two years from </w:t>
      </w:r>
      <w:r>
        <w:t>2024–25</w:t>
      </w:r>
      <w:r w:rsidRPr="001C06E6">
        <w:t xml:space="preserve"> to continue delivery of the Every Moment Matters awareness campaign, to support women who are planning pregnancy to achieve alcohol</w:t>
      </w:r>
      <w:r>
        <w:noBreakHyphen/>
      </w:r>
      <w:r w:rsidRPr="001C06E6">
        <w:t>free pregnancies and reduce the incidence of babies born with fetal alcohol spectrum disorder</w:t>
      </w:r>
      <w:r>
        <w:t xml:space="preserve"> </w:t>
      </w:r>
    </w:p>
    <w:p w14:paraId="25B62084" w14:textId="58F3E841" w:rsidR="0012790E" w:rsidRDefault="0012790E">
      <w:pPr>
        <w:pStyle w:val="Bullet"/>
      </w:pPr>
      <w:r w:rsidRPr="001C06E6">
        <w:t>$3.5</w:t>
      </w:r>
      <w:r>
        <w:t> </w:t>
      </w:r>
      <w:r w:rsidRPr="001C06E6">
        <w:t xml:space="preserve">million over four years from </w:t>
      </w:r>
      <w:r>
        <w:t>2024–25</w:t>
      </w:r>
      <w:r w:rsidRPr="001C06E6">
        <w:t xml:space="preserve"> (and $0.4</w:t>
      </w:r>
      <w:r>
        <w:t> </w:t>
      </w:r>
      <w:r w:rsidRPr="001C06E6">
        <w:t>million per year ongoing) to expand the Midwife Professional Indemnity Scheme to include indemnity insurance cover for privately practicing midwives providing low</w:t>
      </w:r>
      <w:r>
        <w:noBreakHyphen/>
      </w:r>
      <w:r w:rsidRPr="001C06E6">
        <w:t>risk homebirths and intrapartum care outside of a hospital, and for specified entities providing Birthing on Country models of</w:t>
      </w:r>
      <w:r w:rsidR="00EB5256">
        <w:t> </w:t>
      </w:r>
      <w:r w:rsidRPr="001C06E6">
        <w:t>care</w:t>
      </w:r>
      <w:r>
        <w:t xml:space="preserve"> </w:t>
      </w:r>
    </w:p>
    <w:p w14:paraId="570A3055" w14:textId="77777777" w:rsidR="0012790E" w:rsidRDefault="0012790E">
      <w:pPr>
        <w:pStyle w:val="Bullet"/>
      </w:pPr>
      <w:r w:rsidRPr="001C06E6">
        <w:t>$1.2</w:t>
      </w:r>
      <w:r>
        <w:t> </w:t>
      </w:r>
      <w:r w:rsidRPr="001C06E6">
        <w:t xml:space="preserve">million over two years from </w:t>
      </w:r>
      <w:r>
        <w:t>2024–25</w:t>
      </w:r>
      <w:r w:rsidRPr="001C06E6">
        <w:t xml:space="preserve"> to support training for health practitioners to better treat, care and manage women’s health during menopause</w:t>
      </w:r>
      <w:r>
        <w:t xml:space="preserve"> </w:t>
      </w:r>
    </w:p>
    <w:p w14:paraId="3CED188D" w14:textId="4C336AE3" w:rsidR="0012790E" w:rsidRDefault="0012790E">
      <w:pPr>
        <w:pStyle w:val="Bullet"/>
      </w:pPr>
      <w:r w:rsidRPr="001C06E6">
        <w:t>$1.1</w:t>
      </w:r>
      <w:r>
        <w:t> </w:t>
      </w:r>
      <w:r w:rsidRPr="001C06E6">
        <w:t xml:space="preserve">million over four years from </w:t>
      </w:r>
      <w:r>
        <w:t>2024–25</w:t>
      </w:r>
      <w:r w:rsidRPr="001C06E6">
        <w:t xml:space="preserve"> to support the development and hosting of a</w:t>
      </w:r>
      <w:r w:rsidR="00EB5256">
        <w:t> </w:t>
      </w:r>
      <w:r w:rsidRPr="001C06E6">
        <w:t>platform for a virtual contraception choice decision making tree</w:t>
      </w:r>
      <w:r>
        <w:t xml:space="preserve"> </w:t>
      </w:r>
    </w:p>
    <w:p w14:paraId="6ED3B3BC" w14:textId="77777777" w:rsidR="0012790E" w:rsidRDefault="0012790E">
      <w:pPr>
        <w:pStyle w:val="Bullet"/>
      </w:pPr>
      <w:r w:rsidRPr="001C06E6">
        <w:t>$0.9</w:t>
      </w:r>
      <w:r>
        <w:t> </w:t>
      </w:r>
      <w:r w:rsidRPr="001C06E6">
        <w:t xml:space="preserve">million over two years from </w:t>
      </w:r>
      <w:r>
        <w:t>2024–25</w:t>
      </w:r>
      <w:r w:rsidRPr="001C06E6">
        <w:t xml:space="preserve"> to continue to monitor and evaluate activities under the </w:t>
      </w:r>
      <w:r w:rsidRPr="001C06E6">
        <w:rPr>
          <w:i/>
          <w:iCs/>
        </w:rPr>
        <w:t xml:space="preserve">National Stillbirth Action and Implementation Plan </w:t>
      </w:r>
      <w:r>
        <w:rPr>
          <w:i/>
          <w:iCs/>
        </w:rPr>
        <w:t>2020–20</w:t>
      </w:r>
      <w:r w:rsidRPr="001C06E6">
        <w:rPr>
          <w:i/>
          <w:iCs/>
        </w:rPr>
        <w:t>30</w:t>
      </w:r>
      <w:r w:rsidRPr="001C06E6">
        <w:t>.</w:t>
      </w:r>
      <w:r>
        <w:t xml:space="preserve"> </w:t>
      </w:r>
    </w:p>
    <w:p w14:paraId="4AA31D52" w14:textId="5658369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 xml:space="preserve">Budget measure titled </w:t>
      </w:r>
      <w:r w:rsidRPr="001C06E6">
        <w:rPr>
          <w:rFonts w:cs="Book Antiqua"/>
          <w:i/>
          <w:iCs/>
        </w:rPr>
        <w:t>Preventive Health Reform</w:t>
      </w:r>
      <w:r>
        <w:rPr>
          <w:rFonts w:cs="Book Antiqua"/>
        </w:rPr>
        <w:t xml:space="preserve"> </w:t>
      </w:r>
      <w:r w:rsidRPr="001C06E6">
        <w:rPr>
          <w:rFonts w:cs="Book Antiqua"/>
        </w:rPr>
        <w:t>and the</w:t>
      </w:r>
      <w:r w:rsidR="00EB5256">
        <w:rPr>
          <w:rFonts w:cs="Book Antiqua"/>
        </w:rPr>
        <w:t> </w:t>
      </w:r>
      <w:r>
        <w:rPr>
          <w:rFonts w:cs="Book Antiqua"/>
        </w:rPr>
        <w:t>2023–24 </w:t>
      </w:r>
      <w:r w:rsidRPr="001C06E6">
        <w:rPr>
          <w:rFonts w:cs="Book Antiqua"/>
        </w:rPr>
        <w:t xml:space="preserve">MYEFO measures titled </w:t>
      </w:r>
      <w:r w:rsidRPr="001C06E6">
        <w:rPr>
          <w:rFonts w:cs="Book Antiqua"/>
          <w:i/>
          <w:iCs/>
        </w:rPr>
        <w:t>Achieving Better Health Outcomes</w:t>
      </w:r>
      <w:r w:rsidRPr="001C06E6">
        <w:rPr>
          <w:rFonts w:cs="Book Antiqua"/>
        </w:rPr>
        <w:t xml:space="preserve"> and</w:t>
      </w:r>
      <w:r w:rsidRPr="001C06E6">
        <w:rPr>
          <w:rFonts w:cs="Book Antiqua"/>
          <w:i/>
          <w:iCs/>
        </w:rPr>
        <w:t xml:space="preserve"> An</w:t>
      </w:r>
      <w:r>
        <w:rPr>
          <w:rFonts w:cs="Book Antiqua"/>
          <w:i/>
          <w:iCs/>
        </w:rPr>
        <w:t xml:space="preserve"> </w:t>
      </w:r>
      <w:r w:rsidRPr="001C06E6">
        <w:rPr>
          <w:rFonts w:cs="Book Antiqua"/>
          <w:i/>
          <w:iCs/>
        </w:rPr>
        <w:t>Effective and Clinically Appropriate Medicare</w:t>
      </w:r>
      <w:r w:rsidRPr="001C06E6">
        <w:rPr>
          <w:rFonts w:cs="Book Antiqua"/>
        </w:rPr>
        <w:t>.</w:t>
      </w:r>
      <w:r>
        <w:rPr>
          <w:rFonts w:cs="Book Antiqua"/>
        </w:rPr>
        <w:t xml:space="preserve"> </w:t>
      </w:r>
    </w:p>
    <w:p w14:paraId="6EA8AD86" w14:textId="77777777" w:rsidR="0012790E" w:rsidRDefault="0012790E" w:rsidP="54937204">
      <w:pPr>
        <w:pStyle w:val="Normal2"/>
        <w:rPr>
          <w:rFonts w:cs="Book Antiqua"/>
          <w:lang w:val="en-US"/>
        </w:rPr>
      </w:pPr>
      <w:r w:rsidRPr="54937204">
        <w:rPr>
          <w:rFonts w:cs="Book Antiqua"/>
          <w:lang w:val="en-US"/>
        </w:rPr>
        <w:t xml:space="preserve">There is a related payment measure in the current economic update titled </w:t>
      </w:r>
      <w:r w:rsidRPr="54937204">
        <w:rPr>
          <w:rFonts w:cs="Book Antiqua"/>
          <w:i/>
          <w:iCs/>
          <w:lang w:val="en-US"/>
        </w:rPr>
        <w:t>Strengthening Medicare – an effective and clinically appropriate Medicare Benefits Schedule (MBS)</w:t>
      </w:r>
      <w:r w:rsidRPr="54937204">
        <w:rPr>
          <w:rFonts w:cs="Book Antiqua"/>
          <w:lang w:val="en-US"/>
        </w:rPr>
        <w:t xml:space="preserve">. </w:t>
      </w:r>
    </w:p>
    <w:p w14:paraId="5815EC9B" w14:textId="77777777" w:rsidR="0012790E" w:rsidRPr="001C06E6" w:rsidRDefault="0012790E">
      <w:pPr>
        <w:pStyle w:val="Normal2"/>
        <w:rPr>
          <w:rFonts w:cs="Book Antiqua"/>
          <w:iCs/>
        </w:rPr>
      </w:pPr>
      <w:r w:rsidRPr="001C06E6">
        <w:rPr>
          <w:rFonts w:cs="Book Antiqua"/>
        </w:rPr>
        <w:t xml:space="preserve">Parts of this measure support the implementation of the </w:t>
      </w:r>
      <w:r w:rsidRPr="001C06E6">
        <w:rPr>
          <w:rFonts w:cs="Book Antiqua"/>
          <w:i/>
          <w:iCs/>
        </w:rPr>
        <w:t>National Plan to End Violence</w:t>
      </w:r>
      <w:r>
        <w:rPr>
          <w:rFonts w:cs="Book Antiqua"/>
          <w:i/>
          <w:iCs/>
        </w:rPr>
        <w:t xml:space="preserve"> </w:t>
      </w:r>
      <w:r w:rsidRPr="001C06E6">
        <w:rPr>
          <w:rFonts w:cs="Book Antiqua"/>
          <w:i/>
          <w:iCs/>
        </w:rPr>
        <w:t xml:space="preserve">Against Women and Children </w:t>
      </w:r>
      <w:r>
        <w:rPr>
          <w:rFonts w:cs="Book Antiqua"/>
          <w:i/>
          <w:iCs/>
        </w:rPr>
        <w:t>2022–23</w:t>
      </w:r>
      <w:r w:rsidRPr="001C06E6">
        <w:rPr>
          <w:rFonts w:cs="Book Antiqua"/>
          <w:i/>
          <w:iCs/>
        </w:rPr>
        <w:t>.</w:t>
      </w:r>
      <w:r>
        <w:rPr>
          <w:rFonts w:cs="Book Antiqua"/>
          <w:i/>
          <w:iCs/>
        </w:rPr>
        <w:t xml:space="preserve"> </w:t>
      </w:r>
    </w:p>
    <w:p w14:paraId="5C22EB1F" w14:textId="77777777" w:rsidR="0012790E" w:rsidRDefault="0012790E">
      <w:pPr>
        <w:pStyle w:val="PortfolioName"/>
        <w:rPr>
          <w:bCs/>
          <w:szCs w:val="26"/>
        </w:rPr>
        <w:sectPr w:rsidR="0012790E" w:rsidSect="00EA5BFE">
          <w:pgSz w:w="11905" w:h="16837"/>
          <w:pgMar w:top="2835" w:right="2098" w:bottom="2466" w:left="2098" w:header="1814" w:footer="1814" w:gutter="0"/>
          <w:cols w:space="720"/>
          <w:noEndnote/>
          <w:docGrid w:linePitch="272"/>
        </w:sectPr>
      </w:pPr>
    </w:p>
    <w:p w14:paraId="42A2E4EB" w14:textId="77777777" w:rsidR="0012790E" w:rsidRPr="001C06E6" w:rsidRDefault="0012790E">
      <w:pPr>
        <w:pStyle w:val="PortfolioName"/>
      </w:pPr>
      <w:r w:rsidRPr="001C06E6">
        <w:rPr>
          <w:bCs/>
          <w:szCs w:val="26"/>
        </w:rPr>
        <w:t>Home Affairs</w:t>
      </w:r>
    </w:p>
    <w:p w14:paraId="7E34F158" w14:textId="77777777" w:rsidR="0012790E" w:rsidRPr="001C06E6" w:rsidRDefault="0012790E">
      <w:pPr>
        <w:pStyle w:val="MeasureTitle"/>
      </w:pPr>
      <w:r w:rsidRPr="001C06E6">
        <w:rPr>
          <w:bCs/>
        </w:rPr>
        <w:t>Civil Maritime Critical Security Capabilities</w:t>
      </w:r>
    </w:p>
    <w:p w14:paraId="501BC556"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343E6C9" w14:textId="77777777">
        <w:tc>
          <w:tcPr>
            <w:tcW w:w="2497" w:type="dxa"/>
            <w:tcBorders>
              <w:top w:val="single" w:sz="4" w:space="0" w:color="293F5B"/>
              <w:bottom w:val="single" w:sz="4" w:space="0" w:color="293F5B"/>
            </w:tcBorders>
            <w:shd w:val="clear" w:color="auto" w:fill="auto"/>
          </w:tcPr>
          <w:p w14:paraId="546E648F"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A14A681"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544738F"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E1226D7"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968E38A"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7EE1261" w14:textId="77777777" w:rsidR="0012790E" w:rsidRPr="001C06E6" w:rsidRDefault="0012790E">
            <w:pPr>
              <w:pStyle w:val="MeasureTableYearHeadings"/>
              <w:keepNext/>
            </w:pPr>
            <w:r w:rsidRPr="001C06E6">
              <w:t>2027</w:t>
            </w:r>
            <w:r>
              <w:noBreakHyphen/>
            </w:r>
            <w:r w:rsidRPr="001C06E6">
              <w:t>28</w:t>
            </w:r>
          </w:p>
        </w:tc>
      </w:tr>
      <w:tr w:rsidR="0012790E" w:rsidRPr="001C06E6" w14:paraId="01870E83" w14:textId="77777777">
        <w:tc>
          <w:tcPr>
            <w:tcW w:w="2497" w:type="dxa"/>
            <w:tcBorders>
              <w:top w:val="single" w:sz="4" w:space="0" w:color="293F5B"/>
              <w:bottom w:val="single" w:sz="4" w:space="0" w:color="293F5B"/>
            </w:tcBorders>
            <w:shd w:val="clear" w:color="auto" w:fill="auto"/>
          </w:tcPr>
          <w:p w14:paraId="2EF974CD"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3302B6C3" w14:textId="77777777" w:rsidR="0012790E" w:rsidRPr="001C06E6" w:rsidRDefault="0012790E">
            <w:pPr>
              <w:pStyle w:val="MeasureTableDataRightAlignedwith2ptsspacing"/>
              <w:keepNext/>
            </w:pPr>
            <w:r w:rsidRPr="001C06E6">
              <w:t>3.6</w:t>
            </w:r>
          </w:p>
        </w:tc>
        <w:tc>
          <w:tcPr>
            <w:tcW w:w="1045" w:type="dxa"/>
            <w:tcBorders>
              <w:top w:val="single" w:sz="4" w:space="0" w:color="293F5B"/>
              <w:bottom w:val="single" w:sz="4" w:space="0" w:color="293F5B"/>
            </w:tcBorders>
            <w:shd w:val="clear" w:color="auto" w:fill="auto"/>
          </w:tcPr>
          <w:p w14:paraId="0A2A2BF6" w14:textId="77777777" w:rsidR="0012790E" w:rsidRPr="001C06E6" w:rsidRDefault="0012790E">
            <w:pPr>
              <w:pStyle w:val="MeasureTableDataRightAlignedwith2ptsspacing"/>
              <w:keepNext/>
            </w:pPr>
            <w:r w:rsidRPr="001C06E6">
              <w:t>116.3</w:t>
            </w:r>
          </w:p>
        </w:tc>
        <w:tc>
          <w:tcPr>
            <w:tcW w:w="1045" w:type="dxa"/>
            <w:tcBorders>
              <w:top w:val="single" w:sz="4" w:space="0" w:color="293F5B"/>
              <w:bottom w:val="single" w:sz="4" w:space="0" w:color="293F5B"/>
            </w:tcBorders>
            <w:shd w:val="clear" w:color="auto" w:fill="auto"/>
          </w:tcPr>
          <w:p w14:paraId="0EE53D0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B632C6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6AA6239" w14:textId="77777777" w:rsidR="0012790E" w:rsidRPr="001C06E6" w:rsidRDefault="0012790E">
            <w:pPr>
              <w:pStyle w:val="MeasureTableDataRightAlignedwith2ptsspacing"/>
              <w:keepNext/>
            </w:pPr>
            <w:r w:rsidRPr="001C06E6">
              <w:t>-</w:t>
            </w:r>
          </w:p>
        </w:tc>
      </w:tr>
      <w:tr w:rsidR="0012790E" w:rsidRPr="001C06E6" w14:paraId="79325B77" w14:textId="77777777">
        <w:tc>
          <w:tcPr>
            <w:tcW w:w="2497" w:type="dxa"/>
            <w:tcBorders>
              <w:top w:val="single" w:sz="4" w:space="0" w:color="293F5B"/>
              <w:bottom w:val="single" w:sz="4" w:space="0" w:color="293F5B"/>
            </w:tcBorders>
            <w:shd w:val="clear" w:color="auto" w:fill="auto"/>
          </w:tcPr>
          <w:p w14:paraId="354456FC" w14:textId="77777777" w:rsidR="0012790E" w:rsidRPr="001C06E6" w:rsidRDefault="0012790E">
            <w:pPr>
              <w:pStyle w:val="MeasureTableHeadingleftalignedwith2ptsspacing"/>
              <w:keepNext/>
            </w:pPr>
            <w:r>
              <w:t xml:space="preserve">Office of the Director of Public Prosecutions </w:t>
            </w:r>
          </w:p>
        </w:tc>
        <w:tc>
          <w:tcPr>
            <w:tcW w:w="1045" w:type="dxa"/>
            <w:tcBorders>
              <w:top w:val="single" w:sz="4" w:space="0" w:color="293F5B"/>
              <w:bottom w:val="single" w:sz="4" w:space="0" w:color="293F5B"/>
            </w:tcBorders>
            <w:shd w:val="clear" w:color="auto" w:fill="auto"/>
          </w:tcPr>
          <w:p w14:paraId="19C9DF83" w14:textId="77777777" w:rsidR="0012790E" w:rsidRPr="001C06E6" w:rsidRDefault="0012790E">
            <w:pPr>
              <w:pStyle w:val="MeasureTableDataRightAlignedwith2ptsspacing"/>
              <w:keepNext/>
            </w:pPr>
            <w:r>
              <w:t xml:space="preserve">0.4 </w:t>
            </w:r>
          </w:p>
        </w:tc>
        <w:tc>
          <w:tcPr>
            <w:tcW w:w="1045" w:type="dxa"/>
            <w:tcBorders>
              <w:top w:val="single" w:sz="4" w:space="0" w:color="293F5B"/>
              <w:bottom w:val="single" w:sz="4" w:space="0" w:color="293F5B"/>
            </w:tcBorders>
            <w:shd w:val="clear" w:color="auto" w:fill="auto"/>
          </w:tcPr>
          <w:p w14:paraId="70905B06" w14:textId="77777777" w:rsidR="0012790E" w:rsidRPr="001C06E6" w:rsidRDefault="0012790E">
            <w:pPr>
              <w:pStyle w:val="MeasureTableDataRightAlignedwith2ptsspacing"/>
              <w:keepNext/>
            </w:pPr>
            <w:r>
              <w:t xml:space="preserve">1.6 </w:t>
            </w:r>
          </w:p>
        </w:tc>
        <w:tc>
          <w:tcPr>
            <w:tcW w:w="1045" w:type="dxa"/>
            <w:tcBorders>
              <w:top w:val="single" w:sz="4" w:space="0" w:color="293F5B"/>
              <w:bottom w:val="single" w:sz="4" w:space="0" w:color="293F5B"/>
            </w:tcBorders>
            <w:shd w:val="clear" w:color="auto" w:fill="auto"/>
          </w:tcPr>
          <w:p w14:paraId="6D00E0B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5BA95F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2170BF3" w14:textId="77777777" w:rsidR="0012790E" w:rsidRPr="001C06E6" w:rsidRDefault="0012790E">
            <w:pPr>
              <w:pStyle w:val="MeasureTableDataRightAlignedwith2ptsspacing"/>
              <w:keepNext/>
            </w:pPr>
            <w:r>
              <w:t xml:space="preserve">- </w:t>
            </w:r>
          </w:p>
        </w:tc>
      </w:tr>
      <w:tr w:rsidR="0012790E" w:rsidRPr="001C06E6" w14:paraId="3E12BBC8" w14:textId="77777777">
        <w:tc>
          <w:tcPr>
            <w:tcW w:w="2497" w:type="dxa"/>
            <w:tcBorders>
              <w:top w:val="single" w:sz="4" w:space="0" w:color="293F5B"/>
              <w:bottom w:val="single" w:sz="4" w:space="0" w:color="293F5B"/>
            </w:tcBorders>
            <w:shd w:val="clear" w:color="auto" w:fill="auto"/>
          </w:tcPr>
          <w:p w14:paraId="1BEBDD8B" w14:textId="77777777" w:rsidR="0012790E" w:rsidRPr="001C06E6" w:rsidRDefault="0012790E">
            <w:pPr>
              <w:pStyle w:val="MeasureTableHeadingleftalignedwith2ptsspacing"/>
              <w:keepNext/>
            </w:pPr>
            <w:r>
              <w:t xml:space="preserve">Australian Fisheries Management Authority </w:t>
            </w:r>
          </w:p>
        </w:tc>
        <w:tc>
          <w:tcPr>
            <w:tcW w:w="1045" w:type="dxa"/>
            <w:tcBorders>
              <w:top w:val="single" w:sz="4" w:space="0" w:color="293F5B"/>
              <w:bottom w:val="single" w:sz="4" w:space="0" w:color="293F5B"/>
            </w:tcBorders>
            <w:shd w:val="clear" w:color="auto" w:fill="auto"/>
          </w:tcPr>
          <w:p w14:paraId="429ED3F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236ACF4" w14:textId="77777777" w:rsidR="0012790E" w:rsidRPr="001C06E6" w:rsidRDefault="0012790E">
            <w:pPr>
              <w:pStyle w:val="MeasureTableDataRightAlignedwith2ptsspacing"/>
              <w:keepNext/>
            </w:pPr>
            <w:r>
              <w:t xml:space="preserve">1.7 </w:t>
            </w:r>
          </w:p>
        </w:tc>
        <w:tc>
          <w:tcPr>
            <w:tcW w:w="1045" w:type="dxa"/>
            <w:tcBorders>
              <w:top w:val="single" w:sz="4" w:space="0" w:color="293F5B"/>
              <w:bottom w:val="single" w:sz="4" w:space="0" w:color="293F5B"/>
            </w:tcBorders>
            <w:shd w:val="clear" w:color="auto" w:fill="auto"/>
          </w:tcPr>
          <w:p w14:paraId="6696010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3B16093"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6D2BFBE" w14:textId="77777777" w:rsidR="0012790E" w:rsidRPr="001C06E6" w:rsidRDefault="0012790E">
            <w:pPr>
              <w:pStyle w:val="MeasureTableDataRightAlignedwith2ptsspacing"/>
              <w:keepNext/>
            </w:pPr>
            <w:r>
              <w:t xml:space="preserve">- </w:t>
            </w:r>
          </w:p>
        </w:tc>
      </w:tr>
      <w:tr w:rsidR="0012790E" w:rsidRPr="001C06E6" w14:paraId="2681628E" w14:textId="77777777">
        <w:tc>
          <w:tcPr>
            <w:tcW w:w="2497" w:type="dxa"/>
            <w:tcBorders>
              <w:top w:val="single" w:sz="4" w:space="0" w:color="293F5B"/>
              <w:bottom w:val="single" w:sz="4" w:space="0" w:color="293F5B"/>
            </w:tcBorders>
            <w:shd w:val="clear" w:color="auto" w:fill="auto"/>
          </w:tcPr>
          <w:p w14:paraId="6FBAC6BD"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6B672DC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05330EF"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4289295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304242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0EBF0CA" w14:textId="77777777" w:rsidR="0012790E" w:rsidRPr="001C06E6" w:rsidRDefault="0012790E">
            <w:pPr>
              <w:pStyle w:val="MeasureTableDataRightAlignedwith2ptsspacing"/>
              <w:keepNext/>
            </w:pPr>
            <w:r w:rsidRPr="001C06E6">
              <w:t>-</w:t>
            </w:r>
          </w:p>
        </w:tc>
      </w:tr>
      <w:tr w:rsidR="0012790E" w:rsidRPr="001C06E6" w14:paraId="485F4A66" w14:textId="77777777">
        <w:tc>
          <w:tcPr>
            <w:tcW w:w="2497" w:type="dxa"/>
            <w:tcBorders>
              <w:top w:val="single" w:sz="4" w:space="0" w:color="293F5B"/>
              <w:bottom w:val="single" w:sz="4" w:space="0" w:color="293F5B"/>
            </w:tcBorders>
            <w:shd w:val="clear" w:color="auto" w:fill="auto"/>
          </w:tcPr>
          <w:p w14:paraId="4CAEAE16"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64596D4A" w14:textId="77777777" w:rsidR="0012790E" w:rsidRPr="001C06E6" w:rsidRDefault="0012790E">
            <w:pPr>
              <w:pStyle w:val="Totaldatarowrightaligned"/>
              <w:keepNext/>
            </w:pPr>
            <w:r w:rsidRPr="001C06E6">
              <w:t>4.0</w:t>
            </w:r>
          </w:p>
        </w:tc>
        <w:tc>
          <w:tcPr>
            <w:tcW w:w="1045" w:type="dxa"/>
            <w:tcBorders>
              <w:top w:val="single" w:sz="4" w:space="0" w:color="293F5B"/>
              <w:bottom w:val="single" w:sz="4" w:space="0" w:color="293F5B"/>
            </w:tcBorders>
            <w:shd w:val="clear" w:color="auto" w:fill="auto"/>
          </w:tcPr>
          <w:p w14:paraId="55C28DEB" w14:textId="77777777" w:rsidR="0012790E" w:rsidRPr="001C06E6" w:rsidRDefault="0012790E">
            <w:pPr>
              <w:pStyle w:val="Totaldatarowrightaligned"/>
              <w:keepNext/>
            </w:pPr>
            <w:r w:rsidRPr="001C06E6">
              <w:t>119.8</w:t>
            </w:r>
          </w:p>
        </w:tc>
        <w:tc>
          <w:tcPr>
            <w:tcW w:w="1045" w:type="dxa"/>
            <w:tcBorders>
              <w:top w:val="single" w:sz="4" w:space="0" w:color="293F5B"/>
              <w:bottom w:val="single" w:sz="4" w:space="0" w:color="293F5B"/>
            </w:tcBorders>
            <w:shd w:val="clear" w:color="auto" w:fill="auto"/>
          </w:tcPr>
          <w:p w14:paraId="23CB48A3"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48AE6E01"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66BEFF91" w14:textId="77777777" w:rsidR="0012790E" w:rsidRPr="001C06E6" w:rsidRDefault="0012790E">
            <w:pPr>
              <w:pStyle w:val="Totaldatarowrightaligned"/>
              <w:keepNext/>
            </w:pPr>
            <w:r w:rsidRPr="001C06E6">
              <w:t>-</w:t>
            </w:r>
          </w:p>
        </w:tc>
      </w:tr>
    </w:tbl>
    <w:p w14:paraId="0AB5F40A"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015FD3F7" w14:textId="6FE29F0B" w:rsidR="0012790E" w:rsidRDefault="0012790E" w:rsidP="54937204">
      <w:pPr>
        <w:pStyle w:val="Normal2"/>
        <w:rPr>
          <w:rFonts w:cs="Book Antiqua"/>
          <w:lang w:val="en-US"/>
        </w:rPr>
      </w:pPr>
      <w:r w:rsidRPr="54937204">
        <w:rPr>
          <w:rFonts w:cs="Book Antiqua"/>
          <w:lang w:val="en-US"/>
        </w:rPr>
        <w:t>The Government will provide an additional $123.8 million over two years from 2023–24 to maintain and enhance Australia’s civil maritime security capabilities. Funding includes:</w:t>
      </w:r>
    </w:p>
    <w:p w14:paraId="54536446" w14:textId="77777777" w:rsidR="0012790E" w:rsidRDefault="0012790E">
      <w:pPr>
        <w:pStyle w:val="Bullet"/>
      </w:pPr>
      <w:r w:rsidRPr="001C06E6">
        <w:t>$71.2</w:t>
      </w:r>
      <w:r>
        <w:t> </w:t>
      </w:r>
      <w:r w:rsidRPr="001C06E6">
        <w:t xml:space="preserve">million over two years from </w:t>
      </w:r>
      <w:r>
        <w:t>2023–24</w:t>
      </w:r>
      <w:r w:rsidRPr="001C06E6">
        <w:t xml:space="preserve"> to increase the Australian Border Force’s on</w:t>
      </w:r>
      <w:r>
        <w:noBreakHyphen/>
      </w:r>
      <w:r w:rsidRPr="001C06E6">
        <w:t>water response and aerial surveillance capabilities</w:t>
      </w:r>
      <w:r>
        <w:t xml:space="preserve"> </w:t>
      </w:r>
    </w:p>
    <w:p w14:paraId="1E3ABE74" w14:textId="77777777" w:rsidR="0012790E" w:rsidRDefault="0012790E">
      <w:pPr>
        <w:pStyle w:val="Bullet"/>
      </w:pPr>
      <w:r w:rsidRPr="001C06E6">
        <w:t>$52.6</w:t>
      </w:r>
      <w:r>
        <w:t> </w:t>
      </w:r>
      <w:r w:rsidRPr="001C06E6">
        <w:t xml:space="preserve">million over two years from </w:t>
      </w:r>
      <w:r>
        <w:t>2023–24</w:t>
      </w:r>
      <w:r w:rsidRPr="001C06E6">
        <w:t xml:space="preserve"> to address the border and biosecurity threat from illegal fishing activities in Australia’s northern waters, including funding to increase the Australian Border Force and Australian Fisheries Management Authority presence in the region, and support prosecutions by the Office of the Director of Public Prosecutions.</w:t>
      </w:r>
      <w:r>
        <w:t xml:space="preserve"> </w:t>
      </w:r>
    </w:p>
    <w:p w14:paraId="4EA93218" w14:textId="77777777" w:rsidR="0012790E" w:rsidRPr="001C06E6" w:rsidRDefault="0012790E">
      <w:pPr>
        <w:pStyle w:val="Normal2"/>
        <w:rPr>
          <w:rFonts w:cs="Book Antiqua"/>
          <w:iCs/>
        </w:rPr>
      </w:pPr>
      <w:r w:rsidRPr="001C06E6">
        <w:rPr>
          <w:rFonts w:cs="Book Antiqua"/>
        </w:rPr>
        <w:t xml:space="preserve">This measure builds on the </w:t>
      </w:r>
      <w:r>
        <w:rPr>
          <w:rFonts w:cs="Book Antiqua"/>
        </w:rPr>
        <w:t>2023–24 </w:t>
      </w:r>
      <w:r w:rsidRPr="001C06E6">
        <w:rPr>
          <w:rFonts w:cs="Book Antiqua"/>
        </w:rPr>
        <w:t xml:space="preserve">MYEFO measure titled </w:t>
      </w:r>
      <w:r w:rsidRPr="001C06E6">
        <w:rPr>
          <w:rFonts w:cs="Book Antiqua"/>
          <w:i/>
          <w:iCs/>
        </w:rPr>
        <w:t>Civil Maritime Critical</w:t>
      </w:r>
      <w:r>
        <w:rPr>
          <w:rFonts w:cs="Book Antiqua"/>
          <w:i/>
          <w:iCs/>
        </w:rPr>
        <w:t xml:space="preserve"> </w:t>
      </w:r>
      <w:r w:rsidRPr="001C06E6">
        <w:rPr>
          <w:rFonts w:cs="Book Antiqua"/>
          <w:i/>
          <w:iCs/>
        </w:rPr>
        <w:t>Capabilities – sustainment.</w:t>
      </w:r>
      <w:r>
        <w:rPr>
          <w:rFonts w:cs="Book Antiqua"/>
          <w:i/>
          <w:iCs/>
        </w:rPr>
        <w:t xml:space="preserve"> </w:t>
      </w:r>
    </w:p>
    <w:p w14:paraId="37C5F604" w14:textId="77777777" w:rsidR="0012790E" w:rsidRPr="001C06E6" w:rsidRDefault="0012790E">
      <w:pPr>
        <w:pStyle w:val="MeasureTitle"/>
        <w:rPr>
          <w:b w:val="0"/>
          <w:bCs/>
        </w:rPr>
      </w:pPr>
      <w:r w:rsidRPr="001C06E6">
        <w:rPr>
          <w:bCs/>
        </w:rPr>
        <w:t>Department of Home Affairs</w:t>
      </w:r>
      <w:r>
        <w:rPr>
          <w:bCs/>
        </w:rPr>
        <w:t xml:space="preserve"> – </w:t>
      </w:r>
      <w:r w:rsidRPr="001C06E6">
        <w:rPr>
          <w:bCs/>
        </w:rPr>
        <w:t>supplementation</w:t>
      </w:r>
    </w:p>
    <w:p w14:paraId="407BC6F4"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BBB462C" w14:textId="77777777">
        <w:tc>
          <w:tcPr>
            <w:tcW w:w="2497" w:type="dxa"/>
            <w:tcBorders>
              <w:top w:val="single" w:sz="4" w:space="0" w:color="293F5B"/>
              <w:bottom w:val="single" w:sz="4" w:space="0" w:color="293F5B"/>
            </w:tcBorders>
            <w:shd w:val="clear" w:color="auto" w:fill="auto"/>
          </w:tcPr>
          <w:p w14:paraId="678C4DC3"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C902ADA"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1C8AE16"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ACB4101"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289BA59"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8BED341" w14:textId="77777777" w:rsidR="0012790E" w:rsidRPr="001C06E6" w:rsidRDefault="0012790E">
            <w:pPr>
              <w:pStyle w:val="MeasureTableYearHeadings"/>
              <w:keepNext/>
            </w:pPr>
            <w:r w:rsidRPr="001C06E6">
              <w:t>2027</w:t>
            </w:r>
            <w:r>
              <w:noBreakHyphen/>
            </w:r>
            <w:r w:rsidRPr="001C06E6">
              <w:t>28</w:t>
            </w:r>
          </w:p>
        </w:tc>
      </w:tr>
      <w:tr w:rsidR="0012790E" w:rsidRPr="001C06E6" w14:paraId="19E0AC01" w14:textId="77777777">
        <w:tc>
          <w:tcPr>
            <w:tcW w:w="2497" w:type="dxa"/>
            <w:tcBorders>
              <w:top w:val="single" w:sz="4" w:space="0" w:color="293F5B"/>
              <w:bottom w:val="single" w:sz="4" w:space="0" w:color="293F5B"/>
            </w:tcBorders>
            <w:shd w:val="clear" w:color="auto" w:fill="auto"/>
          </w:tcPr>
          <w:p w14:paraId="2A7FCC7E"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03D4D4B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6F058C1" w14:textId="77777777" w:rsidR="0012790E" w:rsidRPr="001C06E6" w:rsidRDefault="0012790E">
            <w:pPr>
              <w:pStyle w:val="MeasureTableDataRightAlignedwith2ptsspacing"/>
              <w:keepNext/>
            </w:pPr>
            <w:r w:rsidRPr="001C06E6">
              <w:t>100.0</w:t>
            </w:r>
          </w:p>
        </w:tc>
        <w:tc>
          <w:tcPr>
            <w:tcW w:w="1045" w:type="dxa"/>
            <w:tcBorders>
              <w:top w:val="single" w:sz="4" w:space="0" w:color="293F5B"/>
              <w:bottom w:val="single" w:sz="4" w:space="0" w:color="293F5B"/>
            </w:tcBorders>
            <w:shd w:val="clear" w:color="auto" w:fill="auto"/>
          </w:tcPr>
          <w:p w14:paraId="1D899E6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38EE1C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B77B17B" w14:textId="77777777" w:rsidR="0012790E" w:rsidRPr="001C06E6" w:rsidRDefault="0012790E">
            <w:pPr>
              <w:pStyle w:val="MeasureTableDataRightAlignedwith2ptsspacing"/>
              <w:keepNext/>
            </w:pPr>
            <w:r w:rsidRPr="001C06E6">
              <w:t>-</w:t>
            </w:r>
          </w:p>
        </w:tc>
      </w:tr>
    </w:tbl>
    <w:p w14:paraId="5B33608D"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5D0BF848" w14:textId="2B0937B4" w:rsidR="0012790E" w:rsidRDefault="0012790E">
      <w:pPr>
        <w:pStyle w:val="Normal2"/>
        <w:rPr>
          <w:rFonts w:cs="Book Antiqua"/>
        </w:rPr>
      </w:pPr>
      <w:r w:rsidRPr="001C06E6">
        <w:rPr>
          <w:rFonts w:cs="Book Antiqua"/>
        </w:rPr>
        <w:t>The Government will provide $100.0</w:t>
      </w:r>
      <w:r>
        <w:rPr>
          <w:rFonts w:cs="Book Antiqua"/>
        </w:rPr>
        <w:t> </w:t>
      </w:r>
      <w:r w:rsidRPr="001C06E6">
        <w:rPr>
          <w:rFonts w:cs="Book Antiqua"/>
        </w:rPr>
        <w:t xml:space="preserve">million in </w:t>
      </w:r>
      <w:r>
        <w:rPr>
          <w:rFonts w:cs="Book Antiqua"/>
        </w:rPr>
        <w:t>2024–25</w:t>
      </w:r>
      <w:r w:rsidRPr="001C06E6">
        <w:rPr>
          <w:rFonts w:cs="Book Antiqua"/>
        </w:rPr>
        <w:t xml:space="preserve"> to the Department of Home</w:t>
      </w:r>
      <w:r>
        <w:rPr>
          <w:rFonts w:cs="Book Antiqua"/>
        </w:rPr>
        <w:t xml:space="preserve"> </w:t>
      </w:r>
      <w:r w:rsidRPr="001C06E6">
        <w:rPr>
          <w:rFonts w:cs="Book Antiqua"/>
        </w:rPr>
        <w:t>Affairs to support the performance of core functions including Australian Border Force</w:t>
      </w:r>
      <w:r>
        <w:rPr>
          <w:rFonts w:cs="Book Antiqua"/>
        </w:rPr>
        <w:t xml:space="preserve"> </w:t>
      </w:r>
      <w:r w:rsidRPr="001C06E6">
        <w:rPr>
          <w:rFonts w:cs="Book Antiqua"/>
        </w:rPr>
        <w:t>operations, immigration compliance activities and sustainment of critical systems</w:t>
      </w:r>
      <w:r>
        <w:rPr>
          <w:rFonts w:cs="Book Antiqua"/>
        </w:rPr>
        <w:t xml:space="preserve"> </w:t>
      </w:r>
      <w:r w:rsidRPr="001C06E6">
        <w:rPr>
          <w:rFonts w:cs="Book Antiqua"/>
        </w:rPr>
        <w:t>supporting those operations and services.</w:t>
      </w:r>
      <w:r>
        <w:rPr>
          <w:rFonts w:cs="Book Antiqua"/>
        </w:rPr>
        <w:t xml:space="preserve"> </w:t>
      </w:r>
    </w:p>
    <w:p w14:paraId="2F40D40C" w14:textId="77777777" w:rsidR="0012790E" w:rsidRPr="001C06E6" w:rsidRDefault="0012790E">
      <w:pPr>
        <w:pStyle w:val="MeasureTitle"/>
        <w:rPr>
          <w:b w:val="0"/>
          <w:bCs/>
        </w:rPr>
      </w:pPr>
      <w:r w:rsidRPr="001C06E6">
        <w:rPr>
          <w:bCs/>
        </w:rPr>
        <w:t>Disaster Support</w:t>
      </w:r>
    </w:p>
    <w:p w14:paraId="6513ADCB"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BCC96A8" w14:textId="77777777">
        <w:tc>
          <w:tcPr>
            <w:tcW w:w="2497" w:type="dxa"/>
            <w:tcBorders>
              <w:top w:val="single" w:sz="4" w:space="0" w:color="293F5B"/>
              <w:bottom w:val="single" w:sz="4" w:space="0" w:color="293F5B"/>
            </w:tcBorders>
            <w:shd w:val="clear" w:color="auto" w:fill="auto"/>
          </w:tcPr>
          <w:p w14:paraId="3EFF31FE"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F2DB0AB"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6DF7053"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4E5290B"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66485CE"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96DFE96" w14:textId="77777777" w:rsidR="0012790E" w:rsidRPr="001C06E6" w:rsidRDefault="0012790E">
            <w:pPr>
              <w:pStyle w:val="MeasureTableYearHeadings"/>
              <w:keepNext/>
            </w:pPr>
            <w:r w:rsidRPr="001C06E6">
              <w:t>2027</w:t>
            </w:r>
            <w:r>
              <w:noBreakHyphen/>
            </w:r>
            <w:r w:rsidRPr="001C06E6">
              <w:t>28</w:t>
            </w:r>
          </w:p>
        </w:tc>
      </w:tr>
      <w:tr w:rsidR="0012790E" w:rsidRPr="001C06E6" w14:paraId="5DE0126C" w14:textId="77777777">
        <w:tc>
          <w:tcPr>
            <w:tcW w:w="2497" w:type="dxa"/>
            <w:tcBorders>
              <w:top w:val="single" w:sz="4" w:space="0" w:color="293F5B"/>
              <w:bottom w:val="single" w:sz="4" w:space="0" w:color="293F5B"/>
            </w:tcBorders>
            <w:shd w:val="clear" w:color="auto" w:fill="auto"/>
          </w:tcPr>
          <w:p w14:paraId="72BCA6E3" w14:textId="77777777" w:rsidR="0012790E" w:rsidRPr="001C06E6" w:rsidRDefault="0012790E">
            <w:pPr>
              <w:pStyle w:val="MeasureTableHeadingleftalignedwith2ptsspacing"/>
              <w:keepNext/>
            </w:pPr>
            <w:r>
              <w:t xml:space="preserve">National Emergency Management Agency </w:t>
            </w:r>
          </w:p>
        </w:tc>
        <w:tc>
          <w:tcPr>
            <w:tcW w:w="1045" w:type="dxa"/>
            <w:tcBorders>
              <w:top w:val="single" w:sz="4" w:space="0" w:color="293F5B"/>
              <w:bottom w:val="single" w:sz="4" w:space="0" w:color="293F5B"/>
            </w:tcBorders>
            <w:shd w:val="clear" w:color="auto" w:fill="auto"/>
          </w:tcPr>
          <w:p w14:paraId="4A5B360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8352D46" w14:textId="77777777" w:rsidR="0012790E" w:rsidRPr="001C06E6" w:rsidRDefault="0012790E">
            <w:pPr>
              <w:pStyle w:val="MeasureTableDataRightAlignedwith2ptsspacing"/>
              <w:keepNext/>
            </w:pPr>
            <w:r>
              <w:t xml:space="preserve">46.6 </w:t>
            </w:r>
          </w:p>
        </w:tc>
        <w:tc>
          <w:tcPr>
            <w:tcW w:w="1045" w:type="dxa"/>
            <w:tcBorders>
              <w:top w:val="single" w:sz="4" w:space="0" w:color="293F5B"/>
              <w:bottom w:val="single" w:sz="4" w:space="0" w:color="293F5B"/>
            </w:tcBorders>
            <w:shd w:val="clear" w:color="auto" w:fill="auto"/>
          </w:tcPr>
          <w:p w14:paraId="1B1691C7" w14:textId="77777777" w:rsidR="0012790E" w:rsidRPr="001C06E6" w:rsidRDefault="0012790E">
            <w:pPr>
              <w:pStyle w:val="MeasureTableDataRightAlignedwith2ptsspacing"/>
              <w:keepNext/>
            </w:pPr>
            <w:r>
              <w:t xml:space="preserve">45.4 </w:t>
            </w:r>
          </w:p>
        </w:tc>
        <w:tc>
          <w:tcPr>
            <w:tcW w:w="1045" w:type="dxa"/>
            <w:tcBorders>
              <w:top w:val="single" w:sz="4" w:space="0" w:color="293F5B"/>
              <w:bottom w:val="single" w:sz="4" w:space="0" w:color="293F5B"/>
            </w:tcBorders>
            <w:shd w:val="clear" w:color="auto" w:fill="auto"/>
          </w:tcPr>
          <w:p w14:paraId="4BE32D60" w14:textId="77777777" w:rsidR="0012790E" w:rsidRPr="001C06E6" w:rsidRDefault="0012790E">
            <w:pPr>
              <w:pStyle w:val="MeasureTableDataRightAlignedwith2ptsspacing"/>
              <w:keepNext/>
            </w:pPr>
            <w:r>
              <w:t xml:space="preserve">27.7 </w:t>
            </w:r>
          </w:p>
        </w:tc>
        <w:tc>
          <w:tcPr>
            <w:tcW w:w="1045" w:type="dxa"/>
            <w:tcBorders>
              <w:top w:val="single" w:sz="4" w:space="0" w:color="293F5B"/>
              <w:bottom w:val="single" w:sz="4" w:space="0" w:color="293F5B"/>
            </w:tcBorders>
            <w:shd w:val="clear" w:color="auto" w:fill="auto"/>
          </w:tcPr>
          <w:p w14:paraId="65508A8C" w14:textId="77777777" w:rsidR="0012790E" w:rsidRPr="001C06E6" w:rsidRDefault="0012790E">
            <w:pPr>
              <w:pStyle w:val="MeasureTableDataRightAlignedwith2ptsspacing"/>
              <w:keepNext/>
            </w:pPr>
            <w:r>
              <w:t xml:space="preserve">18.9 </w:t>
            </w:r>
          </w:p>
        </w:tc>
      </w:tr>
    </w:tbl>
    <w:p w14:paraId="782F92D8" w14:textId="77777777" w:rsidR="0012790E" w:rsidRPr="001C06E6" w:rsidRDefault="0012790E">
      <w:pPr>
        <w:keepNext/>
        <w:widowControl w:val="0"/>
        <w:spacing w:line="184" w:lineRule="exact"/>
        <w:rPr>
          <w:color w:val="000000"/>
          <w:sz w:val="16"/>
          <w:szCs w:val="16"/>
          <w:lang w:val="en-AU"/>
        </w:rPr>
      </w:pPr>
    </w:p>
    <w:p w14:paraId="542171F6" w14:textId="77777777" w:rsidR="0012790E" w:rsidRDefault="0012790E" w:rsidP="54937204">
      <w:pPr>
        <w:pStyle w:val="Normal2"/>
        <w:rPr>
          <w:rFonts w:cs="Book Antiqua"/>
          <w:lang w:val="en-US"/>
        </w:rPr>
      </w:pPr>
      <w:r w:rsidRPr="54937204">
        <w:rPr>
          <w:rFonts w:cs="Book Antiqua"/>
          <w:lang w:val="en-US"/>
        </w:rPr>
        <w:t>The Government will provide $138.7 million over four years from 2024–25 (and $18.9 million per year ongoing) to improve Australia’s preparedness to respond to all</w:t>
      </w:r>
      <w:r>
        <w:rPr>
          <w:rFonts w:cs="Book Antiqua"/>
        </w:rPr>
        <w:noBreakHyphen/>
      </w:r>
      <w:r w:rsidRPr="54937204">
        <w:rPr>
          <w:rFonts w:cs="Book Antiqua"/>
          <w:lang w:val="en-US"/>
        </w:rPr>
        <w:t>hazard disasters and resilience to natural hazards. Funding includes:</w:t>
      </w:r>
    </w:p>
    <w:p w14:paraId="221DD032" w14:textId="77777777" w:rsidR="0012790E" w:rsidRDefault="0012790E">
      <w:pPr>
        <w:pStyle w:val="Bullet"/>
      </w:pPr>
      <w:r w:rsidRPr="001C06E6">
        <w:t>$73.3</w:t>
      </w:r>
      <w:r>
        <w:t> </w:t>
      </w:r>
      <w:r w:rsidRPr="001C06E6">
        <w:t xml:space="preserve">million over four years from </w:t>
      </w:r>
      <w:r>
        <w:t>2024–25</w:t>
      </w:r>
      <w:r w:rsidRPr="001C06E6">
        <w:t xml:space="preserve"> (and $18.9</w:t>
      </w:r>
      <w:r>
        <w:t> </w:t>
      </w:r>
      <w:r w:rsidRPr="001C06E6">
        <w:t>million per year ongoing) to further uplift the National Emergency Management Agency’s capacity to support Australians before, during and following a disaster</w:t>
      </w:r>
      <w:r>
        <w:t xml:space="preserve"> </w:t>
      </w:r>
    </w:p>
    <w:p w14:paraId="6CC8E23B" w14:textId="77777777" w:rsidR="0012790E" w:rsidRDefault="0012790E">
      <w:pPr>
        <w:pStyle w:val="Bullet"/>
      </w:pPr>
      <w:r w:rsidRPr="001C06E6">
        <w:t>$35.0</w:t>
      </w:r>
      <w:r>
        <w:t> </w:t>
      </w:r>
      <w:r w:rsidRPr="001C06E6">
        <w:t xml:space="preserve">million over two years from </w:t>
      </w:r>
      <w:r>
        <w:t>2024–25</w:t>
      </w:r>
      <w:r w:rsidRPr="001C06E6">
        <w:t xml:space="preserve"> to support the National Aerial Firefighting Centre to bolster the national aerial firefighting fleet and to undertake a review to identify cost</w:t>
      </w:r>
      <w:r>
        <w:noBreakHyphen/>
      </w:r>
      <w:r w:rsidRPr="001C06E6">
        <w:t>effective options for long</w:t>
      </w:r>
      <w:r>
        <w:noBreakHyphen/>
      </w:r>
      <w:r w:rsidRPr="001C06E6">
        <w:t>term aerial capability</w:t>
      </w:r>
      <w:r>
        <w:t xml:space="preserve"> </w:t>
      </w:r>
    </w:p>
    <w:p w14:paraId="719BE9FE" w14:textId="77777777" w:rsidR="0012790E" w:rsidRDefault="0012790E">
      <w:pPr>
        <w:pStyle w:val="Bullet"/>
      </w:pPr>
      <w:r w:rsidRPr="001C06E6">
        <w:t>$26.8</w:t>
      </w:r>
      <w:r>
        <w:t> </w:t>
      </w:r>
      <w:r w:rsidRPr="001C06E6">
        <w:t xml:space="preserve">million over three years from </w:t>
      </w:r>
      <w:r>
        <w:t>2024–25</w:t>
      </w:r>
      <w:r w:rsidRPr="001C06E6">
        <w:t xml:space="preserve"> to maintain the national emergency management stockpile of disaster response resources</w:t>
      </w:r>
      <w:r>
        <w:t xml:space="preserve"> </w:t>
      </w:r>
    </w:p>
    <w:p w14:paraId="056C9928" w14:textId="61B6BA7E" w:rsidR="0012790E" w:rsidRDefault="0012790E">
      <w:pPr>
        <w:pStyle w:val="Bullet"/>
      </w:pPr>
      <w:r w:rsidRPr="001C06E6">
        <w:t>$3.6</w:t>
      </w:r>
      <w:r>
        <w:t> </w:t>
      </w:r>
      <w:r w:rsidRPr="001C06E6">
        <w:t xml:space="preserve">million in </w:t>
      </w:r>
      <w:r>
        <w:t>2024–25</w:t>
      </w:r>
      <w:r w:rsidRPr="001C06E6">
        <w:t xml:space="preserve"> to provide targeted mental health support to emergency service</w:t>
      </w:r>
      <w:r w:rsidR="00EB5256">
        <w:t> </w:t>
      </w:r>
      <w:r w:rsidRPr="001C06E6">
        <w:t>workers.</w:t>
      </w:r>
      <w:r>
        <w:t xml:space="preserve"> </w:t>
      </w:r>
    </w:p>
    <w:p w14:paraId="323C4BF4" w14:textId="54B2D503" w:rsidR="0012790E" w:rsidRDefault="0012790E" w:rsidP="54937204">
      <w:pPr>
        <w:pStyle w:val="Normal2"/>
        <w:rPr>
          <w:rFonts w:cs="Book Antiqua"/>
          <w:lang w:val="en-US"/>
        </w:rPr>
      </w:pPr>
      <w:r w:rsidRPr="54937204">
        <w:rPr>
          <w:rFonts w:cs="Book Antiqua"/>
          <w:lang w:val="en-US"/>
        </w:rPr>
        <w:t>The support outlined in this measure is in addition to assistance provided under Disaster</w:t>
      </w:r>
      <w:r w:rsidR="00EB5256">
        <w:rPr>
          <w:rFonts w:cs="Book Antiqua"/>
          <w:lang w:val="en-US"/>
        </w:rPr>
        <w:t> </w:t>
      </w:r>
      <w:r w:rsidRPr="54937204">
        <w:rPr>
          <w:rFonts w:cs="Book Antiqua"/>
          <w:lang w:val="en-US"/>
        </w:rPr>
        <w:t>Recovery Funding Arrangements through which the Australian Government provides funding to states and territories to share the financial burden of responding to a</w:t>
      </w:r>
      <w:r w:rsidR="00EB5256">
        <w:rPr>
          <w:rFonts w:cs="Book Antiqua"/>
          <w:lang w:val="en-US"/>
        </w:rPr>
        <w:t> </w:t>
      </w:r>
      <w:r w:rsidRPr="54937204">
        <w:rPr>
          <w:rFonts w:cs="Book Antiqua"/>
          <w:lang w:val="en-US"/>
        </w:rPr>
        <w:t>natural disaster, and supports the provision of urgent financial assistance to disaster</w:t>
      </w:r>
      <w:r>
        <w:rPr>
          <w:rFonts w:cs="Book Antiqua"/>
        </w:rPr>
        <w:noBreakHyphen/>
      </w:r>
      <w:r w:rsidRPr="54937204">
        <w:rPr>
          <w:rFonts w:cs="Book Antiqua"/>
          <w:lang w:val="en-US"/>
        </w:rPr>
        <w:t xml:space="preserve">affected communities. </w:t>
      </w:r>
    </w:p>
    <w:p w14:paraId="4E3AA0DD" w14:textId="7777777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 xml:space="preserve">Budget measure titled </w:t>
      </w:r>
      <w:r w:rsidRPr="001C06E6">
        <w:rPr>
          <w:rFonts w:cs="Book Antiqua"/>
          <w:i/>
          <w:iCs/>
        </w:rPr>
        <w:t>Disaster Support</w:t>
      </w:r>
      <w:r w:rsidRPr="001C06E6">
        <w:rPr>
          <w:rFonts w:cs="Book Antiqua"/>
        </w:rPr>
        <w:t>.</w:t>
      </w:r>
      <w:r>
        <w:rPr>
          <w:rFonts w:cs="Book Antiqua"/>
        </w:rPr>
        <w:t xml:space="preserve"> </w:t>
      </w:r>
    </w:p>
    <w:p w14:paraId="3A3A143B" w14:textId="77777777" w:rsidR="0012790E" w:rsidRPr="001C06E6" w:rsidRDefault="0012790E" w:rsidP="54937204">
      <w:pPr>
        <w:pStyle w:val="MeasureTitle"/>
        <w:rPr>
          <w:b w:val="0"/>
          <w:lang w:val="en-US"/>
        </w:rPr>
      </w:pPr>
      <w:r w:rsidRPr="54937204">
        <w:rPr>
          <w:lang w:val="en-US"/>
        </w:rPr>
        <w:t>Infrastructure Upgrades at Yongah Hill Immigration Detention Centre</w:t>
      </w:r>
    </w:p>
    <w:p w14:paraId="6126DC05"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130430F" w14:textId="77777777">
        <w:tc>
          <w:tcPr>
            <w:tcW w:w="2497" w:type="dxa"/>
            <w:tcBorders>
              <w:top w:val="single" w:sz="4" w:space="0" w:color="293F5B"/>
              <w:bottom w:val="single" w:sz="4" w:space="0" w:color="293F5B"/>
            </w:tcBorders>
            <w:shd w:val="clear" w:color="auto" w:fill="auto"/>
          </w:tcPr>
          <w:p w14:paraId="2AD39BB0"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30869AF"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4CB21A3"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FD6337F"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7825B57"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EF6E807" w14:textId="77777777" w:rsidR="0012790E" w:rsidRPr="001C06E6" w:rsidRDefault="0012790E">
            <w:pPr>
              <w:pStyle w:val="MeasureTableYearHeadings"/>
              <w:keepNext/>
            </w:pPr>
            <w:r w:rsidRPr="001C06E6">
              <w:t>2027</w:t>
            </w:r>
            <w:r>
              <w:noBreakHyphen/>
            </w:r>
            <w:r w:rsidRPr="001C06E6">
              <w:t>28</w:t>
            </w:r>
          </w:p>
        </w:tc>
      </w:tr>
      <w:tr w:rsidR="0012790E" w:rsidRPr="001C06E6" w14:paraId="7C2F685F" w14:textId="77777777">
        <w:tc>
          <w:tcPr>
            <w:tcW w:w="2497" w:type="dxa"/>
            <w:tcBorders>
              <w:top w:val="single" w:sz="4" w:space="0" w:color="293F5B"/>
              <w:bottom w:val="single" w:sz="4" w:space="0" w:color="293F5B"/>
            </w:tcBorders>
            <w:shd w:val="clear" w:color="auto" w:fill="auto"/>
          </w:tcPr>
          <w:p w14:paraId="138993A8"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1FF25B8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FAD955F"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31481CC1"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3683D747"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7AE69D59" w14:textId="77777777" w:rsidR="0012790E" w:rsidRPr="001C06E6" w:rsidRDefault="0012790E">
            <w:pPr>
              <w:pStyle w:val="MeasureTableDataRightAlignedwith2ptsspacing"/>
              <w:keepNext/>
            </w:pPr>
            <w:r w:rsidRPr="001C06E6">
              <w:t>-</w:t>
            </w:r>
          </w:p>
        </w:tc>
      </w:tr>
    </w:tbl>
    <w:p w14:paraId="41C40D42"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193D637D" w14:textId="77777777" w:rsidR="0012790E" w:rsidRDefault="0012790E" w:rsidP="54937204">
      <w:pPr>
        <w:pStyle w:val="Normal2"/>
        <w:rPr>
          <w:rFonts w:cs="Book Antiqua"/>
          <w:lang w:val="en-US"/>
        </w:rPr>
      </w:pPr>
      <w:r w:rsidRPr="54937204">
        <w:rPr>
          <w:rFonts w:cs="Book Antiqua"/>
          <w:lang w:val="en-US"/>
        </w:rPr>
        <w:t xml:space="preserve">The Government will provide funding over three years from 2024–25 (including capital funding) to improve security at the Yongah Hill Immigration Detention Centre. </w:t>
      </w:r>
    </w:p>
    <w:p w14:paraId="631E62F6" w14:textId="77777777" w:rsidR="0012790E" w:rsidRDefault="0012790E" w:rsidP="54937204">
      <w:pPr>
        <w:pStyle w:val="Normal2"/>
        <w:rPr>
          <w:rFonts w:cs="Book Antiqua"/>
          <w:lang w:val="en-US"/>
        </w:rPr>
      </w:pPr>
      <w:r w:rsidRPr="54937204">
        <w:rPr>
          <w:rFonts w:cs="Book Antiqua"/>
          <w:lang w:val="en-US"/>
        </w:rPr>
        <w:t xml:space="preserve">The financial implications of this measure are not for publication (nfp) as disclosure would impair the Commonwealth’s position in negotiating contracts with industry. </w:t>
      </w:r>
    </w:p>
    <w:p w14:paraId="1FC76C2F" w14:textId="77777777" w:rsidR="0012790E" w:rsidRPr="001C06E6" w:rsidRDefault="0012790E">
      <w:pPr>
        <w:pStyle w:val="MeasureTitle"/>
        <w:rPr>
          <w:b w:val="0"/>
          <w:bCs/>
        </w:rPr>
      </w:pPr>
      <w:r w:rsidRPr="001C06E6">
        <w:rPr>
          <w:bCs/>
        </w:rPr>
        <w:t>Migration System Reforms</w:t>
      </w:r>
    </w:p>
    <w:p w14:paraId="408E015E"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FF9B5F9" w14:textId="77777777">
        <w:tc>
          <w:tcPr>
            <w:tcW w:w="2497" w:type="dxa"/>
            <w:tcBorders>
              <w:top w:val="single" w:sz="4" w:space="0" w:color="293F5B"/>
              <w:bottom w:val="single" w:sz="4" w:space="0" w:color="293F5B"/>
            </w:tcBorders>
            <w:shd w:val="clear" w:color="auto" w:fill="auto"/>
          </w:tcPr>
          <w:p w14:paraId="22D75921"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3A8302A2"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F08CACE"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F592564"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9FC3E07"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CE45E13" w14:textId="77777777" w:rsidR="0012790E" w:rsidRPr="001C06E6" w:rsidRDefault="0012790E">
            <w:pPr>
              <w:pStyle w:val="MeasureTableYearHeadings"/>
              <w:keepNext/>
            </w:pPr>
            <w:r w:rsidRPr="001C06E6">
              <w:t>2027</w:t>
            </w:r>
            <w:r>
              <w:noBreakHyphen/>
            </w:r>
            <w:r w:rsidRPr="001C06E6">
              <w:t>28</w:t>
            </w:r>
          </w:p>
        </w:tc>
      </w:tr>
      <w:tr w:rsidR="0012790E" w:rsidRPr="001C06E6" w14:paraId="44B4B07C" w14:textId="77777777">
        <w:tc>
          <w:tcPr>
            <w:tcW w:w="2497" w:type="dxa"/>
            <w:tcBorders>
              <w:top w:val="single" w:sz="4" w:space="0" w:color="293F5B"/>
              <w:bottom w:val="single" w:sz="4" w:space="0" w:color="293F5B"/>
            </w:tcBorders>
            <w:shd w:val="clear" w:color="auto" w:fill="auto"/>
          </w:tcPr>
          <w:p w14:paraId="29C6FEB4"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522612E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9B148F9" w14:textId="77777777" w:rsidR="0012790E" w:rsidRPr="001C06E6" w:rsidRDefault="0012790E">
            <w:pPr>
              <w:pStyle w:val="MeasureTableDataRightAlignedwith2ptsspacing"/>
              <w:keepNext/>
            </w:pPr>
            <w:r w:rsidRPr="001C06E6">
              <w:t>8.5</w:t>
            </w:r>
          </w:p>
        </w:tc>
        <w:tc>
          <w:tcPr>
            <w:tcW w:w="1045" w:type="dxa"/>
            <w:tcBorders>
              <w:top w:val="single" w:sz="4" w:space="0" w:color="293F5B"/>
              <w:bottom w:val="single" w:sz="4" w:space="0" w:color="293F5B"/>
            </w:tcBorders>
            <w:shd w:val="clear" w:color="auto" w:fill="auto"/>
          </w:tcPr>
          <w:p w14:paraId="41492C62" w14:textId="77777777" w:rsidR="0012790E" w:rsidRPr="001C06E6" w:rsidRDefault="0012790E">
            <w:pPr>
              <w:pStyle w:val="MeasureTableDataRightAlignedwith2ptsspacing"/>
              <w:keepNext/>
            </w:pPr>
            <w:r w:rsidRPr="001C06E6">
              <w:t>8.3</w:t>
            </w:r>
          </w:p>
        </w:tc>
        <w:tc>
          <w:tcPr>
            <w:tcW w:w="1045" w:type="dxa"/>
            <w:tcBorders>
              <w:top w:val="single" w:sz="4" w:space="0" w:color="293F5B"/>
              <w:bottom w:val="single" w:sz="4" w:space="0" w:color="293F5B"/>
            </w:tcBorders>
            <w:shd w:val="clear" w:color="auto" w:fill="auto"/>
          </w:tcPr>
          <w:p w14:paraId="2F3880B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5AEF9DF" w14:textId="77777777" w:rsidR="0012790E" w:rsidRPr="001C06E6" w:rsidRDefault="0012790E">
            <w:pPr>
              <w:pStyle w:val="MeasureTableDataRightAlignedwith2ptsspacing"/>
              <w:keepNext/>
            </w:pPr>
            <w:r w:rsidRPr="001C06E6">
              <w:t>-</w:t>
            </w:r>
          </w:p>
        </w:tc>
      </w:tr>
      <w:tr w:rsidR="0012790E" w:rsidRPr="001C06E6" w14:paraId="727642E6" w14:textId="77777777">
        <w:tc>
          <w:tcPr>
            <w:tcW w:w="2497" w:type="dxa"/>
            <w:tcBorders>
              <w:top w:val="single" w:sz="4" w:space="0" w:color="293F5B"/>
              <w:bottom w:val="single" w:sz="4" w:space="0" w:color="293F5B"/>
            </w:tcBorders>
            <w:shd w:val="clear" w:color="auto" w:fill="auto"/>
          </w:tcPr>
          <w:p w14:paraId="62E36208"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4834B6B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9520384" w14:textId="77777777" w:rsidR="0012790E" w:rsidRPr="001C06E6" w:rsidRDefault="0012790E">
            <w:pPr>
              <w:pStyle w:val="MeasureTableDataRightAlignedwith2ptsspacing"/>
              <w:keepNext/>
            </w:pPr>
            <w:r w:rsidRPr="001C06E6">
              <w:t>1.5</w:t>
            </w:r>
          </w:p>
        </w:tc>
        <w:tc>
          <w:tcPr>
            <w:tcW w:w="1045" w:type="dxa"/>
            <w:tcBorders>
              <w:top w:val="single" w:sz="4" w:space="0" w:color="293F5B"/>
              <w:bottom w:val="single" w:sz="4" w:space="0" w:color="293F5B"/>
            </w:tcBorders>
            <w:shd w:val="clear" w:color="auto" w:fill="auto"/>
          </w:tcPr>
          <w:p w14:paraId="4A5D968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365708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59A7B3A" w14:textId="77777777" w:rsidR="0012790E" w:rsidRPr="001C06E6" w:rsidRDefault="0012790E">
            <w:pPr>
              <w:pStyle w:val="MeasureTableDataRightAlignedwith2ptsspacing"/>
              <w:keepNext/>
            </w:pPr>
            <w:r w:rsidRPr="001C06E6">
              <w:t>-</w:t>
            </w:r>
          </w:p>
        </w:tc>
      </w:tr>
      <w:tr w:rsidR="0012790E" w:rsidRPr="001C06E6" w14:paraId="45C00983" w14:textId="77777777">
        <w:tc>
          <w:tcPr>
            <w:tcW w:w="2497" w:type="dxa"/>
            <w:tcBorders>
              <w:top w:val="single" w:sz="4" w:space="0" w:color="293F5B"/>
              <w:bottom w:val="single" w:sz="4" w:space="0" w:color="293F5B"/>
            </w:tcBorders>
            <w:shd w:val="clear" w:color="auto" w:fill="auto"/>
          </w:tcPr>
          <w:p w14:paraId="3DF161CC"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7041ACD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290BD3A" w14:textId="1BAABB6D" w:rsidR="0012790E" w:rsidRPr="001C06E6" w:rsidRDefault="001F3494">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25B81D22" w14:textId="7FE4FF90" w:rsidR="0012790E" w:rsidRPr="001C06E6" w:rsidRDefault="001F3494">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23426AA2" w14:textId="0F2D35A5" w:rsidR="0012790E" w:rsidRPr="001C06E6" w:rsidRDefault="001F3494">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4601950E" w14:textId="546FB802" w:rsidR="0012790E" w:rsidRPr="001C06E6" w:rsidRDefault="001F3494">
            <w:pPr>
              <w:pStyle w:val="MeasureTableDataRightAlignedwith2ptsspacing"/>
              <w:keepNext/>
            </w:pPr>
            <w:r>
              <w:t>*</w:t>
            </w:r>
          </w:p>
        </w:tc>
      </w:tr>
      <w:tr w:rsidR="0012790E" w:rsidRPr="001C06E6" w14:paraId="12418451" w14:textId="77777777">
        <w:tc>
          <w:tcPr>
            <w:tcW w:w="2497" w:type="dxa"/>
            <w:tcBorders>
              <w:top w:val="single" w:sz="4" w:space="0" w:color="293F5B"/>
              <w:bottom w:val="single" w:sz="4" w:space="0" w:color="293F5B"/>
            </w:tcBorders>
            <w:shd w:val="clear" w:color="auto" w:fill="auto"/>
          </w:tcPr>
          <w:p w14:paraId="7339AEBE"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06F1AC28"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00663B33" w14:textId="77777777" w:rsidR="0012790E" w:rsidRPr="001C06E6" w:rsidRDefault="0012790E">
            <w:pPr>
              <w:pStyle w:val="Totaldatarowrightaligned"/>
              <w:keepNext/>
            </w:pPr>
            <w:r w:rsidRPr="001C06E6">
              <w:t>10.0</w:t>
            </w:r>
          </w:p>
        </w:tc>
        <w:tc>
          <w:tcPr>
            <w:tcW w:w="1045" w:type="dxa"/>
            <w:tcBorders>
              <w:top w:val="single" w:sz="4" w:space="0" w:color="293F5B"/>
              <w:bottom w:val="single" w:sz="4" w:space="0" w:color="293F5B"/>
            </w:tcBorders>
            <w:shd w:val="clear" w:color="auto" w:fill="auto"/>
          </w:tcPr>
          <w:p w14:paraId="6CF9BDA2" w14:textId="77777777" w:rsidR="0012790E" w:rsidRPr="001C06E6" w:rsidRDefault="0012790E">
            <w:pPr>
              <w:pStyle w:val="Totaldatarowrightaligned"/>
              <w:keepNext/>
            </w:pPr>
            <w:r w:rsidRPr="001C06E6">
              <w:t>8.3</w:t>
            </w:r>
          </w:p>
        </w:tc>
        <w:tc>
          <w:tcPr>
            <w:tcW w:w="1045" w:type="dxa"/>
            <w:tcBorders>
              <w:top w:val="single" w:sz="4" w:space="0" w:color="293F5B"/>
              <w:bottom w:val="single" w:sz="4" w:space="0" w:color="293F5B"/>
            </w:tcBorders>
            <w:shd w:val="clear" w:color="auto" w:fill="auto"/>
          </w:tcPr>
          <w:p w14:paraId="43ECF334"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743AE3C9" w14:textId="77777777" w:rsidR="0012790E" w:rsidRPr="001C06E6" w:rsidRDefault="0012790E">
            <w:pPr>
              <w:pStyle w:val="Totaldatarowrightaligned"/>
              <w:keepNext/>
            </w:pPr>
            <w:r w:rsidRPr="001C06E6">
              <w:t>-</w:t>
            </w:r>
          </w:p>
        </w:tc>
      </w:tr>
      <w:tr w:rsidR="0012790E" w:rsidRPr="001C06E6" w14:paraId="4DCF3511" w14:textId="77777777">
        <w:tc>
          <w:tcPr>
            <w:tcW w:w="2497" w:type="dxa"/>
            <w:tcBorders>
              <w:top w:val="single" w:sz="4" w:space="0" w:color="293F5B"/>
            </w:tcBorders>
            <w:shd w:val="clear" w:color="auto" w:fill="auto"/>
          </w:tcPr>
          <w:p w14:paraId="767DD949"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5505B8C2" w14:textId="77777777" w:rsidR="0012790E" w:rsidRPr="001C06E6" w:rsidRDefault="0012790E">
            <w:pPr>
              <w:pStyle w:val="AgencyName"/>
              <w:keepNext/>
            </w:pPr>
          </w:p>
        </w:tc>
        <w:tc>
          <w:tcPr>
            <w:tcW w:w="1045" w:type="dxa"/>
            <w:tcBorders>
              <w:top w:val="single" w:sz="4" w:space="0" w:color="293F5B"/>
            </w:tcBorders>
            <w:shd w:val="clear" w:color="auto" w:fill="auto"/>
          </w:tcPr>
          <w:p w14:paraId="578DD267" w14:textId="77777777" w:rsidR="0012790E" w:rsidRPr="001C06E6" w:rsidRDefault="0012790E">
            <w:pPr>
              <w:pStyle w:val="AgencyName"/>
              <w:keepNext/>
            </w:pPr>
          </w:p>
        </w:tc>
        <w:tc>
          <w:tcPr>
            <w:tcW w:w="1045" w:type="dxa"/>
            <w:tcBorders>
              <w:top w:val="single" w:sz="4" w:space="0" w:color="293F5B"/>
            </w:tcBorders>
            <w:shd w:val="clear" w:color="auto" w:fill="auto"/>
          </w:tcPr>
          <w:p w14:paraId="76CD90C8" w14:textId="77777777" w:rsidR="0012790E" w:rsidRPr="001C06E6" w:rsidRDefault="0012790E">
            <w:pPr>
              <w:pStyle w:val="AgencyName"/>
              <w:keepNext/>
            </w:pPr>
          </w:p>
        </w:tc>
        <w:tc>
          <w:tcPr>
            <w:tcW w:w="1045" w:type="dxa"/>
            <w:tcBorders>
              <w:top w:val="single" w:sz="4" w:space="0" w:color="293F5B"/>
            </w:tcBorders>
            <w:shd w:val="clear" w:color="auto" w:fill="auto"/>
          </w:tcPr>
          <w:p w14:paraId="473840EB" w14:textId="77777777" w:rsidR="0012790E" w:rsidRPr="001C06E6" w:rsidRDefault="0012790E">
            <w:pPr>
              <w:pStyle w:val="AgencyName"/>
              <w:keepNext/>
            </w:pPr>
          </w:p>
        </w:tc>
        <w:tc>
          <w:tcPr>
            <w:tcW w:w="1045" w:type="dxa"/>
            <w:tcBorders>
              <w:top w:val="single" w:sz="4" w:space="0" w:color="293F5B"/>
            </w:tcBorders>
            <w:shd w:val="clear" w:color="auto" w:fill="auto"/>
          </w:tcPr>
          <w:p w14:paraId="541F3F60" w14:textId="77777777" w:rsidR="0012790E" w:rsidRPr="001C06E6" w:rsidRDefault="0012790E">
            <w:pPr>
              <w:pStyle w:val="AgencyName"/>
              <w:keepNext/>
            </w:pPr>
          </w:p>
        </w:tc>
      </w:tr>
      <w:tr w:rsidR="0012790E" w:rsidRPr="001C06E6" w14:paraId="61AAC380" w14:textId="77777777">
        <w:tc>
          <w:tcPr>
            <w:tcW w:w="2497" w:type="dxa"/>
            <w:tcBorders>
              <w:bottom w:val="single" w:sz="4" w:space="0" w:color="293F5B"/>
            </w:tcBorders>
            <w:shd w:val="clear" w:color="auto" w:fill="auto"/>
          </w:tcPr>
          <w:p w14:paraId="2133BC4C" w14:textId="77777777" w:rsidR="0012790E" w:rsidRPr="001C06E6" w:rsidRDefault="0012790E">
            <w:pPr>
              <w:pStyle w:val="AgencyNamewith2ptsspacing"/>
              <w:keepNext/>
            </w:pPr>
            <w:r w:rsidRPr="001C06E6">
              <w:t>Australian Taxation Office</w:t>
            </w:r>
          </w:p>
        </w:tc>
        <w:tc>
          <w:tcPr>
            <w:tcW w:w="1045" w:type="dxa"/>
            <w:tcBorders>
              <w:bottom w:val="single" w:sz="4" w:space="0" w:color="293F5B"/>
            </w:tcBorders>
            <w:shd w:val="clear" w:color="auto" w:fill="auto"/>
          </w:tcPr>
          <w:p w14:paraId="58CB7165"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0FCA1BF7" w14:textId="5CF2FFFD" w:rsidR="0012790E" w:rsidRPr="001C06E6" w:rsidRDefault="00BC1667">
            <w:pPr>
              <w:pStyle w:val="Measuretabledatarightaligneditalics"/>
              <w:keepNext/>
            </w:pPr>
            <w:r>
              <w:t>*</w:t>
            </w:r>
          </w:p>
        </w:tc>
        <w:tc>
          <w:tcPr>
            <w:tcW w:w="1045" w:type="dxa"/>
            <w:tcBorders>
              <w:bottom w:val="single" w:sz="4" w:space="0" w:color="293F5B"/>
            </w:tcBorders>
            <w:shd w:val="clear" w:color="auto" w:fill="auto"/>
          </w:tcPr>
          <w:p w14:paraId="579F9843" w14:textId="71536FE3" w:rsidR="0012790E" w:rsidRPr="001C06E6" w:rsidRDefault="00BC1667">
            <w:pPr>
              <w:pStyle w:val="Measuretabledatarightaligneditalics"/>
              <w:keepNext/>
            </w:pPr>
            <w:r>
              <w:t>*</w:t>
            </w:r>
          </w:p>
        </w:tc>
        <w:tc>
          <w:tcPr>
            <w:tcW w:w="1045" w:type="dxa"/>
            <w:tcBorders>
              <w:bottom w:val="single" w:sz="4" w:space="0" w:color="293F5B"/>
            </w:tcBorders>
            <w:shd w:val="clear" w:color="auto" w:fill="auto"/>
          </w:tcPr>
          <w:p w14:paraId="20A131C3" w14:textId="28F855A5" w:rsidR="0012790E" w:rsidRPr="001C06E6" w:rsidRDefault="00BC1667">
            <w:pPr>
              <w:pStyle w:val="Measuretabledatarightaligneditalics"/>
              <w:keepNext/>
            </w:pPr>
            <w:r>
              <w:t>*</w:t>
            </w:r>
          </w:p>
        </w:tc>
        <w:tc>
          <w:tcPr>
            <w:tcW w:w="1045" w:type="dxa"/>
            <w:tcBorders>
              <w:bottom w:val="single" w:sz="4" w:space="0" w:color="293F5B"/>
            </w:tcBorders>
            <w:shd w:val="clear" w:color="auto" w:fill="auto"/>
          </w:tcPr>
          <w:p w14:paraId="62FEBD23" w14:textId="59FA7049" w:rsidR="0012790E" w:rsidRPr="001C06E6" w:rsidRDefault="00BC1667">
            <w:pPr>
              <w:pStyle w:val="Measuretabledatarightaligneditalics"/>
              <w:keepNext/>
            </w:pPr>
            <w:r>
              <w:t>*</w:t>
            </w:r>
          </w:p>
        </w:tc>
      </w:tr>
      <w:tr w:rsidR="0012790E" w:rsidRPr="001C06E6" w14:paraId="3D3197A1" w14:textId="77777777">
        <w:tc>
          <w:tcPr>
            <w:tcW w:w="2497" w:type="dxa"/>
            <w:tcBorders>
              <w:top w:val="single" w:sz="4" w:space="0" w:color="293F5B"/>
              <w:bottom w:val="single" w:sz="4" w:space="0" w:color="293F5B"/>
            </w:tcBorders>
            <w:shd w:val="clear" w:color="auto" w:fill="auto"/>
          </w:tcPr>
          <w:p w14:paraId="6F1AF2E5" w14:textId="77777777" w:rsidR="0012790E" w:rsidRPr="001C06E6" w:rsidRDefault="0012790E">
            <w:pPr>
              <w:pStyle w:val="AgencyName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77E51C85"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2B8418B9" w14:textId="77777777" w:rsidR="0012790E" w:rsidRPr="001C06E6" w:rsidRDefault="0012790E">
            <w:pPr>
              <w:pStyle w:val="Measuretabledatarightaligneditalics"/>
              <w:keepNext/>
            </w:pPr>
            <w:r w:rsidRPr="001C06E6">
              <w:t>-45.0</w:t>
            </w:r>
          </w:p>
        </w:tc>
        <w:tc>
          <w:tcPr>
            <w:tcW w:w="1045" w:type="dxa"/>
            <w:tcBorders>
              <w:top w:val="single" w:sz="4" w:space="0" w:color="293F5B"/>
              <w:bottom w:val="single" w:sz="4" w:space="0" w:color="293F5B"/>
            </w:tcBorders>
            <w:shd w:val="clear" w:color="auto" w:fill="auto"/>
          </w:tcPr>
          <w:p w14:paraId="05B5352C" w14:textId="77777777" w:rsidR="0012790E" w:rsidRPr="001C06E6" w:rsidRDefault="0012790E">
            <w:pPr>
              <w:pStyle w:val="Measuretabledatarightaligneditalics"/>
              <w:keepNext/>
            </w:pPr>
            <w:r w:rsidRPr="001C06E6">
              <w:t>-40.0</w:t>
            </w:r>
          </w:p>
        </w:tc>
        <w:tc>
          <w:tcPr>
            <w:tcW w:w="1045" w:type="dxa"/>
            <w:tcBorders>
              <w:top w:val="single" w:sz="4" w:space="0" w:color="293F5B"/>
              <w:bottom w:val="single" w:sz="4" w:space="0" w:color="293F5B"/>
            </w:tcBorders>
            <w:shd w:val="clear" w:color="auto" w:fill="auto"/>
          </w:tcPr>
          <w:p w14:paraId="13C582CC" w14:textId="77777777" w:rsidR="0012790E" w:rsidRPr="001C06E6" w:rsidRDefault="0012790E">
            <w:pPr>
              <w:pStyle w:val="Measuretabledatarightaligneditalics"/>
              <w:keepNext/>
            </w:pPr>
            <w:r w:rsidRPr="001C06E6">
              <w:t>-35.0</w:t>
            </w:r>
          </w:p>
        </w:tc>
        <w:tc>
          <w:tcPr>
            <w:tcW w:w="1045" w:type="dxa"/>
            <w:tcBorders>
              <w:top w:val="single" w:sz="4" w:space="0" w:color="293F5B"/>
              <w:bottom w:val="single" w:sz="4" w:space="0" w:color="293F5B"/>
            </w:tcBorders>
            <w:shd w:val="clear" w:color="auto" w:fill="auto"/>
          </w:tcPr>
          <w:p w14:paraId="1B378D3A" w14:textId="77777777" w:rsidR="0012790E" w:rsidRPr="001C06E6" w:rsidRDefault="0012790E">
            <w:pPr>
              <w:pStyle w:val="Measuretabledatarightaligneditalics"/>
              <w:keepNext/>
            </w:pPr>
            <w:r w:rsidRPr="001C06E6">
              <w:t>-35.0</w:t>
            </w:r>
          </w:p>
        </w:tc>
      </w:tr>
      <w:tr w:rsidR="0012790E" w:rsidRPr="001C06E6" w14:paraId="36C9F0F7" w14:textId="77777777">
        <w:tc>
          <w:tcPr>
            <w:tcW w:w="2497" w:type="dxa"/>
            <w:tcBorders>
              <w:top w:val="single" w:sz="4" w:space="0" w:color="293F5B"/>
              <w:bottom w:val="single" w:sz="4" w:space="0" w:color="293F5B"/>
            </w:tcBorders>
            <w:shd w:val="clear" w:color="auto" w:fill="auto"/>
          </w:tcPr>
          <w:p w14:paraId="3292BFC0" w14:textId="77777777" w:rsidR="0012790E" w:rsidRPr="001C06E6" w:rsidRDefault="0012790E">
            <w:pPr>
              <w:pStyle w:val="Totalrowitalicsleftaligned"/>
              <w:keepNext/>
            </w:pPr>
            <w:r w:rsidRPr="001C06E6">
              <w:t>Total – Receipts</w:t>
            </w:r>
          </w:p>
        </w:tc>
        <w:tc>
          <w:tcPr>
            <w:tcW w:w="1045" w:type="dxa"/>
            <w:tcBorders>
              <w:top w:val="single" w:sz="4" w:space="0" w:color="293F5B"/>
              <w:bottom w:val="single" w:sz="4" w:space="0" w:color="293F5B"/>
            </w:tcBorders>
            <w:shd w:val="clear" w:color="auto" w:fill="auto"/>
          </w:tcPr>
          <w:p w14:paraId="42D2EE6F"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3111EF51" w14:textId="77777777" w:rsidR="0012790E" w:rsidRPr="001C06E6" w:rsidRDefault="0012790E">
            <w:pPr>
              <w:pStyle w:val="Totalrowitalicsrightaligned"/>
              <w:keepNext/>
            </w:pPr>
            <w:r w:rsidRPr="001C06E6">
              <w:t>-45.0</w:t>
            </w:r>
          </w:p>
        </w:tc>
        <w:tc>
          <w:tcPr>
            <w:tcW w:w="1045" w:type="dxa"/>
            <w:tcBorders>
              <w:top w:val="single" w:sz="4" w:space="0" w:color="293F5B"/>
              <w:bottom w:val="single" w:sz="4" w:space="0" w:color="293F5B"/>
            </w:tcBorders>
            <w:shd w:val="clear" w:color="auto" w:fill="auto"/>
          </w:tcPr>
          <w:p w14:paraId="1816CBD9" w14:textId="77777777" w:rsidR="0012790E" w:rsidRPr="001C06E6" w:rsidRDefault="0012790E">
            <w:pPr>
              <w:pStyle w:val="Totalrowitalicsrightaligned"/>
              <w:keepNext/>
            </w:pPr>
            <w:r w:rsidRPr="001C06E6">
              <w:t>-40.0</w:t>
            </w:r>
          </w:p>
        </w:tc>
        <w:tc>
          <w:tcPr>
            <w:tcW w:w="1045" w:type="dxa"/>
            <w:tcBorders>
              <w:top w:val="single" w:sz="4" w:space="0" w:color="293F5B"/>
              <w:bottom w:val="single" w:sz="4" w:space="0" w:color="293F5B"/>
            </w:tcBorders>
            <w:shd w:val="clear" w:color="auto" w:fill="auto"/>
          </w:tcPr>
          <w:p w14:paraId="3D96FA01" w14:textId="77777777" w:rsidR="0012790E" w:rsidRPr="001C06E6" w:rsidRDefault="0012790E">
            <w:pPr>
              <w:pStyle w:val="Totalrowitalicsrightaligned"/>
              <w:keepNext/>
            </w:pPr>
            <w:r w:rsidRPr="001C06E6">
              <w:t>-35.0</w:t>
            </w:r>
          </w:p>
        </w:tc>
        <w:tc>
          <w:tcPr>
            <w:tcW w:w="1045" w:type="dxa"/>
            <w:tcBorders>
              <w:top w:val="single" w:sz="4" w:space="0" w:color="293F5B"/>
              <w:bottom w:val="single" w:sz="4" w:space="0" w:color="293F5B"/>
            </w:tcBorders>
            <w:shd w:val="clear" w:color="auto" w:fill="auto"/>
          </w:tcPr>
          <w:p w14:paraId="6401DEB7" w14:textId="77777777" w:rsidR="0012790E" w:rsidRPr="001C06E6" w:rsidRDefault="0012790E">
            <w:pPr>
              <w:pStyle w:val="Totalrowitalicsrightaligned"/>
              <w:keepNext/>
            </w:pPr>
            <w:r w:rsidRPr="001C06E6">
              <w:t>-35.0</w:t>
            </w:r>
          </w:p>
        </w:tc>
      </w:tr>
    </w:tbl>
    <w:p w14:paraId="7C2E0F70" w14:textId="77777777" w:rsidR="0012790E" w:rsidRPr="001C06E6" w:rsidRDefault="0012790E">
      <w:pPr>
        <w:keepNext/>
        <w:widowControl w:val="0"/>
        <w:tabs>
          <w:tab w:val="right" w:pos="3536"/>
          <w:tab w:val="right" w:pos="4579"/>
          <w:tab w:val="right" w:pos="5622"/>
          <w:tab w:val="right" w:pos="6664"/>
          <w:tab w:val="right" w:pos="7707"/>
        </w:tabs>
        <w:spacing w:line="226" w:lineRule="exact"/>
        <w:rPr>
          <w:i/>
          <w:iCs/>
          <w:color w:val="000000"/>
          <w:sz w:val="16"/>
          <w:szCs w:val="16"/>
          <w:lang w:val="en-AU"/>
        </w:rPr>
      </w:pPr>
    </w:p>
    <w:p w14:paraId="0E13487B" w14:textId="77777777" w:rsidR="0012790E" w:rsidRDefault="0012790E">
      <w:pPr>
        <w:pStyle w:val="Normal2"/>
        <w:rPr>
          <w:rFonts w:cs="Book Antiqua"/>
        </w:rPr>
      </w:pPr>
      <w:r w:rsidRPr="001C06E6">
        <w:rPr>
          <w:rFonts w:cs="Book Antiqua"/>
        </w:rPr>
        <w:t>The Government will provide $18.3</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to further</w:t>
      </w:r>
      <w:r>
        <w:rPr>
          <w:rFonts w:cs="Book Antiqua"/>
        </w:rPr>
        <w:t xml:space="preserve"> </w:t>
      </w:r>
      <w:r w:rsidRPr="001C06E6">
        <w:rPr>
          <w:rFonts w:cs="Book Antiqua"/>
        </w:rPr>
        <w:t>reform Australia’s migration system to drive greater economic prosperity and restore</w:t>
      </w:r>
      <w:r>
        <w:rPr>
          <w:rFonts w:cs="Book Antiqua"/>
        </w:rPr>
        <w:t xml:space="preserve"> </w:t>
      </w:r>
      <w:r w:rsidRPr="001C06E6">
        <w:rPr>
          <w:rFonts w:cs="Book Antiqua"/>
        </w:rPr>
        <w:t>its integrity. Funding includes:</w:t>
      </w:r>
    </w:p>
    <w:p w14:paraId="14D055DA" w14:textId="77777777" w:rsidR="0012790E" w:rsidRDefault="0012790E">
      <w:pPr>
        <w:pStyle w:val="Bullet"/>
      </w:pPr>
      <w:r w:rsidRPr="001C06E6">
        <w:t>$15.0</w:t>
      </w:r>
      <w:r>
        <w:t> </w:t>
      </w:r>
      <w:r w:rsidRPr="001C06E6">
        <w:t xml:space="preserve">million over three years from </w:t>
      </w:r>
      <w:r>
        <w:t>2024–25</w:t>
      </w:r>
      <w:r w:rsidRPr="001C06E6">
        <w:t xml:space="preserve"> for information and education activities to provide migrant workers with accurate and appropriate information about workplace safeguards, protections and compliance measures related to migration laws</w:t>
      </w:r>
      <w:r>
        <w:t xml:space="preserve"> </w:t>
      </w:r>
    </w:p>
    <w:p w14:paraId="177A4465" w14:textId="77777777" w:rsidR="0012790E" w:rsidRDefault="0012790E">
      <w:pPr>
        <w:pStyle w:val="Bullet"/>
      </w:pPr>
      <w:r w:rsidRPr="001C06E6">
        <w:t>$1.9</w:t>
      </w:r>
      <w:r>
        <w:t> </w:t>
      </w:r>
      <w:r w:rsidRPr="001C06E6">
        <w:t xml:space="preserve">million in </w:t>
      </w:r>
      <w:r>
        <w:t>2024–25</w:t>
      </w:r>
      <w:r w:rsidRPr="001C06E6">
        <w:t xml:space="preserve"> to conduct a data</w:t>
      </w:r>
      <w:r>
        <w:noBreakHyphen/>
      </w:r>
      <w:r w:rsidRPr="001C06E6">
        <w:t>matching pilot between the Department of Home Affairs and the Australian Taxation Office of income and employment data to mitigate exploitation of migrant workers and abuse of Australia’s labour market and migration system.</w:t>
      </w:r>
      <w:r>
        <w:t xml:space="preserve"> </w:t>
      </w:r>
    </w:p>
    <w:p w14:paraId="489E9302" w14:textId="77777777" w:rsidR="0012790E" w:rsidRDefault="0012790E">
      <w:pPr>
        <w:pStyle w:val="Normal2"/>
        <w:rPr>
          <w:rFonts w:cs="Book Antiqua"/>
        </w:rPr>
      </w:pPr>
      <w:r w:rsidRPr="001C06E6">
        <w:rPr>
          <w:rFonts w:cs="Book Antiqua"/>
        </w:rPr>
        <w:t>The Government will implement a new National Innovation visa, replacing the current</w:t>
      </w:r>
      <w:r>
        <w:rPr>
          <w:rFonts w:cs="Book Antiqua"/>
        </w:rPr>
        <w:t xml:space="preserve"> </w:t>
      </w:r>
      <w:r w:rsidRPr="001C06E6">
        <w:rPr>
          <w:rFonts w:cs="Book Antiqua"/>
        </w:rPr>
        <w:t>Global Talent visa (subclass 858) from late 2024, to target exceptionally talented</w:t>
      </w:r>
      <w:r>
        <w:rPr>
          <w:rFonts w:cs="Book Antiqua"/>
        </w:rPr>
        <w:t xml:space="preserve"> </w:t>
      </w:r>
      <w:r w:rsidRPr="001C06E6">
        <w:rPr>
          <w:rFonts w:cs="Book Antiqua"/>
        </w:rPr>
        <w:t>migrants who will drive growth in sectors of national importance. The Business</w:t>
      </w:r>
      <w:r>
        <w:rPr>
          <w:rFonts w:cs="Book Antiqua"/>
        </w:rPr>
        <w:t xml:space="preserve"> </w:t>
      </w:r>
      <w:r w:rsidRPr="001C06E6">
        <w:rPr>
          <w:rFonts w:cs="Book Antiqua"/>
        </w:rPr>
        <w:t>Innovation and Investment visa program (BIIP) will cease, with refunds of the visa</w:t>
      </w:r>
      <w:r>
        <w:rPr>
          <w:rFonts w:cs="Book Antiqua"/>
        </w:rPr>
        <w:t xml:space="preserve"> </w:t>
      </w:r>
      <w:r w:rsidRPr="001C06E6">
        <w:rPr>
          <w:rFonts w:cs="Book Antiqua"/>
        </w:rPr>
        <w:t>application charge provided from September 2024 for those who wish to withdraw</w:t>
      </w:r>
      <w:r>
        <w:rPr>
          <w:rFonts w:cs="Book Antiqua"/>
        </w:rPr>
        <w:t xml:space="preserve"> </w:t>
      </w:r>
      <w:r w:rsidRPr="001C06E6">
        <w:rPr>
          <w:rFonts w:cs="Book Antiqua"/>
        </w:rPr>
        <w:t>their BIIP application. The measure includes $1.4</w:t>
      </w:r>
      <w:r>
        <w:rPr>
          <w:rFonts w:cs="Book Antiqua"/>
        </w:rPr>
        <w:t> </w:t>
      </w:r>
      <w:r w:rsidRPr="001C06E6">
        <w:rPr>
          <w:rFonts w:cs="Book Antiqua"/>
        </w:rPr>
        <w:t xml:space="preserve">million in </w:t>
      </w:r>
      <w:r>
        <w:rPr>
          <w:rFonts w:cs="Book Antiqua"/>
        </w:rPr>
        <w:t>2024–25</w:t>
      </w:r>
      <w:r w:rsidRPr="001C06E6">
        <w:rPr>
          <w:rFonts w:cs="Book Antiqua"/>
        </w:rPr>
        <w:t xml:space="preserve"> for necessary</w:t>
      </w:r>
      <w:r>
        <w:rPr>
          <w:rFonts w:cs="Book Antiqua"/>
        </w:rPr>
        <w:t xml:space="preserve"> </w:t>
      </w:r>
      <w:r w:rsidRPr="001C06E6">
        <w:rPr>
          <w:rFonts w:cs="Book Antiqua"/>
        </w:rPr>
        <w:t>system changes for the implementation of a new visa and closure of the BIIP. </w:t>
      </w:r>
      <w:r>
        <w:rPr>
          <w:rFonts w:cs="Book Antiqua"/>
        </w:rPr>
        <w:t xml:space="preserve"> </w:t>
      </w:r>
    </w:p>
    <w:p w14:paraId="067A9609" w14:textId="505DF63C" w:rsidR="0012790E" w:rsidRDefault="0012790E">
      <w:pPr>
        <w:pStyle w:val="Normal2"/>
        <w:rPr>
          <w:rFonts w:cs="Book Antiqua"/>
        </w:rPr>
      </w:pPr>
      <w:r w:rsidRPr="001C06E6">
        <w:rPr>
          <w:rFonts w:cs="Book Antiqua"/>
        </w:rPr>
        <w:t>The Government will also reduce the work experience requirement for the Temporary</w:t>
      </w:r>
      <w:r>
        <w:rPr>
          <w:rFonts w:cs="Book Antiqua"/>
        </w:rPr>
        <w:t xml:space="preserve"> </w:t>
      </w:r>
      <w:r w:rsidRPr="001C06E6">
        <w:rPr>
          <w:rFonts w:cs="Book Antiqua"/>
        </w:rPr>
        <w:t>Skill</w:t>
      </w:r>
      <w:r w:rsidR="00EB5256">
        <w:rPr>
          <w:rFonts w:cs="Book Antiqua"/>
        </w:rPr>
        <w:t> </w:t>
      </w:r>
      <w:r w:rsidRPr="001C06E6">
        <w:rPr>
          <w:rFonts w:cs="Book Antiqua"/>
        </w:rPr>
        <w:t>Shortage (subclass 482) visa from two years to one year for all applicants from</w:t>
      </w:r>
      <w:r>
        <w:rPr>
          <w:rFonts w:cs="Book Antiqua"/>
        </w:rPr>
        <w:t xml:space="preserve"> </w:t>
      </w:r>
      <w:r w:rsidRPr="001C06E6">
        <w:rPr>
          <w:rFonts w:cs="Book Antiqua"/>
        </w:rPr>
        <w:t>23 November 2024 onwards, with an unquantifiable increase in receipts and</w:t>
      </w:r>
      <w:r>
        <w:rPr>
          <w:rFonts w:cs="Book Antiqua"/>
        </w:rPr>
        <w:t xml:space="preserve"> </w:t>
      </w:r>
      <w:r w:rsidRPr="001C06E6">
        <w:rPr>
          <w:rFonts w:cs="Book Antiqua"/>
        </w:rPr>
        <w:t xml:space="preserve">payments over four years from </w:t>
      </w:r>
      <w:r>
        <w:rPr>
          <w:rFonts w:cs="Book Antiqua"/>
        </w:rPr>
        <w:t>2024–25</w:t>
      </w:r>
      <w:r w:rsidRPr="001C06E6">
        <w:rPr>
          <w:rFonts w:cs="Book Antiqua"/>
        </w:rPr>
        <w:t>.</w:t>
      </w:r>
      <w:r>
        <w:rPr>
          <w:rFonts w:cs="Book Antiqua"/>
        </w:rPr>
        <w:t xml:space="preserve"> </w:t>
      </w:r>
    </w:p>
    <w:p w14:paraId="27DA96BC" w14:textId="40BFA27B" w:rsidR="0012790E" w:rsidRDefault="0012790E" w:rsidP="54937204">
      <w:pPr>
        <w:pStyle w:val="Normal2"/>
        <w:rPr>
          <w:rFonts w:cs="Book Antiqua"/>
          <w:lang w:val="en-US"/>
        </w:rPr>
      </w:pPr>
      <w:r w:rsidRPr="54937204">
        <w:rPr>
          <w:rFonts w:cs="Book Antiqua"/>
          <w:lang w:val="en-US"/>
        </w:rPr>
        <w:t xml:space="preserve">The measure is estimated to decrease receipts by $155.0 million over four years from </w:t>
      </w:r>
      <w:r w:rsidR="000F6C53">
        <w:rPr>
          <w:rFonts w:cs="Book Antiqua"/>
          <w:lang w:val="en-US"/>
        </w:rPr>
        <w:br/>
      </w:r>
      <w:r w:rsidRPr="54937204">
        <w:rPr>
          <w:rFonts w:cs="Book Antiqua"/>
          <w:lang w:val="en-US"/>
        </w:rPr>
        <w:t xml:space="preserve">2024–25, predominantly from the closure of BIIP. </w:t>
      </w:r>
    </w:p>
    <w:p w14:paraId="07D57E5F" w14:textId="5C983244" w:rsidR="0012790E" w:rsidRDefault="0012790E" w:rsidP="54937204">
      <w:pPr>
        <w:pStyle w:val="Normal2"/>
        <w:rPr>
          <w:rFonts w:cs="Book Antiqua"/>
          <w:lang w:val="en-US"/>
        </w:rPr>
      </w:pPr>
      <w:r w:rsidRPr="54937204">
        <w:rPr>
          <w:rFonts w:cs="Book Antiqua"/>
          <w:lang w:val="en-US"/>
        </w:rPr>
        <w:t xml:space="preserve">This measure builds on the 2023–24 MYEFO measures titled </w:t>
      </w:r>
      <w:r w:rsidRPr="54937204">
        <w:rPr>
          <w:rFonts w:cs="Book Antiqua"/>
          <w:i/>
          <w:iCs/>
          <w:lang w:val="en-US"/>
        </w:rPr>
        <w:t>Migration System Reforms</w:t>
      </w:r>
      <w:r w:rsidRPr="54937204">
        <w:rPr>
          <w:rFonts w:cs="Book Antiqua"/>
          <w:lang w:val="en-US"/>
        </w:rPr>
        <w:t xml:space="preserve"> and</w:t>
      </w:r>
      <w:r w:rsidR="00EB5256">
        <w:rPr>
          <w:rFonts w:cs="Book Antiqua"/>
          <w:lang w:val="en-US"/>
        </w:rPr>
        <w:t> </w:t>
      </w:r>
      <w:r w:rsidRPr="54937204">
        <w:rPr>
          <w:rFonts w:cs="Book Antiqua"/>
          <w:i/>
          <w:iCs/>
          <w:lang w:val="en-US"/>
        </w:rPr>
        <w:t>Migration System Integrity</w:t>
      </w:r>
      <w:r w:rsidRPr="54937204">
        <w:rPr>
          <w:rFonts w:cs="Book Antiqua"/>
          <w:lang w:val="en-US"/>
        </w:rPr>
        <w:t xml:space="preserve">. See also the related receipt measure </w:t>
      </w:r>
      <w:r w:rsidRPr="54937204">
        <w:rPr>
          <w:rFonts w:cs="Book Antiqua"/>
          <w:i/>
          <w:iCs/>
          <w:lang w:val="en-US"/>
        </w:rPr>
        <w:t>Permanent Migration Program</w:t>
      </w:r>
      <w:r w:rsidR="00EB5256">
        <w:rPr>
          <w:rFonts w:cs="Book Antiqua"/>
          <w:i/>
          <w:iCs/>
          <w:lang w:val="en-US"/>
        </w:rPr>
        <w:t> </w:t>
      </w:r>
      <w:r w:rsidRPr="54937204">
        <w:rPr>
          <w:rFonts w:cs="Book Antiqua"/>
          <w:i/>
          <w:iCs/>
          <w:lang w:val="en-US"/>
        </w:rPr>
        <w:t>– 2024–25 planning levels and multi</w:t>
      </w:r>
      <w:r>
        <w:rPr>
          <w:rFonts w:cs="Book Antiqua"/>
          <w:i/>
          <w:iCs/>
        </w:rPr>
        <w:noBreakHyphen/>
      </w:r>
      <w:r w:rsidRPr="54937204">
        <w:rPr>
          <w:rFonts w:cs="Book Antiqua"/>
          <w:i/>
          <w:iCs/>
          <w:lang w:val="en-US"/>
        </w:rPr>
        <w:t>year planning</w:t>
      </w:r>
      <w:r w:rsidRPr="54937204">
        <w:rPr>
          <w:rFonts w:cs="Book Antiqua"/>
          <w:lang w:val="en-US"/>
        </w:rPr>
        <w:t xml:space="preserve"> in the Department of Home Affairs’ portfolio and payment measure the </w:t>
      </w:r>
      <w:r w:rsidRPr="54937204">
        <w:rPr>
          <w:rFonts w:cs="Book Antiqua"/>
          <w:i/>
          <w:iCs/>
          <w:lang w:val="en-US"/>
        </w:rPr>
        <w:t>Leaving Violence Program – financial support for victim</w:t>
      </w:r>
      <w:r>
        <w:rPr>
          <w:rFonts w:cs="Book Antiqua"/>
          <w:i/>
          <w:iCs/>
        </w:rPr>
        <w:noBreakHyphen/>
      </w:r>
      <w:r w:rsidRPr="54937204">
        <w:rPr>
          <w:rFonts w:cs="Book Antiqua"/>
          <w:i/>
          <w:iCs/>
          <w:lang w:val="en-US"/>
        </w:rPr>
        <w:t>survivors of intimate partner violence</w:t>
      </w:r>
      <w:r w:rsidRPr="54937204">
        <w:rPr>
          <w:rFonts w:cs="Book Antiqua"/>
          <w:lang w:val="en-US"/>
        </w:rPr>
        <w:t xml:space="preserve"> in the Department of Social Services’ portfolio. </w:t>
      </w:r>
    </w:p>
    <w:p w14:paraId="245DAE59" w14:textId="77777777" w:rsidR="0012790E" w:rsidRPr="001C06E6" w:rsidRDefault="0012790E" w:rsidP="54937204">
      <w:pPr>
        <w:pStyle w:val="MeasureTitle"/>
        <w:rPr>
          <w:b w:val="0"/>
          <w:lang w:val="en-US"/>
        </w:rPr>
      </w:pPr>
      <w:r w:rsidRPr="54937204">
        <w:rPr>
          <w:lang w:val="en-US"/>
        </w:rPr>
        <w:t>National Security Agencies – additional funding</w:t>
      </w:r>
    </w:p>
    <w:p w14:paraId="38F649C6"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17C011C" w14:textId="77777777">
        <w:tc>
          <w:tcPr>
            <w:tcW w:w="2497" w:type="dxa"/>
            <w:tcBorders>
              <w:top w:val="single" w:sz="4" w:space="0" w:color="293F5B"/>
              <w:bottom w:val="single" w:sz="4" w:space="0" w:color="293F5B"/>
            </w:tcBorders>
            <w:shd w:val="clear" w:color="auto" w:fill="auto"/>
          </w:tcPr>
          <w:p w14:paraId="5B7908AB"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D4E7CDC"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5718DD9C"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FFA93C5"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B03CE32"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C0A4814" w14:textId="77777777" w:rsidR="0012790E" w:rsidRPr="001C06E6" w:rsidRDefault="0012790E">
            <w:pPr>
              <w:pStyle w:val="MeasureTableYearHeadings"/>
              <w:keepNext/>
            </w:pPr>
            <w:r w:rsidRPr="001C06E6">
              <w:t>2027</w:t>
            </w:r>
            <w:r>
              <w:noBreakHyphen/>
            </w:r>
            <w:r w:rsidRPr="001C06E6">
              <w:t>28</w:t>
            </w:r>
          </w:p>
        </w:tc>
      </w:tr>
      <w:tr w:rsidR="0012790E" w:rsidRPr="001C06E6" w14:paraId="6DF3999E" w14:textId="77777777">
        <w:tc>
          <w:tcPr>
            <w:tcW w:w="2497" w:type="dxa"/>
            <w:tcBorders>
              <w:top w:val="single" w:sz="4" w:space="0" w:color="293F5B"/>
              <w:bottom w:val="single" w:sz="4" w:space="0" w:color="293F5B"/>
            </w:tcBorders>
            <w:shd w:val="clear" w:color="auto" w:fill="auto"/>
          </w:tcPr>
          <w:p w14:paraId="5D433A7B" w14:textId="77777777" w:rsidR="0012790E" w:rsidRPr="001C06E6" w:rsidRDefault="0012790E">
            <w:pPr>
              <w:pStyle w:val="MeasureTableHeadingleftalignedwith2ptsspacing"/>
              <w:keepNext/>
            </w:pPr>
            <w:r w:rsidRPr="001C06E6">
              <w:t>Various Agencies</w:t>
            </w:r>
          </w:p>
        </w:tc>
        <w:tc>
          <w:tcPr>
            <w:tcW w:w="1045" w:type="dxa"/>
            <w:tcBorders>
              <w:top w:val="single" w:sz="4" w:space="0" w:color="293F5B"/>
              <w:bottom w:val="single" w:sz="4" w:space="0" w:color="293F5B"/>
            </w:tcBorders>
            <w:shd w:val="clear" w:color="auto" w:fill="auto"/>
          </w:tcPr>
          <w:p w14:paraId="77275A12"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3BB75921"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03E312BF"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3952CF00" w14:textId="77777777" w:rsidR="0012790E" w:rsidRPr="001C06E6" w:rsidRDefault="0012790E">
            <w:pPr>
              <w:pStyle w:val="MeasureTableDataRightAlignedwith2ptsspacing"/>
              <w:keepNext/>
            </w:pPr>
            <w:r w:rsidRPr="001C06E6">
              <w:t>nfp</w:t>
            </w:r>
          </w:p>
        </w:tc>
        <w:tc>
          <w:tcPr>
            <w:tcW w:w="1045" w:type="dxa"/>
            <w:tcBorders>
              <w:top w:val="single" w:sz="4" w:space="0" w:color="293F5B"/>
              <w:bottom w:val="single" w:sz="4" w:space="0" w:color="293F5B"/>
            </w:tcBorders>
            <w:shd w:val="clear" w:color="auto" w:fill="auto"/>
          </w:tcPr>
          <w:p w14:paraId="38DC13E2" w14:textId="77777777" w:rsidR="0012790E" w:rsidRPr="001C06E6" w:rsidRDefault="0012790E">
            <w:pPr>
              <w:pStyle w:val="MeasureTableDataRightAlignedwith2ptsspacing"/>
              <w:keepNext/>
            </w:pPr>
            <w:r w:rsidRPr="001C06E6">
              <w:t>nfp</w:t>
            </w:r>
          </w:p>
        </w:tc>
      </w:tr>
    </w:tbl>
    <w:p w14:paraId="35593E68"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3BBBE6EF" w14:textId="77777777" w:rsidR="0012790E" w:rsidRDefault="0012790E" w:rsidP="54937204">
      <w:pPr>
        <w:pStyle w:val="Normal2"/>
        <w:rPr>
          <w:rFonts w:cs="Book Antiqua"/>
          <w:lang w:val="en-US"/>
        </w:rPr>
      </w:pPr>
      <w:r w:rsidRPr="54937204">
        <w:rPr>
          <w:rFonts w:cs="Book Antiqua"/>
          <w:lang w:val="en-US"/>
        </w:rPr>
        <w:t xml:space="preserve">The Government will provide additional funding to increase the capacity of national security agencies to meet the Government’s national security objectives. </w:t>
      </w:r>
    </w:p>
    <w:p w14:paraId="32973FC8" w14:textId="689CBA4D" w:rsidR="0012790E" w:rsidRDefault="0012790E" w:rsidP="54937204">
      <w:pPr>
        <w:pStyle w:val="Normal2"/>
        <w:rPr>
          <w:rFonts w:cs="Book Antiqua"/>
          <w:lang w:val="en-US"/>
        </w:rPr>
      </w:pPr>
      <w:r w:rsidRPr="54937204">
        <w:rPr>
          <w:rFonts w:cs="Book Antiqua"/>
          <w:lang w:val="en-US"/>
        </w:rPr>
        <w:t>The measure includes $66.3 million over four years from 2024–25 (and $17.0 million per</w:t>
      </w:r>
      <w:r w:rsidR="000F6C53">
        <w:rPr>
          <w:rFonts w:cs="Book Antiqua"/>
          <w:lang w:val="en-US"/>
        </w:rPr>
        <w:t> </w:t>
      </w:r>
      <w:r w:rsidRPr="54937204">
        <w:rPr>
          <w:rFonts w:cs="Book Antiqua"/>
          <w:lang w:val="en-US"/>
        </w:rPr>
        <w:t>year ongoing) to strengthen Australia’s ability to disrupt foreign interference and espionage threats, comprising:</w:t>
      </w:r>
    </w:p>
    <w:p w14:paraId="6F76B724" w14:textId="77777777" w:rsidR="0012790E" w:rsidRDefault="0012790E">
      <w:pPr>
        <w:pStyle w:val="Bullet"/>
      </w:pPr>
      <w:r w:rsidRPr="001C06E6">
        <w:t>$30.7</w:t>
      </w:r>
      <w:r>
        <w:t> </w:t>
      </w:r>
      <w:r w:rsidRPr="001C06E6">
        <w:t xml:space="preserve">million over four years from </w:t>
      </w:r>
      <w:r>
        <w:t>2024–25</w:t>
      </w:r>
      <w:r w:rsidRPr="001C06E6">
        <w:t xml:space="preserve"> (and $7.8</w:t>
      </w:r>
      <w:r>
        <w:t> </w:t>
      </w:r>
      <w:r w:rsidRPr="001C06E6">
        <w:t>million per year ongoing) to continue the Counter Foreign Interference Taskforce, which brings together the Australian Security Intelligence Organisation (ASIO), the Australian Federal Police (AFP), Australian Signals Directorate, the Australian Transaction Reports and Analysis Centre, the Australian Geospatial</w:t>
      </w:r>
      <w:r>
        <w:noBreakHyphen/>
      </w:r>
      <w:r w:rsidRPr="001C06E6">
        <w:t>Intelligence Organisation, and the Office of National Intelligence to discover, disrupt, and investigate foreign interference activity</w:t>
      </w:r>
      <w:r>
        <w:t xml:space="preserve"> </w:t>
      </w:r>
    </w:p>
    <w:p w14:paraId="385CD7F7" w14:textId="31336445" w:rsidR="0012790E" w:rsidRDefault="0012790E">
      <w:pPr>
        <w:pStyle w:val="Bullet"/>
      </w:pPr>
      <w:r w:rsidRPr="001C06E6">
        <w:t>$30.2</w:t>
      </w:r>
      <w:r>
        <w:t> </w:t>
      </w:r>
      <w:r w:rsidRPr="001C06E6">
        <w:t xml:space="preserve">million over four years from </w:t>
      </w:r>
      <w:r>
        <w:t>2024–25</w:t>
      </w:r>
      <w:r w:rsidRPr="001C06E6">
        <w:t xml:space="preserve"> (and $7.4</w:t>
      </w:r>
      <w:r>
        <w:t> </w:t>
      </w:r>
      <w:r w:rsidRPr="001C06E6">
        <w:t>million per year ongoing) to the Attorney</w:t>
      </w:r>
      <w:r>
        <w:noBreakHyphen/>
      </w:r>
      <w:r w:rsidRPr="001C06E6">
        <w:t>General’s Department and $5.5</w:t>
      </w:r>
      <w:r>
        <w:t> </w:t>
      </w:r>
      <w:r w:rsidRPr="001C06E6">
        <w:t xml:space="preserve">million over four years from </w:t>
      </w:r>
      <w:r>
        <w:t>2024–25</w:t>
      </w:r>
      <w:r w:rsidRPr="001C06E6">
        <w:t xml:space="preserve"> (and $1.8</w:t>
      </w:r>
      <w:r>
        <w:t> </w:t>
      </w:r>
      <w:r w:rsidRPr="001C06E6">
        <w:t>million per year ongoing) to the Office of the Director of Public Prosecutions to support the work of the Taskforce, including through the prosecution of espionage and</w:t>
      </w:r>
      <w:r w:rsidR="00EB5256">
        <w:t> </w:t>
      </w:r>
      <w:r w:rsidRPr="001C06E6">
        <w:t>foreign interference cases, the protection of national security information in legal proceedings and foreign influence transparency policy development and reform.</w:t>
      </w:r>
      <w:r>
        <w:t xml:space="preserve"> </w:t>
      </w:r>
    </w:p>
    <w:p w14:paraId="5CD5EA2F" w14:textId="77777777" w:rsidR="0012790E" w:rsidRPr="001C06E6" w:rsidRDefault="0012790E" w:rsidP="54937204">
      <w:pPr>
        <w:pStyle w:val="Normal2"/>
        <w:rPr>
          <w:rFonts w:cs="Book Antiqua"/>
          <w:lang w:val="en-US"/>
        </w:rPr>
      </w:pPr>
      <w:r w:rsidRPr="54937204">
        <w:rPr>
          <w:rFonts w:cs="Book Antiqua"/>
          <w:lang w:val="en-US"/>
        </w:rPr>
        <w:t xml:space="preserve">The cost of this element of the measure will be partially met from within the existing resourcing of the Department of Defence and savings identified in the 2024–25 Budget measure titled </w:t>
      </w:r>
      <w:r w:rsidRPr="54937204">
        <w:rPr>
          <w:rFonts w:cs="Book Antiqua"/>
          <w:i/>
          <w:iCs/>
          <w:lang w:val="en-US"/>
        </w:rPr>
        <w:t>Attorney</w:t>
      </w:r>
      <w:r>
        <w:rPr>
          <w:rFonts w:cs="Book Antiqua"/>
          <w:i/>
          <w:iCs/>
        </w:rPr>
        <w:noBreakHyphen/>
      </w:r>
      <w:r w:rsidRPr="54937204">
        <w:rPr>
          <w:rFonts w:cs="Book Antiqua"/>
          <w:i/>
          <w:iCs/>
          <w:lang w:val="en-US"/>
        </w:rPr>
        <w:t xml:space="preserve">General’s – reprioritisation. </w:t>
      </w:r>
    </w:p>
    <w:p w14:paraId="1585E38B" w14:textId="77777777" w:rsidR="0012790E" w:rsidRDefault="0012790E" w:rsidP="00EB5256">
      <w:pPr>
        <w:pStyle w:val="Normal2"/>
        <w:keepNext/>
        <w:keepLines/>
        <w:rPr>
          <w:rFonts w:cs="Book Antiqua"/>
          <w:lang w:val="en-US"/>
        </w:rPr>
      </w:pPr>
      <w:r w:rsidRPr="54937204">
        <w:rPr>
          <w:rFonts w:cs="Book Antiqua"/>
          <w:lang w:val="en-US"/>
        </w:rPr>
        <w:t xml:space="preserve">The Government will also provide $4.2 million over four years from 2024–25 (and $0.9 million per year ongoing) to establish a Technology Foreign Interference Taskforce, led by the Department of Home Affairs, to work with Australia’s technology sector to protect sensitive and proprietary information from espionage, sabotage, and foreign interference. The cost of this element will be met from within the existing resourcing of the Department of Home Affairs. </w:t>
      </w:r>
    </w:p>
    <w:p w14:paraId="4C771680" w14:textId="77777777" w:rsidR="0012790E" w:rsidRDefault="0012790E" w:rsidP="54937204">
      <w:pPr>
        <w:pStyle w:val="Normal2"/>
        <w:rPr>
          <w:rFonts w:cs="Book Antiqua"/>
          <w:lang w:val="en-US"/>
        </w:rPr>
      </w:pPr>
      <w:r w:rsidRPr="54937204">
        <w:rPr>
          <w:rFonts w:cs="Book Antiqua"/>
          <w:lang w:val="en-US"/>
        </w:rPr>
        <w:t xml:space="preserve">The Government will also provide $1.0 million over three years from 2024–25 to the Department of Industry, Science and Resources to establish a pilot program to strengthen the capabilities of Australia’s critical minerals sector to detect, prevent, and mitigate foreign interference. The cost of this element will be partially met from within the existing resourcing of the Department of Industry, Science and Resources. </w:t>
      </w:r>
    </w:p>
    <w:p w14:paraId="0FA6FF86" w14:textId="77777777" w:rsidR="0012790E" w:rsidRDefault="0012790E" w:rsidP="54937204">
      <w:pPr>
        <w:pStyle w:val="Normal2"/>
        <w:rPr>
          <w:rFonts w:cs="Book Antiqua"/>
          <w:lang w:val="en-US"/>
        </w:rPr>
      </w:pPr>
      <w:r w:rsidRPr="54937204">
        <w:rPr>
          <w:rFonts w:cs="Book Antiqua"/>
          <w:lang w:val="en-US"/>
        </w:rPr>
        <w:t>This measure also includes funding for ASIO and the AFP to support the intelligence and security requirements to safeguard the Nuclear</w:t>
      </w:r>
      <w:r>
        <w:rPr>
          <w:rFonts w:cs="Book Antiqua"/>
        </w:rPr>
        <w:noBreakHyphen/>
      </w:r>
      <w:r w:rsidRPr="54937204">
        <w:rPr>
          <w:rFonts w:cs="Book Antiqua"/>
          <w:lang w:val="en-US"/>
        </w:rPr>
        <w:t xml:space="preserve">Powered Submarine Enterprise. The cost of this element will be met from within the existing resourcing of the Department of Defence. </w:t>
      </w:r>
    </w:p>
    <w:p w14:paraId="14A5750D" w14:textId="4F8CA9DD" w:rsidR="0012790E" w:rsidRDefault="0012790E" w:rsidP="54937204">
      <w:pPr>
        <w:pStyle w:val="Normal2"/>
        <w:rPr>
          <w:rFonts w:cs="Book Antiqua"/>
          <w:lang w:val="en-US"/>
        </w:rPr>
      </w:pPr>
      <w:r w:rsidRPr="54937204">
        <w:rPr>
          <w:rFonts w:cs="Book Antiqua"/>
          <w:lang w:val="en-US"/>
        </w:rPr>
        <w:t>The funding for individual agencies is not for publication (nfp) due to national security</w:t>
      </w:r>
      <w:r w:rsidR="00EB5256">
        <w:rPr>
          <w:rFonts w:cs="Book Antiqua"/>
          <w:lang w:val="en-US"/>
        </w:rPr>
        <w:t> </w:t>
      </w:r>
      <w:r w:rsidRPr="54937204">
        <w:rPr>
          <w:rFonts w:cs="Book Antiqua"/>
          <w:lang w:val="en-US"/>
        </w:rPr>
        <w:t xml:space="preserve">sensitivities. </w:t>
      </w:r>
    </w:p>
    <w:p w14:paraId="2A881E22" w14:textId="77777777" w:rsidR="0012790E" w:rsidRPr="001C06E6" w:rsidRDefault="0012790E">
      <w:pPr>
        <w:pStyle w:val="MeasureTitle"/>
        <w:rPr>
          <w:b w:val="0"/>
          <w:bCs/>
        </w:rPr>
      </w:pPr>
      <w:r w:rsidRPr="001C06E6">
        <w:rPr>
          <w:bCs/>
        </w:rPr>
        <w:t>Reforms to Migrant and Refugee Settlement Services</w:t>
      </w:r>
    </w:p>
    <w:p w14:paraId="42F8D0D9"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890D5F6" w14:textId="77777777">
        <w:tc>
          <w:tcPr>
            <w:tcW w:w="2497" w:type="dxa"/>
            <w:tcBorders>
              <w:top w:val="single" w:sz="4" w:space="0" w:color="293F5B"/>
              <w:bottom w:val="single" w:sz="4" w:space="0" w:color="293F5B"/>
            </w:tcBorders>
            <w:shd w:val="clear" w:color="auto" w:fill="auto"/>
          </w:tcPr>
          <w:p w14:paraId="5E70EE25"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D6CEF10"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71C08B0"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986138B"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7A87989"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54B65E5" w14:textId="77777777" w:rsidR="0012790E" w:rsidRPr="001C06E6" w:rsidRDefault="0012790E">
            <w:pPr>
              <w:pStyle w:val="MeasureTableYearHeadings"/>
              <w:keepNext/>
            </w:pPr>
            <w:r w:rsidRPr="001C06E6">
              <w:t>2027</w:t>
            </w:r>
            <w:r>
              <w:noBreakHyphen/>
            </w:r>
            <w:r w:rsidRPr="001C06E6">
              <w:t>28</w:t>
            </w:r>
          </w:p>
        </w:tc>
      </w:tr>
      <w:tr w:rsidR="0012790E" w:rsidRPr="001C06E6" w14:paraId="3A4FCF13" w14:textId="77777777">
        <w:tc>
          <w:tcPr>
            <w:tcW w:w="2497" w:type="dxa"/>
            <w:tcBorders>
              <w:top w:val="single" w:sz="4" w:space="0" w:color="293F5B"/>
              <w:bottom w:val="single" w:sz="4" w:space="0" w:color="293F5B"/>
            </w:tcBorders>
            <w:shd w:val="clear" w:color="auto" w:fill="auto"/>
          </w:tcPr>
          <w:p w14:paraId="476D1B0E"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3FB3B603" w14:textId="77777777" w:rsidR="0012790E" w:rsidRPr="001C06E6" w:rsidRDefault="0012790E">
            <w:pPr>
              <w:pStyle w:val="MeasureTableDataRightAlignedwith2ptsspacing"/>
              <w:keepNext/>
            </w:pPr>
            <w:r w:rsidRPr="001C06E6">
              <w:t>0.3</w:t>
            </w:r>
          </w:p>
        </w:tc>
        <w:tc>
          <w:tcPr>
            <w:tcW w:w="1045" w:type="dxa"/>
            <w:tcBorders>
              <w:top w:val="single" w:sz="4" w:space="0" w:color="293F5B"/>
              <w:bottom w:val="single" w:sz="4" w:space="0" w:color="293F5B"/>
            </w:tcBorders>
            <w:shd w:val="clear" w:color="auto" w:fill="auto"/>
          </w:tcPr>
          <w:p w14:paraId="6C5A675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33B045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A225D2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35BF842" w14:textId="77777777" w:rsidR="0012790E" w:rsidRPr="001C06E6" w:rsidRDefault="0012790E">
            <w:pPr>
              <w:pStyle w:val="MeasureTableDataRightAlignedwith2ptsspacing"/>
              <w:keepNext/>
            </w:pPr>
            <w:r w:rsidRPr="001C06E6">
              <w:t>-</w:t>
            </w:r>
          </w:p>
        </w:tc>
      </w:tr>
      <w:tr w:rsidR="0012790E" w:rsidRPr="001C06E6" w14:paraId="43756B8C" w14:textId="77777777">
        <w:tc>
          <w:tcPr>
            <w:tcW w:w="2497" w:type="dxa"/>
            <w:tcBorders>
              <w:top w:val="single" w:sz="4" w:space="0" w:color="293F5B"/>
              <w:bottom w:val="single" w:sz="4" w:space="0" w:color="293F5B"/>
            </w:tcBorders>
            <w:shd w:val="clear" w:color="auto" w:fill="auto"/>
          </w:tcPr>
          <w:p w14:paraId="22C7D03D"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668C80C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7367E6F" w14:textId="77777777" w:rsidR="0012790E" w:rsidRPr="001C06E6" w:rsidRDefault="0012790E">
            <w:pPr>
              <w:pStyle w:val="MeasureTableDataRightAlignedwith2ptsspacing"/>
              <w:keepNext/>
            </w:pPr>
            <w:r w:rsidRPr="001C06E6">
              <w:t>35.4</w:t>
            </w:r>
          </w:p>
        </w:tc>
        <w:tc>
          <w:tcPr>
            <w:tcW w:w="1045" w:type="dxa"/>
            <w:tcBorders>
              <w:top w:val="single" w:sz="4" w:space="0" w:color="293F5B"/>
              <w:bottom w:val="single" w:sz="4" w:space="0" w:color="293F5B"/>
            </w:tcBorders>
            <w:shd w:val="clear" w:color="auto" w:fill="auto"/>
          </w:tcPr>
          <w:p w14:paraId="409D3E1E" w14:textId="77777777" w:rsidR="0012790E" w:rsidRPr="001C06E6" w:rsidRDefault="0012790E">
            <w:pPr>
              <w:pStyle w:val="MeasureTableDataRightAlignedwith2ptsspacing"/>
              <w:keepNext/>
            </w:pPr>
            <w:r w:rsidRPr="001C06E6">
              <w:t>37.1</w:t>
            </w:r>
          </w:p>
        </w:tc>
        <w:tc>
          <w:tcPr>
            <w:tcW w:w="1045" w:type="dxa"/>
            <w:tcBorders>
              <w:top w:val="single" w:sz="4" w:space="0" w:color="293F5B"/>
              <w:bottom w:val="single" w:sz="4" w:space="0" w:color="293F5B"/>
            </w:tcBorders>
            <w:shd w:val="clear" w:color="auto" w:fill="auto"/>
          </w:tcPr>
          <w:p w14:paraId="6B64DDE9" w14:textId="77777777" w:rsidR="0012790E" w:rsidRPr="001C06E6" w:rsidRDefault="0012790E">
            <w:pPr>
              <w:pStyle w:val="MeasureTableDataRightAlignedwith2ptsspacing"/>
              <w:keepNext/>
            </w:pPr>
            <w:r w:rsidRPr="001C06E6">
              <w:t>23.0</w:t>
            </w:r>
          </w:p>
        </w:tc>
        <w:tc>
          <w:tcPr>
            <w:tcW w:w="1045" w:type="dxa"/>
            <w:tcBorders>
              <w:top w:val="single" w:sz="4" w:space="0" w:color="293F5B"/>
              <w:bottom w:val="single" w:sz="4" w:space="0" w:color="293F5B"/>
            </w:tcBorders>
            <w:shd w:val="clear" w:color="auto" w:fill="auto"/>
          </w:tcPr>
          <w:p w14:paraId="17A22BC2" w14:textId="77777777" w:rsidR="0012790E" w:rsidRPr="001C06E6" w:rsidRDefault="0012790E">
            <w:pPr>
              <w:pStyle w:val="MeasureTableDataRightAlignedwith2ptsspacing"/>
              <w:keepNext/>
            </w:pPr>
            <w:r w:rsidRPr="001C06E6">
              <w:t>23.5</w:t>
            </w:r>
          </w:p>
        </w:tc>
      </w:tr>
      <w:tr w:rsidR="0012790E" w:rsidRPr="001C06E6" w14:paraId="781C32BA" w14:textId="77777777">
        <w:tc>
          <w:tcPr>
            <w:tcW w:w="2497" w:type="dxa"/>
            <w:tcBorders>
              <w:top w:val="single" w:sz="4" w:space="0" w:color="293F5B"/>
              <w:bottom w:val="single" w:sz="4" w:space="0" w:color="293F5B"/>
            </w:tcBorders>
            <w:shd w:val="clear" w:color="auto" w:fill="auto"/>
          </w:tcPr>
          <w:p w14:paraId="0AABAAEF"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76C95AD4"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5AE6636" w14:textId="77777777" w:rsidR="0012790E" w:rsidRPr="001C06E6" w:rsidRDefault="0012790E">
            <w:pPr>
              <w:pStyle w:val="MeasureTableDataRightAlignedwith2ptsspacing"/>
              <w:keepNext/>
            </w:pPr>
            <w:r>
              <w:t xml:space="preserve">0.4 </w:t>
            </w:r>
          </w:p>
        </w:tc>
        <w:tc>
          <w:tcPr>
            <w:tcW w:w="1045" w:type="dxa"/>
            <w:tcBorders>
              <w:top w:val="single" w:sz="4" w:space="0" w:color="293F5B"/>
              <w:bottom w:val="single" w:sz="4" w:space="0" w:color="293F5B"/>
            </w:tcBorders>
            <w:shd w:val="clear" w:color="auto" w:fill="auto"/>
          </w:tcPr>
          <w:p w14:paraId="2E93EE60" w14:textId="77777777" w:rsidR="0012790E" w:rsidRPr="001C06E6" w:rsidRDefault="0012790E">
            <w:pPr>
              <w:pStyle w:val="MeasureTableDataRightAlignedwith2ptsspacing"/>
              <w:keepNext/>
            </w:pPr>
            <w:r>
              <w:t xml:space="preserve">0.6 </w:t>
            </w:r>
          </w:p>
        </w:tc>
        <w:tc>
          <w:tcPr>
            <w:tcW w:w="1045" w:type="dxa"/>
            <w:tcBorders>
              <w:top w:val="single" w:sz="4" w:space="0" w:color="293F5B"/>
              <w:bottom w:val="single" w:sz="4" w:space="0" w:color="293F5B"/>
            </w:tcBorders>
            <w:shd w:val="clear" w:color="auto" w:fill="auto"/>
          </w:tcPr>
          <w:p w14:paraId="7C2C9AA9" w14:textId="77777777" w:rsidR="0012790E" w:rsidRPr="001C06E6" w:rsidRDefault="0012790E">
            <w:pPr>
              <w:pStyle w:val="MeasureTableDataRightAlignedwith2ptsspacing"/>
              <w:keepNext/>
            </w:pPr>
            <w:r>
              <w:t xml:space="preserve">0.7 </w:t>
            </w:r>
          </w:p>
        </w:tc>
        <w:tc>
          <w:tcPr>
            <w:tcW w:w="1045" w:type="dxa"/>
            <w:tcBorders>
              <w:top w:val="single" w:sz="4" w:space="0" w:color="293F5B"/>
              <w:bottom w:val="single" w:sz="4" w:space="0" w:color="293F5B"/>
            </w:tcBorders>
            <w:shd w:val="clear" w:color="auto" w:fill="auto"/>
          </w:tcPr>
          <w:p w14:paraId="563631AA" w14:textId="77777777" w:rsidR="0012790E" w:rsidRPr="001C06E6" w:rsidRDefault="0012790E">
            <w:pPr>
              <w:pStyle w:val="MeasureTableDataRightAlignedwith2ptsspacing"/>
              <w:keepNext/>
            </w:pPr>
            <w:r>
              <w:t xml:space="preserve">.. </w:t>
            </w:r>
          </w:p>
        </w:tc>
      </w:tr>
      <w:tr w:rsidR="0012790E" w:rsidRPr="001C06E6" w14:paraId="2E926FAA" w14:textId="77777777">
        <w:tc>
          <w:tcPr>
            <w:tcW w:w="2497" w:type="dxa"/>
            <w:tcBorders>
              <w:top w:val="single" w:sz="4" w:space="0" w:color="293F5B"/>
              <w:bottom w:val="single" w:sz="4" w:space="0" w:color="293F5B"/>
            </w:tcBorders>
            <w:shd w:val="clear" w:color="auto" w:fill="auto"/>
          </w:tcPr>
          <w:p w14:paraId="6CD2FFF4"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75B2338A" w14:textId="77777777" w:rsidR="0012790E" w:rsidRPr="001C06E6" w:rsidRDefault="0012790E">
            <w:pPr>
              <w:pStyle w:val="Totaldatarowrightaligned"/>
              <w:keepNext/>
            </w:pPr>
            <w:r w:rsidRPr="001C06E6">
              <w:t>0.3</w:t>
            </w:r>
          </w:p>
        </w:tc>
        <w:tc>
          <w:tcPr>
            <w:tcW w:w="1045" w:type="dxa"/>
            <w:tcBorders>
              <w:top w:val="single" w:sz="4" w:space="0" w:color="293F5B"/>
              <w:bottom w:val="single" w:sz="4" w:space="0" w:color="293F5B"/>
            </w:tcBorders>
            <w:shd w:val="clear" w:color="auto" w:fill="auto"/>
          </w:tcPr>
          <w:p w14:paraId="507037BB" w14:textId="77777777" w:rsidR="0012790E" w:rsidRPr="001C06E6" w:rsidRDefault="0012790E">
            <w:pPr>
              <w:pStyle w:val="Totaldatarowrightaligned"/>
              <w:keepNext/>
            </w:pPr>
            <w:r w:rsidRPr="001C06E6">
              <w:t>35.8</w:t>
            </w:r>
          </w:p>
        </w:tc>
        <w:tc>
          <w:tcPr>
            <w:tcW w:w="1045" w:type="dxa"/>
            <w:tcBorders>
              <w:top w:val="single" w:sz="4" w:space="0" w:color="293F5B"/>
              <w:bottom w:val="single" w:sz="4" w:space="0" w:color="293F5B"/>
            </w:tcBorders>
            <w:shd w:val="clear" w:color="auto" w:fill="auto"/>
          </w:tcPr>
          <w:p w14:paraId="7C16F1D9" w14:textId="77777777" w:rsidR="0012790E" w:rsidRPr="001C06E6" w:rsidRDefault="0012790E">
            <w:pPr>
              <w:pStyle w:val="Totaldatarowrightaligned"/>
              <w:keepNext/>
            </w:pPr>
            <w:r w:rsidRPr="001C06E6">
              <w:t>37.7</w:t>
            </w:r>
          </w:p>
        </w:tc>
        <w:tc>
          <w:tcPr>
            <w:tcW w:w="1045" w:type="dxa"/>
            <w:tcBorders>
              <w:top w:val="single" w:sz="4" w:space="0" w:color="293F5B"/>
              <w:bottom w:val="single" w:sz="4" w:space="0" w:color="293F5B"/>
            </w:tcBorders>
            <w:shd w:val="clear" w:color="auto" w:fill="auto"/>
          </w:tcPr>
          <w:p w14:paraId="174907C6" w14:textId="77777777" w:rsidR="0012790E" w:rsidRPr="001C06E6" w:rsidRDefault="0012790E">
            <w:pPr>
              <w:pStyle w:val="Totaldatarowrightaligned"/>
              <w:keepNext/>
            </w:pPr>
            <w:r w:rsidRPr="001C06E6">
              <w:t>23.7</w:t>
            </w:r>
          </w:p>
        </w:tc>
        <w:tc>
          <w:tcPr>
            <w:tcW w:w="1045" w:type="dxa"/>
            <w:tcBorders>
              <w:top w:val="single" w:sz="4" w:space="0" w:color="293F5B"/>
              <w:bottom w:val="single" w:sz="4" w:space="0" w:color="293F5B"/>
            </w:tcBorders>
            <w:shd w:val="clear" w:color="auto" w:fill="auto"/>
          </w:tcPr>
          <w:p w14:paraId="67BBE6CF" w14:textId="77777777" w:rsidR="0012790E" w:rsidRPr="001C06E6" w:rsidRDefault="0012790E">
            <w:pPr>
              <w:pStyle w:val="Totaldatarowrightaligned"/>
              <w:keepNext/>
            </w:pPr>
            <w:r w:rsidRPr="001C06E6">
              <w:t>23.5</w:t>
            </w:r>
          </w:p>
        </w:tc>
      </w:tr>
    </w:tbl>
    <w:p w14:paraId="42D285C7"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216305E7" w14:textId="77777777" w:rsidR="0012790E" w:rsidRDefault="0012790E">
      <w:pPr>
        <w:pStyle w:val="Normal2"/>
        <w:rPr>
          <w:rFonts w:cs="Book Antiqua"/>
        </w:rPr>
      </w:pPr>
      <w:r w:rsidRPr="001C06E6">
        <w:rPr>
          <w:rFonts w:cs="Book Antiqua"/>
        </w:rPr>
        <w:t>The Government will provide $120.9</w:t>
      </w:r>
      <w:r>
        <w:rPr>
          <w:rFonts w:cs="Book Antiqua"/>
        </w:rPr>
        <w:t> </w:t>
      </w:r>
      <w:r w:rsidRPr="001C06E6">
        <w:rPr>
          <w:rFonts w:cs="Book Antiqua"/>
        </w:rPr>
        <w:t xml:space="preserve">million over five years from </w:t>
      </w:r>
      <w:r>
        <w:rPr>
          <w:rFonts w:cs="Book Antiqua"/>
        </w:rPr>
        <w:t>2023–24</w:t>
      </w:r>
      <w:r w:rsidRPr="001C06E6">
        <w:rPr>
          <w:rFonts w:cs="Book Antiqua"/>
        </w:rPr>
        <w:t xml:space="preserve"> to improve</w:t>
      </w:r>
      <w:r>
        <w:rPr>
          <w:rFonts w:cs="Book Antiqua"/>
        </w:rPr>
        <w:t xml:space="preserve"> </w:t>
      </w:r>
      <w:r w:rsidRPr="001C06E6">
        <w:rPr>
          <w:rFonts w:cs="Book Antiqua"/>
        </w:rPr>
        <w:t>the sustainability of settlement services and promote better economic and social</w:t>
      </w:r>
      <w:r>
        <w:rPr>
          <w:rFonts w:cs="Book Antiqua"/>
        </w:rPr>
        <w:t xml:space="preserve"> </w:t>
      </w:r>
      <w:r w:rsidRPr="001C06E6">
        <w:rPr>
          <w:rFonts w:cs="Book Antiqua"/>
        </w:rPr>
        <w:t>outcomes for refugees and migrants. Funding includes:</w:t>
      </w:r>
    </w:p>
    <w:p w14:paraId="6EE623E4" w14:textId="77777777" w:rsidR="0012790E" w:rsidRDefault="0012790E">
      <w:pPr>
        <w:pStyle w:val="Bullet"/>
      </w:pPr>
      <w:r w:rsidRPr="001C06E6">
        <w:t>$86.6</w:t>
      </w:r>
      <w:r>
        <w:t> </w:t>
      </w:r>
      <w:r w:rsidRPr="001C06E6">
        <w:t xml:space="preserve">million over five years from </w:t>
      </w:r>
      <w:r>
        <w:t>2023–24</w:t>
      </w:r>
      <w:r w:rsidRPr="001C06E6">
        <w:t xml:space="preserve"> for the </w:t>
      </w:r>
      <w:r w:rsidRPr="001C06E6">
        <w:rPr>
          <w:i/>
          <w:iCs/>
        </w:rPr>
        <w:t>Humanitarian Settlement Program</w:t>
      </w:r>
      <w:r w:rsidRPr="001C06E6">
        <w:t xml:space="preserve"> to support settlement service delivery for refugees and migrants</w:t>
      </w:r>
      <w:r>
        <w:t xml:space="preserve"> </w:t>
      </w:r>
    </w:p>
    <w:p w14:paraId="2E41FEC5" w14:textId="780B3F2E" w:rsidR="003224EA" w:rsidRDefault="0012790E">
      <w:pPr>
        <w:pStyle w:val="Bullet"/>
      </w:pPr>
      <w:r w:rsidRPr="001C06E6">
        <w:t>$27.0</w:t>
      </w:r>
      <w:r>
        <w:t> </w:t>
      </w:r>
      <w:r w:rsidRPr="001C06E6">
        <w:t xml:space="preserve">million over three years from </w:t>
      </w:r>
      <w:r>
        <w:t>2024–25</w:t>
      </w:r>
      <w:r w:rsidRPr="001C06E6">
        <w:t xml:space="preserve"> to extend targeted support, including</w:t>
      </w:r>
      <w:r w:rsidR="003224EA">
        <w:t>:</w:t>
      </w:r>
      <w:r w:rsidR="00AA4CD3">
        <w:t xml:space="preserve"> </w:t>
      </w:r>
    </w:p>
    <w:p w14:paraId="0DFBCBC8" w14:textId="621A83DF" w:rsidR="0012790E" w:rsidRDefault="0012790E" w:rsidP="00F319D9">
      <w:pPr>
        <w:pStyle w:val="Dash"/>
      </w:pPr>
      <w:r w:rsidRPr="001C06E6">
        <w:rPr>
          <w:i/>
          <w:iCs/>
        </w:rPr>
        <w:t>Youth Transition Support</w:t>
      </w:r>
      <w:r w:rsidRPr="001C06E6">
        <w:t xml:space="preserve"> services to assist refugee and migrant youth to access education, employment and government services</w:t>
      </w:r>
      <w:r>
        <w:t xml:space="preserve"> </w:t>
      </w:r>
    </w:p>
    <w:p w14:paraId="0FC56524" w14:textId="77777777" w:rsidR="0012790E" w:rsidRPr="00EB5256" w:rsidRDefault="0012790E">
      <w:pPr>
        <w:pStyle w:val="Dash"/>
        <w:rPr>
          <w:spacing w:val="-2"/>
        </w:rPr>
      </w:pPr>
      <w:r w:rsidRPr="00EB5256">
        <w:rPr>
          <w:spacing w:val="-2"/>
        </w:rPr>
        <w:t xml:space="preserve">specialised support for refugee and migrant women experiencing domestic and family </w:t>
      </w:r>
      <w:r w:rsidRPr="001C06E6">
        <w:t xml:space="preserve">violence as part of the </w:t>
      </w:r>
      <w:r w:rsidRPr="001C06E6">
        <w:rPr>
          <w:i/>
          <w:iCs/>
        </w:rPr>
        <w:t>Settlement Engagement and Transition Support (SETS) Program</w:t>
      </w:r>
      <w:r w:rsidRPr="00EB5256">
        <w:rPr>
          <w:spacing w:val="-2"/>
        </w:rPr>
        <w:t xml:space="preserve"> </w:t>
      </w:r>
    </w:p>
    <w:p w14:paraId="22C5D35F" w14:textId="77777777" w:rsidR="0012790E" w:rsidRDefault="0012790E">
      <w:pPr>
        <w:pStyle w:val="Dash"/>
      </w:pPr>
      <w:r w:rsidRPr="001C06E6">
        <w:t>settlement support for Afghan humanitarian entrants</w:t>
      </w:r>
      <w:r>
        <w:t xml:space="preserve"> </w:t>
      </w:r>
    </w:p>
    <w:p w14:paraId="1A4AAD52" w14:textId="77777777" w:rsidR="0012790E" w:rsidRDefault="0012790E">
      <w:pPr>
        <w:pStyle w:val="Bullet"/>
      </w:pPr>
      <w:r w:rsidRPr="001C06E6">
        <w:t>$3.8</w:t>
      </w:r>
      <w:r>
        <w:t> </w:t>
      </w:r>
      <w:r w:rsidRPr="001C06E6">
        <w:t xml:space="preserve">million over four years from </w:t>
      </w:r>
      <w:r>
        <w:t>2024–25</w:t>
      </w:r>
      <w:r w:rsidRPr="001C06E6">
        <w:t xml:space="preserve"> to continue conversational English classes in Community Hubs</w:t>
      </w:r>
      <w:r>
        <w:t xml:space="preserve"> </w:t>
      </w:r>
    </w:p>
    <w:p w14:paraId="3DE7D30B" w14:textId="77777777" w:rsidR="0012790E" w:rsidRDefault="0012790E">
      <w:pPr>
        <w:pStyle w:val="Bullet"/>
      </w:pPr>
      <w:r w:rsidRPr="001C06E6">
        <w:t>$1.9</w:t>
      </w:r>
      <w:r>
        <w:t> </w:t>
      </w:r>
      <w:r w:rsidRPr="001C06E6">
        <w:t xml:space="preserve">million over five years from </w:t>
      </w:r>
      <w:r>
        <w:t>2023–24</w:t>
      </w:r>
      <w:r w:rsidRPr="001C06E6">
        <w:t xml:space="preserve"> to extend access to Medicare for Ukrainians and their immediate family members, who hold a Bridging visa E, until 30</w:t>
      </w:r>
      <w:r>
        <w:t> </w:t>
      </w:r>
      <w:r w:rsidRPr="001C06E6">
        <w:t>June</w:t>
      </w:r>
      <w:r>
        <w:t> </w:t>
      </w:r>
      <w:r w:rsidRPr="001C06E6">
        <w:t>2027</w:t>
      </w:r>
      <w:r>
        <w:t xml:space="preserve"> </w:t>
      </w:r>
    </w:p>
    <w:p w14:paraId="019825F1" w14:textId="0E694C5C" w:rsidR="0012790E" w:rsidRDefault="0012790E">
      <w:pPr>
        <w:pStyle w:val="Bullet"/>
      </w:pPr>
      <w:r w:rsidRPr="001C06E6">
        <w:t>$1.0</w:t>
      </w:r>
      <w:r>
        <w:t> </w:t>
      </w:r>
      <w:r w:rsidRPr="001C06E6">
        <w:t xml:space="preserve">million in </w:t>
      </w:r>
      <w:r>
        <w:t>2025–26</w:t>
      </w:r>
      <w:r w:rsidRPr="001C06E6">
        <w:t xml:space="preserve"> to extend the </w:t>
      </w:r>
      <w:r w:rsidRPr="001C06E6">
        <w:rPr>
          <w:i/>
          <w:iCs/>
        </w:rPr>
        <w:t>Community Refugee Integration and Settlement Pilot</w:t>
      </w:r>
      <w:r w:rsidRPr="001C06E6">
        <w:t xml:space="preserve"> to</w:t>
      </w:r>
      <w:r w:rsidR="00EB5256">
        <w:t> </w:t>
      </w:r>
      <w:r w:rsidRPr="001C06E6">
        <w:t>30</w:t>
      </w:r>
      <w:r>
        <w:t> </w:t>
      </w:r>
      <w:r w:rsidRPr="001C06E6">
        <w:t>June</w:t>
      </w:r>
      <w:r>
        <w:t> </w:t>
      </w:r>
      <w:r w:rsidRPr="001C06E6">
        <w:t>2026, to continue settlement services provided by community volunteers</w:t>
      </w:r>
      <w:r>
        <w:t xml:space="preserve"> </w:t>
      </w:r>
    </w:p>
    <w:p w14:paraId="44F432F7" w14:textId="77777777" w:rsidR="0012790E" w:rsidRDefault="0012790E">
      <w:pPr>
        <w:pStyle w:val="Bullet"/>
      </w:pPr>
      <w:r w:rsidRPr="001C06E6">
        <w:t>$0.6</w:t>
      </w:r>
      <w:r>
        <w:t> </w:t>
      </w:r>
      <w:r w:rsidRPr="001C06E6">
        <w:t xml:space="preserve">million over four years from </w:t>
      </w:r>
      <w:r>
        <w:t>2024–25</w:t>
      </w:r>
      <w:r w:rsidRPr="001C06E6">
        <w:t xml:space="preserve"> to the Department of Home Affairs to enhance management of humanitarian settlement programs.</w:t>
      </w:r>
      <w:r>
        <w:t xml:space="preserve"> </w:t>
      </w:r>
    </w:p>
    <w:p w14:paraId="67541235" w14:textId="77777777" w:rsidR="0012790E" w:rsidRDefault="0012790E">
      <w:pPr>
        <w:pStyle w:val="Normal2"/>
        <w:rPr>
          <w:rFonts w:cs="Book Antiqua"/>
        </w:rPr>
      </w:pPr>
      <w:r w:rsidRPr="001C06E6">
        <w:rPr>
          <w:rFonts w:cs="Book Antiqua"/>
        </w:rPr>
        <w:t xml:space="preserve">Parts of this measure support the implementation of the </w:t>
      </w:r>
      <w:r w:rsidRPr="001C06E6">
        <w:rPr>
          <w:rFonts w:cs="Book Antiqua"/>
          <w:i/>
          <w:iCs/>
        </w:rPr>
        <w:t>National Plan to End Violence</w:t>
      </w:r>
      <w:r>
        <w:rPr>
          <w:rFonts w:cs="Book Antiqua"/>
          <w:i/>
          <w:iCs/>
        </w:rPr>
        <w:t xml:space="preserve"> </w:t>
      </w:r>
      <w:r w:rsidRPr="001C06E6">
        <w:rPr>
          <w:rFonts w:cs="Book Antiqua"/>
          <w:i/>
          <w:iCs/>
        </w:rPr>
        <w:t xml:space="preserve">Against Women and Children </w:t>
      </w:r>
      <w:r>
        <w:rPr>
          <w:rFonts w:cs="Book Antiqua"/>
          <w:i/>
          <w:iCs/>
        </w:rPr>
        <w:t>2022–32</w:t>
      </w:r>
      <w:r w:rsidRPr="001C06E6">
        <w:rPr>
          <w:rFonts w:cs="Book Antiqua"/>
        </w:rPr>
        <w:t>.</w:t>
      </w:r>
      <w:r>
        <w:rPr>
          <w:rFonts w:cs="Book Antiqua"/>
        </w:rPr>
        <w:t xml:space="preserve"> </w:t>
      </w:r>
    </w:p>
    <w:p w14:paraId="1F4B76D0" w14:textId="3FAD25F2" w:rsidR="0012790E" w:rsidRPr="001C06E6" w:rsidRDefault="0012790E">
      <w:pPr>
        <w:pStyle w:val="Normal2"/>
        <w:rPr>
          <w:rFonts w:cs="Book Antiqua"/>
          <w:iCs/>
        </w:rPr>
      </w:pPr>
      <w:r w:rsidRPr="001C06E6">
        <w:rPr>
          <w:rFonts w:cs="Book Antiqua"/>
        </w:rPr>
        <w:t xml:space="preserve">This measure builds on the </w:t>
      </w:r>
      <w:r>
        <w:rPr>
          <w:rFonts w:cs="Book Antiqua"/>
        </w:rPr>
        <w:t>2023–24 </w:t>
      </w:r>
      <w:r w:rsidRPr="001C06E6">
        <w:rPr>
          <w:rFonts w:cs="Book Antiqua"/>
        </w:rPr>
        <w:t xml:space="preserve">Budget measure titled </w:t>
      </w:r>
      <w:r w:rsidRPr="001C06E6">
        <w:rPr>
          <w:rFonts w:cs="Book Antiqua"/>
          <w:i/>
          <w:iCs/>
        </w:rPr>
        <w:t>Migrant and Refugee</w:t>
      </w:r>
      <w:r>
        <w:rPr>
          <w:rFonts w:cs="Book Antiqua"/>
          <w:i/>
          <w:iCs/>
        </w:rPr>
        <w:t xml:space="preserve"> </w:t>
      </w:r>
      <w:r w:rsidRPr="001C06E6">
        <w:rPr>
          <w:rFonts w:cs="Book Antiqua"/>
          <w:i/>
          <w:iCs/>
        </w:rPr>
        <w:t>Settlement</w:t>
      </w:r>
      <w:r w:rsidR="00EB5256">
        <w:rPr>
          <w:rFonts w:cs="Book Antiqua"/>
          <w:i/>
          <w:iCs/>
        </w:rPr>
        <w:t> </w:t>
      </w:r>
      <w:r w:rsidRPr="001C06E6">
        <w:rPr>
          <w:rFonts w:cs="Book Antiqua"/>
          <w:i/>
          <w:iCs/>
        </w:rPr>
        <w:t>Services.</w:t>
      </w:r>
      <w:r>
        <w:rPr>
          <w:rFonts w:cs="Book Antiqua"/>
          <w:i/>
          <w:iCs/>
        </w:rPr>
        <w:t xml:space="preserve"> </w:t>
      </w:r>
    </w:p>
    <w:p w14:paraId="2D19D132" w14:textId="77777777" w:rsidR="0012790E" w:rsidRPr="001C06E6" w:rsidRDefault="0012790E" w:rsidP="54937204">
      <w:pPr>
        <w:pStyle w:val="MeasureTitle"/>
        <w:rPr>
          <w:b w:val="0"/>
          <w:lang w:val="en-US"/>
        </w:rPr>
      </w:pPr>
      <w:r w:rsidRPr="54937204">
        <w:rPr>
          <w:lang w:val="en-US"/>
        </w:rPr>
        <w:t>Support to Individuals from Israel and Occupied Palestinian Territories affected by the Hamas</w:t>
      </w:r>
      <w:r>
        <w:rPr>
          <w:bCs/>
        </w:rPr>
        <w:noBreakHyphen/>
      </w:r>
      <w:r w:rsidRPr="54937204">
        <w:rPr>
          <w:lang w:val="en-US"/>
        </w:rPr>
        <w:t>Israel conflict</w:t>
      </w:r>
    </w:p>
    <w:p w14:paraId="527B3784"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AD28F68" w14:textId="77777777">
        <w:tc>
          <w:tcPr>
            <w:tcW w:w="2497" w:type="dxa"/>
            <w:tcBorders>
              <w:top w:val="single" w:sz="4" w:space="0" w:color="293F5B"/>
              <w:bottom w:val="single" w:sz="4" w:space="0" w:color="293F5B"/>
            </w:tcBorders>
            <w:shd w:val="clear" w:color="auto" w:fill="auto"/>
          </w:tcPr>
          <w:p w14:paraId="5C0DA050"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1CC0358"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5AA8F81F"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F439D19"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FEE87C4"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CDB798A" w14:textId="77777777" w:rsidR="0012790E" w:rsidRPr="001C06E6" w:rsidRDefault="0012790E">
            <w:pPr>
              <w:pStyle w:val="MeasureTableYearHeadings"/>
              <w:keepNext/>
            </w:pPr>
            <w:r w:rsidRPr="001C06E6">
              <w:t>2027</w:t>
            </w:r>
            <w:r>
              <w:noBreakHyphen/>
            </w:r>
            <w:r w:rsidRPr="001C06E6">
              <w:t>28</w:t>
            </w:r>
          </w:p>
        </w:tc>
      </w:tr>
      <w:tr w:rsidR="0012790E" w:rsidRPr="001C06E6" w14:paraId="2B6D0FF1" w14:textId="77777777">
        <w:tc>
          <w:tcPr>
            <w:tcW w:w="2497" w:type="dxa"/>
            <w:tcBorders>
              <w:top w:val="single" w:sz="4" w:space="0" w:color="293F5B"/>
              <w:bottom w:val="single" w:sz="4" w:space="0" w:color="293F5B"/>
            </w:tcBorders>
            <w:shd w:val="clear" w:color="auto" w:fill="auto"/>
          </w:tcPr>
          <w:p w14:paraId="4AD44E64"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4DD0225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4C2B03C" w14:textId="77777777" w:rsidR="0012790E" w:rsidRPr="001C06E6" w:rsidRDefault="0012790E">
            <w:pPr>
              <w:pStyle w:val="MeasureTableDataRightAlignedwith2ptsspacing"/>
              <w:keepNext/>
            </w:pPr>
            <w:r>
              <w:t xml:space="preserve">0.2 </w:t>
            </w:r>
          </w:p>
        </w:tc>
        <w:tc>
          <w:tcPr>
            <w:tcW w:w="1045" w:type="dxa"/>
            <w:tcBorders>
              <w:top w:val="single" w:sz="4" w:space="0" w:color="293F5B"/>
              <w:bottom w:val="single" w:sz="4" w:space="0" w:color="293F5B"/>
            </w:tcBorders>
            <w:shd w:val="clear" w:color="auto" w:fill="auto"/>
          </w:tcPr>
          <w:p w14:paraId="7BEFC9F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923A5E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79F758B" w14:textId="77777777" w:rsidR="0012790E" w:rsidRPr="001C06E6" w:rsidRDefault="0012790E">
            <w:pPr>
              <w:pStyle w:val="MeasureTableDataRightAlignedwith2ptsspacing"/>
              <w:keepNext/>
            </w:pPr>
            <w:r>
              <w:t xml:space="preserve">- </w:t>
            </w:r>
          </w:p>
        </w:tc>
      </w:tr>
      <w:tr w:rsidR="00DA7AE8" w:rsidRPr="001C06E6" w14:paraId="71460219" w14:textId="77777777">
        <w:tc>
          <w:tcPr>
            <w:tcW w:w="2497" w:type="dxa"/>
            <w:tcBorders>
              <w:top w:val="single" w:sz="4" w:space="0" w:color="293F5B"/>
              <w:bottom w:val="single" w:sz="4" w:space="0" w:color="293F5B"/>
            </w:tcBorders>
            <w:shd w:val="clear" w:color="auto" w:fill="auto"/>
          </w:tcPr>
          <w:p w14:paraId="28CB063C" w14:textId="5DE103FF" w:rsidR="00DA7AE8" w:rsidRPr="001C06E6" w:rsidRDefault="00DA7AE8">
            <w:pPr>
              <w:pStyle w:val="MeasureTableHeadingleftalignedwith2ptsspacing"/>
              <w:keepNext/>
            </w:pPr>
            <w:r>
              <w:t>Department of Home Affairs</w:t>
            </w:r>
          </w:p>
        </w:tc>
        <w:tc>
          <w:tcPr>
            <w:tcW w:w="1045" w:type="dxa"/>
            <w:tcBorders>
              <w:top w:val="single" w:sz="4" w:space="0" w:color="293F5B"/>
              <w:bottom w:val="single" w:sz="4" w:space="0" w:color="293F5B"/>
            </w:tcBorders>
            <w:shd w:val="clear" w:color="auto" w:fill="auto"/>
          </w:tcPr>
          <w:p w14:paraId="0FBAE3D9" w14:textId="158601D5" w:rsidR="00DA7AE8" w:rsidRPr="001C06E6" w:rsidRDefault="007D54E3">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0FC3AA37" w14:textId="223E54F1" w:rsidR="00DA7AE8" w:rsidRPr="001C06E6" w:rsidRDefault="007D54E3">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6065C42A" w14:textId="7750B934" w:rsidR="00DA7AE8" w:rsidRPr="001C06E6" w:rsidRDefault="007D54E3">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3B236456" w14:textId="61A50E6D" w:rsidR="00DA7AE8" w:rsidRPr="001C06E6" w:rsidRDefault="007D54E3">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57CD125B" w14:textId="0427408A" w:rsidR="00DA7AE8" w:rsidRPr="001C06E6" w:rsidRDefault="007D54E3">
            <w:pPr>
              <w:pStyle w:val="MeasureTableDataRightAlignedwith2ptsspacing"/>
              <w:keepNext/>
            </w:pPr>
            <w:r>
              <w:t>-</w:t>
            </w:r>
          </w:p>
        </w:tc>
      </w:tr>
      <w:tr w:rsidR="0012790E" w:rsidRPr="001C06E6" w14:paraId="31D892AE" w14:textId="77777777">
        <w:tc>
          <w:tcPr>
            <w:tcW w:w="2497" w:type="dxa"/>
            <w:tcBorders>
              <w:top w:val="single" w:sz="4" w:space="0" w:color="293F5B"/>
              <w:bottom w:val="single" w:sz="4" w:space="0" w:color="293F5B"/>
            </w:tcBorders>
            <w:shd w:val="clear" w:color="auto" w:fill="auto"/>
          </w:tcPr>
          <w:p w14:paraId="12095E1B"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0C6BE53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2451353" w14:textId="77777777" w:rsidR="0012790E" w:rsidRPr="001C06E6" w:rsidRDefault="0012790E">
            <w:pPr>
              <w:pStyle w:val="MeasureTableDataRightAlignedwith2ptsspacing"/>
              <w:keepNext/>
            </w:pPr>
            <w:r w:rsidRPr="001C06E6">
              <w:t>0.7</w:t>
            </w:r>
          </w:p>
        </w:tc>
        <w:tc>
          <w:tcPr>
            <w:tcW w:w="1045" w:type="dxa"/>
            <w:tcBorders>
              <w:top w:val="single" w:sz="4" w:space="0" w:color="293F5B"/>
              <w:bottom w:val="single" w:sz="4" w:space="0" w:color="293F5B"/>
            </w:tcBorders>
            <w:shd w:val="clear" w:color="auto" w:fill="auto"/>
          </w:tcPr>
          <w:p w14:paraId="4F030E4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3486DD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CAA06ED" w14:textId="77777777" w:rsidR="0012790E" w:rsidRPr="001C06E6" w:rsidRDefault="0012790E">
            <w:pPr>
              <w:pStyle w:val="MeasureTableDataRightAlignedwith2ptsspacing"/>
              <w:keepNext/>
            </w:pPr>
            <w:r w:rsidRPr="001C06E6">
              <w:t>-</w:t>
            </w:r>
          </w:p>
        </w:tc>
      </w:tr>
      <w:tr w:rsidR="0012790E" w:rsidRPr="001C06E6" w14:paraId="0F65832D" w14:textId="77777777">
        <w:tc>
          <w:tcPr>
            <w:tcW w:w="2497" w:type="dxa"/>
            <w:tcBorders>
              <w:top w:val="single" w:sz="4" w:space="0" w:color="293F5B"/>
              <w:bottom w:val="single" w:sz="4" w:space="0" w:color="293F5B"/>
            </w:tcBorders>
            <w:shd w:val="clear" w:color="auto" w:fill="auto"/>
          </w:tcPr>
          <w:p w14:paraId="5C7FFC38"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34FBD679"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C5FA98A" w14:textId="77777777" w:rsidR="0012790E" w:rsidRPr="001C06E6" w:rsidRDefault="0012790E">
            <w:pPr>
              <w:pStyle w:val="Totaldatarowrightaligned"/>
              <w:keepNext/>
            </w:pPr>
            <w:r w:rsidRPr="001C06E6">
              <w:t>0.9</w:t>
            </w:r>
          </w:p>
        </w:tc>
        <w:tc>
          <w:tcPr>
            <w:tcW w:w="1045" w:type="dxa"/>
            <w:tcBorders>
              <w:top w:val="single" w:sz="4" w:space="0" w:color="293F5B"/>
              <w:bottom w:val="single" w:sz="4" w:space="0" w:color="293F5B"/>
            </w:tcBorders>
            <w:shd w:val="clear" w:color="auto" w:fill="auto"/>
          </w:tcPr>
          <w:p w14:paraId="3CF7D4D8"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0AAD47C6"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4A74096" w14:textId="77777777" w:rsidR="0012790E" w:rsidRPr="001C06E6" w:rsidRDefault="0012790E">
            <w:pPr>
              <w:pStyle w:val="Totaldatarowrightaligned"/>
              <w:keepNext/>
            </w:pPr>
            <w:r w:rsidRPr="001C06E6">
              <w:t>-</w:t>
            </w:r>
          </w:p>
        </w:tc>
      </w:tr>
    </w:tbl>
    <w:p w14:paraId="4466102B"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1A870BA7" w14:textId="77777777" w:rsidR="0012790E" w:rsidRDefault="0012790E">
      <w:pPr>
        <w:pStyle w:val="Normal2"/>
        <w:rPr>
          <w:rFonts w:cs="Book Antiqua"/>
        </w:rPr>
      </w:pPr>
      <w:r w:rsidRPr="001C06E6">
        <w:rPr>
          <w:rFonts w:cs="Book Antiqua"/>
        </w:rPr>
        <w:t>The Government will provide $2.9</w:t>
      </w:r>
      <w:r>
        <w:rPr>
          <w:rFonts w:cs="Book Antiqua"/>
        </w:rPr>
        <w:t> </w:t>
      </w:r>
      <w:r w:rsidRPr="001C06E6">
        <w:rPr>
          <w:rFonts w:cs="Book Antiqua"/>
        </w:rPr>
        <w:t xml:space="preserve">million over two years from </w:t>
      </w:r>
      <w:r>
        <w:rPr>
          <w:rFonts w:cs="Book Antiqua"/>
        </w:rPr>
        <w:t>2023–24</w:t>
      </w:r>
      <w:r w:rsidRPr="001C06E6">
        <w:rPr>
          <w:rFonts w:cs="Book Antiqua"/>
        </w:rPr>
        <w:t xml:space="preserve"> to support</w:t>
      </w:r>
      <w:r>
        <w:rPr>
          <w:rFonts w:cs="Book Antiqua"/>
        </w:rPr>
        <w:t xml:space="preserve"> </w:t>
      </w:r>
      <w:r w:rsidRPr="001C06E6">
        <w:rPr>
          <w:rFonts w:cs="Book Antiqua"/>
        </w:rPr>
        <w:t>individuals and their families from significantly affected areas of Israel and the</w:t>
      </w:r>
      <w:r>
        <w:rPr>
          <w:rFonts w:cs="Book Antiqua"/>
        </w:rPr>
        <w:t xml:space="preserve"> </w:t>
      </w:r>
      <w:r w:rsidRPr="001C06E6">
        <w:rPr>
          <w:rFonts w:cs="Book Antiqua"/>
        </w:rPr>
        <w:t>Occupied Palestinian Territories. Funding includes:</w:t>
      </w:r>
    </w:p>
    <w:p w14:paraId="49D6CAD4" w14:textId="77777777" w:rsidR="0012790E" w:rsidRDefault="0012790E">
      <w:pPr>
        <w:pStyle w:val="Bullet"/>
      </w:pPr>
      <w:r w:rsidRPr="001C06E6">
        <w:t>$2.0</w:t>
      </w:r>
      <w:r>
        <w:t> </w:t>
      </w:r>
      <w:r w:rsidRPr="001C06E6">
        <w:t xml:space="preserve">million over two years from </w:t>
      </w:r>
      <w:r>
        <w:t>2023–24</w:t>
      </w:r>
      <w:r w:rsidRPr="001C06E6">
        <w:t>, for the Australian Red Cross to provide emergency financial assistance to recent arrivals and who have been assessed to be in financial hardship</w:t>
      </w:r>
      <w:r>
        <w:t xml:space="preserve"> </w:t>
      </w:r>
    </w:p>
    <w:p w14:paraId="502FF397" w14:textId="14691478" w:rsidR="0012790E" w:rsidRDefault="0012790E">
      <w:pPr>
        <w:pStyle w:val="Bullet"/>
      </w:pPr>
      <w:r w:rsidRPr="001C06E6">
        <w:t>$0.9</w:t>
      </w:r>
      <w:r>
        <w:t> </w:t>
      </w:r>
      <w:r w:rsidRPr="001C06E6">
        <w:t xml:space="preserve">million over </w:t>
      </w:r>
      <w:r w:rsidR="00431846">
        <w:t>two </w:t>
      </w:r>
      <w:r w:rsidRPr="001C06E6">
        <w:t xml:space="preserve">years from </w:t>
      </w:r>
      <w:r>
        <w:t>2023–24</w:t>
      </w:r>
      <w:r w:rsidRPr="001C06E6">
        <w:t xml:space="preserve"> to extend Medicare eligibility to 30 June 2025 for Bridging Visa E holders arriving from significantly affected areas of Israel and the Occupied Palestinian Territories.</w:t>
      </w:r>
      <w:r>
        <w:t xml:space="preserve"> </w:t>
      </w:r>
    </w:p>
    <w:p w14:paraId="5AA0DA1F" w14:textId="77777777" w:rsidR="0012790E" w:rsidRDefault="0012790E" w:rsidP="54937204">
      <w:pPr>
        <w:pStyle w:val="Normal2"/>
        <w:rPr>
          <w:rFonts w:cs="Book Antiqua"/>
          <w:lang w:val="en-US"/>
        </w:rPr>
      </w:pPr>
      <w:r w:rsidRPr="54937204">
        <w:rPr>
          <w:rFonts w:cs="Book Antiqua"/>
          <w:lang w:val="en-US"/>
        </w:rPr>
        <w:t xml:space="preserve">The costs of emergency financial assistance will be met from within the existing resourcing of the Department of Home Affairs. </w:t>
      </w:r>
    </w:p>
    <w:p w14:paraId="67DCB12C" w14:textId="77777777" w:rsidR="0012790E" w:rsidRPr="001C06E6" w:rsidRDefault="0012790E">
      <w:pPr>
        <w:pStyle w:val="MeasureTitle"/>
        <w:rPr>
          <w:b w:val="0"/>
          <w:bCs/>
        </w:rPr>
      </w:pPr>
      <w:r w:rsidRPr="001C06E6">
        <w:rPr>
          <w:bCs/>
        </w:rPr>
        <w:t>Tobacco – illicit tobacco compliance</w:t>
      </w:r>
    </w:p>
    <w:p w14:paraId="1885E3FE"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45AAFB93" w14:textId="77777777">
        <w:tc>
          <w:tcPr>
            <w:tcW w:w="2497" w:type="dxa"/>
            <w:tcBorders>
              <w:top w:val="single" w:sz="4" w:space="0" w:color="293F5B"/>
              <w:bottom w:val="single" w:sz="4" w:space="0" w:color="293F5B"/>
            </w:tcBorders>
            <w:shd w:val="clear" w:color="auto" w:fill="auto"/>
          </w:tcPr>
          <w:p w14:paraId="6388362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B93514F"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5DA3324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8CD44FB"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55DC33F0"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BC16775" w14:textId="77777777" w:rsidR="0012790E" w:rsidRPr="001C06E6" w:rsidRDefault="0012790E">
            <w:pPr>
              <w:pStyle w:val="MeasureTableYearHeadings"/>
              <w:keepNext/>
            </w:pPr>
            <w:r w:rsidRPr="001C06E6">
              <w:t>2027</w:t>
            </w:r>
            <w:r>
              <w:noBreakHyphen/>
            </w:r>
            <w:r w:rsidRPr="001C06E6">
              <w:t>28</w:t>
            </w:r>
          </w:p>
        </w:tc>
      </w:tr>
      <w:tr w:rsidR="0012790E" w:rsidRPr="001C06E6" w14:paraId="7318F32D" w14:textId="77777777">
        <w:tc>
          <w:tcPr>
            <w:tcW w:w="2497" w:type="dxa"/>
            <w:tcBorders>
              <w:top w:val="single" w:sz="4" w:space="0" w:color="293F5B"/>
              <w:bottom w:val="single" w:sz="4" w:space="0" w:color="293F5B"/>
            </w:tcBorders>
            <w:shd w:val="clear" w:color="auto" w:fill="auto"/>
          </w:tcPr>
          <w:p w14:paraId="4B820AD9"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56E6F58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5654B6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A0B6E3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38FF0C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413B524" w14:textId="77777777" w:rsidR="0012790E" w:rsidRPr="001C06E6" w:rsidRDefault="0012790E">
            <w:pPr>
              <w:pStyle w:val="MeasureTableDataRightAlignedwith2ptsspacing"/>
              <w:keepNext/>
            </w:pPr>
            <w:r w:rsidRPr="001C06E6">
              <w:t>-</w:t>
            </w:r>
          </w:p>
        </w:tc>
      </w:tr>
    </w:tbl>
    <w:p w14:paraId="1F360208"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16"/>
          <w:lang w:val="en-AU"/>
        </w:rPr>
      </w:pPr>
    </w:p>
    <w:p w14:paraId="75F8A9F8" w14:textId="77777777" w:rsidR="0012790E" w:rsidRDefault="0012790E">
      <w:pPr>
        <w:pStyle w:val="Normal2"/>
        <w:rPr>
          <w:rFonts w:cs="Book Antiqua"/>
        </w:rPr>
      </w:pPr>
      <w:r w:rsidRPr="001C06E6">
        <w:rPr>
          <w:rFonts w:cs="Book Antiqua"/>
        </w:rPr>
        <w:t>The Government will provide $188.5</w:t>
      </w:r>
      <w:r>
        <w:rPr>
          <w:rFonts w:cs="Book Antiqua"/>
        </w:rPr>
        <w:t> </w:t>
      </w:r>
      <w:r w:rsidRPr="001C06E6">
        <w:rPr>
          <w:rFonts w:cs="Book Antiqua"/>
        </w:rPr>
        <w:t xml:space="preserve">million over four years from </w:t>
      </w:r>
      <w:r>
        <w:rPr>
          <w:rFonts w:cs="Book Antiqua"/>
        </w:rPr>
        <w:t>2023–24</w:t>
      </w:r>
      <w:r w:rsidRPr="001C06E6">
        <w:rPr>
          <w:rFonts w:cs="Book Antiqua"/>
        </w:rPr>
        <w:t xml:space="preserve"> to the</w:t>
      </w:r>
      <w:r>
        <w:rPr>
          <w:rFonts w:cs="Book Antiqua"/>
        </w:rPr>
        <w:t xml:space="preserve"> </w:t>
      </w:r>
      <w:r w:rsidRPr="001C06E6">
        <w:rPr>
          <w:rFonts w:cs="Book Antiqua"/>
        </w:rPr>
        <w:t>Australian Border Force to deliver a coordinated multi</w:t>
      </w:r>
      <w:r>
        <w:rPr>
          <w:rFonts w:cs="Book Antiqua"/>
        </w:rPr>
        <w:noBreakHyphen/>
      </w:r>
      <w:r w:rsidRPr="001C06E6">
        <w:rPr>
          <w:rFonts w:cs="Book Antiqua"/>
        </w:rPr>
        <w:t>agency, multi</w:t>
      </w:r>
      <w:r>
        <w:rPr>
          <w:rFonts w:cs="Book Antiqua"/>
        </w:rPr>
        <w:noBreakHyphen/>
      </w:r>
      <w:r w:rsidRPr="001C06E6">
        <w:rPr>
          <w:rFonts w:cs="Book Antiqua"/>
        </w:rPr>
        <w:t>jurisdictional</w:t>
      </w:r>
      <w:r>
        <w:rPr>
          <w:rFonts w:cs="Book Antiqua"/>
        </w:rPr>
        <w:t xml:space="preserve"> </w:t>
      </w:r>
      <w:r w:rsidRPr="001C06E6">
        <w:rPr>
          <w:rFonts w:cs="Book Antiqua"/>
        </w:rPr>
        <w:t>response to the illicit tobacco trade, in conjunction with Commonwealth, state, and</w:t>
      </w:r>
      <w:r>
        <w:rPr>
          <w:rFonts w:cs="Book Antiqua"/>
        </w:rPr>
        <w:t xml:space="preserve"> </w:t>
      </w:r>
      <w:r w:rsidRPr="001C06E6">
        <w:rPr>
          <w:rFonts w:cs="Book Antiqua"/>
        </w:rPr>
        <w:t>territory partners.</w:t>
      </w:r>
      <w:r>
        <w:rPr>
          <w:rFonts w:cs="Book Antiqua"/>
        </w:rPr>
        <w:t xml:space="preserve"> </w:t>
      </w:r>
    </w:p>
    <w:p w14:paraId="5F9D90B8" w14:textId="77777777" w:rsidR="0012790E" w:rsidRDefault="0012790E">
      <w:pPr>
        <w:pStyle w:val="Normal2"/>
        <w:rPr>
          <w:rFonts w:cs="Book Antiqua"/>
        </w:rPr>
      </w:pPr>
      <w:r w:rsidRPr="001C06E6">
        <w:rPr>
          <w:rFonts w:cs="Book Antiqua"/>
        </w:rPr>
        <w:t>The Government has already provided funding for this measure.</w:t>
      </w:r>
      <w:r>
        <w:rPr>
          <w:rFonts w:cs="Book Antiqua"/>
        </w:rPr>
        <w:t xml:space="preserve"> </w:t>
      </w:r>
    </w:p>
    <w:p w14:paraId="3AC5C5F9" w14:textId="77777777" w:rsidR="0012790E" w:rsidRDefault="0012790E">
      <w:pPr>
        <w:pStyle w:val="PortfolioName"/>
        <w:rPr>
          <w:bCs/>
          <w:szCs w:val="26"/>
        </w:rPr>
        <w:sectPr w:rsidR="0012790E" w:rsidSect="00EA5BFE">
          <w:pgSz w:w="11905" w:h="16837"/>
          <w:pgMar w:top="2835" w:right="2098" w:bottom="2466" w:left="2098" w:header="1814" w:footer="1814" w:gutter="0"/>
          <w:cols w:space="720"/>
          <w:noEndnote/>
          <w:docGrid w:linePitch="272"/>
        </w:sectPr>
      </w:pPr>
    </w:p>
    <w:p w14:paraId="5048C735" w14:textId="77777777" w:rsidR="0012790E" w:rsidRPr="001C06E6" w:rsidRDefault="0012790E">
      <w:pPr>
        <w:pStyle w:val="PortfolioName"/>
      </w:pPr>
      <w:r w:rsidRPr="001C06E6">
        <w:rPr>
          <w:bCs/>
          <w:szCs w:val="26"/>
        </w:rPr>
        <w:t>Industry, Science and Resources</w:t>
      </w:r>
    </w:p>
    <w:p w14:paraId="6111F196" w14:textId="77777777" w:rsidR="0012790E" w:rsidRPr="001C06E6" w:rsidRDefault="0012790E">
      <w:pPr>
        <w:pStyle w:val="MeasureTitle"/>
        <w:rPr>
          <w:b w:val="0"/>
          <w:bCs/>
        </w:rPr>
      </w:pPr>
      <w:r w:rsidRPr="001C06E6">
        <w:rPr>
          <w:bCs/>
        </w:rPr>
        <w:t>Investing in the Future of Industry and Science</w:t>
      </w:r>
    </w:p>
    <w:p w14:paraId="086DE648"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BA850AD" w14:textId="77777777">
        <w:tc>
          <w:tcPr>
            <w:tcW w:w="2497" w:type="dxa"/>
            <w:tcBorders>
              <w:top w:val="single" w:sz="4" w:space="0" w:color="293F5B"/>
              <w:bottom w:val="single" w:sz="4" w:space="0" w:color="293F5B"/>
            </w:tcBorders>
            <w:shd w:val="clear" w:color="auto" w:fill="auto"/>
          </w:tcPr>
          <w:p w14:paraId="7B280303"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9088665"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718B7B7"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A4CDE51"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1F9A66A"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171F3F1" w14:textId="77777777" w:rsidR="0012790E" w:rsidRPr="001C06E6" w:rsidRDefault="0012790E">
            <w:pPr>
              <w:pStyle w:val="MeasureTableYearHeadings"/>
              <w:keepNext/>
            </w:pPr>
            <w:r w:rsidRPr="001C06E6">
              <w:t>2027</w:t>
            </w:r>
            <w:r>
              <w:noBreakHyphen/>
            </w:r>
            <w:r w:rsidRPr="001C06E6">
              <w:t>28</w:t>
            </w:r>
          </w:p>
        </w:tc>
      </w:tr>
      <w:tr w:rsidR="0012790E" w:rsidRPr="001C06E6" w14:paraId="4AEEF8D9" w14:textId="77777777">
        <w:tc>
          <w:tcPr>
            <w:tcW w:w="2497" w:type="dxa"/>
            <w:tcBorders>
              <w:top w:val="single" w:sz="4" w:space="0" w:color="293F5B"/>
              <w:bottom w:val="single" w:sz="4" w:space="0" w:color="293F5B"/>
            </w:tcBorders>
            <w:shd w:val="clear" w:color="auto" w:fill="auto"/>
          </w:tcPr>
          <w:p w14:paraId="232BB472" w14:textId="77777777" w:rsidR="0012790E" w:rsidRPr="001C06E6" w:rsidRDefault="0012790E">
            <w:pPr>
              <w:pStyle w:val="MeasureTableHeadingleftalignedwith2ptsspacing"/>
              <w:keepNext/>
            </w:pPr>
            <w:r>
              <w:t xml:space="preserve">Australian Nuclear Science and Technology Organisation </w:t>
            </w:r>
          </w:p>
        </w:tc>
        <w:tc>
          <w:tcPr>
            <w:tcW w:w="1045" w:type="dxa"/>
            <w:tcBorders>
              <w:top w:val="single" w:sz="4" w:space="0" w:color="293F5B"/>
              <w:bottom w:val="single" w:sz="4" w:space="0" w:color="293F5B"/>
            </w:tcBorders>
            <w:shd w:val="clear" w:color="auto" w:fill="auto"/>
          </w:tcPr>
          <w:p w14:paraId="5EB64AB6"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25D0508" w14:textId="77777777" w:rsidR="0012790E" w:rsidRPr="001C06E6" w:rsidRDefault="0012790E">
            <w:pPr>
              <w:pStyle w:val="MeasureTableDataRightAlignedwith2ptsspacing"/>
              <w:keepNext/>
            </w:pPr>
            <w:r>
              <w:t xml:space="preserve">12.7 </w:t>
            </w:r>
          </w:p>
        </w:tc>
        <w:tc>
          <w:tcPr>
            <w:tcW w:w="1045" w:type="dxa"/>
            <w:tcBorders>
              <w:top w:val="single" w:sz="4" w:space="0" w:color="293F5B"/>
              <w:bottom w:val="single" w:sz="4" w:space="0" w:color="293F5B"/>
            </w:tcBorders>
            <w:shd w:val="clear" w:color="auto" w:fill="auto"/>
          </w:tcPr>
          <w:p w14:paraId="1596C060" w14:textId="77777777" w:rsidR="0012790E" w:rsidRPr="001C06E6" w:rsidRDefault="0012790E">
            <w:pPr>
              <w:pStyle w:val="MeasureTableDataRightAlignedwith2ptsspacing"/>
              <w:keepNext/>
            </w:pPr>
            <w:r>
              <w:t xml:space="preserve">13.2 </w:t>
            </w:r>
          </w:p>
        </w:tc>
        <w:tc>
          <w:tcPr>
            <w:tcW w:w="1045" w:type="dxa"/>
            <w:tcBorders>
              <w:top w:val="single" w:sz="4" w:space="0" w:color="293F5B"/>
              <w:bottom w:val="single" w:sz="4" w:space="0" w:color="293F5B"/>
            </w:tcBorders>
            <w:shd w:val="clear" w:color="auto" w:fill="auto"/>
          </w:tcPr>
          <w:p w14:paraId="535EECC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BAD85B2" w14:textId="77777777" w:rsidR="0012790E" w:rsidRPr="001C06E6" w:rsidRDefault="0012790E">
            <w:pPr>
              <w:pStyle w:val="MeasureTableDataRightAlignedwith2ptsspacing"/>
              <w:keepNext/>
            </w:pPr>
            <w:r>
              <w:t xml:space="preserve">- </w:t>
            </w:r>
          </w:p>
        </w:tc>
      </w:tr>
      <w:tr w:rsidR="0012790E" w:rsidRPr="001C06E6" w14:paraId="1B1490F9" w14:textId="77777777">
        <w:tc>
          <w:tcPr>
            <w:tcW w:w="2497" w:type="dxa"/>
            <w:tcBorders>
              <w:top w:val="single" w:sz="4" w:space="0" w:color="293F5B"/>
              <w:bottom w:val="single" w:sz="4" w:space="0" w:color="293F5B"/>
            </w:tcBorders>
            <w:shd w:val="clear" w:color="auto" w:fill="auto"/>
          </w:tcPr>
          <w:p w14:paraId="4CCD67FC" w14:textId="77777777" w:rsidR="0012790E" w:rsidRPr="001C06E6" w:rsidRDefault="0012790E">
            <w:pPr>
              <w:pStyle w:val="MeasureTableHeadingleftalignedwith2ptsspacing"/>
              <w:keepNext/>
            </w:pPr>
            <w:r>
              <w:t xml:space="preserve">Department of Industry, Science and Resources </w:t>
            </w:r>
          </w:p>
        </w:tc>
        <w:tc>
          <w:tcPr>
            <w:tcW w:w="1045" w:type="dxa"/>
            <w:tcBorders>
              <w:top w:val="single" w:sz="4" w:space="0" w:color="293F5B"/>
              <w:bottom w:val="single" w:sz="4" w:space="0" w:color="293F5B"/>
            </w:tcBorders>
            <w:shd w:val="clear" w:color="auto" w:fill="auto"/>
          </w:tcPr>
          <w:p w14:paraId="7F1B0F8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C2EA35A" w14:textId="77777777" w:rsidR="0012790E" w:rsidRPr="001C06E6" w:rsidRDefault="0012790E">
            <w:pPr>
              <w:pStyle w:val="MeasureTableDataRightAlignedwith2ptsspacing"/>
              <w:keepNext/>
            </w:pPr>
            <w:r>
              <w:t xml:space="preserve">0.6 </w:t>
            </w:r>
          </w:p>
        </w:tc>
        <w:tc>
          <w:tcPr>
            <w:tcW w:w="1045" w:type="dxa"/>
            <w:tcBorders>
              <w:top w:val="single" w:sz="4" w:space="0" w:color="293F5B"/>
              <w:bottom w:val="single" w:sz="4" w:space="0" w:color="293F5B"/>
            </w:tcBorders>
            <w:shd w:val="clear" w:color="auto" w:fill="auto"/>
          </w:tcPr>
          <w:p w14:paraId="343D854B" w14:textId="77777777" w:rsidR="0012790E" w:rsidRPr="001C06E6" w:rsidRDefault="0012790E">
            <w:pPr>
              <w:pStyle w:val="MeasureTableDataRightAlignedwith2ptsspacing"/>
              <w:keepNext/>
            </w:pPr>
            <w:r>
              <w:t xml:space="preserve">0.1 </w:t>
            </w:r>
          </w:p>
        </w:tc>
        <w:tc>
          <w:tcPr>
            <w:tcW w:w="1045" w:type="dxa"/>
            <w:tcBorders>
              <w:top w:val="single" w:sz="4" w:space="0" w:color="293F5B"/>
              <w:bottom w:val="single" w:sz="4" w:space="0" w:color="293F5B"/>
            </w:tcBorders>
            <w:shd w:val="clear" w:color="auto" w:fill="auto"/>
          </w:tcPr>
          <w:p w14:paraId="372F60AB" w14:textId="77777777" w:rsidR="0012790E" w:rsidRPr="001C06E6" w:rsidRDefault="0012790E">
            <w:pPr>
              <w:pStyle w:val="MeasureTableDataRightAlignedwith2ptsspacing"/>
              <w:keepNext/>
            </w:pPr>
            <w:r>
              <w:t xml:space="preserve">0.1 </w:t>
            </w:r>
          </w:p>
        </w:tc>
        <w:tc>
          <w:tcPr>
            <w:tcW w:w="1045" w:type="dxa"/>
            <w:tcBorders>
              <w:top w:val="single" w:sz="4" w:space="0" w:color="293F5B"/>
              <w:bottom w:val="single" w:sz="4" w:space="0" w:color="293F5B"/>
            </w:tcBorders>
            <w:shd w:val="clear" w:color="auto" w:fill="auto"/>
          </w:tcPr>
          <w:p w14:paraId="2F9C5278" w14:textId="77777777" w:rsidR="0012790E" w:rsidRPr="001C06E6" w:rsidRDefault="0012790E">
            <w:pPr>
              <w:pStyle w:val="MeasureTableDataRightAlignedwith2ptsspacing"/>
              <w:keepNext/>
            </w:pPr>
            <w:r>
              <w:t xml:space="preserve">0.6 </w:t>
            </w:r>
          </w:p>
        </w:tc>
      </w:tr>
      <w:tr w:rsidR="0012790E" w:rsidRPr="001C06E6" w14:paraId="5783245A" w14:textId="77777777">
        <w:tc>
          <w:tcPr>
            <w:tcW w:w="2497" w:type="dxa"/>
            <w:tcBorders>
              <w:top w:val="single" w:sz="4" w:space="0" w:color="293F5B"/>
              <w:bottom w:val="single" w:sz="4" w:space="0" w:color="293F5B"/>
            </w:tcBorders>
            <w:shd w:val="clear" w:color="auto" w:fill="auto"/>
          </w:tcPr>
          <w:p w14:paraId="7F0A6FF4"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4E75D92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A1799A3" w14:textId="77777777" w:rsidR="0012790E" w:rsidRPr="001C06E6" w:rsidRDefault="0012790E">
            <w:pPr>
              <w:pStyle w:val="MeasureTableDataRightAlignedwith2ptsspacing"/>
              <w:keepNext/>
            </w:pPr>
            <w:r w:rsidRPr="001C06E6">
              <w:t>0.4</w:t>
            </w:r>
          </w:p>
        </w:tc>
        <w:tc>
          <w:tcPr>
            <w:tcW w:w="1045" w:type="dxa"/>
            <w:tcBorders>
              <w:top w:val="single" w:sz="4" w:space="0" w:color="293F5B"/>
              <w:bottom w:val="single" w:sz="4" w:space="0" w:color="293F5B"/>
            </w:tcBorders>
            <w:shd w:val="clear" w:color="auto" w:fill="auto"/>
          </w:tcPr>
          <w:p w14:paraId="166DC31B" w14:textId="77777777" w:rsidR="0012790E" w:rsidRPr="001C06E6" w:rsidRDefault="0012790E">
            <w:pPr>
              <w:pStyle w:val="MeasureTableDataRightAlignedwith2ptsspacing"/>
              <w:keepNext/>
            </w:pPr>
            <w:r w:rsidRPr="001C06E6">
              <w:t>0.4</w:t>
            </w:r>
          </w:p>
        </w:tc>
        <w:tc>
          <w:tcPr>
            <w:tcW w:w="1045" w:type="dxa"/>
            <w:tcBorders>
              <w:top w:val="single" w:sz="4" w:space="0" w:color="293F5B"/>
              <w:bottom w:val="single" w:sz="4" w:space="0" w:color="293F5B"/>
            </w:tcBorders>
            <w:shd w:val="clear" w:color="auto" w:fill="auto"/>
          </w:tcPr>
          <w:p w14:paraId="0BE2A1D4" w14:textId="77777777" w:rsidR="0012790E" w:rsidRPr="001C06E6" w:rsidRDefault="0012790E">
            <w:pPr>
              <w:pStyle w:val="MeasureTableDataRightAlignedwith2ptsspacing"/>
              <w:keepNext/>
            </w:pPr>
            <w:r w:rsidRPr="001C06E6">
              <w:t>0.4</w:t>
            </w:r>
          </w:p>
        </w:tc>
        <w:tc>
          <w:tcPr>
            <w:tcW w:w="1045" w:type="dxa"/>
            <w:tcBorders>
              <w:top w:val="single" w:sz="4" w:space="0" w:color="293F5B"/>
              <w:bottom w:val="single" w:sz="4" w:space="0" w:color="293F5B"/>
            </w:tcBorders>
            <w:shd w:val="clear" w:color="auto" w:fill="auto"/>
          </w:tcPr>
          <w:p w14:paraId="1066EC47" w14:textId="77777777" w:rsidR="0012790E" w:rsidRPr="001C06E6" w:rsidRDefault="0012790E">
            <w:pPr>
              <w:pStyle w:val="MeasureTableDataRightAlignedwith2ptsspacing"/>
              <w:keepNext/>
            </w:pPr>
            <w:r w:rsidRPr="001C06E6">
              <w:t>0.4</w:t>
            </w:r>
          </w:p>
        </w:tc>
      </w:tr>
      <w:tr w:rsidR="0012790E" w:rsidRPr="001C06E6" w14:paraId="05D0DBC0" w14:textId="77777777">
        <w:tc>
          <w:tcPr>
            <w:tcW w:w="2497" w:type="dxa"/>
            <w:tcBorders>
              <w:top w:val="single" w:sz="4" w:space="0" w:color="293F5B"/>
              <w:bottom w:val="single" w:sz="4" w:space="0" w:color="293F5B"/>
            </w:tcBorders>
            <w:shd w:val="clear" w:color="auto" w:fill="auto"/>
          </w:tcPr>
          <w:p w14:paraId="5D167240" w14:textId="77777777" w:rsidR="0012790E" w:rsidRPr="001C06E6" w:rsidRDefault="0012790E">
            <w:pPr>
              <w:pStyle w:val="MeasureTableHeadingleftalignedwith2ptsspacing"/>
              <w:keepNext/>
            </w:pPr>
            <w:r>
              <w:t xml:space="preserve">National Reconstruction Fund Corporation </w:t>
            </w:r>
          </w:p>
        </w:tc>
        <w:tc>
          <w:tcPr>
            <w:tcW w:w="1045" w:type="dxa"/>
            <w:tcBorders>
              <w:top w:val="single" w:sz="4" w:space="0" w:color="293F5B"/>
              <w:bottom w:val="single" w:sz="4" w:space="0" w:color="293F5B"/>
            </w:tcBorders>
            <w:shd w:val="clear" w:color="auto" w:fill="auto"/>
          </w:tcPr>
          <w:p w14:paraId="4129EE1F"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0A0F22F"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9779D2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CD50E8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49C28AA" w14:textId="77777777" w:rsidR="0012790E" w:rsidRPr="001C06E6" w:rsidRDefault="0012790E">
            <w:pPr>
              <w:pStyle w:val="MeasureTableDataRightAlignedwith2ptsspacing"/>
              <w:keepNext/>
            </w:pPr>
            <w:r>
              <w:t xml:space="preserve">- </w:t>
            </w:r>
          </w:p>
        </w:tc>
      </w:tr>
      <w:tr w:rsidR="0012790E" w:rsidRPr="001C06E6" w14:paraId="2B75C1CE" w14:textId="77777777">
        <w:tc>
          <w:tcPr>
            <w:tcW w:w="2497" w:type="dxa"/>
            <w:tcBorders>
              <w:top w:val="single" w:sz="4" w:space="0" w:color="293F5B"/>
              <w:bottom w:val="single" w:sz="4" w:space="0" w:color="293F5B"/>
            </w:tcBorders>
            <w:shd w:val="clear" w:color="auto" w:fill="auto"/>
          </w:tcPr>
          <w:p w14:paraId="388B0DFF"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49A4C0C9"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084ADFE" w14:textId="77777777" w:rsidR="0012790E" w:rsidRPr="001C06E6" w:rsidRDefault="0012790E">
            <w:pPr>
              <w:pStyle w:val="Totaldatarowrightaligned"/>
              <w:keepNext/>
            </w:pPr>
            <w:r w:rsidRPr="001C06E6">
              <w:t>13.7</w:t>
            </w:r>
          </w:p>
        </w:tc>
        <w:tc>
          <w:tcPr>
            <w:tcW w:w="1045" w:type="dxa"/>
            <w:tcBorders>
              <w:top w:val="single" w:sz="4" w:space="0" w:color="293F5B"/>
              <w:bottom w:val="single" w:sz="4" w:space="0" w:color="293F5B"/>
            </w:tcBorders>
            <w:shd w:val="clear" w:color="auto" w:fill="auto"/>
          </w:tcPr>
          <w:p w14:paraId="0D13D459" w14:textId="77777777" w:rsidR="0012790E" w:rsidRPr="001C06E6" w:rsidRDefault="0012790E">
            <w:pPr>
              <w:pStyle w:val="Totaldatarowrightaligned"/>
              <w:keepNext/>
            </w:pPr>
            <w:r w:rsidRPr="001C06E6">
              <w:t>13.7</w:t>
            </w:r>
          </w:p>
        </w:tc>
        <w:tc>
          <w:tcPr>
            <w:tcW w:w="1045" w:type="dxa"/>
            <w:tcBorders>
              <w:top w:val="single" w:sz="4" w:space="0" w:color="293F5B"/>
              <w:bottom w:val="single" w:sz="4" w:space="0" w:color="293F5B"/>
            </w:tcBorders>
            <w:shd w:val="clear" w:color="auto" w:fill="auto"/>
          </w:tcPr>
          <w:p w14:paraId="4CC62376" w14:textId="77777777" w:rsidR="0012790E" w:rsidRPr="001C06E6" w:rsidRDefault="0012790E">
            <w:pPr>
              <w:pStyle w:val="Totaldatarowrightaligned"/>
              <w:keepNext/>
            </w:pPr>
            <w:r w:rsidRPr="001C06E6">
              <w:t>0.5</w:t>
            </w:r>
          </w:p>
        </w:tc>
        <w:tc>
          <w:tcPr>
            <w:tcW w:w="1045" w:type="dxa"/>
            <w:tcBorders>
              <w:top w:val="single" w:sz="4" w:space="0" w:color="293F5B"/>
              <w:bottom w:val="single" w:sz="4" w:space="0" w:color="293F5B"/>
            </w:tcBorders>
            <w:shd w:val="clear" w:color="auto" w:fill="auto"/>
          </w:tcPr>
          <w:p w14:paraId="684B4A7E" w14:textId="77777777" w:rsidR="0012790E" w:rsidRPr="001C06E6" w:rsidRDefault="0012790E">
            <w:pPr>
              <w:pStyle w:val="Totaldatarowrightaligned"/>
              <w:keepNext/>
            </w:pPr>
            <w:r w:rsidRPr="001C06E6">
              <w:t>1.0</w:t>
            </w:r>
          </w:p>
        </w:tc>
      </w:tr>
    </w:tbl>
    <w:p w14:paraId="5F98C33E"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0286FF56" w14:textId="77777777" w:rsidR="0012790E" w:rsidRDefault="0012790E" w:rsidP="54937204">
      <w:pPr>
        <w:pStyle w:val="Normal2"/>
        <w:rPr>
          <w:rFonts w:cs="Book Antiqua"/>
          <w:lang w:val="en-US"/>
        </w:rPr>
      </w:pPr>
      <w:r w:rsidRPr="54937204">
        <w:rPr>
          <w:rFonts w:cs="Book Antiqua"/>
          <w:lang w:val="en-US"/>
        </w:rPr>
        <w:t>The Government will provide $46.9 million over four years from 2024–25 to support the development of industries in Australia and maintain the affordability of nuclear medicines for Australians. Funding includes:</w:t>
      </w:r>
    </w:p>
    <w:p w14:paraId="0FFE499B" w14:textId="77777777" w:rsidR="0012790E" w:rsidRDefault="0012790E">
      <w:pPr>
        <w:pStyle w:val="Bullet"/>
      </w:pPr>
      <w:r w:rsidRPr="001C06E6">
        <w:t>$25.9</w:t>
      </w:r>
      <w:r>
        <w:t> </w:t>
      </w:r>
      <w:r w:rsidRPr="001C06E6">
        <w:t xml:space="preserve">million over two years from </w:t>
      </w:r>
      <w:r>
        <w:t>2024–25</w:t>
      </w:r>
      <w:r w:rsidRPr="001C06E6">
        <w:t xml:space="preserve"> to the Australian Nuclear Science and Technology Organisation to continue production of affordable nuclear medicines</w:t>
      </w:r>
      <w:r>
        <w:t xml:space="preserve"> </w:t>
      </w:r>
    </w:p>
    <w:p w14:paraId="295A7E1A" w14:textId="77777777" w:rsidR="0012790E" w:rsidRDefault="0012790E">
      <w:pPr>
        <w:pStyle w:val="Bullet"/>
      </w:pPr>
      <w:r w:rsidRPr="001C06E6">
        <w:t>$18.0</w:t>
      </w:r>
      <w:r>
        <w:t> </w:t>
      </w:r>
      <w:r w:rsidRPr="001C06E6">
        <w:t xml:space="preserve">million in </w:t>
      </w:r>
      <w:r>
        <w:t>2024–25</w:t>
      </w:r>
      <w:r w:rsidRPr="001C06E6">
        <w:t xml:space="preserve"> to continue to build the capability of the National Reconstruction Fund Corporation to undertake investments and deliver on its policy outcomes</w:t>
      </w:r>
      <w:r>
        <w:t xml:space="preserve"> </w:t>
      </w:r>
    </w:p>
    <w:p w14:paraId="0FA47E2B" w14:textId="77777777" w:rsidR="0012790E" w:rsidRDefault="0012790E">
      <w:pPr>
        <w:pStyle w:val="Bullet"/>
      </w:pPr>
      <w:r w:rsidRPr="001C06E6">
        <w:t>$3.0</w:t>
      </w:r>
      <w:r>
        <w:t> </w:t>
      </w:r>
      <w:r w:rsidRPr="001C06E6">
        <w:t xml:space="preserve">million over four years from </w:t>
      </w:r>
      <w:r>
        <w:t>2024–25</w:t>
      </w:r>
      <w:r w:rsidRPr="001C06E6">
        <w:t xml:space="preserve"> to deliver on the Government’s commitment for mandatory country of origin labelling for seafood in hospitality settings in collaboration with the states and territories.</w:t>
      </w:r>
      <w:r>
        <w:t xml:space="preserve"> </w:t>
      </w:r>
    </w:p>
    <w:p w14:paraId="3488FF7A" w14:textId="77777777" w:rsidR="0012790E" w:rsidRDefault="0012790E">
      <w:pPr>
        <w:pStyle w:val="Normal2"/>
        <w:rPr>
          <w:rFonts w:cs="Book Antiqua"/>
        </w:rPr>
      </w:pPr>
      <w:r w:rsidRPr="001C06E6">
        <w:rPr>
          <w:rFonts w:cs="Book Antiqua"/>
        </w:rPr>
        <w:t>The Government has already provided partial funding for this measure.</w:t>
      </w:r>
      <w:r>
        <w:rPr>
          <w:rFonts w:cs="Book Antiqua"/>
        </w:rPr>
        <w:t xml:space="preserve"> </w:t>
      </w:r>
    </w:p>
    <w:p w14:paraId="06BDCC95" w14:textId="7777777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 xml:space="preserve">Budget measure titled </w:t>
      </w:r>
      <w:r w:rsidRPr="001C06E6">
        <w:rPr>
          <w:rFonts w:cs="Book Antiqua"/>
          <w:i/>
          <w:iCs/>
        </w:rPr>
        <w:t>National Reconstruction</w:t>
      </w:r>
      <w:r>
        <w:rPr>
          <w:rFonts w:cs="Book Antiqua"/>
          <w:i/>
          <w:iCs/>
        </w:rPr>
        <w:t xml:space="preserve"> </w:t>
      </w:r>
      <w:r w:rsidRPr="001C06E6">
        <w:rPr>
          <w:rFonts w:cs="Book Antiqua"/>
          <w:i/>
          <w:iCs/>
        </w:rPr>
        <w:t xml:space="preserve">Fund Corporation – establishment, </w:t>
      </w:r>
      <w:r w:rsidRPr="001C06E6">
        <w:rPr>
          <w:rFonts w:cs="Book Antiqua"/>
        </w:rPr>
        <w:t xml:space="preserve">and the </w:t>
      </w:r>
      <w:r>
        <w:rPr>
          <w:rFonts w:cs="Book Antiqua"/>
        </w:rPr>
        <w:t>2022–23</w:t>
      </w:r>
      <w:r w:rsidRPr="001C06E6">
        <w:rPr>
          <w:rFonts w:cs="Book Antiqua"/>
        </w:rPr>
        <w:t xml:space="preserve"> October Budget measure titled</w:t>
      </w:r>
      <w:r>
        <w:rPr>
          <w:rFonts w:cs="Book Antiqua"/>
        </w:rPr>
        <w:t xml:space="preserve"> </w:t>
      </w:r>
      <w:r w:rsidRPr="001C06E6">
        <w:rPr>
          <w:rFonts w:cs="Book Antiqua"/>
          <w:i/>
          <w:iCs/>
        </w:rPr>
        <w:t>Supporting Australian Industry</w:t>
      </w:r>
      <w:r w:rsidRPr="001C06E6">
        <w:rPr>
          <w:rFonts w:cs="Book Antiqua"/>
        </w:rPr>
        <w:t>.</w:t>
      </w:r>
      <w:r>
        <w:rPr>
          <w:rFonts w:cs="Book Antiqua"/>
        </w:rPr>
        <w:t xml:space="preserve"> </w:t>
      </w:r>
    </w:p>
    <w:p w14:paraId="3A5E1AC4" w14:textId="77777777" w:rsidR="0012790E" w:rsidRPr="001C06E6" w:rsidRDefault="0012790E">
      <w:pPr>
        <w:pStyle w:val="MeasureTitle"/>
        <w:rPr>
          <w:b w:val="0"/>
          <w:bCs/>
        </w:rPr>
      </w:pPr>
      <w:r w:rsidRPr="001C06E6">
        <w:rPr>
          <w:bCs/>
        </w:rPr>
        <w:t>Supporting Safe and Responsible AI</w:t>
      </w:r>
    </w:p>
    <w:p w14:paraId="4735923E"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99CB381" w14:textId="77777777">
        <w:tc>
          <w:tcPr>
            <w:tcW w:w="2497" w:type="dxa"/>
            <w:tcBorders>
              <w:top w:val="single" w:sz="4" w:space="0" w:color="293F5B"/>
              <w:bottom w:val="single" w:sz="4" w:space="0" w:color="293F5B"/>
            </w:tcBorders>
            <w:shd w:val="clear" w:color="auto" w:fill="auto"/>
          </w:tcPr>
          <w:p w14:paraId="6D382179"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D690DB4"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23F77D9"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7E5A848"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075B3F1"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E84D99A" w14:textId="77777777" w:rsidR="0012790E" w:rsidRPr="001C06E6" w:rsidRDefault="0012790E">
            <w:pPr>
              <w:pStyle w:val="MeasureTableYearHeadings"/>
              <w:keepNext/>
            </w:pPr>
            <w:r w:rsidRPr="001C06E6">
              <w:t>2027</w:t>
            </w:r>
            <w:r>
              <w:noBreakHyphen/>
            </w:r>
            <w:r w:rsidRPr="001C06E6">
              <w:t>28</w:t>
            </w:r>
          </w:p>
        </w:tc>
      </w:tr>
      <w:tr w:rsidR="0012790E" w:rsidRPr="001C06E6" w14:paraId="0D20A539" w14:textId="77777777">
        <w:tc>
          <w:tcPr>
            <w:tcW w:w="2497" w:type="dxa"/>
            <w:tcBorders>
              <w:top w:val="single" w:sz="4" w:space="0" w:color="293F5B"/>
              <w:bottom w:val="single" w:sz="4" w:space="0" w:color="293F5B"/>
            </w:tcBorders>
            <w:shd w:val="clear" w:color="auto" w:fill="auto"/>
          </w:tcPr>
          <w:p w14:paraId="5B9F1089"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004A4C3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D5A716F" w14:textId="77777777" w:rsidR="0012790E" w:rsidRPr="001C06E6" w:rsidRDefault="0012790E">
            <w:pPr>
              <w:pStyle w:val="MeasureTableDataRightAlignedwith2ptsspacing"/>
              <w:keepNext/>
            </w:pPr>
            <w:r w:rsidRPr="001C06E6">
              <w:t>1.5</w:t>
            </w:r>
          </w:p>
        </w:tc>
        <w:tc>
          <w:tcPr>
            <w:tcW w:w="1045" w:type="dxa"/>
            <w:tcBorders>
              <w:top w:val="single" w:sz="4" w:space="0" w:color="293F5B"/>
              <w:bottom w:val="single" w:sz="4" w:space="0" w:color="293F5B"/>
            </w:tcBorders>
            <w:shd w:val="clear" w:color="auto" w:fill="auto"/>
          </w:tcPr>
          <w:p w14:paraId="51BE838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4C95A0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B8F2239" w14:textId="77777777" w:rsidR="0012790E" w:rsidRPr="001C06E6" w:rsidRDefault="0012790E">
            <w:pPr>
              <w:pStyle w:val="MeasureTableDataRightAlignedwith2ptsspacing"/>
              <w:keepNext/>
            </w:pPr>
            <w:r w:rsidRPr="001C06E6">
              <w:t>-</w:t>
            </w:r>
          </w:p>
        </w:tc>
      </w:tr>
      <w:tr w:rsidR="0012790E" w:rsidRPr="001C06E6" w14:paraId="0E03FCA5" w14:textId="77777777">
        <w:tc>
          <w:tcPr>
            <w:tcW w:w="2497" w:type="dxa"/>
            <w:tcBorders>
              <w:top w:val="single" w:sz="4" w:space="0" w:color="293F5B"/>
              <w:bottom w:val="single" w:sz="4" w:space="0" w:color="293F5B"/>
            </w:tcBorders>
            <w:shd w:val="clear" w:color="auto" w:fill="auto"/>
          </w:tcPr>
          <w:p w14:paraId="386F3E3F"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1EB3B5C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F506FCC" w14:textId="77777777" w:rsidR="0012790E" w:rsidRPr="001C06E6" w:rsidRDefault="0012790E">
            <w:pPr>
              <w:pStyle w:val="MeasureTableDataRightAlignedwith2ptsspacing"/>
              <w:keepNext/>
            </w:pPr>
            <w:r>
              <w:t xml:space="preserve">1.5 </w:t>
            </w:r>
          </w:p>
        </w:tc>
        <w:tc>
          <w:tcPr>
            <w:tcW w:w="1045" w:type="dxa"/>
            <w:tcBorders>
              <w:top w:val="single" w:sz="4" w:space="0" w:color="293F5B"/>
              <w:bottom w:val="single" w:sz="4" w:space="0" w:color="293F5B"/>
            </w:tcBorders>
            <w:shd w:val="clear" w:color="auto" w:fill="auto"/>
          </w:tcPr>
          <w:p w14:paraId="7BDDD84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8BED65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C308FA9" w14:textId="77777777" w:rsidR="0012790E" w:rsidRPr="001C06E6" w:rsidRDefault="0012790E">
            <w:pPr>
              <w:pStyle w:val="MeasureTableDataRightAlignedwith2ptsspacing"/>
              <w:keepNext/>
            </w:pPr>
            <w:r>
              <w:t xml:space="preserve">- </w:t>
            </w:r>
          </w:p>
        </w:tc>
      </w:tr>
      <w:tr w:rsidR="0012790E" w:rsidRPr="001C06E6" w14:paraId="3D6FCC0F" w14:textId="77777777">
        <w:tc>
          <w:tcPr>
            <w:tcW w:w="2497" w:type="dxa"/>
            <w:tcBorders>
              <w:top w:val="single" w:sz="4" w:space="0" w:color="293F5B"/>
              <w:bottom w:val="single" w:sz="4" w:space="0" w:color="293F5B"/>
            </w:tcBorders>
            <w:shd w:val="clear" w:color="auto" w:fill="auto"/>
          </w:tcPr>
          <w:p w14:paraId="4A000CE6" w14:textId="77777777" w:rsidR="0012790E" w:rsidRPr="001C06E6" w:rsidRDefault="0012790E">
            <w:pPr>
              <w:pStyle w:val="MeasureTableHeadingleftalignedwith2ptsspacing"/>
              <w:keepNext/>
            </w:pPr>
            <w:r w:rsidRPr="001C06E6">
              <w:t>Attorney</w:t>
            </w:r>
            <w:r>
              <w:noBreakHyphen/>
            </w:r>
            <w:r w:rsidRPr="001C06E6">
              <w:t>General's Department</w:t>
            </w:r>
          </w:p>
        </w:tc>
        <w:tc>
          <w:tcPr>
            <w:tcW w:w="1045" w:type="dxa"/>
            <w:tcBorders>
              <w:top w:val="single" w:sz="4" w:space="0" w:color="293F5B"/>
              <w:bottom w:val="single" w:sz="4" w:space="0" w:color="293F5B"/>
            </w:tcBorders>
            <w:shd w:val="clear" w:color="auto" w:fill="auto"/>
          </w:tcPr>
          <w:p w14:paraId="7EFBADE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84BEC76" w14:textId="77777777" w:rsidR="0012790E" w:rsidRPr="001C06E6" w:rsidRDefault="0012790E">
            <w:pPr>
              <w:pStyle w:val="MeasureTableDataRightAlignedwith2ptsspacing"/>
              <w:keepNext/>
            </w:pPr>
            <w:r w:rsidRPr="001C06E6">
              <w:t>1.2</w:t>
            </w:r>
          </w:p>
        </w:tc>
        <w:tc>
          <w:tcPr>
            <w:tcW w:w="1045" w:type="dxa"/>
            <w:tcBorders>
              <w:top w:val="single" w:sz="4" w:space="0" w:color="293F5B"/>
              <w:bottom w:val="single" w:sz="4" w:space="0" w:color="293F5B"/>
            </w:tcBorders>
            <w:shd w:val="clear" w:color="auto" w:fill="auto"/>
          </w:tcPr>
          <w:p w14:paraId="33BB277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DE697D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25CCEA2" w14:textId="77777777" w:rsidR="0012790E" w:rsidRPr="001C06E6" w:rsidRDefault="0012790E">
            <w:pPr>
              <w:pStyle w:val="MeasureTableDataRightAlignedwith2ptsspacing"/>
              <w:keepNext/>
            </w:pPr>
            <w:r w:rsidRPr="001C06E6">
              <w:t>-</w:t>
            </w:r>
          </w:p>
        </w:tc>
      </w:tr>
      <w:tr w:rsidR="0012790E" w:rsidRPr="001C06E6" w14:paraId="1F8AEBF6" w14:textId="77777777">
        <w:tc>
          <w:tcPr>
            <w:tcW w:w="2497" w:type="dxa"/>
            <w:tcBorders>
              <w:top w:val="single" w:sz="4" w:space="0" w:color="293F5B"/>
              <w:bottom w:val="single" w:sz="4" w:space="0" w:color="293F5B"/>
            </w:tcBorders>
            <w:shd w:val="clear" w:color="auto" w:fill="auto"/>
          </w:tcPr>
          <w:p w14:paraId="04F41F91"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246BA61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0CE89F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E9037A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DB4CB5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BEA1DED" w14:textId="77777777" w:rsidR="0012790E" w:rsidRPr="001C06E6" w:rsidRDefault="0012790E">
            <w:pPr>
              <w:pStyle w:val="MeasureTableDataRightAlignedwith2ptsspacing"/>
              <w:keepNext/>
            </w:pPr>
            <w:r w:rsidRPr="001C06E6">
              <w:t>-</w:t>
            </w:r>
          </w:p>
        </w:tc>
      </w:tr>
      <w:tr w:rsidR="0012790E" w:rsidRPr="001C06E6" w14:paraId="4C462B2F" w14:textId="77777777">
        <w:tc>
          <w:tcPr>
            <w:tcW w:w="2497" w:type="dxa"/>
            <w:tcBorders>
              <w:top w:val="single" w:sz="4" w:space="0" w:color="293F5B"/>
              <w:bottom w:val="single" w:sz="4" w:space="0" w:color="293F5B"/>
            </w:tcBorders>
            <w:shd w:val="clear" w:color="auto" w:fill="auto"/>
          </w:tcPr>
          <w:p w14:paraId="2F8AEE32" w14:textId="77777777" w:rsidR="0012790E" w:rsidRPr="001C06E6" w:rsidRDefault="0012790E">
            <w:pPr>
              <w:pStyle w:val="MeasureTableHeadingleftalignedwith2ptsspacing"/>
              <w:keepNext/>
            </w:pPr>
            <w:r w:rsidRPr="001C06E6">
              <w:t>Digital Transformation Agency</w:t>
            </w:r>
          </w:p>
        </w:tc>
        <w:tc>
          <w:tcPr>
            <w:tcW w:w="1045" w:type="dxa"/>
            <w:tcBorders>
              <w:top w:val="single" w:sz="4" w:space="0" w:color="293F5B"/>
              <w:bottom w:val="single" w:sz="4" w:space="0" w:color="293F5B"/>
            </w:tcBorders>
            <w:shd w:val="clear" w:color="auto" w:fill="auto"/>
          </w:tcPr>
          <w:p w14:paraId="7FE0C5F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D183BD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5BDC66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C7263D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B6E29CA" w14:textId="77777777" w:rsidR="0012790E" w:rsidRPr="001C06E6" w:rsidRDefault="0012790E">
            <w:pPr>
              <w:pStyle w:val="MeasureTableDataRightAlignedwith2ptsspacing"/>
              <w:keepNext/>
            </w:pPr>
            <w:r w:rsidRPr="001C06E6">
              <w:t>-</w:t>
            </w:r>
          </w:p>
        </w:tc>
      </w:tr>
      <w:tr w:rsidR="0012790E" w:rsidRPr="001C06E6" w14:paraId="67681D3F" w14:textId="77777777">
        <w:tc>
          <w:tcPr>
            <w:tcW w:w="2497" w:type="dxa"/>
            <w:tcBorders>
              <w:top w:val="single" w:sz="4" w:space="0" w:color="293F5B"/>
              <w:bottom w:val="single" w:sz="4" w:space="0" w:color="293F5B"/>
            </w:tcBorders>
            <w:shd w:val="clear" w:color="auto" w:fill="auto"/>
          </w:tcPr>
          <w:p w14:paraId="3AF38D34" w14:textId="77777777" w:rsidR="0012790E" w:rsidRPr="001C06E6" w:rsidRDefault="0012790E">
            <w:pPr>
              <w:pStyle w:val="MeasureTableHeadingleftalignedwith2ptsspacing"/>
              <w:keepNext/>
            </w:pPr>
            <w:r>
              <w:t xml:space="preserve">Department of Industry, Science and Resources </w:t>
            </w:r>
          </w:p>
        </w:tc>
        <w:tc>
          <w:tcPr>
            <w:tcW w:w="1045" w:type="dxa"/>
            <w:tcBorders>
              <w:top w:val="single" w:sz="4" w:space="0" w:color="293F5B"/>
              <w:bottom w:val="single" w:sz="4" w:space="0" w:color="293F5B"/>
            </w:tcBorders>
            <w:shd w:val="clear" w:color="auto" w:fill="auto"/>
          </w:tcPr>
          <w:p w14:paraId="2C7CE9A5" w14:textId="77777777" w:rsidR="0012790E" w:rsidRPr="001C06E6" w:rsidRDefault="0012790E">
            <w:pPr>
              <w:pStyle w:val="MeasureTableDataRightAlignedwith2ptsspacing"/>
              <w:keepNext/>
            </w:pPr>
            <w:r>
              <w:t xml:space="preserve">-2.8 </w:t>
            </w:r>
          </w:p>
        </w:tc>
        <w:tc>
          <w:tcPr>
            <w:tcW w:w="1045" w:type="dxa"/>
            <w:tcBorders>
              <w:top w:val="single" w:sz="4" w:space="0" w:color="293F5B"/>
              <w:bottom w:val="single" w:sz="4" w:space="0" w:color="293F5B"/>
            </w:tcBorders>
            <w:shd w:val="clear" w:color="auto" w:fill="auto"/>
          </w:tcPr>
          <w:p w14:paraId="4F1C2C0B" w14:textId="77777777" w:rsidR="0012790E" w:rsidRPr="001C06E6" w:rsidRDefault="0012790E">
            <w:pPr>
              <w:pStyle w:val="MeasureTableDataRightAlignedwith2ptsspacing"/>
              <w:keepNext/>
            </w:pPr>
            <w:r>
              <w:t xml:space="preserve">6.4 </w:t>
            </w:r>
          </w:p>
        </w:tc>
        <w:tc>
          <w:tcPr>
            <w:tcW w:w="1045" w:type="dxa"/>
            <w:tcBorders>
              <w:top w:val="single" w:sz="4" w:space="0" w:color="293F5B"/>
              <w:bottom w:val="single" w:sz="4" w:space="0" w:color="293F5B"/>
            </w:tcBorders>
            <w:shd w:val="clear" w:color="auto" w:fill="auto"/>
          </w:tcPr>
          <w:p w14:paraId="06D27851" w14:textId="77777777" w:rsidR="0012790E" w:rsidRPr="001C06E6" w:rsidRDefault="0012790E">
            <w:pPr>
              <w:pStyle w:val="MeasureTableDataRightAlignedwith2ptsspacing"/>
              <w:keepNext/>
            </w:pPr>
            <w:r>
              <w:t xml:space="preserve">3.1 </w:t>
            </w:r>
          </w:p>
        </w:tc>
        <w:tc>
          <w:tcPr>
            <w:tcW w:w="1045" w:type="dxa"/>
            <w:tcBorders>
              <w:top w:val="single" w:sz="4" w:space="0" w:color="293F5B"/>
              <w:bottom w:val="single" w:sz="4" w:space="0" w:color="293F5B"/>
            </w:tcBorders>
            <w:shd w:val="clear" w:color="auto" w:fill="auto"/>
          </w:tcPr>
          <w:p w14:paraId="535E787E" w14:textId="77777777" w:rsidR="0012790E" w:rsidRPr="001C06E6" w:rsidRDefault="0012790E">
            <w:pPr>
              <w:pStyle w:val="MeasureTableDataRightAlignedwith2ptsspacing"/>
              <w:keepNext/>
            </w:pPr>
            <w:r>
              <w:t xml:space="preserve">-0.8 </w:t>
            </w:r>
          </w:p>
        </w:tc>
        <w:tc>
          <w:tcPr>
            <w:tcW w:w="1045" w:type="dxa"/>
            <w:tcBorders>
              <w:top w:val="single" w:sz="4" w:space="0" w:color="293F5B"/>
              <w:bottom w:val="single" w:sz="4" w:space="0" w:color="293F5B"/>
            </w:tcBorders>
            <w:shd w:val="clear" w:color="auto" w:fill="auto"/>
          </w:tcPr>
          <w:p w14:paraId="6A415509" w14:textId="77777777" w:rsidR="0012790E" w:rsidRPr="001C06E6" w:rsidRDefault="0012790E">
            <w:pPr>
              <w:pStyle w:val="MeasureTableDataRightAlignedwith2ptsspacing"/>
              <w:keepNext/>
            </w:pPr>
            <w:r>
              <w:t xml:space="preserve">5.6 </w:t>
            </w:r>
          </w:p>
        </w:tc>
      </w:tr>
      <w:tr w:rsidR="0012790E" w:rsidRPr="001C06E6" w14:paraId="49BF80BA" w14:textId="77777777">
        <w:tc>
          <w:tcPr>
            <w:tcW w:w="2497" w:type="dxa"/>
            <w:tcBorders>
              <w:top w:val="single" w:sz="4" w:space="0" w:color="293F5B"/>
              <w:bottom w:val="single" w:sz="4" w:space="0" w:color="293F5B"/>
            </w:tcBorders>
            <w:shd w:val="clear" w:color="auto" w:fill="auto"/>
          </w:tcPr>
          <w:p w14:paraId="2036F811"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77D77984" w14:textId="77777777" w:rsidR="0012790E" w:rsidRPr="001C06E6" w:rsidRDefault="0012790E">
            <w:pPr>
              <w:pStyle w:val="Totaldatarowrightaligned"/>
              <w:keepNext/>
            </w:pPr>
            <w:r w:rsidRPr="001C06E6">
              <w:t>-2.8</w:t>
            </w:r>
          </w:p>
        </w:tc>
        <w:tc>
          <w:tcPr>
            <w:tcW w:w="1045" w:type="dxa"/>
            <w:tcBorders>
              <w:top w:val="single" w:sz="4" w:space="0" w:color="293F5B"/>
              <w:bottom w:val="single" w:sz="4" w:space="0" w:color="293F5B"/>
            </w:tcBorders>
            <w:shd w:val="clear" w:color="auto" w:fill="auto"/>
          </w:tcPr>
          <w:p w14:paraId="205DB8E3" w14:textId="77777777" w:rsidR="0012790E" w:rsidRPr="001C06E6" w:rsidRDefault="0012790E">
            <w:pPr>
              <w:pStyle w:val="Totaldatarowrightaligned"/>
              <w:keepNext/>
            </w:pPr>
            <w:r w:rsidRPr="001C06E6">
              <w:t>10.6</w:t>
            </w:r>
          </w:p>
        </w:tc>
        <w:tc>
          <w:tcPr>
            <w:tcW w:w="1045" w:type="dxa"/>
            <w:tcBorders>
              <w:top w:val="single" w:sz="4" w:space="0" w:color="293F5B"/>
              <w:bottom w:val="single" w:sz="4" w:space="0" w:color="293F5B"/>
            </w:tcBorders>
            <w:shd w:val="clear" w:color="auto" w:fill="auto"/>
          </w:tcPr>
          <w:p w14:paraId="468AA0B9" w14:textId="77777777" w:rsidR="0012790E" w:rsidRPr="001C06E6" w:rsidRDefault="0012790E">
            <w:pPr>
              <w:pStyle w:val="Totaldatarowrightaligned"/>
              <w:keepNext/>
            </w:pPr>
            <w:r w:rsidRPr="001C06E6">
              <w:t>3.1</w:t>
            </w:r>
          </w:p>
        </w:tc>
        <w:tc>
          <w:tcPr>
            <w:tcW w:w="1045" w:type="dxa"/>
            <w:tcBorders>
              <w:top w:val="single" w:sz="4" w:space="0" w:color="293F5B"/>
              <w:bottom w:val="single" w:sz="4" w:space="0" w:color="293F5B"/>
            </w:tcBorders>
            <w:shd w:val="clear" w:color="auto" w:fill="auto"/>
          </w:tcPr>
          <w:p w14:paraId="4F44C541" w14:textId="77777777" w:rsidR="0012790E" w:rsidRPr="001C06E6" w:rsidRDefault="0012790E">
            <w:pPr>
              <w:pStyle w:val="Totaldatarowrightaligned"/>
              <w:keepNext/>
            </w:pPr>
            <w:r w:rsidRPr="001C06E6">
              <w:t>-0.8</w:t>
            </w:r>
          </w:p>
        </w:tc>
        <w:tc>
          <w:tcPr>
            <w:tcW w:w="1045" w:type="dxa"/>
            <w:tcBorders>
              <w:top w:val="single" w:sz="4" w:space="0" w:color="293F5B"/>
              <w:bottom w:val="single" w:sz="4" w:space="0" w:color="293F5B"/>
            </w:tcBorders>
            <w:shd w:val="clear" w:color="auto" w:fill="auto"/>
          </w:tcPr>
          <w:p w14:paraId="1C50259C" w14:textId="77777777" w:rsidR="0012790E" w:rsidRPr="001C06E6" w:rsidRDefault="0012790E">
            <w:pPr>
              <w:pStyle w:val="Totaldatarowrightaligned"/>
              <w:keepNext/>
            </w:pPr>
            <w:r w:rsidRPr="001C06E6">
              <w:t>5.6</w:t>
            </w:r>
          </w:p>
        </w:tc>
      </w:tr>
    </w:tbl>
    <w:p w14:paraId="52BA3C1B"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4DA0BE29" w14:textId="368720A3" w:rsidR="0012790E" w:rsidRDefault="0012790E">
      <w:pPr>
        <w:pStyle w:val="Normal2"/>
        <w:rPr>
          <w:rFonts w:cs="Book Antiqua"/>
        </w:rPr>
      </w:pPr>
      <w:r w:rsidRPr="001C06E6">
        <w:rPr>
          <w:rFonts w:cs="Book Antiqua"/>
        </w:rPr>
        <w:t>The Government will provide $3</w:t>
      </w:r>
      <w:r w:rsidR="003F1FFE">
        <w:rPr>
          <w:rFonts w:cs="Book Antiqua"/>
        </w:rPr>
        <w:t>9</w:t>
      </w:r>
      <w:r w:rsidRPr="001C06E6">
        <w:rPr>
          <w:rFonts w:cs="Book Antiqua"/>
        </w:rPr>
        <w:t>.9</w:t>
      </w:r>
      <w:r>
        <w:rPr>
          <w:rFonts w:cs="Book Antiqua"/>
        </w:rPr>
        <w:t> </w:t>
      </w:r>
      <w:r w:rsidRPr="001C06E6">
        <w:rPr>
          <w:rFonts w:cs="Book Antiqua"/>
        </w:rPr>
        <w:t xml:space="preserve">million over five years from </w:t>
      </w:r>
      <w:r>
        <w:rPr>
          <w:rFonts w:cs="Book Antiqua"/>
        </w:rPr>
        <w:t>2023–24</w:t>
      </w:r>
      <w:r w:rsidRPr="001C06E6">
        <w:rPr>
          <w:rFonts w:cs="Book Antiqua"/>
        </w:rPr>
        <w:t xml:space="preserve"> for the</w:t>
      </w:r>
      <w:r>
        <w:rPr>
          <w:rFonts w:cs="Book Antiqua"/>
        </w:rPr>
        <w:t xml:space="preserve"> </w:t>
      </w:r>
      <w:r w:rsidRPr="001C06E6">
        <w:rPr>
          <w:rFonts w:cs="Book Antiqua"/>
        </w:rPr>
        <w:t>development of policies and capability to support the adoption and use of artificial</w:t>
      </w:r>
      <w:r>
        <w:rPr>
          <w:rFonts w:cs="Book Antiqua"/>
        </w:rPr>
        <w:t xml:space="preserve"> </w:t>
      </w:r>
      <w:r w:rsidRPr="001C06E6">
        <w:rPr>
          <w:rFonts w:cs="Book Antiqua"/>
        </w:rPr>
        <w:t>intelligence (AI) technology in a safe and responsible manner, including:</w:t>
      </w:r>
    </w:p>
    <w:p w14:paraId="2AAC0961" w14:textId="0F968413" w:rsidR="0012790E" w:rsidRDefault="0012790E">
      <w:pPr>
        <w:pStyle w:val="Bullet"/>
      </w:pPr>
      <w:r w:rsidRPr="001C06E6">
        <w:t>$21.6</w:t>
      </w:r>
      <w:r>
        <w:t> </w:t>
      </w:r>
      <w:r w:rsidRPr="001C06E6">
        <w:t xml:space="preserve">million over four years from </w:t>
      </w:r>
      <w:r>
        <w:t>2024–25</w:t>
      </w:r>
      <w:r w:rsidRPr="001C06E6">
        <w:t xml:space="preserve"> to establish a reshaped National AI Centre (NAIC) and an AI advisory body within the Department of Industry, Science and</w:t>
      </w:r>
      <w:r w:rsidR="00EB5256">
        <w:t> </w:t>
      </w:r>
      <w:r w:rsidRPr="001C06E6">
        <w:t>Resources</w:t>
      </w:r>
      <w:r>
        <w:t xml:space="preserve"> </w:t>
      </w:r>
    </w:p>
    <w:p w14:paraId="24F0A9F4" w14:textId="7049935F" w:rsidR="0012790E" w:rsidRDefault="0012790E">
      <w:pPr>
        <w:pStyle w:val="Bullet"/>
      </w:pPr>
      <w:r w:rsidRPr="001C06E6">
        <w:t xml:space="preserve">$15.7 million over two years from </w:t>
      </w:r>
      <w:r>
        <w:t>2024–25</w:t>
      </w:r>
      <w:r w:rsidRPr="001C06E6">
        <w:t xml:space="preserve"> to support industry analytical capability and coordination of AI policy development, regulation and engagement activities across government, including to review and strengthen existing regulations in the areas of health care, consumer and copyright law</w:t>
      </w:r>
      <w:r>
        <w:t xml:space="preserve"> </w:t>
      </w:r>
    </w:p>
    <w:p w14:paraId="3FB4B5B4" w14:textId="77777777" w:rsidR="0012790E" w:rsidRDefault="0012790E">
      <w:pPr>
        <w:pStyle w:val="Bullet"/>
      </w:pPr>
      <w:r w:rsidRPr="001C06E6">
        <w:t>$2.6</w:t>
      </w:r>
      <w:r>
        <w:t> </w:t>
      </w:r>
      <w:r w:rsidRPr="001C06E6">
        <w:t xml:space="preserve">million over three years from </w:t>
      </w:r>
      <w:r>
        <w:t>2024–25</w:t>
      </w:r>
      <w:r w:rsidRPr="001C06E6">
        <w:t xml:space="preserve"> to respond to and mitigate against national security risks related to AI.</w:t>
      </w:r>
      <w:r>
        <w:t xml:space="preserve"> </w:t>
      </w:r>
    </w:p>
    <w:p w14:paraId="12AB9FD9" w14:textId="6F34627A" w:rsidR="0012790E" w:rsidRDefault="0012790E">
      <w:pPr>
        <w:pStyle w:val="Normal2"/>
        <w:rPr>
          <w:rFonts w:cs="Book Antiqua"/>
        </w:rPr>
      </w:pPr>
      <w:r w:rsidRPr="001C06E6">
        <w:rPr>
          <w:rFonts w:cs="Book Antiqua"/>
        </w:rPr>
        <w:t>The Digital Transformation Agency will also develop and implement policies to</w:t>
      </w:r>
      <w:r>
        <w:rPr>
          <w:rFonts w:cs="Book Antiqua"/>
        </w:rPr>
        <w:t xml:space="preserve"> </w:t>
      </w:r>
      <w:r w:rsidRPr="001C06E6">
        <w:rPr>
          <w:rFonts w:cs="Book Antiqua"/>
        </w:rPr>
        <w:t>position</w:t>
      </w:r>
      <w:r w:rsidR="00EB5256">
        <w:rPr>
          <w:rFonts w:cs="Book Antiqua"/>
        </w:rPr>
        <w:t> </w:t>
      </w:r>
      <w:r w:rsidRPr="001C06E6">
        <w:rPr>
          <w:rFonts w:cs="Book Antiqua"/>
        </w:rPr>
        <w:t xml:space="preserve">government as an exemplar in the use of AI, with costs </w:t>
      </w:r>
      <w:r w:rsidR="003270AB">
        <w:rPr>
          <w:rFonts w:cs="Book Antiqua"/>
        </w:rPr>
        <w:t xml:space="preserve">to </w:t>
      </w:r>
      <w:r w:rsidRPr="001C06E6">
        <w:rPr>
          <w:rFonts w:cs="Book Antiqua"/>
        </w:rPr>
        <w:t>be met from within</w:t>
      </w:r>
      <w:r>
        <w:rPr>
          <w:rFonts w:cs="Book Antiqua"/>
        </w:rPr>
        <w:t xml:space="preserve"> </w:t>
      </w:r>
      <w:r w:rsidRPr="001C06E6">
        <w:rPr>
          <w:rFonts w:cs="Book Antiqua"/>
        </w:rPr>
        <w:t>existing resources.</w:t>
      </w:r>
      <w:r>
        <w:rPr>
          <w:rFonts w:cs="Book Antiqua"/>
        </w:rPr>
        <w:t xml:space="preserve"> </w:t>
      </w:r>
    </w:p>
    <w:p w14:paraId="5D1FF90F"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within the existing resourcing of the Department of Home Affairs and the Department of Industry, Science, and Resources. </w:t>
      </w:r>
    </w:p>
    <w:p w14:paraId="2EA29B41" w14:textId="77777777" w:rsidR="0012790E" w:rsidRPr="001C06E6" w:rsidRDefault="0012790E">
      <w:pPr>
        <w:pStyle w:val="MeasureTitle"/>
        <w:rPr>
          <w:b w:val="0"/>
          <w:bCs/>
        </w:rPr>
      </w:pPr>
      <w:r w:rsidRPr="001C06E6">
        <w:rPr>
          <w:bCs/>
        </w:rPr>
        <w:t>Supporting Safety and Responsible Decommissioning in the Offshore</w:t>
      </w:r>
      <w:r>
        <w:rPr>
          <w:bCs/>
        </w:rPr>
        <w:t xml:space="preserve"> </w:t>
      </w:r>
      <w:r w:rsidRPr="001C06E6">
        <w:rPr>
          <w:bCs/>
        </w:rPr>
        <w:t>Resources Sector</w:t>
      </w:r>
    </w:p>
    <w:p w14:paraId="2F2AC82F"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D1C65E1" w14:textId="77777777">
        <w:tc>
          <w:tcPr>
            <w:tcW w:w="2497" w:type="dxa"/>
            <w:tcBorders>
              <w:top w:val="single" w:sz="4" w:space="0" w:color="293F5B"/>
              <w:bottom w:val="single" w:sz="4" w:space="0" w:color="293F5B"/>
            </w:tcBorders>
            <w:shd w:val="clear" w:color="auto" w:fill="auto"/>
          </w:tcPr>
          <w:p w14:paraId="174E7610"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38140620"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33BC9F2"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7BF3E53"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5EC6E844"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FC96B0C" w14:textId="77777777" w:rsidR="0012790E" w:rsidRPr="001C06E6" w:rsidRDefault="0012790E">
            <w:pPr>
              <w:pStyle w:val="MeasureTableYearHeadings"/>
              <w:keepNext/>
            </w:pPr>
            <w:r w:rsidRPr="001C06E6">
              <w:t>2027</w:t>
            </w:r>
            <w:r>
              <w:noBreakHyphen/>
            </w:r>
            <w:r w:rsidRPr="001C06E6">
              <w:t>28</w:t>
            </w:r>
          </w:p>
        </w:tc>
      </w:tr>
      <w:tr w:rsidR="0012790E" w:rsidRPr="001C06E6" w14:paraId="5F497DBB" w14:textId="77777777">
        <w:tc>
          <w:tcPr>
            <w:tcW w:w="2497" w:type="dxa"/>
            <w:tcBorders>
              <w:top w:val="single" w:sz="4" w:space="0" w:color="293F5B"/>
              <w:bottom w:val="single" w:sz="4" w:space="0" w:color="293F5B"/>
            </w:tcBorders>
            <w:shd w:val="clear" w:color="auto" w:fill="auto"/>
          </w:tcPr>
          <w:p w14:paraId="057D3D43"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30A3E29F" w14:textId="51A793FA" w:rsidR="0012790E" w:rsidRPr="001C06E6" w:rsidRDefault="00927202">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1A39B8D8" w14:textId="24E4D063" w:rsidR="0012790E" w:rsidRPr="001C06E6" w:rsidRDefault="00BD687F">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3374EA1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7457A54"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F72B9AA" w14:textId="77777777" w:rsidR="0012790E" w:rsidRPr="001C06E6" w:rsidRDefault="0012790E">
            <w:pPr>
              <w:pStyle w:val="MeasureTableDataRightAlignedwith2ptsspacing"/>
              <w:keepNext/>
            </w:pPr>
            <w:r>
              <w:t xml:space="preserve">- </w:t>
            </w:r>
          </w:p>
        </w:tc>
      </w:tr>
      <w:tr w:rsidR="0012790E" w:rsidRPr="001C06E6" w14:paraId="25C186FB" w14:textId="77777777">
        <w:tc>
          <w:tcPr>
            <w:tcW w:w="2497" w:type="dxa"/>
            <w:tcBorders>
              <w:top w:val="single" w:sz="4" w:space="0" w:color="293F5B"/>
              <w:bottom w:val="single" w:sz="4" w:space="0" w:color="293F5B"/>
            </w:tcBorders>
            <w:shd w:val="clear" w:color="auto" w:fill="auto"/>
          </w:tcPr>
          <w:p w14:paraId="21695A02" w14:textId="77777777" w:rsidR="0012790E" w:rsidRPr="001C06E6" w:rsidRDefault="0012790E">
            <w:pPr>
              <w:pStyle w:val="MeasureTableHeadingleftalignedwith2ptsspacing"/>
              <w:keepNext/>
            </w:pPr>
            <w:r>
              <w:t xml:space="preserve">National Offshore Petroleum Safety and Environmental Management Authority </w:t>
            </w:r>
          </w:p>
        </w:tc>
        <w:tc>
          <w:tcPr>
            <w:tcW w:w="1045" w:type="dxa"/>
            <w:tcBorders>
              <w:top w:val="single" w:sz="4" w:space="0" w:color="293F5B"/>
              <w:bottom w:val="single" w:sz="4" w:space="0" w:color="293F5B"/>
            </w:tcBorders>
            <w:shd w:val="clear" w:color="auto" w:fill="auto"/>
          </w:tcPr>
          <w:p w14:paraId="61AEC7D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9360131" w14:textId="77777777" w:rsidR="0012790E" w:rsidRPr="001C06E6" w:rsidRDefault="0012790E">
            <w:pPr>
              <w:pStyle w:val="MeasureTableDataRightAlignedwith2ptsspacing"/>
              <w:keepNext/>
            </w:pPr>
            <w:r>
              <w:t xml:space="preserve">20.0   </w:t>
            </w:r>
          </w:p>
        </w:tc>
        <w:tc>
          <w:tcPr>
            <w:tcW w:w="1045" w:type="dxa"/>
            <w:tcBorders>
              <w:top w:val="single" w:sz="4" w:space="0" w:color="293F5B"/>
              <w:bottom w:val="single" w:sz="4" w:space="0" w:color="293F5B"/>
            </w:tcBorders>
            <w:shd w:val="clear" w:color="auto" w:fill="auto"/>
          </w:tcPr>
          <w:p w14:paraId="77D8661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3D1E137"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5B9D8DD" w14:textId="77777777" w:rsidR="0012790E" w:rsidRPr="001C06E6" w:rsidRDefault="0012790E">
            <w:pPr>
              <w:pStyle w:val="MeasureTableDataRightAlignedwith2ptsspacing"/>
              <w:keepNext/>
            </w:pPr>
            <w:r>
              <w:t xml:space="preserve">-   </w:t>
            </w:r>
          </w:p>
        </w:tc>
      </w:tr>
      <w:tr w:rsidR="0012790E" w:rsidRPr="001C06E6" w14:paraId="456195DB" w14:textId="77777777">
        <w:tc>
          <w:tcPr>
            <w:tcW w:w="2497" w:type="dxa"/>
            <w:tcBorders>
              <w:top w:val="single" w:sz="4" w:space="0" w:color="293F5B"/>
              <w:bottom w:val="single" w:sz="4" w:space="0" w:color="293F5B"/>
            </w:tcBorders>
            <w:shd w:val="clear" w:color="auto" w:fill="auto"/>
          </w:tcPr>
          <w:p w14:paraId="0C6405DB" w14:textId="77777777" w:rsidR="0012790E" w:rsidRPr="001C06E6" w:rsidRDefault="0012790E">
            <w:pPr>
              <w:pStyle w:val="MeasureTableHeadingleftalignedwith2ptsspacing"/>
              <w:keepNext/>
            </w:pPr>
            <w:r>
              <w:t xml:space="preserve">Department of Industry, Science and Resources </w:t>
            </w:r>
          </w:p>
        </w:tc>
        <w:tc>
          <w:tcPr>
            <w:tcW w:w="1045" w:type="dxa"/>
            <w:tcBorders>
              <w:top w:val="single" w:sz="4" w:space="0" w:color="293F5B"/>
              <w:bottom w:val="single" w:sz="4" w:space="0" w:color="293F5B"/>
            </w:tcBorders>
            <w:shd w:val="clear" w:color="auto" w:fill="auto"/>
          </w:tcPr>
          <w:p w14:paraId="74415EA6" w14:textId="791B3563" w:rsidR="0012790E" w:rsidRPr="001C06E6" w:rsidRDefault="00A61079">
            <w:pPr>
              <w:pStyle w:val="MeasureTableDataRightAlignedwith2ptsspacing"/>
              <w:keepNext/>
            </w:pPr>
            <w:r>
              <w:t>-</w:t>
            </w:r>
            <w:r w:rsidR="00BD687F">
              <w:t>1.5</w:t>
            </w:r>
            <w:r w:rsidR="0012790E">
              <w:t xml:space="preserve"> </w:t>
            </w:r>
          </w:p>
        </w:tc>
        <w:tc>
          <w:tcPr>
            <w:tcW w:w="1045" w:type="dxa"/>
            <w:tcBorders>
              <w:top w:val="single" w:sz="4" w:space="0" w:color="293F5B"/>
              <w:bottom w:val="single" w:sz="4" w:space="0" w:color="293F5B"/>
            </w:tcBorders>
            <w:shd w:val="clear" w:color="auto" w:fill="auto"/>
          </w:tcPr>
          <w:p w14:paraId="0AD8FA13"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40FE5071" w14:textId="77777777" w:rsidR="0012790E" w:rsidRPr="001C06E6" w:rsidRDefault="0012790E">
            <w:pPr>
              <w:pStyle w:val="MeasureTableDataRightAlignedwith2ptsspacing"/>
              <w:keepNext/>
            </w:pPr>
            <w:r>
              <w:t xml:space="preserve">3.6 </w:t>
            </w:r>
          </w:p>
        </w:tc>
        <w:tc>
          <w:tcPr>
            <w:tcW w:w="1045" w:type="dxa"/>
            <w:tcBorders>
              <w:top w:val="single" w:sz="4" w:space="0" w:color="293F5B"/>
              <w:bottom w:val="single" w:sz="4" w:space="0" w:color="293F5B"/>
            </w:tcBorders>
            <w:shd w:val="clear" w:color="auto" w:fill="auto"/>
          </w:tcPr>
          <w:p w14:paraId="7760D8F6" w14:textId="23DC057C" w:rsidR="0012790E" w:rsidRPr="001C06E6" w:rsidRDefault="00BD687F">
            <w:pPr>
              <w:pStyle w:val="MeasureTableDataRightAlignedwith2ptsspacing"/>
              <w:keepNext/>
            </w:pPr>
            <w:r>
              <w:t>nfp</w:t>
            </w:r>
            <w:r w:rsidR="0012790E">
              <w:t xml:space="preserve"> </w:t>
            </w:r>
          </w:p>
        </w:tc>
        <w:tc>
          <w:tcPr>
            <w:tcW w:w="1045" w:type="dxa"/>
            <w:tcBorders>
              <w:top w:val="single" w:sz="4" w:space="0" w:color="293F5B"/>
              <w:bottom w:val="single" w:sz="4" w:space="0" w:color="293F5B"/>
            </w:tcBorders>
            <w:shd w:val="clear" w:color="auto" w:fill="auto"/>
          </w:tcPr>
          <w:p w14:paraId="5970545F" w14:textId="77777777" w:rsidR="0012790E" w:rsidRPr="001C06E6" w:rsidRDefault="0012790E">
            <w:pPr>
              <w:pStyle w:val="MeasureTableDataRightAlignedwith2ptsspacing"/>
              <w:keepNext/>
            </w:pPr>
            <w:r>
              <w:t xml:space="preserve">- </w:t>
            </w:r>
          </w:p>
        </w:tc>
      </w:tr>
      <w:tr w:rsidR="0012790E" w:rsidRPr="001C06E6" w14:paraId="28E71567" w14:textId="77777777">
        <w:tc>
          <w:tcPr>
            <w:tcW w:w="2497" w:type="dxa"/>
            <w:tcBorders>
              <w:top w:val="single" w:sz="4" w:space="0" w:color="293F5B"/>
              <w:bottom w:val="single" w:sz="4" w:space="0" w:color="293F5B"/>
            </w:tcBorders>
            <w:shd w:val="clear" w:color="auto" w:fill="auto"/>
          </w:tcPr>
          <w:p w14:paraId="4BBEC820"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71105E18" w14:textId="77777777" w:rsidR="0012790E" w:rsidRPr="001C06E6" w:rsidRDefault="0012790E">
            <w:pPr>
              <w:pStyle w:val="MeasureTableDataRightAlignedwith2ptsspacing"/>
              <w:keepNext/>
            </w:pPr>
            <w:r w:rsidRPr="001C06E6">
              <w:t>-2.5</w:t>
            </w:r>
          </w:p>
        </w:tc>
        <w:tc>
          <w:tcPr>
            <w:tcW w:w="1045" w:type="dxa"/>
            <w:tcBorders>
              <w:top w:val="single" w:sz="4" w:space="0" w:color="293F5B"/>
              <w:bottom w:val="single" w:sz="4" w:space="0" w:color="293F5B"/>
            </w:tcBorders>
            <w:shd w:val="clear" w:color="auto" w:fill="auto"/>
          </w:tcPr>
          <w:p w14:paraId="1BF6C332" w14:textId="77777777" w:rsidR="0012790E" w:rsidRPr="001C06E6" w:rsidRDefault="0012790E">
            <w:pPr>
              <w:pStyle w:val="MeasureTableDataRightAlignedwith2ptsspacing"/>
              <w:keepNext/>
            </w:pPr>
            <w:r w:rsidRPr="001C06E6">
              <w:t>-2.5</w:t>
            </w:r>
          </w:p>
        </w:tc>
        <w:tc>
          <w:tcPr>
            <w:tcW w:w="1045" w:type="dxa"/>
            <w:tcBorders>
              <w:top w:val="single" w:sz="4" w:space="0" w:color="293F5B"/>
              <w:bottom w:val="single" w:sz="4" w:space="0" w:color="293F5B"/>
            </w:tcBorders>
            <w:shd w:val="clear" w:color="auto" w:fill="auto"/>
          </w:tcPr>
          <w:p w14:paraId="64AB0E0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14643F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FA931C4" w14:textId="77777777" w:rsidR="0012790E" w:rsidRPr="001C06E6" w:rsidRDefault="0012790E">
            <w:pPr>
              <w:pStyle w:val="MeasureTableDataRightAlignedwith2ptsspacing"/>
              <w:keepNext/>
            </w:pPr>
            <w:r w:rsidRPr="001C06E6">
              <w:t>-</w:t>
            </w:r>
          </w:p>
        </w:tc>
      </w:tr>
      <w:tr w:rsidR="0012790E" w:rsidRPr="001C06E6" w14:paraId="3CA41C9A" w14:textId="77777777">
        <w:tc>
          <w:tcPr>
            <w:tcW w:w="2497" w:type="dxa"/>
            <w:tcBorders>
              <w:top w:val="single" w:sz="4" w:space="0" w:color="293F5B"/>
              <w:bottom w:val="single" w:sz="4" w:space="0" w:color="293F5B"/>
            </w:tcBorders>
            <w:shd w:val="clear" w:color="auto" w:fill="auto"/>
          </w:tcPr>
          <w:p w14:paraId="05A5DDE7"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473E8D82" w14:textId="2787A031" w:rsidR="0012790E" w:rsidRPr="001C06E6" w:rsidRDefault="0012790E">
            <w:pPr>
              <w:pStyle w:val="Totaldatarowrightaligned"/>
              <w:keepNext/>
            </w:pPr>
            <w:r w:rsidRPr="001C06E6">
              <w:t>-</w:t>
            </w:r>
            <w:r w:rsidR="00BA620F">
              <w:t>4</w:t>
            </w:r>
            <w:r w:rsidRPr="001C06E6">
              <w:t>.</w:t>
            </w:r>
            <w:r w:rsidR="00B15208">
              <w:t>0</w:t>
            </w:r>
          </w:p>
        </w:tc>
        <w:tc>
          <w:tcPr>
            <w:tcW w:w="1045" w:type="dxa"/>
            <w:tcBorders>
              <w:top w:val="single" w:sz="4" w:space="0" w:color="293F5B"/>
              <w:bottom w:val="single" w:sz="4" w:space="0" w:color="293F5B"/>
            </w:tcBorders>
            <w:shd w:val="clear" w:color="auto" w:fill="auto"/>
          </w:tcPr>
          <w:p w14:paraId="45C77C9B" w14:textId="19195012" w:rsidR="0012790E" w:rsidRPr="001C06E6" w:rsidRDefault="0012790E">
            <w:pPr>
              <w:pStyle w:val="Totaldatarowrightaligned"/>
              <w:keepNext/>
            </w:pPr>
            <w:r w:rsidRPr="001C06E6">
              <w:t>1</w:t>
            </w:r>
            <w:r w:rsidR="00B15208">
              <w:t>7.5</w:t>
            </w:r>
          </w:p>
        </w:tc>
        <w:tc>
          <w:tcPr>
            <w:tcW w:w="1045" w:type="dxa"/>
            <w:tcBorders>
              <w:top w:val="single" w:sz="4" w:space="0" w:color="293F5B"/>
              <w:bottom w:val="single" w:sz="4" w:space="0" w:color="293F5B"/>
            </w:tcBorders>
            <w:shd w:val="clear" w:color="auto" w:fill="auto"/>
          </w:tcPr>
          <w:p w14:paraId="110431FC" w14:textId="77777777" w:rsidR="0012790E" w:rsidRPr="001C06E6" w:rsidRDefault="0012790E">
            <w:pPr>
              <w:pStyle w:val="Totaldatarowrightaligned"/>
              <w:keepNext/>
            </w:pPr>
            <w:r w:rsidRPr="001C06E6">
              <w:t>3.6</w:t>
            </w:r>
          </w:p>
        </w:tc>
        <w:tc>
          <w:tcPr>
            <w:tcW w:w="1045" w:type="dxa"/>
            <w:tcBorders>
              <w:top w:val="single" w:sz="4" w:space="0" w:color="293F5B"/>
              <w:bottom w:val="single" w:sz="4" w:space="0" w:color="293F5B"/>
            </w:tcBorders>
            <w:shd w:val="clear" w:color="auto" w:fill="auto"/>
          </w:tcPr>
          <w:p w14:paraId="68FE44B2"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7D9E4AAF" w14:textId="77777777" w:rsidR="0012790E" w:rsidRPr="001C06E6" w:rsidRDefault="0012790E">
            <w:pPr>
              <w:pStyle w:val="Totaldatarowrightaligned"/>
              <w:keepNext/>
            </w:pPr>
            <w:r w:rsidRPr="001C06E6">
              <w:t>-</w:t>
            </w:r>
          </w:p>
        </w:tc>
      </w:tr>
    </w:tbl>
    <w:p w14:paraId="7EEA11B0"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74B593A8" w14:textId="77777777" w:rsidR="0012790E" w:rsidRDefault="0012790E">
      <w:pPr>
        <w:pStyle w:val="Normal2"/>
        <w:rPr>
          <w:rFonts w:cs="Book Antiqua"/>
        </w:rPr>
      </w:pPr>
      <w:r w:rsidRPr="001C06E6">
        <w:rPr>
          <w:rFonts w:cs="Book Antiqua"/>
        </w:rPr>
        <w:t>The Government will provide $29.7</w:t>
      </w:r>
      <w:r>
        <w:rPr>
          <w:rFonts w:cs="Book Antiqua"/>
        </w:rPr>
        <w:t> </w:t>
      </w:r>
      <w:r w:rsidRPr="001C06E6">
        <w:rPr>
          <w:rFonts w:cs="Book Antiqua"/>
        </w:rPr>
        <w:t xml:space="preserve">million over three years from </w:t>
      </w:r>
      <w:r>
        <w:rPr>
          <w:rFonts w:cs="Book Antiqua"/>
        </w:rPr>
        <w:t>2023–24</w:t>
      </w:r>
      <w:r w:rsidRPr="001C06E6">
        <w:rPr>
          <w:rFonts w:cs="Book Antiqua"/>
        </w:rPr>
        <w:t xml:space="preserve"> to improve</w:t>
      </w:r>
      <w:r>
        <w:rPr>
          <w:rFonts w:cs="Book Antiqua"/>
        </w:rPr>
        <w:t xml:space="preserve"> </w:t>
      </w:r>
      <w:r w:rsidRPr="001C06E6">
        <w:rPr>
          <w:rFonts w:cs="Book Antiqua"/>
        </w:rPr>
        <w:t>environmental and safety outcomes in the offshore resources sector. Funding</w:t>
      </w:r>
      <w:r>
        <w:rPr>
          <w:rFonts w:cs="Book Antiqua"/>
        </w:rPr>
        <w:t xml:space="preserve"> </w:t>
      </w:r>
      <w:r w:rsidRPr="001C06E6">
        <w:rPr>
          <w:rFonts w:cs="Book Antiqua"/>
        </w:rPr>
        <w:t>includes:</w:t>
      </w:r>
    </w:p>
    <w:p w14:paraId="74EE84A5" w14:textId="20719238" w:rsidR="0012790E" w:rsidRDefault="0012790E">
      <w:pPr>
        <w:pStyle w:val="Bullet"/>
      </w:pPr>
      <w:r w:rsidRPr="001C06E6">
        <w:t>$20.0</w:t>
      </w:r>
      <w:r>
        <w:t> </w:t>
      </w:r>
      <w:r w:rsidRPr="001C06E6">
        <w:t xml:space="preserve">million in </w:t>
      </w:r>
      <w:r>
        <w:t>2024–25</w:t>
      </w:r>
      <w:r w:rsidRPr="001C06E6">
        <w:t xml:space="preserve"> for the National Offshore Petroleum Safety and Environmental</w:t>
      </w:r>
      <w:r w:rsidR="00EB5256">
        <w:t> </w:t>
      </w:r>
      <w:r w:rsidRPr="001C06E6">
        <w:t>Management Authority to assist its regulatory functions as the Commonwealth’s regulator of the offshore oil and gas industry and the emerging offshore energy industry</w:t>
      </w:r>
      <w:r>
        <w:t xml:space="preserve"> </w:t>
      </w:r>
    </w:p>
    <w:p w14:paraId="7D63AE71" w14:textId="77777777" w:rsidR="0012790E" w:rsidRDefault="0012790E">
      <w:pPr>
        <w:pStyle w:val="Bullet"/>
      </w:pPr>
      <w:r w:rsidRPr="001C06E6">
        <w:t>$6.8</w:t>
      </w:r>
      <w:r>
        <w:t> </w:t>
      </w:r>
      <w:r w:rsidRPr="001C06E6">
        <w:t xml:space="preserve">million over two years from </w:t>
      </w:r>
      <w:r>
        <w:t>2024–25</w:t>
      </w:r>
      <w:r w:rsidRPr="001C06E6">
        <w:t xml:space="preserve"> to implement the Offshore Decommissioning Roadmap and grow Australia’s decommissioning industry by improving coordination and transparency and identifying opportunities for Australian businesses</w:t>
      </w:r>
      <w:r>
        <w:t xml:space="preserve"> </w:t>
      </w:r>
    </w:p>
    <w:p w14:paraId="742812AB" w14:textId="77777777" w:rsidR="0012790E" w:rsidRDefault="0012790E">
      <w:pPr>
        <w:pStyle w:val="Bullet"/>
      </w:pPr>
      <w:r w:rsidRPr="001C06E6">
        <w:t>$2.9</w:t>
      </w:r>
      <w:r>
        <w:t> </w:t>
      </w:r>
      <w:r w:rsidRPr="001C06E6">
        <w:t xml:space="preserve">million over two years from </w:t>
      </w:r>
      <w:r>
        <w:t>2023–24</w:t>
      </w:r>
      <w:r w:rsidRPr="001C06E6">
        <w:t xml:space="preserve"> to continue reforms to protect the work health and safety of workers in the offshore resources sector</w:t>
      </w:r>
      <w:r>
        <w:t xml:space="preserve"> </w:t>
      </w:r>
    </w:p>
    <w:p w14:paraId="4061206F" w14:textId="77777777" w:rsidR="0012790E" w:rsidRDefault="0012790E">
      <w:pPr>
        <w:pStyle w:val="Bullet"/>
      </w:pPr>
      <w:r w:rsidRPr="001C06E6">
        <w:t>Supplementary funding for decommissioning the Northern Endeavour floating oil production storage and offtake facility. The financial implications are not for publication (nfp) due to commercial sensitivities related to contract negotiations.</w:t>
      </w:r>
      <w:r>
        <w:t xml:space="preserve"> </w:t>
      </w:r>
    </w:p>
    <w:p w14:paraId="692614F8"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savings identified in the Department of Industry Science and Resources, and funding already provided for by the Government. </w:t>
      </w:r>
    </w:p>
    <w:p w14:paraId="74FF5558" w14:textId="77777777" w:rsidR="0012790E" w:rsidRPr="001C06E6" w:rsidRDefault="0012790E">
      <w:pPr>
        <w:pStyle w:val="Normal2"/>
        <w:rPr>
          <w:rFonts w:cs="Book Antiqua"/>
          <w:iCs/>
        </w:rPr>
      </w:pPr>
      <w:r w:rsidRPr="001C06E6">
        <w:rPr>
          <w:rFonts w:cs="Book Antiqua"/>
        </w:rPr>
        <w:t xml:space="preserve">This measure builds on the </w:t>
      </w:r>
      <w:r>
        <w:rPr>
          <w:rFonts w:cs="Book Antiqua"/>
        </w:rPr>
        <w:t>2023–24 </w:t>
      </w:r>
      <w:r w:rsidRPr="001C06E6">
        <w:rPr>
          <w:rFonts w:cs="Book Antiqua"/>
        </w:rPr>
        <w:t xml:space="preserve">MYEFO measure </w:t>
      </w:r>
      <w:r w:rsidRPr="001C06E6">
        <w:rPr>
          <w:rFonts w:cs="Book Antiqua"/>
          <w:i/>
          <w:iCs/>
        </w:rPr>
        <w:t>Northern Endeavour</w:t>
      </w:r>
      <w:r>
        <w:rPr>
          <w:rFonts w:cs="Book Antiqua"/>
          <w:i/>
          <w:iCs/>
        </w:rPr>
        <w:t xml:space="preserve"> </w:t>
      </w:r>
      <w:r w:rsidRPr="001C06E6">
        <w:rPr>
          <w:rFonts w:cs="Book Antiqua"/>
          <w:i/>
          <w:iCs/>
        </w:rPr>
        <w:t xml:space="preserve">Decommissioning – future funding </w:t>
      </w:r>
      <w:r w:rsidRPr="001C06E6">
        <w:rPr>
          <w:rFonts w:cs="Book Antiqua"/>
        </w:rPr>
        <w:t xml:space="preserve">and the </w:t>
      </w:r>
      <w:r>
        <w:rPr>
          <w:rFonts w:cs="Book Antiqua"/>
        </w:rPr>
        <w:t>2023–24 </w:t>
      </w:r>
      <w:r w:rsidRPr="001C06E6">
        <w:rPr>
          <w:rFonts w:cs="Book Antiqua"/>
        </w:rPr>
        <w:t>Budget measure</w:t>
      </w:r>
      <w:r w:rsidRPr="001C06E6">
        <w:rPr>
          <w:rFonts w:cs="Book Antiqua"/>
          <w:i/>
          <w:iCs/>
        </w:rPr>
        <w:t xml:space="preserve"> Working with the</w:t>
      </w:r>
      <w:r>
        <w:rPr>
          <w:rFonts w:cs="Book Antiqua"/>
          <w:i/>
          <w:iCs/>
        </w:rPr>
        <w:t xml:space="preserve"> </w:t>
      </w:r>
      <w:r w:rsidRPr="001C06E6">
        <w:rPr>
          <w:rFonts w:cs="Book Antiqua"/>
          <w:i/>
          <w:iCs/>
        </w:rPr>
        <w:t>Australian Resources Industry on the Pathway to Net Zero.</w:t>
      </w:r>
      <w:r>
        <w:rPr>
          <w:rFonts w:cs="Book Antiqua"/>
          <w:i/>
          <w:iCs/>
        </w:rPr>
        <w:t xml:space="preserve"> </w:t>
      </w:r>
    </w:p>
    <w:p w14:paraId="0279F65A" w14:textId="77777777" w:rsidR="0012790E" w:rsidRPr="001C06E6" w:rsidRDefault="0012790E">
      <w:pPr>
        <w:pStyle w:val="MeasureTitle"/>
        <w:rPr>
          <w:b w:val="0"/>
          <w:bCs/>
        </w:rPr>
      </w:pPr>
      <w:r w:rsidRPr="001C06E6">
        <w:rPr>
          <w:bCs/>
        </w:rPr>
        <w:t>Update on Radioactive Waste Management</w:t>
      </w:r>
    </w:p>
    <w:p w14:paraId="1BEC8508"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3613EAC" w14:textId="77777777">
        <w:tc>
          <w:tcPr>
            <w:tcW w:w="2497" w:type="dxa"/>
            <w:tcBorders>
              <w:top w:val="single" w:sz="4" w:space="0" w:color="293F5B"/>
              <w:bottom w:val="single" w:sz="4" w:space="0" w:color="293F5B"/>
            </w:tcBorders>
            <w:shd w:val="clear" w:color="auto" w:fill="auto"/>
          </w:tcPr>
          <w:p w14:paraId="5BB84F6F"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8CC49C3"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036A204"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2AF26E0A"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1742F67"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14B5DFB" w14:textId="77777777" w:rsidR="0012790E" w:rsidRPr="001C06E6" w:rsidRDefault="0012790E">
            <w:pPr>
              <w:pStyle w:val="MeasureTableYearHeadings"/>
              <w:keepNext/>
            </w:pPr>
            <w:r w:rsidRPr="001C06E6">
              <w:t>2027</w:t>
            </w:r>
            <w:r>
              <w:noBreakHyphen/>
            </w:r>
            <w:r w:rsidRPr="001C06E6">
              <w:t>28</w:t>
            </w:r>
          </w:p>
        </w:tc>
      </w:tr>
      <w:tr w:rsidR="0012790E" w:rsidRPr="001C06E6" w14:paraId="65921F5B" w14:textId="77777777">
        <w:tc>
          <w:tcPr>
            <w:tcW w:w="2497" w:type="dxa"/>
            <w:tcBorders>
              <w:top w:val="single" w:sz="4" w:space="0" w:color="293F5B"/>
              <w:bottom w:val="single" w:sz="4" w:space="0" w:color="293F5B"/>
            </w:tcBorders>
            <w:shd w:val="clear" w:color="auto" w:fill="auto"/>
          </w:tcPr>
          <w:p w14:paraId="54AE3A2E" w14:textId="77777777" w:rsidR="0012790E" w:rsidRPr="001C06E6" w:rsidRDefault="0012790E">
            <w:pPr>
              <w:pStyle w:val="MeasureTableHeadingleftalignedwith2ptsspacing"/>
              <w:keepNext/>
            </w:pPr>
            <w:r>
              <w:t xml:space="preserve">Department of Industry, Science and Resources </w:t>
            </w:r>
          </w:p>
        </w:tc>
        <w:tc>
          <w:tcPr>
            <w:tcW w:w="1045" w:type="dxa"/>
            <w:tcBorders>
              <w:top w:val="single" w:sz="4" w:space="0" w:color="293F5B"/>
              <w:bottom w:val="single" w:sz="4" w:space="0" w:color="293F5B"/>
            </w:tcBorders>
            <w:shd w:val="clear" w:color="auto" w:fill="auto"/>
          </w:tcPr>
          <w:p w14:paraId="3AFACD8E" w14:textId="77777777" w:rsidR="0012790E" w:rsidRPr="001C06E6" w:rsidRDefault="0012790E">
            <w:pPr>
              <w:pStyle w:val="MeasureTableDataRightAlignedwith2ptsspacing"/>
              <w:keepNext/>
            </w:pPr>
            <w:r>
              <w:t xml:space="preserve">-36.4 </w:t>
            </w:r>
          </w:p>
        </w:tc>
        <w:tc>
          <w:tcPr>
            <w:tcW w:w="1045" w:type="dxa"/>
            <w:tcBorders>
              <w:top w:val="single" w:sz="4" w:space="0" w:color="293F5B"/>
              <w:bottom w:val="single" w:sz="4" w:space="0" w:color="293F5B"/>
            </w:tcBorders>
            <w:shd w:val="clear" w:color="auto" w:fill="auto"/>
          </w:tcPr>
          <w:p w14:paraId="42AC881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FECD8F4"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C4BEE3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7FFA60D" w14:textId="77777777" w:rsidR="0012790E" w:rsidRPr="001C06E6" w:rsidRDefault="0012790E">
            <w:pPr>
              <w:pStyle w:val="MeasureTableDataRightAlignedwith2ptsspacing"/>
              <w:keepNext/>
            </w:pPr>
            <w:r>
              <w:t xml:space="preserve">35.4 </w:t>
            </w:r>
          </w:p>
        </w:tc>
      </w:tr>
    </w:tbl>
    <w:p w14:paraId="31C9CFB5" w14:textId="77777777" w:rsidR="0012790E" w:rsidRPr="001C06E6" w:rsidRDefault="0012790E">
      <w:pPr>
        <w:keepNext/>
        <w:widowControl w:val="0"/>
        <w:spacing w:line="184" w:lineRule="exact"/>
        <w:rPr>
          <w:color w:val="000000"/>
          <w:sz w:val="16"/>
          <w:szCs w:val="16"/>
          <w:lang w:val="en-AU"/>
        </w:rPr>
      </w:pPr>
    </w:p>
    <w:p w14:paraId="263230F1" w14:textId="77777777" w:rsidR="0012790E" w:rsidRDefault="0012790E" w:rsidP="54937204">
      <w:pPr>
        <w:pStyle w:val="Normal2"/>
        <w:rPr>
          <w:rFonts w:cs="Book Antiqua"/>
          <w:lang w:val="en-US"/>
        </w:rPr>
      </w:pPr>
      <w:r w:rsidRPr="54937204">
        <w:rPr>
          <w:rFonts w:cs="Book Antiqua"/>
          <w:lang w:val="en-US"/>
        </w:rPr>
        <w:t>The Government will provide $43.0 million over six years from 2024–25 to the Australian Radioactive Waste Agency to continue activities around identifying radioactive waste disposal pathways. Funding includes:</w:t>
      </w:r>
    </w:p>
    <w:p w14:paraId="6E8C4D63" w14:textId="77777777" w:rsidR="0012790E" w:rsidRDefault="0012790E">
      <w:pPr>
        <w:pStyle w:val="Bullet"/>
      </w:pPr>
      <w:r w:rsidRPr="001C06E6">
        <w:t>$38.8</w:t>
      </w:r>
      <w:r>
        <w:t> </w:t>
      </w:r>
      <w:r w:rsidRPr="001C06E6">
        <w:t xml:space="preserve">million over two years from </w:t>
      </w:r>
      <w:r>
        <w:t>2024–25</w:t>
      </w:r>
      <w:r w:rsidRPr="001C06E6">
        <w:t xml:space="preserve"> to assess options around alternative pathways for disposal of the Commonwealth’s radioactive waste</w:t>
      </w:r>
      <w:r>
        <w:t xml:space="preserve"> </w:t>
      </w:r>
    </w:p>
    <w:p w14:paraId="1781C5E1" w14:textId="77777777" w:rsidR="0012790E" w:rsidRDefault="0012790E">
      <w:pPr>
        <w:pStyle w:val="Bullet"/>
      </w:pPr>
      <w:r w:rsidRPr="001C06E6">
        <w:t>$4.2</w:t>
      </w:r>
      <w:r>
        <w:t> </w:t>
      </w:r>
      <w:r w:rsidRPr="001C06E6">
        <w:t xml:space="preserve">million over six years from </w:t>
      </w:r>
      <w:r>
        <w:t>2024–25</w:t>
      </w:r>
      <w:r w:rsidRPr="001C06E6">
        <w:t xml:space="preserve"> to undertake remediation, supervision, and disposition activities of the former National Radioactive Waste Management Facility site following the outcome of the litigation in the Federal Court about the siting of the facility in July 2023.</w:t>
      </w:r>
      <w:r>
        <w:t xml:space="preserve"> </w:t>
      </w:r>
    </w:p>
    <w:p w14:paraId="68910667" w14:textId="77777777" w:rsidR="0012790E" w:rsidRDefault="0012790E">
      <w:pPr>
        <w:pStyle w:val="Normal2"/>
        <w:rPr>
          <w:rFonts w:cs="Book Antiqua"/>
        </w:rPr>
      </w:pPr>
      <w:r w:rsidRPr="001C06E6">
        <w:rPr>
          <w:rFonts w:cs="Book Antiqua"/>
        </w:rPr>
        <w:t xml:space="preserve">The Government will also reprofile funding previously provided in </w:t>
      </w:r>
      <w:r>
        <w:rPr>
          <w:rFonts w:cs="Book Antiqua"/>
        </w:rPr>
        <w:t>2023–24</w:t>
      </w:r>
      <w:r w:rsidRPr="001C06E6">
        <w:rPr>
          <w:rFonts w:cs="Book Antiqua"/>
        </w:rPr>
        <w:t xml:space="preserve"> to allow for</w:t>
      </w:r>
      <w:r>
        <w:rPr>
          <w:rFonts w:cs="Book Antiqua"/>
        </w:rPr>
        <w:t xml:space="preserve"> </w:t>
      </w:r>
      <w:r w:rsidRPr="001C06E6">
        <w:rPr>
          <w:rFonts w:cs="Book Antiqua"/>
        </w:rPr>
        <w:t>the development of future disposal pathways for the Commonwealth’s radioactive</w:t>
      </w:r>
      <w:r>
        <w:rPr>
          <w:rFonts w:cs="Book Antiqua"/>
        </w:rPr>
        <w:t xml:space="preserve"> </w:t>
      </w:r>
      <w:r w:rsidRPr="001C06E6">
        <w:rPr>
          <w:rFonts w:cs="Book Antiqua"/>
        </w:rPr>
        <w:t>waste.</w:t>
      </w:r>
      <w:r>
        <w:rPr>
          <w:rFonts w:cs="Book Antiqua"/>
        </w:rPr>
        <w:t xml:space="preserve"> </w:t>
      </w:r>
    </w:p>
    <w:p w14:paraId="1EAF8A11" w14:textId="456994C7" w:rsidR="0012790E" w:rsidRDefault="0012790E" w:rsidP="54937204">
      <w:pPr>
        <w:pStyle w:val="Normal2"/>
        <w:rPr>
          <w:rFonts w:cs="Book Antiqua"/>
          <w:lang w:val="en-US"/>
        </w:rPr>
      </w:pPr>
      <w:r w:rsidRPr="54937204">
        <w:rPr>
          <w:rFonts w:cs="Book Antiqua"/>
          <w:lang w:val="en-US"/>
        </w:rPr>
        <w:t xml:space="preserve">The cost of this measure will be met from a reprioritisation of funding from the </w:t>
      </w:r>
      <w:r w:rsidR="00D32A49">
        <w:rPr>
          <w:rFonts w:cs="Book Antiqua"/>
          <w:lang w:val="en-US"/>
        </w:rPr>
        <w:br/>
      </w:r>
      <w:r w:rsidRPr="54937204">
        <w:rPr>
          <w:rFonts w:cs="Book Antiqua"/>
          <w:lang w:val="en-US"/>
        </w:rPr>
        <w:t xml:space="preserve">2023– 24 Budget measure titled </w:t>
      </w:r>
      <w:r w:rsidRPr="54937204">
        <w:rPr>
          <w:rFonts w:cs="Book Antiqua"/>
          <w:i/>
          <w:iCs/>
          <w:lang w:val="en-US"/>
        </w:rPr>
        <w:t>Safely Managing Australia’s Radioactive Waste</w:t>
      </w:r>
      <w:r w:rsidRPr="54937204">
        <w:rPr>
          <w:rFonts w:cs="Book Antiqua"/>
          <w:lang w:val="en-US"/>
        </w:rPr>
        <w:t xml:space="preserve">. </w:t>
      </w:r>
    </w:p>
    <w:p w14:paraId="4F507030" w14:textId="77777777" w:rsidR="0012790E" w:rsidRDefault="0012790E">
      <w:pPr>
        <w:pStyle w:val="PortfolioName"/>
        <w:rPr>
          <w:bCs/>
          <w:szCs w:val="26"/>
        </w:rPr>
        <w:sectPr w:rsidR="0012790E" w:rsidSect="00EA5BFE">
          <w:pgSz w:w="11905" w:h="16837"/>
          <w:pgMar w:top="2835" w:right="2098" w:bottom="2466" w:left="2098" w:header="1814" w:footer="1814" w:gutter="0"/>
          <w:cols w:space="720"/>
          <w:noEndnote/>
          <w:docGrid w:linePitch="272"/>
        </w:sectPr>
      </w:pPr>
    </w:p>
    <w:p w14:paraId="5BECBC40" w14:textId="77777777" w:rsidR="0012790E" w:rsidRPr="001C06E6" w:rsidRDefault="0012790E">
      <w:pPr>
        <w:pStyle w:val="PortfolioName"/>
      </w:pPr>
      <w:r w:rsidRPr="54937204">
        <w:rPr>
          <w:lang w:val="en-US"/>
        </w:rPr>
        <w:t>Infrastructure, Transport, Regional Development, Communications and the Arts</w:t>
      </w:r>
    </w:p>
    <w:p w14:paraId="23FEC2C9" w14:textId="77777777" w:rsidR="0012790E" w:rsidRPr="001C06E6" w:rsidRDefault="0012790E">
      <w:pPr>
        <w:pStyle w:val="MeasureTitle"/>
      </w:pPr>
      <w:r w:rsidRPr="001C06E6">
        <w:rPr>
          <w:bCs/>
        </w:rPr>
        <w:t>Building a Better Future Through Considered Infrastructure Investment</w:t>
      </w:r>
    </w:p>
    <w:p w14:paraId="7F836332"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4B1BB01" w14:textId="77777777">
        <w:tc>
          <w:tcPr>
            <w:tcW w:w="2497" w:type="dxa"/>
            <w:tcBorders>
              <w:top w:val="single" w:sz="4" w:space="0" w:color="293F5B"/>
              <w:bottom w:val="single" w:sz="4" w:space="0" w:color="293F5B"/>
            </w:tcBorders>
            <w:shd w:val="clear" w:color="auto" w:fill="auto"/>
          </w:tcPr>
          <w:p w14:paraId="6E816E9F"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67DB488"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F83BF77"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C550E07"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607D532"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58AB0E9" w14:textId="77777777" w:rsidR="0012790E" w:rsidRPr="001C06E6" w:rsidRDefault="0012790E">
            <w:pPr>
              <w:pStyle w:val="MeasureTableYearHeadings"/>
              <w:keepNext/>
            </w:pPr>
            <w:r w:rsidRPr="001C06E6">
              <w:t>2027</w:t>
            </w:r>
            <w:r>
              <w:noBreakHyphen/>
            </w:r>
            <w:r w:rsidRPr="001C06E6">
              <w:t>28</w:t>
            </w:r>
          </w:p>
        </w:tc>
      </w:tr>
      <w:tr w:rsidR="0012790E" w:rsidRPr="001C06E6" w14:paraId="7825F2E8" w14:textId="77777777">
        <w:tc>
          <w:tcPr>
            <w:tcW w:w="2497" w:type="dxa"/>
            <w:tcBorders>
              <w:top w:val="single" w:sz="4" w:space="0" w:color="293F5B"/>
              <w:bottom w:val="single" w:sz="4" w:space="0" w:color="293F5B"/>
            </w:tcBorders>
            <w:shd w:val="clear" w:color="auto" w:fill="auto"/>
          </w:tcPr>
          <w:p w14:paraId="015FDF79"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560CCAB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3C9E3AA" w14:textId="77777777" w:rsidR="0012790E" w:rsidRPr="001C06E6" w:rsidRDefault="0012790E">
            <w:pPr>
              <w:pStyle w:val="MeasureTableDataRightAlignedwith2ptsspacing"/>
              <w:keepNext/>
            </w:pPr>
            <w:r>
              <w:t xml:space="preserve">24.0   </w:t>
            </w:r>
          </w:p>
        </w:tc>
        <w:tc>
          <w:tcPr>
            <w:tcW w:w="1045" w:type="dxa"/>
            <w:tcBorders>
              <w:top w:val="single" w:sz="4" w:space="0" w:color="293F5B"/>
              <w:bottom w:val="single" w:sz="4" w:space="0" w:color="293F5B"/>
            </w:tcBorders>
            <w:shd w:val="clear" w:color="auto" w:fill="auto"/>
          </w:tcPr>
          <w:p w14:paraId="332FC880" w14:textId="77777777" w:rsidR="0012790E" w:rsidRPr="001C06E6" w:rsidRDefault="0012790E">
            <w:pPr>
              <w:pStyle w:val="MeasureTableDataRightAlignedwith2ptsspacing"/>
              <w:keepNext/>
            </w:pPr>
            <w:r>
              <w:t xml:space="preserve">21.3   </w:t>
            </w:r>
          </w:p>
        </w:tc>
        <w:tc>
          <w:tcPr>
            <w:tcW w:w="1045" w:type="dxa"/>
            <w:tcBorders>
              <w:top w:val="single" w:sz="4" w:space="0" w:color="293F5B"/>
              <w:bottom w:val="single" w:sz="4" w:space="0" w:color="293F5B"/>
            </w:tcBorders>
            <w:shd w:val="clear" w:color="auto" w:fill="auto"/>
          </w:tcPr>
          <w:p w14:paraId="4B2BA4E0" w14:textId="77777777" w:rsidR="0012790E" w:rsidRPr="001C06E6" w:rsidRDefault="0012790E">
            <w:pPr>
              <w:pStyle w:val="MeasureTableDataRightAlignedwith2ptsspacing"/>
              <w:keepNext/>
            </w:pPr>
            <w:r>
              <w:t xml:space="preserve">18.2   </w:t>
            </w:r>
          </w:p>
        </w:tc>
        <w:tc>
          <w:tcPr>
            <w:tcW w:w="1045" w:type="dxa"/>
            <w:tcBorders>
              <w:top w:val="single" w:sz="4" w:space="0" w:color="293F5B"/>
              <w:bottom w:val="single" w:sz="4" w:space="0" w:color="293F5B"/>
            </w:tcBorders>
            <w:shd w:val="clear" w:color="auto" w:fill="auto"/>
          </w:tcPr>
          <w:p w14:paraId="6460FF10" w14:textId="77777777" w:rsidR="0012790E" w:rsidRPr="001C06E6" w:rsidRDefault="0012790E">
            <w:pPr>
              <w:pStyle w:val="MeasureTableDataRightAlignedwith2ptsspacing"/>
              <w:keepNext/>
            </w:pPr>
            <w:r>
              <w:t xml:space="preserve">78.6   </w:t>
            </w:r>
          </w:p>
        </w:tc>
      </w:tr>
      <w:tr w:rsidR="0012790E" w:rsidRPr="001C06E6" w14:paraId="67C5C5BA" w14:textId="77777777">
        <w:tc>
          <w:tcPr>
            <w:tcW w:w="2497" w:type="dxa"/>
            <w:tcBorders>
              <w:top w:val="single" w:sz="4" w:space="0" w:color="293F5B"/>
              <w:bottom w:val="single" w:sz="4" w:space="0" w:color="293F5B"/>
            </w:tcBorders>
            <w:shd w:val="clear" w:color="auto" w:fill="auto"/>
          </w:tcPr>
          <w:p w14:paraId="62E4B646"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7B318F57" w14:textId="77777777" w:rsidR="0012790E" w:rsidRPr="001C06E6" w:rsidRDefault="0012790E">
            <w:pPr>
              <w:pStyle w:val="MeasureTableDataRightAlignedwith2ptsspacing"/>
              <w:keepNext/>
            </w:pPr>
            <w:r w:rsidRPr="001C06E6">
              <w:t>-15.8</w:t>
            </w:r>
          </w:p>
        </w:tc>
        <w:tc>
          <w:tcPr>
            <w:tcW w:w="1045" w:type="dxa"/>
            <w:tcBorders>
              <w:top w:val="single" w:sz="4" w:space="0" w:color="293F5B"/>
              <w:bottom w:val="single" w:sz="4" w:space="0" w:color="293F5B"/>
            </w:tcBorders>
            <w:shd w:val="clear" w:color="auto" w:fill="auto"/>
          </w:tcPr>
          <w:p w14:paraId="3754FCBC" w14:textId="77777777" w:rsidR="0012790E" w:rsidRPr="001C06E6" w:rsidRDefault="0012790E">
            <w:pPr>
              <w:pStyle w:val="MeasureTableDataRightAlignedwith2ptsspacing"/>
              <w:keepNext/>
            </w:pPr>
            <w:r w:rsidRPr="001C06E6">
              <w:t>298.9</w:t>
            </w:r>
          </w:p>
        </w:tc>
        <w:tc>
          <w:tcPr>
            <w:tcW w:w="1045" w:type="dxa"/>
            <w:tcBorders>
              <w:top w:val="single" w:sz="4" w:space="0" w:color="293F5B"/>
              <w:bottom w:val="single" w:sz="4" w:space="0" w:color="293F5B"/>
            </w:tcBorders>
            <w:shd w:val="clear" w:color="auto" w:fill="auto"/>
          </w:tcPr>
          <w:p w14:paraId="52708326" w14:textId="77777777" w:rsidR="0012790E" w:rsidRPr="001C06E6" w:rsidRDefault="0012790E">
            <w:pPr>
              <w:pStyle w:val="MeasureTableDataRightAlignedwith2ptsspacing"/>
              <w:keepNext/>
            </w:pPr>
            <w:r w:rsidRPr="001C06E6">
              <w:t>624.1</w:t>
            </w:r>
          </w:p>
        </w:tc>
        <w:tc>
          <w:tcPr>
            <w:tcW w:w="1045" w:type="dxa"/>
            <w:tcBorders>
              <w:top w:val="single" w:sz="4" w:space="0" w:color="293F5B"/>
              <w:bottom w:val="single" w:sz="4" w:space="0" w:color="293F5B"/>
            </w:tcBorders>
            <w:shd w:val="clear" w:color="auto" w:fill="auto"/>
          </w:tcPr>
          <w:p w14:paraId="41643441" w14:textId="77777777" w:rsidR="0012790E" w:rsidRPr="001C06E6" w:rsidRDefault="0012790E">
            <w:pPr>
              <w:pStyle w:val="MeasureTableDataRightAlignedwith2ptsspacing"/>
              <w:keepNext/>
            </w:pPr>
            <w:r w:rsidRPr="001C06E6">
              <w:t>886.3</w:t>
            </w:r>
          </w:p>
        </w:tc>
        <w:tc>
          <w:tcPr>
            <w:tcW w:w="1045" w:type="dxa"/>
            <w:tcBorders>
              <w:top w:val="single" w:sz="4" w:space="0" w:color="293F5B"/>
              <w:bottom w:val="single" w:sz="4" w:space="0" w:color="293F5B"/>
            </w:tcBorders>
            <w:shd w:val="clear" w:color="auto" w:fill="auto"/>
          </w:tcPr>
          <w:p w14:paraId="3C356739" w14:textId="77777777" w:rsidR="0012790E" w:rsidRPr="001C06E6" w:rsidRDefault="0012790E">
            <w:pPr>
              <w:pStyle w:val="MeasureTableDataRightAlignedwith2ptsspacing"/>
              <w:keepNext/>
            </w:pPr>
            <w:r w:rsidRPr="001C06E6">
              <w:t>925.0</w:t>
            </w:r>
          </w:p>
        </w:tc>
      </w:tr>
      <w:tr w:rsidR="0012790E" w:rsidRPr="001C06E6" w14:paraId="6FA1E765" w14:textId="77777777">
        <w:tc>
          <w:tcPr>
            <w:tcW w:w="2497" w:type="dxa"/>
            <w:tcBorders>
              <w:top w:val="single" w:sz="4" w:space="0" w:color="293F5B"/>
              <w:bottom w:val="single" w:sz="4" w:space="0" w:color="293F5B"/>
            </w:tcBorders>
            <w:shd w:val="clear" w:color="auto" w:fill="auto"/>
          </w:tcPr>
          <w:p w14:paraId="293F707A"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01CAAE1F" w14:textId="77777777" w:rsidR="0012790E" w:rsidRPr="001C06E6" w:rsidRDefault="0012790E">
            <w:pPr>
              <w:pStyle w:val="Totaldatarowrightaligned"/>
              <w:keepNext/>
            </w:pPr>
            <w:r w:rsidRPr="001C06E6">
              <w:t>-15.8</w:t>
            </w:r>
          </w:p>
        </w:tc>
        <w:tc>
          <w:tcPr>
            <w:tcW w:w="1045" w:type="dxa"/>
            <w:tcBorders>
              <w:top w:val="single" w:sz="4" w:space="0" w:color="293F5B"/>
              <w:bottom w:val="single" w:sz="4" w:space="0" w:color="293F5B"/>
            </w:tcBorders>
            <w:shd w:val="clear" w:color="auto" w:fill="auto"/>
          </w:tcPr>
          <w:p w14:paraId="57869EC5" w14:textId="77777777" w:rsidR="0012790E" w:rsidRPr="001C06E6" w:rsidRDefault="0012790E">
            <w:pPr>
              <w:pStyle w:val="Totaldatarowrightaligned"/>
              <w:keepNext/>
            </w:pPr>
            <w:r w:rsidRPr="001C06E6">
              <w:t>322.9</w:t>
            </w:r>
          </w:p>
        </w:tc>
        <w:tc>
          <w:tcPr>
            <w:tcW w:w="1045" w:type="dxa"/>
            <w:tcBorders>
              <w:top w:val="single" w:sz="4" w:space="0" w:color="293F5B"/>
              <w:bottom w:val="single" w:sz="4" w:space="0" w:color="293F5B"/>
            </w:tcBorders>
            <w:shd w:val="clear" w:color="auto" w:fill="auto"/>
          </w:tcPr>
          <w:p w14:paraId="6285DEA8" w14:textId="77777777" w:rsidR="0012790E" w:rsidRPr="001C06E6" w:rsidRDefault="0012790E">
            <w:pPr>
              <w:pStyle w:val="Totaldatarowrightaligned"/>
              <w:keepNext/>
            </w:pPr>
            <w:r w:rsidRPr="001C06E6">
              <w:t>645.4</w:t>
            </w:r>
          </w:p>
        </w:tc>
        <w:tc>
          <w:tcPr>
            <w:tcW w:w="1045" w:type="dxa"/>
            <w:tcBorders>
              <w:top w:val="single" w:sz="4" w:space="0" w:color="293F5B"/>
              <w:bottom w:val="single" w:sz="4" w:space="0" w:color="293F5B"/>
            </w:tcBorders>
            <w:shd w:val="clear" w:color="auto" w:fill="auto"/>
          </w:tcPr>
          <w:p w14:paraId="44BBC3E0" w14:textId="77777777" w:rsidR="0012790E" w:rsidRPr="001C06E6" w:rsidRDefault="0012790E">
            <w:pPr>
              <w:pStyle w:val="Totaldatarowrightaligned"/>
              <w:keepNext/>
            </w:pPr>
            <w:r w:rsidRPr="001C06E6">
              <w:t>904.4</w:t>
            </w:r>
          </w:p>
        </w:tc>
        <w:tc>
          <w:tcPr>
            <w:tcW w:w="1045" w:type="dxa"/>
            <w:tcBorders>
              <w:top w:val="single" w:sz="4" w:space="0" w:color="293F5B"/>
              <w:bottom w:val="single" w:sz="4" w:space="0" w:color="293F5B"/>
            </w:tcBorders>
            <w:shd w:val="clear" w:color="auto" w:fill="auto"/>
          </w:tcPr>
          <w:p w14:paraId="725630FA" w14:textId="77777777" w:rsidR="0012790E" w:rsidRPr="001C06E6" w:rsidRDefault="0012790E">
            <w:pPr>
              <w:pStyle w:val="Totaldatarowrightaligned"/>
              <w:keepNext/>
            </w:pPr>
            <w:r w:rsidRPr="001C06E6">
              <w:t>1,003.5</w:t>
            </w:r>
          </w:p>
        </w:tc>
      </w:tr>
    </w:tbl>
    <w:p w14:paraId="31370235"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265C701D" w14:textId="77777777" w:rsidR="0012790E" w:rsidRDefault="0012790E" w:rsidP="54937204">
      <w:pPr>
        <w:pStyle w:val="Normal2"/>
        <w:rPr>
          <w:rFonts w:cs="Book Antiqua"/>
          <w:lang w:val="en-US"/>
        </w:rPr>
      </w:pPr>
      <w:r w:rsidRPr="54937204">
        <w:rPr>
          <w:rFonts w:cs="Book Antiqua"/>
          <w:lang w:val="en-US"/>
        </w:rPr>
        <w:t>The Government is committed to delivering the priority road and rail infrastructure projects Australia needs via the over $120.0 billion infrastructure investment pipeline. Building on the Independent Strategic Review of the Infrastructure Investment Program, the Government is taking a more integrated, strategic and sustainable approach to infrastructure investment this Budget. Funding includes:</w:t>
      </w:r>
    </w:p>
    <w:p w14:paraId="4345DF9A" w14:textId="77777777" w:rsidR="0012790E" w:rsidRDefault="0012790E">
      <w:pPr>
        <w:pStyle w:val="Bullet"/>
      </w:pPr>
      <w:r w:rsidRPr="001C06E6">
        <w:t xml:space="preserve">$4.1 billion over seven years from </w:t>
      </w:r>
      <w:r>
        <w:t>2024–25</w:t>
      </w:r>
      <w:r w:rsidRPr="001C06E6">
        <w:t xml:space="preserve"> for 65 new priority infrastructure projects across Australia under the </w:t>
      </w:r>
      <w:r w:rsidRPr="001C06E6">
        <w:rPr>
          <w:i/>
          <w:iCs/>
        </w:rPr>
        <w:t>Infrastructure Investment Program</w:t>
      </w:r>
      <w:r w:rsidRPr="001C06E6">
        <w:t>, including:</w:t>
      </w:r>
      <w:r>
        <w:t xml:space="preserve"> </w:t>
      </w:r>
    </w:p>
    <w:p w14:paraId="6A9FF354" w14:textId="77777777" w:rsidR="0012790E" w:rsidRDefault="0012790E">
      <w:pPr>
        <w:pStyle w:val="Dash"/>
      </w:pPr>
      <w:r w:rsidRPr="001C06E6">
        <w:t>$1.9 billion for projects in Western Sydney, including $500.0</w:t>
      </w:r>
      <w:r>
        <w:t> </w:t>
      </w:r>
      <w:r w:rsidRPr="001C06E6">
        <w:t>million for the Mamre Road Stage 2 Upgrade and $400.0</w:t>
      </w:r>
      <w:r>
        <w:t> </w:t>
      </w:r>
      <w:r w:rsidRPr="001C06E6">
        <w:t>million for Elizabeth Drive – Priority Sections Upgrade</w:t>
      </w:r>
      <w:r>
        <w:t xml:space="preserve"> </w:t>
      </w:r>
    </w:p>
    <w:p w14:paraId="1546DC4C" w14:textId="77777777" w:rsidR="0012790E" w:rsidRDefault="0012790E">
      <w:pPr>
        <w:pStyle w:val="Dash"/>
      </w:pPr>
      <w:r w:rsidRPr="001C06E6">
        <w:t>$300.0</w:t>
      </w:r>
      <w:r>
        <w:t> </w:t>
      </w:r>
      <w:r w:rsidRPr="001C06E6">
        <w:t>million for the METRONET High</w:t>
      </w:r>
      <w:r>
        <w:noBreakHyphen/>
      </w:r>
      <w:r w:rsidRPr="001C06E6">
        <w:t>Capacity Signalling Program – Automatic Train Control – Stage 1 in Western Australia</w:t>
      </w:r>
      <w:r>
        <w:t xml:space="preserve"> </w:t>
      </w:r>
    </w:p>
    <w:p w14:paraId="5A7E0FF9" w14:textId="77777777" w:rsidR="0012790E" w:rsidRDefault="0012790E">
      <w:pPr>
        <w:pStyle w:val="Dash"/>
      </w:pPr>
      <w:r w:rsidRPr="001C06E6">
        <w:t>$72.0</w:t>
      </w:r>
      <w:r>
        <w:t> </w:t>
      </w:r>
      <w:r w:rsidRPr="001C06E6">
        <w:t>million for the Port Keats Road – Wadeye to Palumpa (Nganmarriyanga) in the Northern Territory</w:t>
      </w:r>
      <w:r>
        <w:t xml:space="preserve"> </w:t>
      </w:r>
    </w:p>
    <w:p w14:paraId="31379E6C" w14:textId="77777777" w:rsidR="0012790E" w:rsidRDefault="0012790E">
      <w:pPr>
        <w:pStyle w:val="Dash"/>
      </w:pPr>
      <w:r w:rsidRPr="001C06E6">
        <w:t>$134.5</w:t>
      </w:r>
      <w:r>
        <w:t> </w:t>
      </w:r>
      <w:r w:rsidRPr="001C06E6">
        <w:t>million for the Mt Crosby Road Interchange Upgrade and $42.5</w:t>
      </w:r>
      <w:r>
        <w:t> </w:t>
      </w:r>
      <w:r w:rsidRPr="001C06E6">
        <w:t>million for Bremer River Bridge (Westbound) Strengthening on the Warrego Highway in Queensland</w:t>
      </w:r>
      <w:r>
        <w:t xml:space="preserve"> </w:t>
      </w:r>
    </w:p>
    <w:p w14:paraId="3DC55C57" w14:textId="77777777" w:rsidR="0012790E" w:rsidRDefault="0012790E">
      <w:pPr>
        <w:pStyle w:val="Dash"/>
      </w:pPr>
      <w:r w:rsidRPr="001C06E6">
        <w:t>$115.0</w:t>
      </w:r>
      <w:r>
        <w:t> </w:t>
      </w:r>
      <w:r w:rsidRPr="001C06E6">
        <w:t>million for Zero Emission Buses Tranche 1 Infrastructure – Macquarie Park Depot in New South Wales</w:t>
      </w:r>
      <w:r>
        <w:t xml:space="preserve"> </w:t>
      </w:r>
    </w:p>
    <w:p w14:paraId="57745DE8" w14:textId="77777777" w:rsidR="0012790E" w:rsidRDefault="0012790E">
      <w:pPr>
        <w:pStyle w:val="Dash"/>
      </w:pPr>
      <w:r w:rsidRPr="001C06E6">
        <w:t>$80.0</w:t>
      </w:r>
      <w:r>
        <w:t> </w:t>
      </w:r>
      <w:r w:rsidRPr="001C06E6">
        <w:t>million for the Lyell Highway – Granton to New Norfolk in Tasmania</w:t>
      </w:r>
      <w:r>
        <w:t xml:space="preserve"> </w:t>
      </w:r>
    </w:p>
    <w:p w14:paraId="26436121" w14:textId="77777777" w:rsidR="0012790E" w:rsidRDefault="0012790E">
      <w:pPr>
        <w:pStyle w:val="Dash"/>
      </w:pPr>
      <w:r w:rsidRPr="001C06E6">
        <w:t>$64.0</w:t>
      </w:r>
      <w:r>
        <w:t> </w:t>
      </w:r>
      <w:r w:rsidRPr="001C06E6">
        <w:t>million for the Berrimah Road Duplication – Stuart Highway to Tiger Brennan Drive in the Northern Territory</w:t>
      </w:r>
      <w:r>
        <w:t xml:space="preserve"> </w:t>
      </w:r>
    </w:p>
    <w:p w14:paraId="01F1EC49" w14:textId="48755ED1" w:rsidR="0012790E" w:rsidRDefault="0012790E">
      <w:pPr>
        <w:pStyle w:val="Dash"/>
      </w:pPr>
      <w:r w:rsidRPr="001C06E6">
        <w:t>$120.0</w:t>
      </w:r>
      <w:r>
        <w:t> </w:t>
      </w:r>
      <w:r w:rsidRPr="001C06E6">
        <w:t>million for the Mount Barker and Verdun Interchange Upgrades in South</w:t>
      </w:r>
      <w:r w:rsidR="006B7A83">
        <w:t> </w:t>
      </w:r>
      <w:r w:rsidRPr="001C06E6">
        <w:t>Australia</w:t>
      </w:r>
      <w:r>
        <w:t xml:space="preserve"> </w:t>
      </w:r>
    </w:p>
    <w:p w14:paraId="39024FF6" w14:textId="28C31712" w:rsidR="0012790E" w:rsidRPr="00EB5256" w:rsidRDefault="0012790E">
      <w:pPr>
        <w:pStyle w:val="Dash"/>
        <w:rPr>
          <w:spacing w:val="-2"/>
        </w:rPr>
      </w:pPr>
      <w:r w:rsidRPr="00EB5256">
        <w:rPr>
          <w:spacing w:val="-2"/>
        </w:rPr>
        <w:t>$54.0 million for the Regional Road Safety Program – State Roads in Western</w:t>
      </w:r>
      <w:r w:rsidR="00EB5256" w:rsidRPr="00EB5256">
        <w:rPr>
          <w:spacing w:val="-2"/>
        </w:rPr>
        <w:t xml:space="preserve"> </w:t>
      </w:r>
      <w:r w:rsidRPr="00EB5256">
        <w:rPr>
          <w:spacing w:val="-2"/>
        </w:rPr>
        <w:t xml:space="preserve">Australia </w:t>
      </w:r>
    </w:p>
    <w:p w14:paraId="28C266FD" w14:textId="77777777" w:rsidR="0012790E" w:rsidRDefault="0012790E">
      <w:pPr>
        <w:pStyle w:val="Dash"/>
      </w:pPr>
      <w:r w:rsidRPr="001C06E6">
        <w:t>$53.6</w:t>
      </w:r>
      <w:r>
        <w:t> </w:t>
      </w:r>
      <w:r w:rsidRPr="001C06E6">
        <w:t>million for the Great Northern Highway – Brooking Channel Bridge Replacement in Western Australia</w:t>
      </w:r>
      <w:r>
        <w:t xml:space="preserve"> </w:t>
      </w:r>
    </w:p>
    <w:p w14:paraId="44F5C17D" w14:textId="7FBCC2A4" w:rsidR="0012790E" w:rsidRDefault="0012790E">
      <w:pPr>
        <w:pStyle w:val="Dash"/>
      </w:pPr>
      <w:r w:rsidRPr="001C06E6">
        <w:t>$50.0</w:t>
      </w:r>
      <w:r>
        <w:t> </w:t>
      </w:r>
      <w:r w:rsidRPr="001C06E6">
        <w:t>million to plan for Stage 2B of the Canberra Light Rail in the Australian Capital</w:t>
      </w:r>
      <w:r w:rsidR="006B7A83">
        <w:t> </w:t>
      </w:r>
      <w:r w:rsidRPr="001C06E6">
        <w:t>Territory</w:t>
      </w:r>
      <w:r>
        <w:t xml:space="preserve"> </w:t>
      </w:r>
    </w:p>
    <w:p w14:paraId="230CC07D" w14:textId="2BDF9B00" w:rsidR="0012790E" w:rsidRDefault="0012790E">
      <w:pPr>
        <w:pStyle w:val="Dash"/>
      </w:pPr>
      <w:r w:rsidRPr="001C06E6">
        <w:t>$17.6</w:t>
      </w:r>
      <w:r>
        <w:t> </w:t>
      </w:r>
      <w:r w:rsidRPr="001C06E6">
        <w:t>million for projects in Victoria, including $12.0</w:t>
      </w:r>
      <w:r>
        <w:t> </w:t>
      </w:r>
      <w:r w:rsidRPr="001C06E6">
        <w:t>million for the Bridgewater</w:t>
      </w:r>
      <w:r w:rsidR="006B7A83">
        <w:t> </w:t>
      </w:r>
      <w:r w:rsidRPr="001C06E6">
        <w:t>Road and Portland Ring Road intersection upgrade</w:t>
      </w:r>
      <w:r>
        <w:t xml:space="preserve"> </w:t>
      </w:r>
    </w:p>
    <w:p w14:paraId="3B413A5A" w14:textId="77777777" w:rsidR="0012790E" w:rsidRDefault="0012790E">
      <w:pPr>
        <w:pStyle w:val="Bullet"/>
      </w:pPr>
      <w:r w:rsidRPr="001C06E6">
        <w:t>$10.1 billion over 11</w:t>
      </w:r>
      <w:r>
        <w:t> </w:t>
      </w:r>
      <w:r w:rsidRPr="001C06E6">
        <w:t xml:space="preserve">years from </w:t>
      </w:r>
      <w:r>
        <w:t>2023–24</w:t>
      </w:r>
      <w:r w:rsidRPr="001C06E6">
        <w:t xml:space="preserve"> for existing projects in the</w:t>
      </w:r>
      <w:r>
        <w:t xml:space="preserve"> </w:t>
      </w:r>
      <w:r w:rsidRPr="001C06E6">
        <w:rPr>
          <w:i/>
          <w:iCs/>
        </w:rPr>
        <w:t>Infrastructure Investment Program</w:t>
      </w:r>
      <w:r w:rsidRPr="001C06E6">
        <w:t>, including:</w:t>
      </w:r>
      <w:r>
        <w:t xml:space="preserve"> </w:t>
      </w:r>
    </w:p>
    <w:p w14:paraId="50685859" w14:textId="77777777" w:rsidR="0012790E" w:rsidRDefault="0012790E">
      <w:pPr>
        <w:pStyle w:val="Dash"/>
      </w:pPr>
      <w:r w:rsidRPr="001C06E6">
        <w:t>$3.3 billion for North East Link in Victoria</w:t>
      </w:r>
      <w:r>
        <w:t xml:space="preserve"> </w:t>
      </w:r>
    </w:p>
    <w:p w14:paraId="4E123D60" w14:textId="77777777" w:rsidR="0012790E" w:rsidRDefault="0012790E">
      <w:pPr>
        <w:pStyle w:val="Dash"/>
      </w:pPr>
      <w:r w:rsidRPr="001C06E6">
        <w:t>$1.2 billion for the Direct Sunshine Coast Rail Line in Queensland</w:t>
      </w:r>
      <w:r>
        <w:t xml:space="preserve"> </w:t>
      </w:r>
    </w:p>
    <w:p w14:paraId="2CC96D0F" w14:textId="77777777" w:rsidR="0012790E" w:rsidRDefault="0012790E">
      <w:pPr>
        <w:pStyle w:val="Dash"/>
      </w:pPr>
      <w:r w:rsidRPr="001C06E6">
        <w:t>$1.4 billion for METRONET projects in Western Australia</w:t>
      </w:r>
      <w:r>
        <w:t xml:space="preserve"> </w:t>
      </w:r>
    </w:p>
    <w:p w14:paraId="4669A27A" w14:textId="3D74BBDA" w:rsidR="0012790E" w:rsidRDefault="0012790E">
      <w:pPr>
        <w:pStyle w:val="Dash"/>
      </w:pPr>
      <w:r w:rsidRPr="001C06E6">
        <w:t>$578.6</w:t>
      </w:r>
      <w:r>
        <w:t> </w:t>
      </w:r>
      <w:r w:rsidRPr="001C06E6">
        <w:t>million for projects in New South Wales, including $112.0</w:t>
      </w:r>
      <w:r>
        <w:t> </w:t>
      </w:r>
      <w:r w:rsidRPr="001C06E6">
        <w:t>million for the M1</w:t>
      </w:r>
      <w:r w:rsidR="006B7A83">
        <w:t> </w:t>
      </w:r>
      <w:r w:rsidRPr="001C06E6">
        <w:t>Pacific Motorway Extension to Raymond Terrace</w:t>
      </w:r>
      <w:r>
        <w:t xml:space="preserve"> </w:t>
      </w:r>
    </w:p>
    <w:p w14:paraId="5D8B0DD7" w14:textId="77777777" w:rsidR="0012790E" w:rsidRPr="00EB5256" w:rsidRDefault="0012790E">
      <w:pPr>
        <w:pStyle w:val="Dash"/>
        <w:rPr>
          <w:spacing w:val="-2"/>
        </w:rPr>
      </w:pPr>
      <w:r w:rsidRPr="00EB5256">
        <w:rPr>
          <w:spacing w:val="-2"/>
        </w:rPr>
        <w:t xml:space="preserve">$431.7 million for the Coomera Connector Stage 1 (Coomera to Nerang) in Queensland </w:t>
      </w:r>
    </w:p>
    <w:p w14:paraId="3A9EE40C" w14:textId="4A504C53" w:rsidR="0012790E" w:rsidRDefault="0012790E">
      <w:pPr>
        <w:pStyle w:val="Dash"/>
      </w:pPr>
      <w:r w:rsidRPr="001C06E6">
        <w:t>$133.6</w:t>
      </w:r>
      <w:r>
        <w:t> </w:t>
      </w:r>
      <w:r w:rsidRPr="001C06E6">
        <w:t>million for projects in South Australia, including $100.0</w:t>
      </w:r>
      <w:r>
        <w:t> </w:t>
      </w:r>
      <w:r w:rsidRPr="001C06E6">
        <w:t>million for the South</w:t>
      </w:r>
      <w:r w:rsidR="006B7A83">
        <w:t> </w:t>
      </w:r>
      <w:r w:rsidRPr="001C06E6">
        <w:t>Eastern Freeway Upgrade</w:t>
      </w:r>
      <w:r>
        <w:t xml:space="preserve"> </w:t>
      </w:r>
    </w:p>
    <w:p w14:paraId="7C9F6C42" w14:textId="77777777" w:rsidR="0012790E" w:rsidRDefault="0012790E">
      <w:pPr>
        <w:pStyle w:val="Dash"/>
      </w:pPr>
      <w:r w:rsidRPr="001C06E6">
        <w:t>$113.1</w:t>
      </w:r>
      <w:r>
        <w:t> </w:t>
      </w:r>
      <w:r w:rsidRPr="001C06E6">
        <w:t>million for projects in Tasmania, including $50.0</w:t>
      </w:r>
      <w:r>
        <w:t> </w:t>
      </w:r>
      <w:r w:rsidRPr="001C06E6">
        <w:t>million for the Mornington Roundabout Upgrade</w:t>
      </w:r>
      <w:r>
        <w:t xml:space="preserve"> </w:t>
      </w:r>
    </w:p>
    <w:p w14:paraId="0B092042" w14:textId="77777777" w:rsidR="0012790E" w:rsidRDefault="0012790E">
      <w:pPr>
        <w:pStyle w:val="Dash"/>
      </w:pPr>
      <w:r w:rsidRPr="001C06E6">
        <w:t>$35.9</w:t>
      </w:r>
      <w:r>
        <w:t> </w:t>
      </w:r>
      <w:r w:rsidRPr="001C06E6">
        <w:t>million for projects in the Northern Territory, including $25.0</w:t>
      </w:r>
      <w:r>
        <w:t> </w:t>
      </w:r>
      <w:r w:rsidRPr="001C06E6">
        <w:t>million for the Carpentaria Highway Upgrade</w:t>
      </w:r>
      <w:r>
        <w:t xml:space="preserve"> </w:t>
      </w:r>
    </w:p>
    <w:p w14:paraId="78273640" w14:textId="0D1AC659" w:rsidR="0012790E" w:rsidRDefault="0012790E">
      <w:pPr>
        <w:pStyle w:val="Dash"/>
      </w:pPr>
      <w:r w:rsidRPr="001C06E6">
        <w:t>$27.1</w:t>
      </w:r>
      <w:r>
        <w:t> </w:t>
      </w:r>
      <w:r w:rsidRPr="001C06E6">
        <w:t>million for the William Hovell Drive Duplication in the Australian Capital</w:t>
      </w:r>
      <w:r w:rsidR="006B7A83">
        <w:t> </w:t>
      </w:r>
      <w:r w:rsidRPr="001C06E6">
        <w:t>Territory</w:t>
      </w:r>
      <w:r>
        <w:t xml:space="preserve"> </w:t>
      </w:r>
    </w:p>
    <w:p w14:paraId="135930E2" w14:textId="77777777" w:rsidR="0012790E" w:rsidRDefault="0012790E">
      <w:pPr>
        <w:pStyle w:val="Bullet"/>
      </w:pPr>
      <w:r w:rsidRPr="001C06E6">
        <w:t xml:space="preserve">$1.7 billion in </w:t>
      </w:r>
      <w:r>
        <w:t>2033–34</w:t>
      </w:r>
      <w:r w:rsidRPr="001C06E6">
        <w:t xml:space="preserve"> to continue existing road maintenance and safety programs, including:</w:t>
      </w:r>
      <w:r>
        <w:t xml:space="preserve"> </w:t>
      </w:r>
    </w:p>
    <w:p w14:paraId="5FB51CD9" w14:textId="77777777" w:rsidR="0012790E" w:rsidRDefault="0012790E">
      <w:pPr>
        <w:pStyle w:val="Dash"/>
      </w:pPr>
      <w:r w:rsidRPr="001C06E6">
        <w:t xml:space="preserve">$1.0 billion for the </w:t>
      </w:r>
      <w:r w:rsidRPr="001C06E6">
        <w:rPr>
          <w:i/>
          <w:iCs/>
        </w:rPr>
        <w:t>Roads to Recovery Program</w:t>
      </w:r>
      <w:r>
        <w:t xml:space="preserve"> </w:t>
      </w:r>
    </w:p>
    <w:p w14:paraId="4220AD5D" w14:textId="77777777" w:rsidR="0012790E" w:rsidRDefault="0012790E">
      <w:pPr>
        <w:pStyle w:val="Dash"/>
        <w:rPr>
          <w:i/>
        </w:rPr>
      </w:pPr>
      <w:r w:rsidRPr="001C06E6">
        <w:t>$200.0</w:t>
      </w:r>
      <w:r>
        <w:t> </w:t>
      </w:r>
      <w:r w:rsidRPr="001C06E6">
        <w:t xml:space="preserve">million for the </w:t>
      </w:r>
      <w:r w:rsidRPr="001C06E6">
        <w:rPr>
          <w:i/>
        </w:rPr>
        <w:t>Safer Local Roads and Infrastructure Program</w:t>
      </w:r>
      <w:r>
        <w:rPr>
          <w:i/>
        </w:rPr>
        <w:t xml:space="preserve"> </w:t>
      </w:r>
    </w:p>
    <w:p w14:paraId="7AA79E46" w14:textId="77777777" w:rsidR="0012790E" w:rsidRDefault="0012790E">
      <w:pPr>
        <w:pStyle w:val="Dash"/>
        <w:rPr>
          <w:iCs/>
        </w:rPr>
      </w:pPr>
      <w:r w:rsidRPr="001C06E6">
        <w:t>$150.0</w:t>
      </w:r>
      <w:r>
        <w:t> </w:t>
      </w:r>
      <w:r w:rsidRPr="001C06E6">
        <w:t xml:space="preserve">million for the </w:t>
      </w:r>
      <w:r w:rsidRPr="001C06E6">
        <w:rPr>
          <w:i/>
          <w:iCs/>
        </w:rPr>
        <w:t>Black Spot Program</w:t>
      </w:r>
      <w:r>
        <w:rPr>
          <w:iCs/>
        </w:rPr>
        <w:t xml:space="preserve"> </w:t>
      </w:r>
    </w:p>
    <w:p w14:paraId="0B6FED4D" w14:textId="77777777" w:rsidR="0012790E" w:rsidRDefault="0012790E">
      <w:pPr>
        <w:pStyle w:val="Bullet"/>
      </w:pPr>
      <w:r w:rsidRPr="001C06E6">
        <w:t>$540.0</w:t>
      </w:r>
      <w:r>
        <w:t> </w:t>
      </w:r>
      <w:r w:rsidRPr="001C06E6">
        <w:t>million for the Australian Rail Track Corporation to invest in the interstate rail network, including $150.0</w:t>
      </w:r>
      <w:r>
        <w:t> </w:t>
      </w:r>
      <w:r w:rsidRPr="001C06E6">
        <w:t>million for the Maroona to Portland Line Upgrade</w:t>
      </w:r>
      <w:r>
        <w:t xml:space="preserve"> </w:t>
      </w:r>
    </w:p>
    <w:p w14:paraId="5FEF5ED7" w14:textId="77777777" w:rsidR="0012790E" w:rsidRDefault="0012790E">
      <w:pPr>
        <w:pStyle w:val="Bullet"/>
      </w:pPr>
      <w:r w:rsidRPr="001C06E6">
        <w:t>$100.0</w:t>
      </w:r>
      <w:r>
        <w:t> </w:t>
      </w:r>
      <w:r w:rsidRPr="001C06E6">
        <w:t xml:space="preserve">million over four years from </w:t>
      </w:r>
      <w:r>
        <w:t>2025–26</w:t>
      </w:r>
      <w:r w:rsidRPr="001C06E6">
        <w:t xml:space="preserve"> for an Active Transport Fund to support the construction and upgrade of bicycle and walking paths across Australia.</w:t>
      </w:r>
      <w:r>
        <w:t xml:space="preserve"> </w:t>
      </w:r>
    </w:p>
    <w:p w14:paraId="7D163CF6" w14:textId="77777777" w:rsidR="0012790E" w:rsidRDefault="0012790E" w:rsidP="54937204">
      <w:pPr>
        <w:pStyle w:val="Normal2"/>
        <w:rPr>
          <w:rFonts w:cs="Book Antiqua"/>
          <w:lang w:val="en-US"/>
        </w:rPr>
      </w:pPr>
      <w:r w:rsidRPr="54937204">
        <w:rPr>
          <w:rFonts w:cs="Book Antiqua"/>
          <w:lang w:val="en-US"/>
        </w:rPr>
        <w:t xml:space="preserve">The Government will also reprofile $2.1 billion to beyond the forward estimates to better align with construction market conditions and project delivery timeframes. </w:t>
      </w:r>
    </w:p>
    <w:p w14:paraId="592DA7EB" w14:textId="77777777" w:rsidR="0012790E" w:rsidRDefault="0012790E" w:rsidP="54937204">
      <w:pPr>
        <w:pStyle w:val="Normal2"/>
        <w:rPr>
          <w:rFonts w:cs="Book Antiqua"/>
          <w:lang w:val="en-US"/>
        </w:rPr>
      </w:pPr>
      <w:r w:rsidRPr="54937204">
        <w:rPr>
          <w:rFonts w:cs="Book Antiqua"/>
          <w:lang w:val="en-US"/>
        </w:rPr>
        <w:t xml:space="preserve">The Government will also provide $98.3 million over five years from 2024–25 (and $14.2 million per year ongoing) for the Department of Infrastructure, Transport, Regional Development, Communications and the Arts to support the delivery of the infrastructure investment pipeline. </w:t>
      </w:r>
    </w:p>
    <w:p w14:paraId="478FDAA2" w14:textId="7777777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MYEFO measure titled</w:t>
      </w:r>
      <w:r w:rsidRPr="001C06E6">
        <w:rPr>
          <w:rFonts w:cs="Book Antiqua"/>
          <w:i/>
          <w:iCs/>
        </w:rPr>
        <w:t xml:space="preserve"> Building a Better Future</w:t>
      </w:r>
      <w:r>
        <w:rPr>
          <w:rFonts w:cs="Book Antiqua"/>
          <w:i/>
          <w:iCs/>
        </w:rPr>
        <w:t xml:space="preserve"> </w:t>
      </w:r>
      <w:r w:rsidRPr="001C06E6">
        <w:rPr>
          <w:rFonts w:cs="Book Antiqua"/>
          <w:i/>
          <w:iCs/>
        </w:rPr>
        <w:t>Through Considered Infrastructure Investment</w:t>
      </w:r>
      <w:r w:rsidRPr="001C06E6">
        <w:rPr>
          <w:rFonts w:cs="Book Antiqua"/>
        </w:rPr>
        <w:t>.</w:t>
      </w:r>
      <w:r>
        <w:rPr>
          <w:rFonts w:cs="Book Antiqua"/>
        </w:rPr>
        <w:t xml:space="preserve"> </w:t>
      </w:r>
    </w:p>
    <w:p w14:paraId="74C340C8" w14:textId="77777777" w:rsidR="0012790E" w:rsidRPr="001C06E6" w:rsidRDefault="0012790E">
      <w:pPr>
        <w:pStyle w:val="MeasureTitle"/>
        <w:rPr>
          <w:b w:val="0"/>
          <w:bCs/>
        </w:rPr>
      </w:pPr>
      <w:r w:rsidRPr="001C06E6">
        <w:rPr>
          <w:bCs/>
        </w:rPr>
        <w:t>Delivering a Strategic Fleet</w:t>
      </w:r>
    </w:p>
    <w:p w14:paraId="019920E3"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BAB0BAD" w14:textId="77777777">
        <w:tc>
          <w:tcPr>
            <w:tcW w:w="2497" w:type="dxa"/>
            <w:tcBorders>
              <w:top w:val="single" w:sz="4" w:space="0" w:color="293F5B"/>
              <w:bottom w:val="single" w:sz="4" w:space="0" w:color="293F5B"/>
            </w:tcBorders>
            <w:shd w:val="clear" w:color="auto" w:fill="auto"/>
          </w:tcPr>
          <w:p w14:paraId="6A8F4B0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63F2079"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0ECD6C5F"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9C324A4"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E61A741"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35A563D" w14:textId="77777777" w:rsidR="0012790E" w:rsidRPr="001C06E6" w:rsidRDefault="0012790E">
            <w:pPr>
              <w:pStyle w:val="MeasureTableYearHeadings"/>
              <w:keepNext/>
            </w:pPr>
            <w:r w:rsidRPr="001C06E6">
              <w:t>2027</w:t>
            </w:r>
            <w:r>
              <w:noBreakHyphen/>
            </w:r>
            <w:r w:rsidRPr="001C06E6">
              <w:t>28</w:t>
            </w:r>
          </w:p>
        </w:tc>
      </w:tr>
      <w:tr w:rsidR="0012790E" w:rsidRPr="001C06E6" w14:paraId="648E3DC9" w14:textId="77777777">
        <w:tc>
          <w:tcPr>
            <w:tcW w:w="2497" w:type="dxa"/>
            <w:tcBorders>
              <w:top w:val="single" w:sz="4" w:space="0" w:color="293F5B"/>
              <w:bottom w:val="single" w:sz="4" w:space="0" w:color="293F5B"/>
            </w:tcBorders>
            <w:shd w:val="clear" w:color="auto" w:fill="auto"/>
          </w:tcPr>
          <w:p w14:paraId="3BEB9116" w14:textId="77777777" w:rsidR="0012790E" w:rsidRPr="001C06E6" w:rsidRDefault="0012790E">
            <w:pPr>
              <w:pStyle w:val="MeasureTableHeadingleftalignedwith2ptsspacing"/>
              <w:keepNext/>
            </w:pPr>
            <w:r>
              <w:t xml:space="preserve">Office of the Fair Work Ombudsman </w:t>
            </w:r>
          </w:p>
        </w:tc>
        <w:tc>
          <w:tcPr>
            <w:tcW w:w="1045" w:type="dxa"/>
            <w:tcBorders>
              <w:top w:val="single" w:sz="4" w:space="0" w:color="293F5B"/>
              <w:bottom w:val="single" w:sz="4" w:space="0" w:color="293F5B"/>
            </w:tcBorders>
            <w:shd w:val="clear" w:color="auto" w:fill="auto"/>
          </w:tcPr>
          <w:p w14:paraId="5729DD6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C1F54D0" w14:textId="77777777" w:rsidR="0012790E" w:rsidRPr="001C06E6" w:rsidRDefault="0012790E">
            <w:pPr>
              <w:pStyle w:val="MeasureTableDataRightAlignedwith2ptsspacing"/>
              <w:keepNext/>
            </w:pPr>
            <w:r>
              <w:t xml:space="preserve">0.9 </w:t>
            </w:r>
          </w:p>
        </w:tc>
        <w:tc>
          <w:tcPr>
            <w:tcW w:w="1045" w:type="dxa"/>
            <w:tcBorders>
              <w:top w:val="single" w:sz="4" w:space="0" w:color="293F5B"/>
              <w:bottom w:val="single" w:sz="4" w:space="0" w:color="293F5B"/>
            </w:tcBorders>
            <w:shd w:val="clear" w:color="auto" w:fill="auto"/>
          </w:tcPr>
          <w:p w14:paraId="5905A9B2" w14:textId="77777777" w:rsidR="0012790E" w:rsidRPr="001C06E6" w:rsidRDefault="0012790E">
            <w:pPr>
              <w:pStyle w:val="MeasureTableDataRightAlignedwith2ptsspacing"/>
              <w:keepNext/>
            </w:pPr>
            <w:r>
              <w:t xml:space="preserve">0.9 </w:t>
            </w:r>
          </w:p>
        </w:tc>
        <w:tc>
          <w:tcPr>
            <w:tcW w:w="1045" w:type="dxa"/>
            <w:tcBorders>
              <w:top w:val="single" w:sz="4" w:space="0" w:color="293F5B"/>
              <w:bottom w:val="single" w:sz="4" w:space="0" w:color="293F5B"/>
            </w:tcBorders>
            <w:shd w:val="clear" w:color="auto" w:fill="auto"/>
          </w:tcPr>
          <w:p w14:paraId="494BEE8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109805E" w14:textId="77777777" w:rsidR="0012790E" w:rsidRPr="001C06E6" w:rsidRDefault="0012790E">
            <w:pPr>
              <w:pStyle w:val="MeasureTableDataRightAlignedwith2ptsspacing"/>
              <w:keepNext/>
            </w:pPr>
            <w:r>
              <w:t xml:space="preserve">- </w:t>
            </w:r>
          </w:p>
        </w:tc>
      </w:tr>
      <w:tr w:rsidR="0012790E" w:rsidRPr="001C06E6" w14:paraId="63C5DA5D" w14:textId="77777777">
        <w:tc>
          <w:tcPr>
            <w:tcW w:w="2497" w:type="dxa"/>
            <w:tcBorders>
              <w:top w:val="single" w:sz="4" w:space="0" w:color="293F5B"/>
              <w:bottom w:val="single" w:sz="4" w:space="0" w:color="293F5B"/>
            </w:tcBorders>
            <w:shd w:val="clear" w:color="auto" w:fill="auto"/>
          </w:tcPr>
          <w:p w14:paraId="3FE5253B" w14:textId="77777777" w:rsidR="0012790E" w:rsidRPr="001C06E6" w:rsidRDefault="0012790E">
            <w:pPr>
              <w:pStyle w:val="MeasureTableHeadingleftalignedwith2ptsspacing"/>
              <w:keepNext/>
            </w:pPr>
            <w:r>
              <w:t xml:space="preserve">Australian Maritime Safety Authority </w:t>
            </w:r>
          </w:p>
        </w:tc>
        <w:tc>
          <w:tcPr>
            <w:tcW w:w="1045" w:type="dxa"/>
            <w:tcBorders>
              <w:top w:val="single" w:sz="4" w:space="0" w:color="293F5B"/>
              <w:bottom w:val="single" w:sz="4" w:space="0" w:color="293F5B"/>
            </w:tcBorders>
            <w:shd w:val="clear" w:color="auto" w:fill="auto"/>
          </w:tcPr>
          <w:p w14:paraId="54D22C3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DF7F7E7" w14:textId="77777777" w:rsidR="0012790E" w:rsidRPr="001C06E6" w:rsidRDefault="0012790E">
            <w:pPr>
              <w:pStyle w:val="MeasureTableDataRightAlignedwith2ptsspacing"/>
              <w:keepNext/>
            </w:pPr>
            <w:r>
              <w:t xml:space="preserve">0.3 </w:t>
            </w:r>
          </w:p>
        </w:tc>
        <w:tc>
          <w:tcPr>
            <w:tcW w:w="1045" w:type="dxa"/>
            <w:tcBorders>
              <w:top w:val="single" w:sz="4" w:space="0" w:color="293F5B"/>
              <w:bottom w:val="single" w:sz="4" w:space="0" w:color="293F5B"/>
            </w:tcBorders>
            <w:shd w:val="clear" w:color="auto" w:fill="auto"/>
          </w:tcPr>
          <w:p w14:paraId="4CEE274B" w14:textId="77777777" w:rsidR="0012790E" w:rsidRPr="001C06E6" w:rsidRDefault="0012790E">
            <w:pPr>
              <w:pStyle w:val="MeasureTableDataRightAlignedwith2ptsspacing"/>
              <w:keepNext/>
            </w:pPr>
            <w:r>
              <w:t xml:space="preserve">0.3 </w:t>
            </w:r>
          </w:p>
        </w:tc>
        <w:tc>
          <w:tcPr>
            <w:tcW w:w="1045" w:type="dxa"/>
            <w:tcBorders>
              <w:top w:val="single" w:sz="4" w:space="0" w:color="293F5B"/>
              <w:bottom w:val="single" w:sz="4" w:space="0" w:color="293F5B"/>
            </w:tcBorders>
            <w:shd w:val="clear" w:color="auto" w:fill="auto"/>
          </w:tcPr>
          <w:p w14:paraId="676641EF" w14:textId="77777777" w:rsidR="0012790E" w:rsidRPr="001C06E6" w:rsidRDefault="0012790E">
            <w:pPr>
              <w:pStyle w:val="MeasureTableDataRightAlignedwith2ptsspacing"/>
              <w:keepNext/>
            </w:pPr>
            <w:r>
              <w:t xml:space="preserve">0.1 </w:t>
            </w:r>
          </w:p>
        </w:tc>
        <w:tc>
          <w:tcPr>
            <w:tcW w:w="1045" w:type="dxa"/>
            <w:tcBorders>
              <w:top w:val="single" w:sz="4" w:space="0" w:color="293F5B"/>
              <w:bottom w:val="single" w:sz="4" w:space="0" w:color="293F5B"/>
            </w:tcBorders>
            <w:shd w:val="clear" w:color="auto" w:fill="auto"/>
          </w:tcPr>
          <w:p w14:paraId="58FC57EC" w14:textId="77777777" w:rsidR="0012790E" w:rsidRPr="001C06E6" w:rsidRDefault="0012790E">
            <w:pPr>
              <w:pStyle w:val="MeasureTableDataRightAlignedwith2ptsspacing"/>
              <w:keepNext/>
            </w:pPr>
            <w:r>
              <w:t xml:space="preserve">- </w:t>
            </w:r>
          </w:p>
        </w:tc>
      </w:tr>
      <w:tr w:rsidR="0012790E" w:rsidRPr="001C06E6" w14:paraId="68041077" w14:textId="77777777">
        <w:tc>
          <w:tcPr>
            <w:tcW w:w="2497" w:type="dxa"/>
            <w:tcBorders>
              <w:top w:val="single" w:sz="4" w:space="0" w:color="293F5B"/>
              <w:bottom w:val="single" w:sz="4" w:space="0" w:color="293F5B"/>
            </w:tcBorders>
            <w:shd w:val="clear" w:color="auto" w:fill="auto"/>
          </w:tcPr>
          <w:p w14:paraId="385715A0"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7FE56DE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FB6C590"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41C5DC16"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5E99095D"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300918AA" w14:textId="77777777" w:rsidR="0012790E" w:rsidRPr="001C06E6" w:rsidRDefault="0012790E">
            <w:pPr>
              <w:pStyle w:val="MeasureTableDataRightAlignedwith2ptsspacing"/>
              <w:keepNext/>
            </w:pPr>
            <w:r w:rsidRPr="001C06E6">
              <w:t>0.1</w:t>
            </w:r>
          </w:p>
        </w:tc>
      </w:tr>
      <w:tr w:rsidR="0012790E" w:rsidRPr="001C06E6" w14:paraId="0B98CE92" w14:textId="77777777">
        <w:tc>
          <w:tcPr>
            <w:tcW w:w="2497" w:type="dxa"/>
            <w:tcBorders>
              <w:top w:val="single" w:sz="4" w:space="0" w:color="293F5B"/>
              <w:bottom w:val="single" w:sz="4" w:space="0" w:color="293F5B"/>
            </w:tcBorders>
            <w:shd w:val="clear" w:color="auto" w:fill="auto"/>
          </w:tcPr>
          <w:p w14:paraId="7EF895D8"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21997FE6"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18CC5AEC"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72C8C455"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1B20DE5A"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56FEE4B5" w14:textId="77777777" w:rsidR="0012790E" w:rsidRPr="001C06E6" w:rsidRDefault="0012790E">
            <w:pPr>
              <w:pStyle w:val="MeasureTableDataRightAlignedwith2ptsspacing"/>
              <w:keepNext/>
            </w:pPr>
            <w:r>
              <w:t xml:space="preserve">nfp   </w:t>
            </w:r>
          </w:p>
        </w:tc>
      </w:tr>
      <w:tr w:rsidR="0012790E" w:rsidRPr="001C06E6" w14:paraId="61F2E1CE" w14:textId="77777777">
        <w:tc>
          <w:tcPr>
            <w:tcW w:w="2497" w:type="dxa"/>
            <w:tcBorders>
              <w:top w:val="single" w:sz="4" w:space="0" w:color="293F5B"/>
              <w:bottom w:val="single" w:sz="4" w:space="0" w:color="293F5B"/>
            </w:tcBorders>
            <w:shd w:val="clear" w:color="auto" w:fill="auto"/>
          </w:tcPr>
          <w:p w14:paraId="00397037"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369291CC"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2FF01235" w14:textId="77777777" w:rsidR="0012790E" w:rsidRPr="001C06E6" w:rsidRDefault="0012790E">
            <w:pPr>
              <w:pStyle w:val="Totaldatarowrightaligned"/>
              <w:keepNext/>
            </w:pPr>
            <w:r w:rsidRPr="001C06E6">
              <w:t>1.4</w:t>
            </w:r>
          </w:p>
        </w:tc>
        <w:tc>
          <w:tcPr>
            <w:tcW w:w="1045" w:type="dxa"/>
            <w:tcBorders>
              <w:top w:val="single" w:sz="4" w:space="0" w:color="293F5B"/>
              <w:bottom w:val="single" w:sz="4" w:space="0" w:color="293F5B"/>
            </w:tcBorders>
            <w:shd w:val="clear" w:color="auto" w:fill="auto"/>
          </w:tcPr>
          <w:p w14:paraId="27F74DFA" w14:textId="77777777" w:rsidR="0012790E" w:rsidRPr="001C06E6" w:rsidRDefault="0012790E">
            <w:pPr>
              <w:pStyle w:val="Totaldatarowrightaligned"/>
              <w:keepNext/>
            </w:pPr>
            <w:r w:rsidRPr="001C06E6">
              <w:t>1.4</w:t>
            </w:r>
          </w:p>
        </w:tc>
        <w:tc>
          <w:tcPr>
            <w:tcW w:w="1045" w:type="dxa"/>
            <w:tcBorders>
              <w:top w:val="single" w:sz="4" w:space="0" w:color="293F5B"/>
              <w:bottom w:val="single" w:sz="4" w:space="0" w:color="293F5B"/>
            </w:tcBorders>
            <w:shd w:val="clear" w:color="auto" w:fill="auto"/>
          </w:tcPr>
          <w:p w14:paraId="557737AD" w14:textId="77777777" w:rsidR="0012790E" w:rsidRPr="001C06E6" w:rsidRDefault="0012790E">
            <w:pPr>
              <w:pStyle w:val="Totaldatarowrightaligned"/>
              <w:keepNext/>
            </w:pPr>
            <w:r w:rsidRPr="001C06E6">
              <w:t>0.2</w:t>
            </w:r>
          </w:p>
        </w:tc>
        <w:tc>
          <w:tcPr>
            <w:tcW w:w="1045" w:type="dxa"/>
            <w:tcBorders>
              <w:top w:val="single" w:sz="4" w:space="0" w:color="293F5B"/>
              <w:bottom w:val="single" w:sz="4" w:space="0" w:color="293F5B"/>
            </w:tcBorders>
            <w:shd w:val="clear" w:color="auto" w:fill="auto"/>
          </w:tcPr>
          <w:p w14:paraId="599FC91A" w14:textId="77777777" w:rsidR="0012790E" w:rsidRPr="001C06E6" w:rsidRDefault="0012790E">
            <w:pPr>
              <w:pStyle w:val="Totaldatarowrightaligned"/>
              <w:keepNext/>
            </w:pPr>
            <w:r w:rsidRPr="001C06E6">
              <w:t>0.1</w:t>
            </w:r>
          </w:p>
        </w:tc>
      </w:tr>
    </w:tbl>
    <w:p w14:paraId="3DCD833D"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1030881D" w14:textId="77777777" w:rsidR="0012790E" w:rsidRDefault="0012790E" w:rsidP="54937204">
      <w:pPr>
        <w:pStyle w:val="Normal2"/>
        <w:rPr>
          <w:rFonts w:cs="Book Antiqua"/>
          <w:lang w:val="en-US"/>
        </w:rPr>
      </w:pPr>
      <w:r w:rsidRPr="54937204">
        <w:rPr>
          <w:rFonts w:cs="Book Antiqua"/>
          <w:lang w:val="en-US"/>
        </w:rPr>
        <w:t>The Government will provide</w:t>
      </w:r>
      <w:r w:rsidRPr="54937204">
        <w:rPr>
          <w:rFonts w:ascii="Times New Roman" w:hAnsi="Times New Roman"/>
          <w:lang w:val="en-US"/>
        </w:rPr>
        <w:t> </w:t>
      </w:r>
      <w:r w:rsidRPr="54937204">
        <w:rPr>
          <w:rFonts w:cs="Book Antiqua"/>
          <w:lang w:val="en-US"/>
        </w:rPr>
        <w:t>funding as part of its election commitment to establish a Strategic Fleet, including:</w:t>
      </w:r>
    </w:p>
    <w:p w14:paraId="30E288EB" w14:textId="77777777" w:rsidR="0012790E" w:rsidRDefault="0012790E">
      <w:pPr>
        <w:pStyle w:val="Bullet"/>
      </w:pPr>
      <w:r w:rsidRPr="001C06E6">
        <w:t>$21.7</w:t>
      </w:r>
      <w:r>
        <w:t> </w:t>
      </w:r>
      <w:r w:rsidRPr="001C06E6">
        <w:t xml:space="preserve">million over five years from </w:t>
      </w:r>
      <w:r>
        <w:t>2024–25</w:t>
      </w:r>
      <w:r w:rsidRPr="001C06E6">
        <w:t xml:space="preserve"> for the Department of Infrastructure, Transport, Regional Development, Communications and the Arts to support the establishment of a Strategic Fleet, including delivery of the Strategic Fleet Pilot Program</w:t>
      </w:r>
      <w:r>
        <w:t xml:space="preserve"> </w:t>
      </w:r>
    </w:p>
    <w:p w14:paraId="7DAB64AD" w14:textId="77777777" w:rsidR="0012790E" w:rsidRDefault="0012790E">
      <w:pPr>
        <w:pStyle w:val="Bullet"/>
      </w:pPr>
      <w:r w:rsidRPr="001C06E6">
        <w:t>$4.7</w:t>
      </w:r>
      <w:r w:rsidRPr="001C06E6">
        <w:rPr>
          <w:rFonts w:ascii="Times New Roman" w:hAnsi="Times New Roman"/>
        </w:rPr>
        <w:t> </w:t>
      </w:r>
      <w:r w:rsidRPr="001C06E6">
        <w:t xml:space="preserve">million over three years from </w:t>
      </w:r>
      <w:r>
        <w:t>2024–25</w:t>
      </w:r>
      <w:r w:rsidRPr="001C06E6">
        <w:t xml:space="preserve"> to undertake a review of the </w:t>
      </w:r>
      <w:r w:rsidRPr="001C06E6">
        <w:rPr>
          <w:i/>
        </w:rPr>
        <w:t xml:space="preserve">Shipping Registration Act 1981 </w:t>
      </w:r>
      <w:r w:rsidRPr="001C06E6">
        <w:t xml:space="preserve">and </w:t>
      </w:r>
      <w:r w:rsidRPr="001C06E6">
        <w:rPr>
          <w:i/>
        </w:rPr>
        <w:t>Coastal Trading (Revitalising Australian Shipping) Act 2012</w:t>
      </w:r>
      <w:r>
        <w:t xml:space="preserve"> </w:t>
      </w:r>
    </w:p>
    <w:p w14:paraId="334241BA" w14:textId="77777777" w:rsidR="0012790E" w:rsidRDefault="0012790E">
      <w:pPr>
        <w:pStyle w:val="Bullet"/>
      </w:pPr>
      <w:r w:rsidRPr="001C06E6">
        <w:t>$2.7</w:t>
      </w:r>
      <w:r w:rsidRPr="001C06E6">
        <w:rPr>
          <w:rFonts w:ascii="Times New Roman" w:hAnsi="Times New Roman"/>
        </w:rPr>
        <w:t> </w:t>
      </w:r>
      <w:r w:rsidRPr="001C06E6">
        <w:t xml:space="preserve">million over two years from </w:t>
      </w:r>
      <w:r>
        <w:t>2024–25</w:t>
      </w:r>
      <w:r w:rsidRPr="001C06E6">
        <w:t xml:space="preserve"> for a two</w:t>
      </w:r>
      <w:r>
        <w:noBreakHyphen/>
      </w:r>
      <w:r w:rsidRPr="001C06E6">
        <w:t>year pilot program led by the Office of the Fair Work Ombudsman to monitor compliance with the payment of Seagoing Industry Award 2020 Schedule A wages to seafarers on foreign vessels engaged in coastal trading under a Temporary Licence</w:t>
      </w:r>
      <w:r>
        <w:t xml:space="preserve"> </w:t>
      </w:r>
    </w:p>
    <w:p w14:paraId="0FE0403C" w14:textId="1CBB9A3F" w:rsidR="0012790E" w:rsidRDefault="0012790E">
      <w:pPr>
        <w:pStyle w:val="Bullet"/>
      </w:pPr>
      <w:r w:rsidRPr="001C06E6">
        <w:t>funding for a Strategic Fleet Pilot Program with three privately</w:t>
      </w:r>
      <w:r>
        <w:noBreakHyphen/>
      </w:r>
      <w:r w:rsidRPr="001C06E6">
        <w:t>owned vessels which would be available to requisition in times of need, with funding to be held in the Contingency Reserve until commercial negotiations have been completed and is not for</w:t>
      </w:r>
      <w:r w:rsidR="00EB5256">
        <w:t> </w:t>
      </w:r>
      <w:r w:rsidRPr="001C06E6">
        <w:t>publication (nfp)</w:t>
      </w:r>
      <w:r w:rsidRPr="001C06E6">
        <w:rPr>
          <w:rFonts w:ascii="Times New Roman" w:hAnsi="Times New Roman"/>
        </w:rPr>
        <w:t> </w:t>
      </w:r>
      <w:r w:rsidRPr="001C06E6">
        <w:t>as it would impair the Commonwealth’s position in negotiating contracts with industry.</w:t>
      </w:r>
      <w:r>
        <w:t xml:space="preserve"> </w:t>
      </w:r>
    </w:p>
    <w:p w14:paraId="290CF219" w14:textId="77777777" w:rsidR="0012790E" w:rsidRDefault="0012790E">
      <w:pPr>
        <w:pStyle w:val="Normal2"/>
        <w:rPr>
          <w:rFonts w:cs="Book Antiqua"/>
        </w:rPr>
      </w:pPr>
      <w:r w:rsidRPr="001C06E6">
        <w:rPr>
          <w:rFonts w:cs="Book Antiqua"/>
        </w:rPr>
        <w:t>This measure builds on the</w:t>
      </w:r>
      <w:r w:rsidRPr="001C06E6">
        <w:rPr>
          <w:rFonts w:ascii="Times New Roman" w:hAnsi="Times New Roman"/>
        </w:rPr>
        <w:t> </w:t>
      </w:r>
      <w:r>
        <w:rPr>
          <w:rFonts w:cs="Book Antiqua"/>
        </w:rPr>
        <w:t>2023–24 </w:t>
      </w:r>
      <w:r w:rsidRPr="001C06E6">
        <w:rPr>
          <w:rFonts w:cs="Book Antiqua"/>
        </w:rPr>
        <w:t>MYEFO</w:t>
      </w:r>
      <w:r w:rsidRPr="001C06E6">
        <w:rPr>
          <w:rFonts w:ascii="Times New Roman" w:hAnsi="Times New Roman"/>
        </w:rPr>
        <w:t> </w:t>
      </w:r>
      <w:r w:rsidRPr="001C06E6">
        <w:rPr>
          <w:rFonts w:cs="Book Antiqua"/>
        </w:rPr>
        <w:t>measure titled</w:t>
      </w:r>
      <w:r w:rsidRPr="001C06E6">
        <w:rPr>
          <w:rFonts w:ascii="Times New Roman" w:hAnsi="Times New Roman"/>
        </w:rPr>
        <w:t> </w:t>
      </w:r>
      <w:r w:rsidRPr="001C06E6">
        <w:rPr>
          <w:rFonts w:cs="Book Antiqua"/>
          <w:i/>
          <w:iCs/>
        </w:rPr>
        <w:t>Supporting Transport</w:t>
      </w:r>
      <w:r>
        <w:rPr>
          <w:rFonts w:cs="Book Antiqua"/>
          <w:i/>
          <w:iCs/>
        </w:rPr>
        <w:t xml:space="preserve"> </w:t>
      </w:r>
      <w:r w:rsidRPr="001C06E6">
        <w:rPr>
          <w:rFonts w:cs="Book Antiqua"/>
          <w:i/>
          <w:iCs/>
        </w:rPr>
        <w:t>Priorities</w:t>
      </w:r>
      <w:r w:rsidRPr="001C06E6">
        <w:rPr>
          <w:rFonts w:cs="Book Antiqua"/>
        </w:rPr>
        <w:t xml:space="preserve"> and the </w:t>
      </w:r>
      <w:r>
        <w:rPr>
          <w:rFonts w:cs="Book Antiqua"/>
        </w:rPr>
        <w:t>2022–23</w:t>
      </w:r>
      <w:r w:rsidRPr="001C06E6">
        <w:rPr>
          <w:rFonts w:cs="Book Antiqua"/>
        </w:rPr>
        <w:t xml:space="preserve"> October Budget measure titled </w:t>
      </w:r>
      <w:r w:rsidRPr="001C06E6">
        <w:rPr>
          <w:rFonts w:cs="Book Antiqua"/>
          <w:i/>
          <w:iCs/>
        </w:rPr>
        <w:t>Strategic Fleet Taskforce –</w:t>
      </w:r>
      <w:r>
        <w:rPr>
          <w:rFonts w:cs="Book Antiqua"/>
          <w:i/>
          <w:iCs/>
        </w:rPr>
        <w:t xml:space="preserve"> </w:t>
      </w:r>
      <w:r w:rsidRPr="001C06E6">
        <w:rPr>
          <w:rFonts w:cs="Book Antiqua"/>
          <w:i/>
          <w:iCs/>
        </w:rPr>
        <w:t>establishment</w:t>
      </w:r>
      <w:r w:rsidRPr="001C06E6">
        <w:rPr>
          <w:rFonts w:cs="Book Antiqua"/>
        </w:rPr>
        <w:t>.</w:t>
      </w:r>
      <w:r>
        <w:rPr>
          <w:rFonts w:cs="Book Antiqua"/>
        </w:rPr>
        <w:t xml:space="preserve"> </w:t>
      </w:r>
    </w:p>
    <w:p w14:paraId="70B07AAD" w14:textId="77777777" w:rsidR="0012790E" w:rsidRPr="001C06E6" w:rsidRDefault="0012790E">
      <w:pPr>
        <w:pStyle w:val="MeasureTitle"/>
        <w:rPr>
          <w:b w:val="0"/>
          <w:bCs/>
        </w:rPr>
      </w:pPr>
      <w:r w:rsidRPr="001C06E6">
        <w:rPr>
          <w:bCs/>
        </w:rPr>
        <w:t>Enabling Western Sydney International Airport</w:t>
      </w:r>
    </w:p>
    <w:p w14:paraId="3D5F37A2"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EF1CD49" w14:textId="77777777">
        <w:tc>
          <w:tcPr>
            <w:tcW w:w="2497" w:type="dxa"/>
            <w:tcBorders>
              <w:top w:val="single" w:sz="4" w:space="0" w:color="293F5B"/>
              <w:bottom w:val="single" w:sz="4" w:space="0" w:color="293F5B"/>
            </w:tcBorders>
            <w:shd w:val="clear" w:color="auto" w:fill="auto"/>
          </w:tcPr>
          <w:p w14:paraId="08E61434"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DA1B3E7"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F7F9AC8"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D61B9DC"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923E02C"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05BDB1E" w14:textId="77777777" w:rsidR="0012790E" w:rsidRPr="001C06E6" w:rsidRDefault="0012790E">
            <w:pPr>
              <w:pStyle w:val="MeasureTableYearHeadings"/>
              <w:keepNext/>
            </w:pPr>
            <w:r w:rsidRPr="001C06E6">
              <w:t>2027</w:t>
            </w:r>
            <w:r>
              <w:noBreakHyphen/>
            </w:r>
            <w:r w:rsidRPr="001C06E6">
              <w:t>28</w:t>
            </w:r>
          </w:p>
        </w:tc>
      </w:tr>
      <w:tr w:rsidR="0012790E" w:rsidRPr="001C06E6" w14:paraId="6FB3C6BF" w14:textId="77777777">
        <w:tc>
          <w:tcPr>
            <w:tcW w:w="2497" w:type="dxa"/>
            <w:tcBorders>
              <w:top w:val="single" w:sz="4" w:space="0" w:color="293F5B"/>
              <w:bottom w:val="single" w:sz="4" w:space="0" w:color="293F5B"/>
            </w:tcBorders>
            <w:shd w:val="clear" w:color="auto" w:fill="auto"/>
          </w:tcPr>
          <w:p w14:paraId="7D5D5CFB"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01C5144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0A6B9E3" w14:textId="77777777" w:rsidR="0012790E" w:rsidRPr="001C06E6" w:rsidRDefault="0012790E">
            <w:pPr>
              <w:pStyle w:val="MeasureTableDataRightAlignedwith2ptsspacing"/>
              <w:keepNext/>
            </w:pPr>
            <w:r w:rsidRPr="001C06E6">
              <w:t>60.3</w:t>
            </w:r>
          </w:p>
        </w:tc>
        <w:tc>
          <w:tcPr>
            <w:tcW w:w="1045" w:type="dxa"/>
            <w:tcBorders>
              <w:top w:val="single" w:sz="4" w:space="0" w:color="293F5B"/>
              <w:bottom w:val="single" w:sz="4" w:space="0" w:color="293F5B"/>
            </w:tcBorders>
            <w:shd w:val="clear" w:color="auto" w:fill="auto"/>
          </w:tcPr>
          <w:p w14:paraId="1735FCC1" w14:textId="77777777" w:rsidR="0012790E" w:rsidRPr="001C06E6" w:rsidRDefault="0012790E">
            <w:pPr>
              <w:pStyle w:val="MeasureTableDataRightAlignedwith2ptsspacing"/>
              <w:keepNext/>
            </w:pPr>
            <w:r w:rsidRPr="001C06E6">
              <w:t>19.4</w:t>
            </w:r>
          </w:p>
        </w:tc>
        <w:tc>
          <w:tcPr>
            <w:tcW w:w="1045" w:type="dxa"/>
            <w:tcBorders>
              <w:top w:val="single" w:sz="4" w:space="0" w:color="293F5B"/>
              <w:bottom w:val="single" w:sz="4" w:space="0" w:color="293F5B"/>
            </w:tcBorders>
            <w:shd w:val="clear" w:color="auto" w:fill="auto"/>
          </w:tcPr>
          <w:p w14:paraId="0D2E46EF" w14:textId="77777777" w:rsidR="0012790E" w:rsidRPr="001C06E6" w:rsidRDefault="0012790E">
            <w:pPr>
              <w:pStyle w:val="MeasureTableDataRightAlignedwith2ptsspacing"/>
              <w:keepNext/>
            </w:pPr>
            <w:r w:rsidRPr="001C06E6">
              <w:t>19.8</w:t>
            </w:r>
          </w:p>
        </w:tc>
        <w:tc>
          <w:tcPr>
            <w:tcW w:w="1045" w:type="dxa"/>
            <w:tcBorders>
              <w:top w:val="single" w:sz="4" w:space="0" w:color="293F5B"/>
              <w:bottom w:val="single" w:sz="4" w:space="0" w:color="293F5B"/>
            </w:tcBorders>
            <w:shd w:val="clear" w:color="auto" w:fill="auto"/>
          </w:tcPr>
          <w:p w14:paraId="436408D6" w14:textId="77777777" w:rsidR="0012790E" w:rsidRPr="001C06E6" w:rsidRDefault="0012790E">
            <w:pPr>
              <w:pStyle w:val="MeasureTableDataRightAlignedwith2ptsspacing"/>
              <w:keepNext/>
            </w:pPr>
            <w:r w:rsidRPr="001C06E6">
              <w:t>20.5</w:t>
            </w:r>
          </w:p>
        </w:tc>
      </w:tr>
      <w:tr w:rsidR="0012790E" w:rsidRPr="001C06E6" w14:paraId="32044696" w14:textId="77777777">
        <w:tc>
          <w:tcPr>
            <w:tcW w:w="2497" w:type="dxa"/>
            <w:tcBorders>
              <w:top w:val="single" w:sz="4" w:space="0" w:color="293F5B"/>
              <w:bottom w:val="single" w:sz="4" w:space="0" w:color="293F5B"/>
            </w:tcBorders>
            <w:shd w:val="clear" w:color="auto" w:fill="auto"/>
          </w:tcPr>
          <w:p w14:paraId="5EDC8AF7" w14:textId="77777777" w:rsidR="0012790E" w:rsidRPr="001C06E6" w:rsidRDefault="0012790E">
            <w:pPr>
              <w:pStyle w:val="MeasureTableHeadingleftalignedwith2ptsspacing"/>
              <w:keepNext/>
            </w:pPr>
            <w:r w:rsidRPr="001C06E6">
              <w:t>Australian Federal Police</w:t>
            </w:r>
          </w:p>
        </w:tc>
        <w:tc>
          <w:tcPr>
            <w:tcW w:w="1045" w:type="dxa"/>
            <w:tcBorders>
              <w:top w:val="single" w:sz="4" w:space="0" w:color="293F5B"/>
              <w:bottom w:val="single" w:sz="4" w:space="0" w:color="293F5B"/>
            </w:tcBorders>
            <w:shd w:val="clear" w:color="auto" w:fill="auto"/>
          </w:tcPr>
          <w:p w14:paraId="4DCC100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890B943" w14:textId="77777777" w:rsidR="0012790E" w:rsidRPr="001C06E6" w:rsidRDefault="0012790E">
            <w:pPr>
              <w:pStyle w:val="MeasureTableDataRightAlignedwith2ptsspacing"/>
              <w:keepNext/>
            </w:pPr>
            <w:r w:rsidRPr="001C06E6">
              <w:t>10.4</w:t>
            </w:r>
          </w:p>
        </w:tc>
        <w:tc>
          <w:tcPr>
            <w:tcW w:w="1045" w:type="dxa"/>
            <w:tcBorders>
              <w:top w:val="single" w:sz="4" w:space="0" w:color="293F5B"/>
              <w:bottom w:val="single" w:sz="4" w:space="0" w:color="293F5B"/>
            </w:tcBorders>
            <w:shd w:val="clear" w:color="auto" w:fill="auto"/>
          </w:tcPr>
          <w:p w14:paraId="53200074" w14:textId="77777777" w:rsidR="0012790E" w:rsidRPr="001C06E6" w:rsidRDefault="0012790E">
            <w:pPr>
              <w:pStyle w:val="MeasureTableDataRightAlignedwith2ptsspacing"/>
              <w:keepNext/>
            </w:pPr>
            <w:r w:rsidRPr="001C06E6">
              <w:t>24.7</w:t>
            </w:r>
          </w:p>
        </w:tc>
        <w:tc>
          <w:tcPr>
            <w:tcW w:w="1045" w:type="dxa"/>
            <w:tcBorders>
              <w:top w:val="single" w:sz="4" w:space="0" w:color="293F5B"/>
              <w:bottom w:val="single" w:sz="4" w:space="0" w:color="293F5B"/>
            </w:tcBorders>
            <w:shd w:val="clear" w:color="auto" w:fill="auto"/>
          </w:tcPr>
          <w:p w14:paraId="0DBE3610" w14:textId="77777777" w:rsidR="0012790E" w:rsidRPr="001C06E6" w:rsidRDefault="0012790E">
            <w:pPr>
              <w:pStyle w:val="MeasureTableDataRightAlignedwith2ptsspacing"/>
              <w:keepNext/>
            </w:pPr>
            <w:r w:rsidRPr="001C06E6">
              <w:t>30.7</w:t>
            </w:r>
          </w:p>
        </w:tc>
        <w:tc>
          <w:tcPr>
            <w:tcW w:w="1045" w:type="dxa"/>
            <w:tcBorders>
              <w:top w:val="single" w:sz="4" w:space="0" w:color="293F5B"/>
              <w:bottom w:val="single" w:sz="4" w:space="0" w:color="293F5B"/>
            </w:tcBorders>
            <w:shd w:val="clear" w:color="auto" w:fill="auto"/>
          </w:tcPr>
          <w:p w14:paraId="552CC812" w14:textId="77777777" w:rsidR="0012790E" w:rsidRPr="001C06E6" w:rsidRDefault="0012790E">
            <w:pPr>
              <w:pStyle w:val="MeasureTableDataRightAlignedwith2ptsspacing"/>
              <w:keepNext/>
            </w:pPr>
            <w:r w:rsidRPr="001C06E6">
              <w:t>29.9</w:t>
            </w:r>
          </w:p>
        </w:tc>
      </w:tr>
      <w:tr w:rsidR="0012790E" w:rsidRPr="001C06E6" w14:paraId="16606076" w14:textId="77777777">
        <w:tc>
          <w:tcPr>
            <w:tcW w:w="2497" w:type="dxa"/>
            <w:tcBorders>
              <w:top w:val="single" w:sz="4" w:space="0" w:color="293F5B"/>
              <w:bottom w:val="single" w:sz="4" w:space="0" w:color="293F5B"/>
            </w:tcBorders>
            <w:shd w:val="clear" w:color="auto" w:fill="auto"/>
          </w:tcPr>
          <w:p w14:paraId="6914BF7B" w14:textId="77777777" w:rsidR="0012790E" w:rsidRPr="001C06E6" w:rsidRDefault="0012790E">
            <w:pPr>
              <w:pStyle w:val="MeasureTableHeadingleftalignedwith2ptsspacing"/>
              <w:keepNext/>
            </w:pPr>
            <w:r>
              <w:t xml:space="preserve">Department of Agriculture, Fisheries and Forestry </w:t>
            </w:r>
          </w:p>
        </w:tc>
        <w:tc>
          <w:tcPr>
            <w:tcW w:w="1045" w:type="dxa"/>
            <w:tcBorders>
              <w:top w:val="single" w:sz="4" w:space="0" w:color="293F5B"/>
              <w:bottom w:val="single" w:sz="4" w:space="0" w:color="293F5B"/>
            </w:tcBorders>
            <w:shd w:val="clear" w:color="auto" w:fill="auto"/>
          </w:tcPr>
          <w:p w14:paraId="5C02CD77"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2912AC4" w14:textId="77777777" w:rsidR="0012790E" w:rsidRPr="001C06E6" w:rsidRDefault="0012790E">
            <w:pPr>
              <w:pStyle w:val="MeasureTableDataRightAlignedwith2ptsspacing"/>
              <w:keepNext/>
            </w:pPr>
            <w:r>
              <w:t xml:space="preserve">5.5 </w:t>
            </w:r>
          </w:p>
        </w:tc>
        <w:tc>
          <w:tcPr>
            <w:tcW w:w="1045" w:type="dxa"/>
            <w:tcBorders>
              <w:top w:val="single" w:sz="4" w:space="0" w:color="293F5B"/>
              <w:bottom w:val="single" w:sz="4" w:space="0" w:color="293F5B"/>
            </w:tcBorders>
            <w:shd w:val="clear" w:color="auto" w:fill="auto"/>
          </w:tcPr>
          <w:p w14:paraId="4622878E" w14:textId="77777777" w:rsidR="0012790E" w:rsidRPr="001C06E6" w:rsidRDefault="0012790E">
            <w:pPr>
              <w:pStyle w:val="MeasureTableDataRightAlignedwith2ptsspacing"/>
              <w:keepNext/>
            </w:pPr>
            <w:r>
              <w:t xml:space="preserve">5.6 </w:t>
            </w:r>
          </w:p>
        </w:tc>
        <w:tc>
          <w:tcPr>
            <w:tcW w:w="1045" w:type="dxa"/>
            <w:tcBorders>
              <w:top w:val="single" w:sz="4" w:space="0" w:color="293F5B"/>
              <w:bottom w:val="single" w:sz="4" w:space="0" w:color="293F5B"/>
            </w:tcBorders>
            <w:shd w:val="clear" w:color="auto" w:fill="auto"/>
          </w:tcPr>
          <w:p w14:paraId="35B73139" w14:textId="77777777" w:rsidR="0012790E" w:rsidRPr="001C06E6" w:rsidRDefault="0012790E">
            <w:pPr>
              <w:pStyle w:val="MeasureTableDataRightAlignedwith2ptsspacing"/>
              <w:keepNext/>
            </w:pPr>
            <w:r>
              <w:t xml:space="preserve">4.7 </w:t>
            </w:r>
          </w:p>
        </w:tc>
        <w:tc>
          <w:tcPr>
            <w:tcW w:w="1045" w:type="dxa"/>
            <w:tcBorders>
              <w:top w:val="single" w:sz="4" w:space="0" w:color="293F5B"/>
              <w:bottom w:val="single" w:sz="4" w:space="0" w:color="293F5B"/>
            </w:tcBorders>
            <w:shd w:val="clear" w:color="auto" w:fill="auto"/>
          </w:tcPr>
          <w:p w14:paraId="4FE81AFE" w14:textId="77777777" w:rsidR="0012790E" w:rsidRPr="001C06E6" w:rsidRDefault="0012790E">
            <w:pPr>
              <w:pStyle w:val="MeasureTableDataRightAlignedwith2ptsspacing"/>
              <w:keepNext/>
            </w:pPr>
            <w:r>
              <w:t xml:space="preserve">1.3 </w:t>
            </w:r>
          </w:p>
        </w:tc>
      </w:tr>
      <w:tr w:rsidR="0012790E" w:rsidRPr="001C06E6" w14:paraId="2151DC54" w14:textId="77777777">
        <w:tc>
          <w:tcPr>
            <w:tcW w:w="2497" w:type="dxa"/>
            <w:tcBorders>
              <w:top w:val="single" w:sz="4" w:space="0" w:color="293F5B"/>
              <w:bottom w:val="single" w:sz="4" w:space="0" w:color="293F5B"/>
            </w:tcBorders>
            <w:shd w:val="clear" w:color="auto" w:fill="auto"/>
          </w:tcPr>
          <w:p w14:paraId="0A614EB6"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5215464D" w14:textId="77777777" w:rsidR="0012790E" w:rsidRPr="001C06E6" w:rsidRDefault="0012790E">
            <w:pPr>
              <w:pStyle w:val="MeasureTableDataRightAlignedwith2ptsspacing"/>
              <w:keepNext/>
            </w:pPr>
            <w:r>
              <w:t xml:space="preserve">-3.6   </w:t>
            </w:r>
          </w:p>
        </w:tc>
        <w:tc>
          <w:tcPr>
            <w:tcW w:w="1045" w:type="dxa"/>
            <w:tcBorders>
              <w:top w:val="single" w:sz="4" w:space="0" w:color="293F5B"/>
              <w:bottom w:val="single" w:sz="4" w:space="0" w:color="293F5B"/>
            </w:tcBorders>
            <w:shd w:val="clear" w:color="auto" w:fill="auto"/>
          </w:tcPr>
          <w:p w14:paraId="1536DBEE" w14:textId="77777777" w:rsidR="0012790E" w:rsidRPr="001C06E6" w:rsidRDefault="0012790E">
            <w:pPr>
              <w:pStyle w:val="MeasureTableDataRightAlignedwith2ptsspacing"/>
              <w:keepNext/>
            </w:pPr>
            <w:r>
              <w:t xml:space="preserve">2.0   </w:t>
            </w:r>
          </w:p>
        </w:tc>
        <w:tc>
          <w:tcPr>
            <w:tcW w:w="1045" w:type="dxa"/>
            <w:tcBorders>
              <w:top w:val="single" w:sz="4" w:space="0" w:color="293F5B"/>
              <w:bottom w:val="single" w:sz="4" w:space="0" w:color="293F5B"/>
            </w:tcBorders>
            <w:shd w:val="clear" w:color="auto" w:fill="auto"/>
          </w:tcPr>
          <w:p w14:paraId="749FF8C6" w14:textId="77777777" w:rsidR="0012790E" w:rsidRPr="001C06E6" w:rsidRDefault="0012790E">
            <w:pPr>
              <w:pStyle w:val="MeasureTableDataRightAlignedwith2ptsspacing"/>
              <w:keepNext/>
            </w:pPr>
            <w:r>
              <w:t xml:space="preserve">2.7   </w:t>
            </w:r>
          </w:p>
        </w:tc>
        <w:tc>
          <w:tcPr>
            <w:tcW w:w="1045" w:type="dxa"/>
            <w:tcBorders>
              <w:top w:val="single" w:sz="4" w:space="0" w:color="293F5B"/>
              <w:bottom w:val="single" w:sz="4" w:space="0" w:color="293F5B"/>
            </w:tcBorders>
            <w:shd w:val="clear" w:color="auto" w:fill="auto"/>
          </w:tcPr>
          <w:p w14:paraId="3817B06D" w14:textId="77777777" w:rsidR="0012790E" w:rsidRPr="001C06E6" w:rsidRDefault="0012790E">
            <w:pPr>
              <w:pStyle w:val="MeasureTableDataRightAlignedwith2ptsspacing"/>
              <w:keepNext/>
            </w:pPr>
            <w:r>
              <w:t xml:space="preserve">3.1   </w:t>
            </w:r>
          </w:p>
        </w:tc>
        <w:tc>
          <w:tcPr>
            <w:tcW w:w="1045" w:type="dxa"/>
            <w:tcBorders>
              <w:top w:val="single" w:sz="4" w:space="0" w:color="293F5B"/>
              <w:bottom w:val="single" w:sz="4" w:space="0" w:color="293F5B"/>
            </w:tcBorders>
            <w:shd w:val="clear" w:color="auto" w:fill="auto"/>
          </w:tcPr>
          <w:p w14:paraId="7FD82008" w14:textId="77777777" w:rsidR="0012790E" w:rsidRPr="001C06E6" w:rsidRDefault="0012790E">
            <w:pPr>
              <w:pStyle w:val="MeasureTableDataRightAlignedwith2ptsspacing"/>
              <w:keepNext/>
            </w:pPr>
            <w:r>
              <w:t xml:space="preserve">3.4   </w:t>
            </w:r>
          </w:p>
        </w:tc>
      </w:tr>
      <w:tr w:rsidR="0012790E" w:rsidRPr="001C06E6" w14:paraId="69CA08C1" w14:textId="77777777">
        <w:tc>
          <w:tcPr>
            <w:tcW w:w="2497" w:type="dxa"/>
            <w:tcBorders>
              <w:top w:val="single" w:sz="4" w:space="0" w:color="293F5B"/>
              <w:bottom w:val="single" w:sz="4" w:space="0" w:color="293F5B"/>
            </w:tcBorders>
            <w:shd w:val="clear" w:color="auto" w:fill="auto"/>
          </w:tcPr>
          <w:p w14:paraId="5C7E3B16"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71AD9A26" w14:textId="77777777" w:rsidR="0012790E" w:rsidRPr="001C06E6" w:rsidRDefault="0012790E">
            <w:pPr>
              <w:pStyle w:val="Totaldatarowrightaligned"/>
              <w:keepNext/>
            </w:pPr>
            <w:r w:rsidRPr="001C06E6">
              <w:t>-3.6</w:t>
            </w:r>
          </w:p>
        </w:tc>
        <w:tc>
          <w:tcPr>
            <w:tcW w:w="1045" w:type="dxa"/>
            <w:tcBorders>
              <w:top w:val="single" w:sz="4" w:space="0" w:color="293F5B"/>
              <w:bottom w:val="single" w:sz="4" w:space="0" w:color="293F5B"/>
            </w:tcBorders>
            <w:shd w:val="clear" w:color="auto" w:fill="auto"/>
          </w:tcPr>
          <w:p w14:paraId="2BFF97DF" w14:textId="77777777" w:rsidR="0012790E" w:rsidRPr="001C06E6" w:rsidRDefault="0012790E">
            <w:pPr>
              <w:pStyle w:val="Totaldatarowrightaligned"/>
              <w:keepNext/>
            </w:pPr>
            <w:r w:rsidRPr="001C06E6">
              <w:t>78.2</w:t>
            </w:r>
          </w:p>
        </w:tc>
        <w:tc>
          <w:tcPr>
            <w:tcW w:w="1045" w:type="dxa"/>
            <w:tcBorders>
              <w:top w:val="single" w:sz="4" w:space="0" w:color="293F5B"/>
              <w:bottom w:val="single" w:sz="4" w:space="0" w:color="293F5B"/>
            </w:tcBorders>
            <w:shd w:val="clear" w:color="auto" w:fill="auto"/>
          </w:tcPr>
          <w:p w14:paraId="0772076E" w14:textId="77777777" w:rsidR="0012790E" w:rsidRPr="001C06E6" w:rsidRDefault="0012790E">
            <w:pPr>
              <w:pStyle w:val="Totaldatarowrightaligned"/>
              <w:keepNext/>
            </w:pPr>
            <w:r w:rsidRPr="001C06E6">
              <w:t>52.3</w:t>
            </w:r>
          </w:p>
        </w:tc>
        <w:tc>
          <w:tcPr>
            <w:tcW w:w="1045" w:type="dxa"/>
            <w:tcBorders>
              <w:top w:val="single" w:sz="4" w:space="0" w:color="293F5B"/>
              <w:bottom w:val="single" w:sz="4" w:space="0" w:color="293F5B"/>
            </w:tcBorders>
            <w:shd w:val="clear" w:color="auto" w:fill="auto"/>
          </w:tcPr>
          <w:p w14:paraId="3C93AA07" w14:textId="77777777" w:rsidR="0012790E" w:rsidRPr="001C06E6" w:rsidRDefault="0012790E">
            <w:pPr>
              <w:pStyle w:val="Totaldatarowrightaligned"/>
              <w:keepNext/>
            </w:pPr>
            <w:r w:rsidRPr="001C06E6">
              <w:t>58.4</w:t>
            </w:r>
          </w:p>
        </w:tc>
        <w:tc>
          <w:tcPr>
            <w:tcW w:w="1045" w:type="dxa"/>
            <w:tcBorders>
              <w:top w:val="single" w:sz="4" w:space="0" w:color="293F5B"/>
              <w:bottom w:val="single" w:sz="4" w:space="0" w:color="293F5B"/>
            </w:tcBorders>
            <w:shd w:val="clear" w:color="auto" w:fill="auto"/>
          </w:tcPr>
          <w:p w14:paraId="07EEA8AF" w14:textId="77777777" w:rsidR="0012790E" w:rsidRPr="001C06E6" w:rsidRDefault="0012790E">
            <w:pPr>
              <w:pStyle w:val="Totaldatarowrightaligned"/>
              <w:keepNext/>
            </w:pPr>
            <w:r w:rsidRPr="001C06E6">
              <w:t>55.0</w:t>
            </w:r>
          </w:p>
        </w:tc>
      </w:tr>
    </w:tbl>
    <w:p w14:paraId="06BEC363"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5F5A5653" w14:textId="77777777" w:rsidR="0012790E" w:rsidRDefault="0012790E" w:rsidP="54937204">
      <w:pPr>
        <w:pStyle w:val="Normal2"/>
        <w:rPr>
          <w:rFonts w:cs="Book Antiqua"/>
          <w:lang w:val="en-US"/>
        </w:rPr>
      </w:pPr>
      <w:r w:rsidRPr="54937204">
        <w:rPr>
          <w:rFonts w:cs="Book Antiqua"/>
          <w:lang w:val="en-US"/>
        </w:rPr>
        <w:t>The Government will provide $302.6 million over five years from 2024–25 (and $53.5 million per year ongoing) to enable operations at Western Sydney International (Nancy</w:t>
      </w:r>
      <w:r>
        <w:rPr>
          <w:rFonts w:cs="Book Antiqua"/>
        </w:rPr>
        <w:noBreakHyphen/>
      </w:r>
      <w:r w:rsidRPr="54937204">
        <w:rPr>
          <w:rFonts w:cs="Book Antiqua"/>
          <w:lang w:val="en-US"/>
        </w:rPr>
        <w:t>Bird Walton) Airport, including:</w:t>
      </w:r>
    </w:p>
    <w:p w14:paraId="27AE922F" w14:textId="77777777" w:rsidR="0012790E" w:rsidRDefault="0012790E">
      <w:pPr>
        <w:pStyle w:val="Bullet"/>
      </w:pPr>
      <w:r w:rsidRPr="001C06E6">
        <w:t>$237.4</w:t>
      </w:r>
      <w:r>
        <w:t> </w:t>
      </w:r>
      <w:r w:rsidRPr="001C06E6">
        <w:t xml:space="preserve">million over four years from </w:t>
      </w:r>
      <w:r>
        <w:t>2024–25</w:t>
      </w:r>
      <w:r w:rsidRPr="001C06E6">
        <w:t xml:space="preserve"> (and $52.1</w:t>
      </w:r>
      <w:r>
        <w:t> </w:t>
      </w:r>
      <w:r w:rsidRPr="001C06E6">
        <w:t>million per year ongoing) for border agencies to progress design, fit out and commissioning of the passenger terminal and shared Commonwealth facilities, provide federal policing and detector dogs at the airport to support critical border security and biosecurity functions</w:t>
      </w:r>
      <w:r>
        <w:t xml:space="preserve"> </w:t>
      </w:r>
    </w:p>
    <w:p w14:paraId="6F2ADB5B" w14:textId="77777777" w:rsidR="0012790E" w:rsidRDefault="0012790E">
      <w:pPr>
        <w:pStyle w:val="Bullet"/>
      </w:pPr>
      <w:r w:rsidRPr="001C06E6">
        <w:t>$13.0</w:t>
      </w:r>
      <w:r>
        <w:t> </w:t>
      </w:r>
      <w:r w:rsidRPr="001C06E6">
        <w:t xml:space="preserve">million over five years from </w:t>
      </w:r>
      <w:r>
        <w:t>2024–25</w:t>
      </w:r>
      <w:r w:rsidRPr="001C06E6">
        <w:t xml:space="preserve"> (and $1.4</w:t>
      </w:r>
      <w:r>
        <w:t> </w:t>
      </w:r>
      <w:r w:rsidRPr="001C06E6">
        <w:t>million per year ongoing) to support regulatory oversight functions and Commonwealth preparatory activities.</w:t>
      </w:r>
      <w:r>
        <w:t xml:space="preserve"> </w:t>
      </w:r>
    </w:p>
    <w:p w14:paraId="5A2E1A6F" w14:textId="77777777" w:rsidR="0012790E" w:rsidRDefault="0012790E" w:rsidP="54937204">
      <w:pPr>
        <w:pStyle w:val="Normal2"/>
        <w:rPr>
          <w:rFonts w:cs="Book Antiqua"/>
          <w:lang w:val="en-US"/>
        </w:rPr>
      </w:pPr>
      <w:r w:rsidRPr="54937204">
        <w:rPr>
          <w:rFonts w:cs="Book Antiqua"/>
          <w:lang w:val="en-US"/>
        </w:rPr>
        <w:t>The Government will also provide equity to WSA Co Limited to support completion of Stage One of Western Sydney International (Nancy</w:t>
      </w:r>
      <w:r>
        <w:rPr>
          <w:rFonts w:cs="Book Antiqua"/>
        </w:rPr>
        <w:noBreakHyphen/>
      </w:r>
      <w:r w:rsidRPr="54937204">
        <w:rPr>
          <w:rFonts w:cs="Book Antiqua"/>
          <w:lang w:val="en-US"/>
        </w:rPr>
        <w:t xml:space="preserve">Bird Walton) Airport, with the financial implications not for publication (nfp) due to commercial sensitivities. </w:t>
      </w:r>
    </w:p>
    <w:p w14:paraId="35B8EF37" w14:textId="77777777" w:rsidR="0012790E" w:rsidRDefault="0012790E" w:rsidP="00D32A49">
      <w:pPr>
        <w:pStyle w:val="Normal2"/>
        <w:keepNext/>
        <w:keepLines/>
        <w:rPr>
          <w:rFonts w:cs="Book Antiqua"/>
          <w:lang w:val="en-US"/>
        </w:rPr>
      </w:pPr>
      <w:r w:rsidRPr="54937204">
        <w:rPr>
          <w:rFonts w:cs="Book Antiqua"/>
          <w:lang w:val="en-US"/>
        </w:rPr>
        <w:t xml:space="preserve">The Government will also achieve savings of $8.4 million over five years from 2023–24 (and $1.2 million per year ongoing) by terminating the Regional and Remote Airports Security grant program, and returning uncommitted funding for business case development for Commonwealth facilities to the Budget. </w:t>
      </w:r>
    </w:p>
    <w:p w14:paraId="12BDD11F" w14:textId="7777777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 xml:space="preserve">MYEFO measure titled </w:t>
      </w:r>
      <w:r w:rsidRPr="001C06E6">
        <w:rPr>
          <w:rFonts w:cs="Book Antiqua"/>
          <w:i/>
          <w:iCs/>
        </w:rPr>
        <w:t>Enabling Border Services</w:t>
      </w:r>
      <w:r>
        <w:rPr>
          <w:rFonts w:cs="Book Antiqua"/>
          <w:i/>
          <w:iCs/>
        </w:rPr>
        <w:t xml:space="preserve"> </w:t>
      </w:r>
      <w:r w:rsidRPr="001C06E6">
        <w:rPr>
          <w:rFonts w:cs="Book Antiqua"/>
          <w:i/>
          <w:iCs/>
        </w:rPr>
        <w:t>at Western Sydney International Airport</w:t>
      </w:r>
      <w:r w:rsidRPr="001C06E6">
        <w:rPr>
          <w:rFonts w:cs="Book Antiqua"/>
        </w:rPr>
        <w:t xml:space="preserve"> and the </w:t>
      </w:r>
      <w:r>
        <w:rPr>
          <w:rFonts w:cs="Book Antiqua"/>
        </w:rPr>
        <w:t>2023–24 </w:t>
      </w:r>
      <w:r w:rsidRPr="001C06E6">
        <w:rPr>
          <w:rFonts w:cs="Book Antiqua"/>
        </w:rPr>
        <w:t>Budget measure titled</w:t>
      </w:r>
      <w:r>
        <w:rPr>
          <w:rFonts w:cs="Book Antiqua"/>
        </w:rPr>
        <w:t xml:space="preserve"> </w:t>
      </w:r>
      <w:r w:rsidRPr="001C06E6">
        <w:rPr>
          <w:rFonts w:cs="Book Antiqua"/>
          <w:i/>
          <w:iCs/>
        </w:rPr>
        <w:t>Building a Better Future Through Considered Infrastructure Investment</w:t>
      </w:r>
      <w:r w:rsidRPr="001C06E6">
        <w:rPr>
          <w:rFonts w:cs="Book Antiqua"/>
        </w:rPr>
        <w:t>.</w:t>
      </w:r>
      <w:r>
        <w:rPr>
          <w:rFonts w:cs="Book Antiqua"/>
        </w:rPr>
        <w:t xml:space="preserve"> </w:t>
      </w:r>
    </w:p>
    <w:p w14:paraId="170C5853" w14:textId="77777777" w:rsidR="0012790E" w:rsidRPr="001C06E6" w:rsidRDefault="0012790E">
      <w:pPr>
        <w:pStyle w:val="MeasureTitle"/>
        <w:rPr>
          <w:b w:val="0"/>
          <w:bCs/>
        </w:rPr>
      </w:pPr>
      <w:r w:rsidRPr="001C06E6">
        <w:rPr>
          <w:bCs/>
        </w:rPr>
        <w:t>First Nations Digital Inclusion</w:t>
      </w:r>
    </w:p>
    <w:p w14:paraId="4FA51542"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34DB627" w14:textId="77777777">
        <w:tc>
          <w:tcPr>
            <w:tcW w:w="2497" w:type="dxa"/>
            <w:tcBorders>
              <w:top w:val="single" w:sz="4" w:space="0" w:color="293F5B"/>
              <w:bottom w:val="single" w:sz="4" w:space="0" w:color="293F5B"/>
            </w:tcBorders>
            <w:shd w:val="clear" w:color="auto" w:fill="auto"/>
          </w:tcPr>
          <w:p w14:paraId="0B2D6C28"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89AF293"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B58EC83"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D7621C6"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7FA8E01"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226BDD6" w14:textId="77777777" w:rsidR="0012790E" w:rsidRPr="001C06E6" w:rsidRDefault="0012790E">
            <w:pPr>
              <w:pStyle w:val="MeasureTableYearHeadings"/>
              <w:keepNext/>
            </w:pPr>
            <w:r w:rsidRPr="001C06E6">
              <w:t>2027</w:t>
            </w:r>
            <w:r>
              <w:noBreakHyphen/>
            </w:r>
            <w:r w:rsidRPr="001C06E6">
              <w:t>28</w:t>
            </w:r>
          </w:p>
        </w:tc>
      </w:tr>
      <w:tr w:rsidR="0012790E" w:rsidRPr="001C06E6" w14:paraId="094A4C69" w14:textId="77777777">
        <w:tc>
          <w:tcPr>
            <w:tcW w:w="2497" w:type="dxa"/>
            <w:tcBorders>
              <w:top w:val="single" w:sz="4" w:space="0" w:color="293F5B"/>
              <w:bottom w:val="single" w:sz="4" w:space="0" w:color="293F5B"/>
            </w:tcBorders>
            <w:shd w:val="clear" w:color="auto" w:fill="auto"/>
          </w:tcPr>
          <w:p w14:paraId="5751AFDD"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73D485E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B20FC5A" w14:textId="77777777" w:rsidR="0012790E" w:rsidRPr="001C06E6" w:rsidRDefault="0012790E">
            <w:pPr>
              <w:pStyle w:val="MeasureTableDataRightAlignedwith2ptsspacing"/>
              <w:keepNext/>
            </w:pPr>
            <w:r>
              <w:t xml:space="preserve">3.0   </w:t>
            </w:r>
          </w:p>
        </w:tc>
        <w:tc>
          <w:tcPr>
            <w:tcW w:w="1045" w:type="dxa"/>
            <w:tcBorders>
              <w:top w:val="single" w:sz="4" w:space="0" w:color="293F5B"/>
              <w:bottom w:val="single" w:sz="4" w:space="0" w:color="293F5B"/>
            </w:tcBorders>
            <w:shd w:val="clear" w:color="auto" w:fill="auto"/>
          </w:tcPr>
          <w:p w14:paraId="7B7DED05" w14:textId="77777777" w:rsidR="0012790E" w:rsidRPr="001C06E6" w:rsidRDefault="0012790E">
            <w:pPr>
              <w:pStyle w:val="MeasureTableDataRightAlignedwith2ptsspacing"/>
              <w:keepNext/>
            </w:pPr>
            <w:r>
              <w:t xml:space="preserve">3.0   </w:t>
            </w:r>
          </w:p>
        </w:tc>
        <w:tc>
          <w:tcPr>
            <w:tcW w:w="1045" w:type="dxa"/>
            <w:tcBorders>
              <w:top w:val="single" w:sz="4" w:space="0" w:color="293F5B"/>
              <w:bottom w:val="single" w:sz="4" w:space="0" w:color="293F5B"/>
            </w:tcBorders>
            <w:shd w:val="clear" w:color="auto" w:fill="auto"/>
          </w:tcPr>
          <w:p w14:paraId="28FAE156" w14:textId="77777777" w:rsidR="0012790E" w:rsidRPr="001C06E6" w:rsidRDefault="0012790E">
            <w:pPr>
              <w:pStyle w:val="MeasureTableDataRightAlignedwith2ptsspacing"/>
              <w:keepNext/>
            </w:pPr>
            <w:r>
              <w:t xml:space="preserve">3.0   </w:t>
            </w:r>
          </w:p>
        </w:tc>
        <w:tc>
          <w:tcPr>
            <w:tcW w:w="1045" w:type="dxa"/>
            <w:tcBorders>
              <w:top w:val="single" w:sz="4" w:space="0" w:color="293F5B"/>
              <w:bottom w:val="single" w:sz="4" w:space="0" w:color="293F5B"/>
            </w:tcBorders>
            <w:shd w:val="clear" w:color="auto" w:fill="auto"/>
          </w:tcPr>
          <w:p w14:paraId="3BA37849" w14:textId="77777777" w:rsidR="0012790E" w:rsidRPr="001C06E6" w:rsidRDefault="0012790E">
            <w:pPr>
              <w:pStyle w:val="MeasureTableDataRightAlignedwith2ptsspacing"/>
              <w:keepNext/>
            </w:pPr>
            <w:r>
              <w:t xml:space="preserve">-   </w:t>
            </w:r>
          </w:p>
        </w:tc>
      </w:tr>
      <w:tr w:rsidR="0012790E" w:rsidRPr="001C06E6" w14:paraId="0D33F514" w14:textId="77777777">
        <w:tc>
          <w:tcPr>
            <w:tcW w:w="2497" w:type="dxa"/>
            <w:tcBorders>
              <w:top w:val="single" w:sz="4" w:space="0" w:color="293F5B"/>
              <w:bottom w:val="single" w:sz="4" w:space="0" w:color="293F5B"/>
            </w:tcBorders>
            <w:shd w:val="clear" w:color="auto" w:fill="auto"/>
          </w:tcPr>
          <w:p w14:paraId="0261FAFE" w14:textId="77777777" w:rsidR="0012790E" w:rsidRPr="001C06E6" w:rsidRDefault="0012790E">
            <w:pPr>
              <w:pStyle w:val="MeasureTableHeadingleftalignedwith2ptsspacing"/>
              <w:keepNext/>
            </w:pPr>
            <w:r>
              <w:t xml:space="preserve">National Indigenous Australians Agency </w:t>
            </w:r>
          </w:p>
        </w:tc>
        <w:tc>
          <w:tcPr>
            <w:tcW w:w="1045" w:type="dxa"/>
            <w:tcBorders>
              <w:top w:val="single" w:sz="4" w:space="0" w:color="293F5B"/>
              <w:bottom w:val="single" w:sz="4" w:space="0" w:color="293F5B"/>
            </w:tcBorders>
            <w:shd w:val="clear" w:color="auto" w:fill="auto"/>
          </w:tcPr>
          <w:p w14:paraId="03E68126"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CF53BFD" w14:textId="77777777" w:rsidR="0012790E" w:rsidRPr="001C06E6" w:rsidRDefault="0012790E">
            <w:pPr>
              <w:pStyle w:val="MeasureTableDataRightAlignedwith2ptsspacing"/>
              <w:keepNext/>
            </w:pPr>
            <w:r>
              <w:t xml:space="preserve">-3.0 </w:t>
            </w:r>
          </w:p>
        </w:tc>
        <w:tc>
          <w:tcPr>
            <w:tcW w:w="1045" w:type="dxa"/>
            <w:tcBorders>
              <w:top w:val="single" w:sz="4" w:space="0" w:color="293F5B"/>
              <w:bottom w:val="single" w:sz="4" w:space="0" w:color="293F5B"/>
            </w:tcBorders>
            <w:shd w:val="clear" w:color="auto" w:fill="auto"/>
          </w:tcPr>
          <w:p w14:paraId="270B37B0" w14:textId="77777777" w:rsidR="0012790E" w:rsidRPr="001C06E6" w:rsidRDefault="0012790E">
            <w:pPr>
              <w:pStyle w:val="MeasureTableDataRightAlignedwith2ptsspacing"/>
              <w:keepNext/>
            </w:pPr>
            <w:r>
              <w:t xml:space="preserve">-3.0 </w:t>
            </w:r>
          </w:p>
        </w:tc>
        <w:tc>
          <w:tcPr>
            <w:tcW w:w="1045" w:type="dxa"/>
            <w:tcBorders>
              <w:top w:val="single" w:sz="4" w:space="0" w:color="293F5B"/>
              <w:bottom w:val="single" w:sz="4" w:space="0" w:color="293F5B"/>
            </w:tcBorders>
            <w:shd w:val="clear" w:color="auto" w:fill="auto"/>
          </w:tcPr>
          <w:p w14:paraId="74641CDF" w14:textId="77777777" w:rsidR="0012790E" w:rsidRPr="001C06E6" w:rsidRDefault="0012790E">
            <w:pPr>
              <w:pStyle w:val="MeasureTableDataRightAlignedwith2ptsspacing"/>
              <w:keepNext/>
            </w:pPr>
            <w:r>
              <w:t xml:space="preserve">-3.0 </w:t>
            </w:r>
          </w:p>
        </w:tc>
        <w:tc>
          <w:tcPr>
            <w:tcW w:w="1045" w:type="dxa"/>
            <w:tcBorders>
              <w:top w:val="single" w:sz="4" w:space="0" w:color="293F5B"/>
              <w:bottom w:val="single" w:sz="4" w:space="0" w:color="293F5B"/>
            </w:tcBorders>
            <w:shd w:val="clear" w:color="auto" w:fill="auto"/>
          </w:tcPr>
          <w:p w14:paraId="3FB49138" w14:textId="77777777" w:rsidR="0012790E" w:rsidRPr="001C06E6" w:rsidRDefault="0012790E">
            <w:pPr>
              <w:pStyle w:val="MeasureTableDataRightAlignedwith2ptsspacing"/>
              <w:keepNext/>
            </w:pPr>
            <w:r>
              <w:t xml:space="preserve">- </w:t>
            </w:r>
          </w:p>
        </w:tc>
      </w:tr>
      <w:tr w:rsidR="0012790E" w:rsidRPr="001C06E6" w14:paraId="475B231C" w14:textId="77777777">
        <w:tc>
          <w:tcPr>
            <w:tcW w:w="2497" w:type="dxa"/>
            <w:tcBorders>
              <w:top w:val="single" w:sz="4" w:space="0" w:color="293F5B"/>
              <w:bottom w:val="single" w:sz="4" w:space="0" w:color="293F5B"/>
            </w:tcBorders>
            <w:shd w:val="clear" w:color="auto" w:fill="auto"/>
          </w:tcPr>
          <w:p w14:paraId="1D4DAAAD"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47998158"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6703E648"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1BA645C7"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4CFB32A"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F194439" w14:textId="77777777" w:rsidR="0012790E" w:rsidRPr="001C06E6" w:rsidRDefault="0012790E">
            <w:pPr>
              <w:pStyle w:val="Totaldatarowrightaligned"/>
              <w:keepNext/>
            </w:pPr>
            <w:r w:rsidRPr="001C06E6">
              <w:t>-</w:t>
            </w:r>
          </w:p>
        </w:tc>
      </w:tr>
    </w:tbl>
    <w:p w14:paraId="0E5ED24D"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66B68161" w14:textId="77777777" w:rsidR="0012790E" w:rsidRDefault="0012790E">
      <w:pPr>
        <w:pStyle w:val="Normal2"/>
        <w:rPr>
          <w:rFonts w:cs="Book Antiqua"/>
        </w:rPr>
      </w:pPr>
      <w:r w:rsidRPr="001C06E6">
        <w:rPr>
          <w:rFonts w:cs="Book Antiqua"/>
        </w:rPr>
        <w:t>The Government will provide $68.0</w:t>
      </w:r>
      <w:r>
        <w:rPr>
          <w:rFonts w:cs="Book Antiqua"/>
        </w:rPr>
        <w:t> </w:t>
      </w:r>
      <w:r w:rsidRPr="001C06E6">
        <w:rPr>
          <w:rFonts w:cs="Book Antiqua"/>
        </w:rPr>
        <w:t xml:space="preserve">million over four years from </w:t>
      </w:r>
      <w:r>
        <w:rPr>
          <w:rFonts w:cs="Book Antiqua"/>
        </w:rPr>
        <w:t>2023–24</w:t>
      </w:r>
      <w:r w:rsidRPr="001C06E6">
        <w:rPr>
          <w:rFonts w:cs="Book Antiqua"/>
        </w:rPr>
        <w:t xml:space="preserve"> to support</w:t>
      </w:r>
      <w:r>
        <w:rPr>
          <w:rFonts w:cs="Book Antiqua"/>
        </w:rPr>
        <w:t xml:space="preserve"> </w:t>
      </w:r>
      <w:r w:rsidRPr="001C06E6">
        <w:rPr>
          <w:rFonts w:cs="Book Antiqua"/>
        </w:rPr>
        <w:t>First Nations digital inclusion. Funding includes:</w:t>
      </w:r>
    </w:p>
    <w:p w14:paraId="028E42EE" w14:textId="77777777" w:rsidR="0012790E" w:rsidRDefault="0012790E">
      <w:pPr>
        <w:pStyle w:val="Bullet"/>
      </w:pPr>
      <w:r w:rsidRPr="001C06E6">
        <w:t>$40.0</w:t>
      </w:r>
      <w:r>
        <w:t> </w:t>
      </w:r>
      <w:r w:rsidRPr="001C06E6">
        <w:t xml:space="preserve">million over four years from </w:t>
      </w:r>
      <w:r>
        <w:t>2023–24</w:t>
      </w:r>
      <w:r w:rsidRPr="001C06E6">
        <w:t xml:space="preserve"> to roll out community Wi</w:t>
      </w:r>
      <w:r>
        <w:noBreakHyphen/>
      </w:r>
      <w:r w:rsidRPr="001C06E6">
        <w:t>Fi in remote communities</w:t>
      </w:r>
      <w:r>
        <w:t xml:space="preserve"> </w:t>
      </w:r>
    </w:p>
    <w:p w14:paraId="26AA4C06" w14:textId="77777777" w:rsidR="0012790E" w:rsidRDefault="0012790E">
      <w:pPr>
        <w:pStyle w:val="Bullet"/>
      </w:pPr>
      <w:r w:rsidRPr="001C06E6">
        <w:t>$22.0</w:t>
      </w:r>
      <w:r>
        <w:t> </w:t>
      </w:r>
      <w:r w:rsidRPr="001C06E6">
        <w:t xml:space="preserve">million over three years from </w:t>
      </w:r>
      <w:r>
        <w:t>2024–25</w:t>
      </w:r>
      <w:r w:rsidRPr="001C06E6">
        <w:t xml:space="preserve"> to establish a First Nations Digital Support Hub and a network of digital mentors to increase access to online services and improve digital literacy and online safety among First Nations people</w:t>
      </w:r>
      <w:r>
        <w:t xml:space="preserve"> </w:t>
      </w:r>
    </w:p>
    <w:p w14:paraId="6E33586C" w14:textId="77777777" w:rsidR="0012790E" w:rsidRDefault="0012790E">
      <w:pPr>
        <w:pStyle w:val="Bullet"/>
      </w:pPr>
      <w:r w:rsidRPr="001C06E6">
        <w:t>$6.0</w:t>
      </w:r>
      <w:r>
        <w:t> </w:t>
      </w:r>
      <w:r w:rsidRPr="001C06E6">
        <w:t xml:space="preserve">million over three years from </w:t>
      </w:r>
      <w:r>
        <w:t>2024–25</w:t>
      </w:r>
      <w:r w:rsidRPr="001C06E6">
        <w:t xml:space="preserve"> to expand the Australian Digital Inclusion Index to improve national data collection on First Nations digital inclusion.</w:t>
      </w:r>
      <w:r>
        <w:t xml:space="preserve"> </w:t>
      </w:r>
    </w:p>
    <w:p w14:paraId="42D41AB3" w14:textId="77777777" w:rsidR="0012790E" w:rsidRDefault="0012790E">
      <w:pPr>
        <w:pStyle w:val="Normal2"/>
        <w:rPr>
          <w:rFonts w:cs="Book Antiqua"/>
        </w:rPr>
      </w:pPr>
      <w:r w:rsidRPr="001C06E6">
        <w:rPr>
          <w:rFonts w:cs="Book Antiqua"/>
        </w:rPr>
        <w:t xml:space="preserve">The cost of this measure will be offset by redirecting funding from the </w:t>
      </w:r>
      <w:r>
        <w:rPr>
          <w:rFonts w:cs="Book Antiqua"/>
        </w:rPr>
        <w:t xml:space="preserve">2022–23 </w:t>
      </w:r>
      <w:r w:rsidRPr="001C06E6">
        <w:rPr>
          <w:rFonts w:cs="Book Antiqua"/>
        </w:rPr>
        <w:t xml:space="preserve">October Budget measure titled </w:t>
      </w:r>
      <w:r w:rsidRPr="001C06E6">
        <w:rPr>
          <w:rFonts w:cs="Book Antiqua"/>
          <w:i/>
          <w:iCs/>
        </w:rPr>
        <w:t>Better Connectivity Plan for Regional and Rural</w:t>
      </w:r>
      <w:r>
        <w:rPr>
          <w:rFonts w:cs="Book Antiqua"/>
          <w:i/>
          <w:iCs/>
        </w:rPr>
        <w:t xml:space="preserve"> </w:t>
      </w:r>
      <w:r w:rsidRPr="001C06E6">
        <w:rPr>
          <w:rFonts w:cs="Book Antiqua"/>
          <w:i/>
          <w:iCs/>
        </w:rPr>
        <w:t xml:space="preserve">Australia </w:t>
      </w:r>
      <w:r w:rsidRPr="001C06E6">
        <w:rPr>
          <w:rFonts w:cs="Book Antiqua"/>
        </w:rPr>
        <w:t>and from the National Indigenous Australians Agency’s Indigenous</w:t>
      </w:r>
      <w:r>
        <w:rPr>
          <w:rFonts w:cs="Book Antiqua"/>
        </w:rPr>
        <w:t xml:space="preserve"> </w:t>
      </w:r>
      <w:r w:rsidRPr="001C06E6">
        <w:rPr>
          <w:rFonts w:cs="Book Antiqua"/>
        </w:rPr>
        <w:t>Advancement Strategy.</w:t>
      </w:r>
      <w:r>
        <w:rPr>
          <w:rFonts w:cs="Book Antiqua"/>
        </w:rPr>
        <w:t xml:space="preserve"> </w:t>
      </w:r>
    </w:p>
    <w:p w14:paraId="5E111B6B" w14:textId="77777777" w:rsidR="0012790E" w:rsidRPr="001C06E6" w:rsidRDefault="0012790E">
      <w:pPr>
        <w:pStyle w:val="MeasureTitle"/>
        <w:rPr>
          <w:b w:val="0"/>
          <w:bCs/>
        </w:rPr>
      </w:pPr>
      <w:r w:rsidRPr="001C06E6">
        <w:rPr>
          <w:bCs/>
        </w:rPr>
        <w:t>Funding for the Territories</w:t>
      </w:r>
    </w:p>
    <w:p w14:paraId="5155C245"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45573357" w14:textId="77777777">
        <w:tc>
          <w:tcPr>
            <w:tcW w:w="2497" w:type="dxa"/>
            <w:tcBorders>
              <w:top w:val="single" w:sz="4" w:space="0" w:color="293F5B"/>
              <w:bottom w:val="single" w:sz="4" w:space="0" w:color="293F5B"/>
            </w:tcBorders>
            <w:shd w:val="clear" w:color="auto" w:fill="auto"/>
          </w:tcPr>
          <w:p w14:paraId="620AA835"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DE3DC9C"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99320F8"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C648AD5"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82EE4D3"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A0D2527" w14:textId="77777777" w:rsidR="0012790E" w:rsidRPr="001C06E6" w:rsidRDefault="0012790E">
            <w:pPr>
              <w:pStyle w:val="MeasureTableYearHeadings"/>
              <w:keepNext/>
            </w:pPr>
            <w:r w:rsidRPr="001C06E6">
              <w:t>2027</w:t>
            </w:r>
            <w:r>
              <w:noBreakHyphen/>
            </w:r>
            <w:r w:rsidRPr="001C06E6">
              <w:t>28</w:t>
            </w:r>
          </w:p>
        </w:tc>
      </w:tr>
      <w:tr w:rsidR="0012790E" w:rsidRPr="001C06E6" w14:paraId="2C3D02CE" w14:textId="77777777">
        <w:tc>
          <w:tcPr>
            <w:tcW w:w="2497" w:type="dxa"/>
            <w:tcBorders>
              <w:top w:val="single" w:sz="4" w:space="0" w:color="293F5B"/>
              <w:bottom w:val="single" w:sz="4" w:space="0" w:color="293F5B"/>
            </w:tcBorders>
            <w:shd w:val="clear" w:color="auto" w:fill="auto"/>
          </w:tcPr>
          <w:p w14:paraId="3D597935"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2C8BAF9C"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5DCC6D9" w14:textId="77777777" w:rsidR="0012790E" w:rsidRPr="001C06E6" w:rsidRDefault="0012790E">
            <w:pPr>
              <w:pStyle w:val="MeasureTableDataRightAlignedwith2ptsspacing"/>
              <w:keepNext/>
            </w:pPr>
            <w:r>
              <w:t xml:space="preserve">7.0   </w:t>
            </w:r>
          </w:p>
        </w:tc>
        <w:tc>
          <w:tcPr>
            <w:tcW w:w="1045" w:type="dxa"/>
            <w:tcBorders>
              <w:top w:val="single" w:sz="4" w:space="0" w:color="293F5B"/>
              <w:bottom w:val="single" w:sz="4" w:space="0" w:color="293F5B"/>
            </w:tcBorders>
            <w:shd w:val="clear" w:color="auto" w:fill="auto"/>
          </w:tcPr>
          <w:p w14:paraId="01C517C7" w14:textId="77777777" w:rsidR="0012790E" w:rsidRPr="001C06E6" w:rsidRDefault="0012790E">
            <w:pPr>
              <w:pStyle w:val="MeasureTableDataRightAlignedwith2ptsspacing"/>
              <w:keepNext/>
            </w:pPr>
            <w:r>
              <w:t xml:space="preserve">10.5   </w:t>
            </w:r>
          </w:p>
        </w:tc>
        <w:tc>
          <w:tcPr>
            <w:tcW w:w="1045" w:type="dxa"/>
            <w:tcBorders>
              <w:top w:val="single" w:sz="4" w:space="0" w:color="293F5B"/>
              <w:bottom w:val="single" w:sz="4" w:space="0" w:color="293F5B"/>
            </w:tcBorders>
            <w:shd w:val="clear" w:color="auto" w:fill="auto"/>
          </w:tcPr>
          <w:p w14:paraId="012DCF77" w14:textId="77777777" w:rsidR="0012790E" w:rsidRPr="001C06E6" w:rsidRDefault="0012790E">
            <w:pPr>
              <w:pStyle w:val="MeasureTableDataRightAlignedwith2ptsspacing"/>
              <w:keepNext/>
            </w:pPr>
            <w:r>
              <w:t xml:space="preserve">3.3   </w:t>
            </w:r>
          </w:p>
        </w:tc>
        <w:tc>
          <w:tcPr>
            <w:tcW w:w="1045" w:type="dxa"/>
            <w:tcBorders>
              <w:top w:val="single" w:sz="4" w:space="0" w:color="293F5B"/>
              <w:bottom w:val="single" w:sz="4" w:space="0" w:color="293F5B"/>
            </w:tcBorders>
            <w:shd w:val="clear" w:color="auto" w:fill="auto"/>
          </w:tcPr>
          <w:p w14:paraId="557CB51D" w14:textId="77777777" w:rsidR="0012790E" w:rsidRPr="001C06E6" w:rsidRDefault="0012790E">
            <w:pPr>
              <w:pStyle w:val="MeasureTableDataRightAlignedwith2ptsspacing"/>
              <w:keepNext/>
            </w:pPr>
            <w:r>
              <w:t xml:space="preserve">1.8   </w:t>
            </w:r>
          </w:p>
        </w:tc>
      </w:tr>
      <w:tr w:rsidR="0012790E" w:rsidRPr="001C06E6" w14:paraId="7D7C33F8" w14:textId="77777777">
        <w:tc>
          <w:tcPr>
            <w:tcW w:w="2497" w:type="dxa"/>
            <w:tcBorders>
              <w:top w:val="single" w:sz="4" w:space="0" w:color="293F5B"/>
              <w:bottom w:val="single" w:sz="4" w:space="0" w:color="293F5B"/>
            </w:tcBorders>
            <w:shd w:val="clear" w:color="auto" w:fill="auto"/>
          </w:tcPr>
          <w:p w14:paraId="3BA16770"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3A09FBE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C12441C" w14:textId="77777777" w:rsidR="0012790E" w:rsidRPr="001C06E6" w:rsidRDefault="0012790E">
            <w:pPr>
              <w:pStyle w:val="MeasureTableDataRightAlignedwith2ptsspacing"/>
              <w:keepNext/>
            </w:pPr>
            <w:r w:rsidRPr="001C06E6">
              <w:t>0.6</w:t>
            </w:r>
          </w:p>
        </w:tc>
        <w:tc>
          <w:tcPr>
            <w:tcW w:w="1045" w:type="dxa"/>
            <w:tcBorders>
              <w:top w:val="single" w:sz="4" w:space="0" w:color="293F5B"/>
              <w:bottom w:val="single" w:sz="4" w:space="0" w:color="293F5B"/>
            </w:tcBorders>
            <w:shd w:val="clear" w:color="auto" w:fill="auto"/>
          </w:tcPr>
          <w:p w14:paraId="53CBA29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628579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4B4F734" w14:textId="77777777" w:rsidR="0012790E" w:rsidRPr="001C06E6" w:rsidRDefault="0012790E">
            <w:pPr>
              <w:pStyle w:val="MeasureTableDataRightAlignedwith2ptsspacing"/>
              <w:keepNext/>
            </w:pPr>
            <w:r w:rsidRPr="001C06E6">
              <w:t>-</w:t>
            </w:r>
          </w:p>
        </w:tc>
      </w:tr>
      <w:tr w:rsidR="0012790E" w:rsidRPr="001C06E6" w14:paraId="2C38C778" w14:textId="77777777">
        <w:tc>
          <w:tcPr>
            <w:tcW w:w="2497" w:type="dxa"/>
            <w:tcBorders>
              <w:top w:val="single" w:sz="4" w:space="0" w:color="293F5B"/>
              <w:bottom w:val="single" w:sz="4" w:space="0" w:color="293F5B"/>
            </w:tcBorders>
            <w:shd w:val="clear" w:color="auto" w:fill="auto"/>
          </w:tcPr>
          <w:p w14:paraId="20E2A622"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320C35B4"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1974FB95" w14:textId="77777777" w:rsidR="0012790E" w:rsidRPr="001C06E6" w:rsidRDefault="0012790E">
            <w:pPr>
              <w:pStyle w:val="Totaldatarowrightaligned"/>
              <w:keepNext/>
            </w:pPr>
            <w:r w:rsidRPr="001C06E6">
              <w:t>7.6</w:t>
            </w:r>
          </w:p>
        </w:tc>
        <w:tc>
          <w:tcPr>
            <w:tcW w:w="1045" w:type="dxa"/>
            <w:tcBorders>
              <w:top w:val="single" w:sz="4" w:space="0" w:color="293F5B"/>
              <w:bottom w:val="single" w:sz="4" w:space="0" w:color="293F5B"/>
            </w:tcBorders>
            <w:shd w:val="clear" w:color="auto" w:fill="auto"/>
          </w:tcPr>
          <w:p w14:paraId="37E437A8" w14:textId="77777777" w:rsidR="0012790E" w:rsidRPr="001C06E6" w:rsidRDefault="0012790E">
            <w:pPr>
              <w:pStyle w:val="Totaldatarowrightaligned"/>
              <w:keepNext/>
            </w:pPr>
            <w:r w:rsidRPr="001C06E6">
              <w:t>10.5</w:t>
            </w:r>
          </w:p>
        </w:tc>
        <w:tc>
          <w:tcPr>
            <w:tcW w:w="1045" w:type="dxa"/>
            <w:tcBorders>
              <w:top w:val="single" w:sz="4" w:space="0" w:color="293F5B"/>
              <w:bottom w:val="single" w:sz="4" w:space="0" w:color="293F5B"/>
            </w:tcBorders>
            <w:shd w:val="clear" w:color="auto" w:fill="auto"/>
          </w:tcPr>
          <w:p w14:paraId="4937E82B" w14:textId="77777777" w:rsidR="0012790E" w:rsidRPr="001C06E6" w:rsidRDefault="0012790E">
            <w:pPr>
              <w:pStyle w:val="Totaldatarowrightaligned"/>
              <w:keepNext/>
            </w:pPr>
            <w:r w:rsidRPr="001C06E6">
              <w:t>3.3</w:t>
            </w:r>
          </w:p>
        </w:tc>
        <w:tc>
          <w:tcPr>
            <w:tcW w:w="1045" w:type="dxa"/>
            <w:tcBorders>
              <w:top w:val="single" w:sz="4" w:space="0" w:color="293F5B"/>
              <w:bottom w:val="single" w:sz="4" w:space="0" w:color="293F5B"/>
            </w:tcBorders>
            <w:shd w:val="clear" w:color="auto" w:fill="auto"/>
          </w:tcPr>
          <w:p w14:paraId="00D2A60C" w14:textId="77777777" w:rsidR="0012790E" w:rsidRPr="001C06E6" w:rsidRDefault="0012790E">
            <w:pPr>
              <w:pStyle w:val="Totaldatarowrightaligned"/>
              <w:keepNext/>
            </w:pPr>
            <w:r w:rsidRPr="001C06E6">
              <w:t>1.8</w:t>
            </w:r>
          </w:p>
        </w:tc>
      </w:tr>
    </w:tbl>
    <w:p w14:paraId="19490769"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21AE0AB2" w14:textId="77777777" w:rsidR="0012790E" w:rsidRDefault="0012790E" w:rsidP="54937204">
      <w:pPr>
        <w:pStyle w:val="Normal2"/>
        <w:rPr>
          <w:rFonts w:cs="Book Antiqua"/>
          <w:lang w:val="en-US"/>
        </w:rPr>
      </w:pPr>
      <w:r w:rsidRPr="54937204">
        <w:rPr>
          <w:rFonts w:cs="Book Antiqua"/>
          <w:lang w:val="en-US"/>
        </w:rPr>
        <w:t>The Government will provide $22.5 million over four years from 2024–25 (including $18.5 million in capital funding) for the replacement and maintenance of essential infrastructure in the non</w:t>
      </w:r>
      <w:r w:rsidRPr="54937204">
        <w:rPr>
          <w:rFonts w:ascii="Times New Roman" w:hAnsi="Times New Roman"/>
          <w:lang w:val="en-US"/>
        </w:rPr>
        <w:t>‑</w:t>
      </w:r>
      <w:r w:rsidRPr="54937204">
        <w:rPr>
          <w:rFonts w:cs="Book Antiqua"/>
          <w:lang w:val="en-US"/>
        </w:rPr>
        <w:t>self</w:t>
      </w:r>
      <w:r>
        <w:rPr>
          <w:rFonts w:cs="Book Antiqua"/>
        </w:rPr>
        <w:noBreakHyphen/>
      </w:r>
      <w:r w:rsidRPr="54937204">
        <w:rPr>
          <w:rFonts w:cs="Book Antiqua"/>
          <w:lang w:val="en-US"/>
        </w:rPr>
        <w:t>governing Territories. Funding includes:</w:t>
      </w:r>
    </w:p>
    <w:p w14:paraId="2CDD0BB2" w14:textId="77777777" w:rsidR="0012790E" w:rsidRDefault="0012790E">
      <w:pPr>
        <w:pStyle w:val="Bullet"/>
      </w:pPr>
      <w:r w:rsidRPr="001C06E6">
        <w:t>$21.2</w:t>
      </w:r>
      <w:r>
        <w:t> </w:t>
      </w:r>
      <w:r w:rsidRPr="001C06E6">
        <w:t xml:space="preserve">million over four years from </w:t>
      </w:r>
      <w:r>
        <w:t>2024–25</w:t>
      </w:r>
      <w:r w:rsidRPr="001C06E6">
        <w:t xml:space="preserve"> to support the replacement of port infrastructure and to improve water security in the Indian Ocean Territories</w:t>
      </w:r>
      <w:r>
        <w:t xml:space="preserve"> </w:t>
      </w:r>
    </w:p>
    <w:p w14:paraId="37167043" w14:textId="77777777" w:rsidR="0012790E" w:rsidRDefault="0012790E">
      <w:pPr>
        <w:pStyle w:val="Bullet"/>
      </w:pPr>
      <w:r w:rsidRPr="001C06E6">
        <w:t>$1.4</w:t>
      </w:r>
      <w:r>
        <w:t> </w:t>
      </w:r>
      <w:r w:rsidRPr="001C06E6">
        <w:t xml:space="preserve">million in </w:t>
      </w:r>
      <w:r>
        <w:t>2025–26</w:t>
      </w:r>
      <w:r w:rsidRPr="001C06E6">
        <w:t xml:space="preserve"> to develop business cases to replace or maintain other essential infrastructure on Norfolk Island, the Jervis Bay Territory, and the Indian Ocean Territories.</w:t>
      </w:r>
      <w:r>
        <w:t xml:space="preserve"> </w:t>
      </w:r>
    </w:p>
    <w:p w14:paraId="72DD8C32" w14:textId="77777777" w:rsidR="0012790E" w:rsidRDefault="0012790E">
      <w:pPr>
        <w:pStyle w:val="Normal2"/>
        <w:rPr>
          <w:rFonts w:cs="Book Antiqua"/>
        </w:rPr>
      </w:pPr>
      <w:r w:rsidRPr="001C06E6">
        <w:rPr>
          <w:rFonts w:cs="Book Antiqua"/>
        </w:rPr>
        <w:t>The Government will also provide $0.6</w:t>
      </w:r>
      <w:r>
        <w:rPr>
          <w:rFonts w:cs="Book Antiqua"/>
        </w:rPr>
        <w:t> </w:t>
      </w:r>
      <w:r w:rsidRPr="001C06E6">
        <w:rPr>
          <w:rFonts w:cs="Book Antiqua"/>
        </w:rPr>
        <w:t xml:space="preserve">million in </w:t>
      </w:r>
      <w:r>
        <w:rPr>
          <w:rFonts w:cs="Book Antiqua"/>
        </w:rPr>
        <w:t>2024–25</w:t>
      </w:r>
      <w:r w:rsidRPr="001C06E6">
        <w:rPr>
          <w:rFonts w:cs="Book Antiqua"/>
        </w:rPr>
        <w:t xml:space="preserve"> to the Northern Territory to</w:t>
      </w:r>
      <w:r>
        <w:rPr>
          <w:rFonts w:cs="Book Antiqua"/>
        </w:rPr>
        <w:t xml:space="preserve"> </w:t>
      </w:r>
      <w:r w:rsidRPr="001C06E6">
        <w:rPr>
          <w:rFonts w:cs="Book Antiqua"/>
        </w:rPr>
        <w:t>support the construction of a Cyclone Tracy monument and memorial in Darwin.</w:t>
      </w:r>
      <w:r>
        <w:rPr>
          <w:rFonts w:cs="Book Antiqua"/>
        </w:rPr>
        <w:t xml:space="preserve"> </w:t>
      </w:r>
    </w:p>
    <w:p w14:paraId="38585832" w14:textId="77777777" w:rsidR="0012790E" w:rsidRPr="001C06E6" w:rsidRDefault="0012790E">
      <w:pPr>
        <w:pStyle w:val="MeasureTitle"/>
        <w:rPr>
          <w:b w:val="0"/>
          <w:bCs/>
        </w:rPr>
      </w:pPr>
      <w:r w:rsidRPr="001C06E6">
        <w:rPr>
          <w:bCs/>
        </w:rPr>
        <w:t>New Vehicle Efficiency Standard Implementation</w:t>
      </w:r>
    </w:p>
    <w:p w14:paraId="303C3DB9"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A223B54" w14:textId="77777777">
        <w:tc>
          <w:tcPr>
            <w:tcW w:w="2497" w:type="dxa"/>
            <w:tcBorders>
              <w:top w:val="single" w:sz="4" w:space="0" w:color="293F5B"/>
              <w:bottom w:val="single" w:sz="4" w:space="0" w:color="293F5B"/>
            </w:tcBorders>
            <w:shd w:val="clear" w:color="auto" w:fill="auto"/>
          </w:tcPr>
          <w:p w14:paraId="1218A798"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6E22D56"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DF22225"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D14C07C"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028FCC2"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F7582A7" w14:textId="77777777" w:rsidR="0012790E" w:rsidRPr="001C06E6" w:rsidRDefault="0012790E">
            <w:pPr>
              <w:pStyle w:val="MeasureTableYearHeadings"/>
              <w:keepNext/>
            </w:pPr>
            <w:r w:rsidRPr="001C06E6">
              <w:t>2027</w:t>
            </w:r>
            <w:r>
              <w:noBreakHyphen/>
            </w:r>
            <w:r w:rsidRPr="001C06E6">
              <w:t>28</w:t>
            </w:r>
          </w:p>
        </w:tc>
      </w:tr>
      <w:tr w:rsidR="0012790E" w:rsidRPr="001C06E6" w14:paraId="331D64BF" w14:textId="77777777">
        <w:tc>
          <w:tcPr>
            <w:tcW w:w="2497" w:type="dxa"/>
            <w:tcBorders>
              <w:top w:val="single" w:sz="4" w:space="0" w:color="293F5B"/>
              <w:bottom w:val="single" w:sz="4" w:space="0" w:color="293F5B"/>
            </w:tcBorders>
            <w:shd w:val="clear" w:color="auto" w:fill="auto"/>
          </w:tcPr>
          <w:p w14:paraId="5E4AC654" w14:textId="77777777" w:rsidR="0012790E" w:rsidRPr="001C06E6" w:rsidRDefault="0012790E">
            <w:pPr>
              <w:pStyle w:val="MeasureTableHeadingleftalignedwith2ptsspacing"/>
              <w:keepNext/>
            </w:pPr>
            <w:r>
              <w:t xml:space="preserve">Department of Climate Change, Energy, the Environment and Water </w:t>
            </w:r>
          </w:p>
        </w:tc>
        <w:tc>
          <w:tcPr>
            <w:tcW w:w="1045" w:type="dxa"/>
            <w:tcBorders>
              <w:top w:val="single" w:sz="4" w:space="0" w:color="293F5B"/>
              <w:bottom w:val="single" w:sz="4" w:space="0" w:color="293F5B"/>
            </w:tcBorders>
            <w:shd w:val="clear" w:color="auto" w:fill="auto"/>
          </w:tcPr>
          <w:p w14:paraId="75A762EC"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18AF2D8" w14:textId="77777777" w:rsidR="0012790E" w:rsidRPr="001C06E6" w:rsidRDefault="0012790E">
            <w:pPr>
              <w:pStyle w:val="MeasureTableDataRightAlignedwith2ptsspacing"/>
              <w:keepNext/>
            </w:pPr>
            <w:r>
              <w:t xml:space="preserve">12.0   </w:t>
            </w:r>
          </w:p>
        </w:tc>
        <w:tc>
          <w:tcPr>
            <w:tcW w:w="1045" w:type="dxa"/>
            <w:tcBorders>
              <w:top w:val="single" w:sz="4" w:space="0" w:color="293F5B"/>
              <w:bottom w:val="single" w:sz="4" w:space="0" w:color="293F5B"/>
            </w:tcBorders>
            <w:shd w:val="clear" w:color="auto" w:fill="auto"/>
          </w:tcPr>
          <w:p w14:paraId="3A930CBB" w14:textId="77777777" w:rsidR="0012790E" w:rsidRPr="001C06E6" w:rsidRDefault="0012790E">
            <w:pPr>
              <w:pStyle w:val="MeasureTableDataRightAlignedwith2ptsspacing"/>
              <w:keepNext/>
            </w:pPr>
            <w:r>
              <w:t xml:space="preserve">21.0   </w:t>
            </w:r>
          </w:p>
        </w:tc>
        <w:tc>
          <w:tcPr>
            <w:tcW w:w="1045" w:type="dxa"/>
            <w:tcBorders>
              <w:top w:val="single" w:sz="4" w:space="0" w:color="293F5B"/>
              <w:bottom w:val="single" w:sz="4" w:space="0" w:color="293F5B"/>
            </w:tcBorders>
            <w:shd w:val="clear" w:color="auto" w:fill="auto"/>
          </w:tcPr>
          <w:p w14:paraId="365C279E" w14:textId="77777777" w:rsidR="0012790E" w:rsidRPr="001C06E6" w:rsidRDefault="0012790E">
            <w:pPr>
              <w:pStyle w:val="MeasureTableDataRightAlignedwith2ptsspacing"/>
              <w:keepNext/>
            </w:pPr>
            <w:r>
              <w:t xml:space="preserve">21.0   </w:t>
            </w:r>
          </w:p>
        </w:tc>
        <w:tc>
          <w:tcPr>
            <w:tcW w:w="1045" w:type="dxa"/>
            <w:tcBorders>
              <w:top w:val="single" w:sz="4" w:space="0" w:color="293F5B"/>
              <w:bottom w:val="single" w:sz="4" w:space="0" w:color="293F5B"/>
            </w:tcBorders>
            <w:shd w:val="clear" w:color="auto" w:fill="auto"/>
          </w:tcPr>
          <w:p w14:paraId="0868AF65" w14:textId="77777777" w:rsidR="0012790E" w:rsidRPr="001C06E6" w:rsidRDefault="0012790E">
            <w:pPr>
              <w:pStyle w:val="MeasureTableDataRightAlignedwith2ptsspacing"/>
              <w:keepNext/>
            </w:pPr>
            <w:r>
              <w:t xml:space="preserve">6.0   </w:t>
            </w:r>
          </w:p>
        </w:tc>
      </w:tr>
      <w:tr w:rsidR="0012790E" w:rsidRPr="001C06E6" w14:paraId="4AB4186A" w14:textId="77777777">
        <w:tc>
          <w:tcPr>
            <w:tcW w:w="2497" w:type="dxa"/>
            <w:tcBorders>
              <w:top w:val="single" w:sz="4" w:space="0" w:color="293F5B"/>
              <w:bottom w:val="single" w:sz="4" w:space="0" w:color="293F5B"/>
            </w:tcBorders>
            <w:shd w:val="clear" w:color="auto" w:fill="auto"/>
          </w:tcPr>
          <w:p w14:paraId="09AECFED" w14:textId="77777777" w:rsidR="0012790E" w:rsidRPr="001C06E6" w:rsidRDefault="0012790E">
            <w:pPr>
              <w:pStyle w:val="MeasureTableHeadingleftalignedwith2ptsspacing"/>
              <w:keepNext/>
            </w:pPr>
            <w:r w:rsidRPr="001C06E6">
              <w:t>Clean Energy Regulator</w:t>
            </w:r>
          </w:p>
        </w:tc>
        <w:tc>
          <w:tcPr>
            <w:tcW w:w="1045" w:type="dxa"/>
            <w:tcBorders>
              <w:top w:val="single" w:sz="4" w:space="0" w:color="293F5B"/>
              <w:bottom w:val="single" w:sz="4" w:space="0" w:color="293F5B"/>
            </w:tcBorders>
            <w:shd w:val="clear" w:color="auto" w:fill="auto"/>
          </w:tcPr>
          <w:p w14:paraId="126B771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FC4657A" w14:textId="77777777" w:rsidR="0012790E" w:rsidRPr="001C06E6" w:rsidRDefault="0012790E">
            <w:pPr>
              <w:pStyle w:val="MeasureTableDataRightAlignedwith2ptsspacing"/>
              <w:keepNext/>
            </w:pPr>
            <w:r w:rsidRPr="001C06E6">
              <w:t>0.7</w:t>
            </w:r>
          </w:p>
        </w:tc>
        <w:tc>
          <w:tcPr>
            <w:tcW w:w="1045" w:type="dxa"/>
            <w:tcBorders>
              <w:top w:val="single" w:sz="4" w:space="0" w:color="293F5B"/>
              <w:bottom w:val="single" w:sz="4" w:space="0" w:color="293F5B"/>
            </w:tcBorders>
            <w:shd w:val="clear" w:color="auto" w:fill="auto"/>
          </w:tcPr>
          <w:p w14:paraId="6C75D508" w14:textId="77777777" w:rsidR="0012790E" w:rsidRPr="001C06E6" w:rsidRDefault="0012790E">
            <w:pPr>
              <w:pStyle w:val="MeasureTableDataRightAlignedwith2ptsspacing"/>
              <w:keepNext/>
            </w:pPr>
            <w:r w:rsidRPr="001C06E6">
              <w:t>1.1</w:t>
            </w:r>
          </w:p>
        </w:tc>
        <w:tc>
          <w:tcPr>
            <w:tcW w:w="1045" w:type="dxa"/>
            <w:tcBorders>
              <w:top w:val="single" w:sz="4" w:space="0" w:color="293F5B"/>
              <w:bottom w:val="single" w:sz="4" w:space="0" w:color="293F5B"/>
            </w:tcBorders>
            <w:shd w:val="clear" w:color="auto" w:fill="auto"/>
          </w:tcPr>
          <w:p w14:paraId="7F7A7A54" w14:textId="77777777" w:rsidR="0012790E" w:rsidRPr="001C06E6" w:rsidRDefault="0012790E">
            <w:pPr>
              <w:pStyle w:val="MeasureTableDataRightAlignedwith2ptsspacing"/>
              <w:keepNext/>
            </w:pPr>
            <w:r w:rsidRPr="001C06E6">
              <w:t>1.0</w:t>
            </w:r>
          </w:p>
        </w:tc>
        <w:tc>
          <w:tcPr>
            <w:tcW w:w="1045" w:type="dxa"/>
            <w:tcBorders>
              <w:top w:val="single" w:sz="4" w:space="0" w:color="293F5B"/>
              <w:bottom w:val="single" w:sz="4" w:space="0" w:color="293F5B"/>
            </w:tcBorders>
            <w:shd w:val="clear" w:color="auto" w:fill="auto"/>
          </w:tcPr>
          <w:p w14:paraId="18B3F469" w14:textId="77777777" w:rsidR="0012790E" w:rsidRPr="001C06E6" w:rsidRDefault="0012790E">
            <w:pPr>
              <w:pStyle w:val="MeasureTableDataRightAlignedwith2ptsspacing"/>
              <w:keepNext/>
            </w:pPr>
            <w:r w:rsidRPr="001C06E6">
              <w:t>1.1</w:t>
            </w:r>
          </w:p>
        </w:tc>
      </w:tr>
      <w:tr w:rsidR="0012790E" w:rsidRPr="001C06E6" w14:paraId="1DCFECE6" w14:textId="77777777">
        <w:tc>
          <w:tcPr>
            <w:tcW w:w="2497" w:type="dxa"/>
            <w:tcBorders>
              <w:top w:val="single" w:sz="4" w:space="0" w:color="293F5B"/>
              <w:bottom w:val="single" w:sz="4" w:space="0" w:color="293F5B"/>
            </w:tcBorders>
            <w:shd w:val="clear" w:color="auto" w:fill="auto"/>
          </w:tcPr>
          <w:p w14:paraId="7A198427" w14:textId="77777777" w:rsidR="0012790E" w:rsidRPr="001C06E6" w:rsidRDefault="0012790E">
            <w:pPr>
              <w:pStyle w:val="MeasureTableHeadingleftalignedwith2ptsspacing"/>
              <w:keepNext/>
            </w:pPr>
            <w:r>
              <w:t xml:space="preserve">Australian Renewable Energy Agency </w:t>
            </w:r>
          </w:p>
        </w:tc>
        <w:tc>
          <w:tcPr>
            <w:tcW w:w="1045" w:type="dxa"/>
            <w:tcBorders>
              <w:top w:val="single" w:sz="4" w:space="0" w:color="293F5B"/>
              <w:bottom w:val="single" w:sz="4" w:space="0" w:color="293F5B"/>
            </w:tcBorders>
            <w:shd w:val="clear" w:color="auto" w:fill="auto"/>
          </w:tcPr>
          <w:p w14:paraId="3FEFD0B7"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E26E2C1" w14:textId="77777777" w:rsidR="0012790E" w:rsidRPr="001C06E6" w:rsidRDefault="0012790E">
            <w:pPr>
              <w:pStyle w:val="MeasureTableDataRightAlignedwith2ptsspacing"/>
              <w:keepNext/>
            </w:pPr>
            <w:r>
              <w:t xml:space="preserve">-12.0 </w:t>
            </w:r>
          </w:p>
        </w:tc>
        <w:tc>
          <w:tcPr>
            <w:tcW w:w="1045" w:type="dxa"/>
            <w:tcBorders>
              <w:top w:val="single" w:sz="4" w:space="0" w:color="293F5B"/>
              <w:bottom w:val="single" w:sz="4" w:space="0" w:color="293F5B"/>
            </w:tcBorders>
            <w:shd w:val="clear" w:color="auto" w:fill="auto"/>
          </w:tcPr>
          <w:p w14:paraId="64D603FE" w14:textId="77777777" w:rsidR="0012790E" w:rsidRPr="001C06E6" w:rsidRDefault="0012790E">
            <w:pPr>
              <w:pStyle w:val="MeasureTableDataRightAlignedwith2ptsspacing"/>
              <w:keepNext/>
            </w:pPr>
            <w:r>
              <w:t xml:space="preserve">-21.0 </w:t>
            </w:r>
          </w:p>
        </w:tc>
        <w:tc>
          <w:tcPr>
            <w:tcW w:w="1045" w:type="dxa"/>
            <w:tcBorders>
              <w:top w:val="single" w:sz="4" w:space="0" w:color="293F5B"/>
              <w:bottom w:val="single" w:sz="4" w:space="0" w:color="293F5B"/>
            </w:tcBorders>
            <w:shd w:val="clear" w:color="auto" w:fill="auto"/>
          </w:tcPr>
          <w:p w14:paraId="0164071C" w14:textId="77777777" w:rsidR="0012790E" w:rsidRPr="001C06E6" w:rsidRDefault="0012790E">
            <w:pPr>
              <w:pStyle w:val="MeasureTableDataRightAlignedwith2ptsspacing"/>
              <w:keepNext/>
            </w:pPr>
            <w:r>
              <w:t xml:space="preserve">-21.0 </w:t>
            </w:r>
          </w:p>
        </w:tc>
        <w:tc>
          <w:tcPr>
            <w:tcW w:w="1045" w:type="dxa"/>
            <w:tcBorders>
              <w:top w:val="single" w:sz="4" w:space="0" w:color="293F5B"/>
              <w:bottom w:val="single" w:sz="4" w:space="0" w:color="293F5B"/>
            </w:tcBorders>
            <w:shd w:val="clear" w:color="auto" w:fill="auto"/>
          </w:tcPr>
          <w:p w14:paraId="75717CDC" w14:textId="77777777" w:rsidR="0012790E" w:rsidRPr="001C06E6" w:rsidRDefault="0012790E">
            <w:pPr>
              <w:pStyle w:val="MeasureTableDataRightAlignedwith2ptsspacing"/>
              <w:keepNext/>
            </w:pPr>
            <w:r>
              <w:t xml:space="preserve">-6.0 </w:t>
            </w:r>
          </w:p>
        </w:tc>
      </w:tr>
      <w:tr w:rsidR="0012790E" w:rsidRPr="001C06E6" w14:paraId="5127A616" w14:textId="77777777">
        <w:tc>
          <w:tcPr>
            <w:tcW w:w="2497" w:type="dxa"/>
            <w:tcBorders>
              <w:top w:val="single" w:sz="4" w:space="0" w:color="293F5B"/>
              <w:bottom w:val="single" w:sz="4" w:space="0" w:color="293F5B"/>
            </w:tcBorders>
            <w:shd w:val="clear" w:color="auto" w:fill="auto"/>
          </w:tcPr>
          <w:p w14:paraId="4CC00500"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7D8CBBD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B0F4E6C" w14:textId="77777777" w:rsidR="0012790E" w:rsidRPr="001C06E6" w:rsidRDefault="0012790E">
            <w:pPr>
              <w:pStyle w:val="MeasureTableDataRightAlignedwith2ptsspacing"/>
              <w:keepNext/>
            </w:pPr>
            <w:r>
              <w:t xml:space="preserve">26.4   </w:t>
            </w:r>
          </w:p>
        </w:tc>
        <w:tc>
          <w:tcPr>
            <w:tcW w:w="1045" w:type="dxa"/>
            <w:tcBorders>
              <w:top w:val="single" w:sz="4" w:space="0" w:color="293F5B"/>
              <w:bottom w:val="single" w:sz="4" w:space="0" w:color="293F5B"/>
            </w:tcBorders>
            <w:shd w:val="clear" w:color="auto" w:fill="auto"/>
          </w:tcPr>
          <w:p w14:paraId="35404FF0" w14:textId="77777777" w:rsidR="0012790E" w:rsidRPr="001C06E6" w:rsidRDefault="0012790E">
            <w:pPr>
              <w:pStyle w:val="MeasureTableDataRightAlignedwith2ptsspacing"/>
              <w:keepNext/>
            </w:pPr>
            <w:r>
              <w:t xml:space="preserve">16.1   </w:t>
            </w:r>
          </w:p>
        </w:tc>
        <w:tc>
          <w:tcPr>
            <w:tcW w:w="1045" w:type="dxa"/>
            <w:tcBorders>
              <w:top w:val="single" w:sz="4" w:space="0" w:color="293F5B"/>
              <w:bottom w:val="single" w:sz="4" w:space="0" w:color="293F5B"/>
            </w:tcBorders>
            <w:shd w:val="clear" w:color="auto" w:fill="auto"/>
          </w:tcPr>
          <w:p w14:paraId="7F4787B2" w14:textId="77777777" w:rsidR="0012790E" w:rsidRPr="001C06E6" w:rsidRDefault="0012790E">
            <w:pPr>
              <w:pStyle w:val="MeasureTableDataRightAlignedwith2ptsspacing"/>
              <w:keepNext/>
            </w:pPr>
            <w:r>
              <w:t xml:space="preserve">12.2   </w:t>
            </w:r>
          </w:p>
        </w:tc>
        <w:tc>
          <w:tcPr>
            <w:tcW w:w="1045" w:type="dxa"/>
            <w:tcBorders>
              <w:top w:val="single" w:sz="4" w:space="0" w:color="293F5B"/>
              <w:bottom w:val="single" w:sz="4" w:space="0" w:color="293F5B"/>
            </w:tcBorders>
            <w:shd w:val="clear" w:color="auto" w:fill="auto"/>
          </w:tcPr>
          <w:p w14:paraId="762DABE0" w14:textId="77777777" w:rsidR="0012790E" w:rsidRPr="001C06E6" w:rsidRDefault="0012790E">
            <w:pPr>
              <w:pStyle w:val="MeasureTableDataRightAlignedwith2ptsspacing"/>
              <w:keepNext/>
            </w:pPr>
            <w:r>
              <w:t xml:space="preserve">12.3   </w:t>
            </w:r>
          </w:p>
        </w:tc>
      </w:tr>
      <w:tr w:rsidR="0012790E" w:rsidRPr="001C06E6" w14:paraId="3B761313" w14:textId="77777777">
        <w:tc>
          <w:tcPr>
            <w:tcW w:w="2497" w:type="dxa"/>
            <w:tcBorders>
              <w:top w:val="single" w:sz="4" w:space="0" w:color="293F5B"/>
              <w:bottom w:val="single" w:sz="4" w:space="0" w:color="293F5B"/>
            </w:tcBorders>
            <w:shd w:val="clear" w:color="auto" w:fill="auto"/>
          </w:tcPr>
          <w:p w14:paraId="791B819D"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2F486C42"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086DDC26" w14:textId="77777777" w:rsidR="0012790E" w:rsidRPr="001C06E6" w:rsidRDefault="0012790E">
            <w:pPr>
              <w:pStyle w:val="Totaldatarowrightaligned"/>
              <w:keepNext/>
            </w:pPr>
            <w:r w:rsidRPr="001C06E6">
              <w:t>27.1</w:t>
            </w:r>
          </w:p>
        </w:tc>
        <w:tc>
          <w:tcPr>
            <w:tcW w:w="1045" w:type="dxa"/>
            <w:tcBorders>
              <w:top w:val="single" w:sz="4" w:space="0" w:color="293F5B"/>
              <w:bottom w:val="single" w:sz="4" w:space="0" w:color="293F5B"/>
            </w:tcBorders>
            <w:shd w:val="clear" w:color="auto" w:fill="auto"/>
          </w:tcPr>
          <w:p w14:paraId="79A34BCF" w14:textId="77777777" w:rsidR="0012790E" w:rsidRPr="001C06E6" w:rsidRDefault="0012790E">
            <w:pPr>
              <w:pStyle w:val="Totaldatarowrightaligned"/>
              <w:keepNext/>
            </w:pPr>
            <w:r w:rsidRPr="001C06E6">
              <w:t>17.2</w:t>
            </w:r>
          </w:p>
        </w:tc>
        <w:tc>
          <w:tcPr>
            <w:tcW w:w="1045" w:type="dxa"/>
            <w:tcBorders>
              <w:top w:val="single" w:sz="4" w:space="0" w:color="293F5B"/>
              <w:bottom w:val="single" w:sz="4" w:space="0" w:color="293F5B"/>
            </w:tcBorders>
            <w:shd w:val="clear" w:color="auto" w:fill="auto"/>
          </w:tcPr>
          <w:p w14:paraId="08A03246" w14:textId="77777777" w:rsidR="0012790E" w:rsidRPr="001C06E6" w:rsidRDefault="0012790E">
            <w:pPr>
              <w:pStyle w:val="Totaldatarowrightaligned"/>
              <w:keepNext/>
            </w:pPr>
            <w:r w:rsidRPr="001C06E6">
              <w:t>13.3</w:t>
            </w:r>
          </w:p>
        </w:tc>
        <w:tc>
          <w:tcPr>
            <w:tcW w:w="1045" w:type="dxa"/>
            <w:tcBorders>
              <w:top w:val="single" w:sz="4" w:space="0" w:color="293F5B"/>
              <w:bottom w:val="single" w:sz="4" w:space="0" w:color="293F5B"/>
            </w:tcBorders>
            <w:shd w:val="clear" w:color="auto" w:fill="auto"/>
          </w:tcPr>
          <w:p w14:paraId="04B55477" w14:textId="77777777" w:rsidR="0012790E" w:rsidRPr="001C06E6" w:rsidRDefault="0012790E">
            <w:pPr>
              <w:pStyle w:val="Totaldatarowrightaligned"/>
              <w:keepNext/>
            </w:pPr>
            <w:r w:rsidRPr="001C06E6">
              <w:t>13.4</w:t>
            </w:r>
          </w:p>
        </w:tc>
      </w:tr>
      <w:tr w:rsidR="0012790E" w:rsidRPr="001C06E6" w14:paraId="6C3F7DB7" w14:textId="77777777">
        <w:tc>
          <w:tcPr>
            <w:tcW w:w="2497" w:type="dxa"/>
            <w:tcBorders>
              <w:top w:val="single" w:sz="4" w:space="0" w:color="293F5B"/>
            </w:tcBorders>
            <w:shd w:val="clear" w:color="auto" w:fill="auto"/>
          </w:tcPr>
          <w:p w14:paraId="3BC6A26F"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4E5250B1" w14:textId="77777777" w:rsidR="0012790E" w:rsidRPr="001C06E6" w:rsidRDefault="0012790E">
            <w:pPr>
              <w:pStyle w:val="AgencyName"/>
              <w:keepNext/>
            </w:pPr>
          </w:p>
        </w:tc>
        <w:tc>
          <w:tcPr>
            <w:tcW w:w="1045" w:type="dxa"/>
            <w:tcBorders>
              <w:top w:val="single" w:sz="4" w:space="0" w:color="293F5B"/>
            </w:tcBorders>
            <w:shd w:val="clear" w:color="auto" w:fill="auto"/>
          </w:tcPr>
          <w:p w14:paraId="46EE845F" w14:textId="77777777" w:rsidR="0012790E" w:rsidRPr="001C06E6" w:rsidRDefault="0012790E">
            <w:pPr>
              <w:pStyle w:val="AgencyName"/>
              <w:keepNext/>
            </w:pPr>
          </w:p>
        </w:tc>
        <w:tc>
          <w:tcPr>
            <w:tcW w:w="1045" w:type="dxa"/>
            <w:tcBorders>
              <w:top w:val="single" w:sz="4" w:space="0" w:color="293F5B"/>
            </w:tcBorders>
            <w:shd w:val="clear" w:color="auto" w:fill="auto"/>
          </w:tcPr>
          <w:p w14:paraId="475903D5" w14:textId="77777777" w:rsidR="0012790E" w:rsidRPr="001C06E6" w:rsidRDefault="0012790E">
            <w:pPr>
              <w:pStyle w:val="AgencyName"/>
              <w:keepNext/>
            </w:pPr>
          </w:p>
        </w:tc>
        <w:tc>
          <w:tcPr>
            <w:tcW w:w="1045" w:type="dxa"/>
            <w:tcBorders>
              <w:top w:val="single" w:sz="4" w:space="0" w:color="293F5B"/>
            </w:tcBorders>
            <w:shd w:val="clear" w:color="auto" w:fill="auto"/>
          </w:tcPr>
          <w:p w14:paraId="3CF4DB9E" w14:textId="77777777" w:rsidR="0012790E" w:rsidRPr="001C06E6" w:rsidRDefault="0012790E">
            <w:pPr>
              <w:pStyle w:val="AgencyName"/>
              <w:keepNext/>
            </w:pPr>
          </w:p>
        </w:tc>
        <w:tc>
          <w:tcPr>
            <w:tcW w:w="1045" w:type="dxa"/>
            <w:tcBorders>
              <w:top w:val="single" w:sz="4" w:space="0" w:color="293F5B"/>
            </w:tcBorders>
            <w:shd w:val="clear" w:color="auto" w:fill="auto"/>
          </w:tcPr>
          <w:p w14:paraId="189A230E" w14:textId="77777777" w:rsidR="0012790E" w:rsidRPr="001C06E6" w:rsidRDefault="0012790E">
            <w:pPr>
              <w:pStyle w:val="AgencyName"/>
              <w:keepNext/>
            </w:pPr>
          </w:p>
        </w:tc>
      </w:tr>
      <w:tr w:rsidR="0012790E" w:rsidRPr="001C06E6" w14:paraId="4DF8B837" w14:textId="77777777">
        <w:tc>
          <w:tcPr>
            <w:tcW w:w="2497" w:type="dxa"/>
            <w:tcBorders>
              <w:bottom w:val="single" w:sz="4" w:space="0" w:color="293F5B"/>
            </w:tcBorders>
            <w:shd w:val="clear" w:color="auto" w:fill="auto"/>
          </w:tcPr>
          <w:p w14:paraId="5AC6C712" w14:textId="77777777" w:rsidR="0012790E" w:rsidRPr="001C06E6" w:rsidRDefault="0012790E">
            <w:pPr>
              <w:pStyle w:val="AgencyNamewith2ptsspacing"/>
              <w:keepNext/>
            </w:pPr>
            <w:r w:rsidRPr="001C06E6">
              <w:t>Australian Taxation Office</w:t>
            </w:r>
          </w:p>
        </w:tc>
        <w:tc>
          <w:tcPr>
            <w:tcW w:w="1045" w:type="dxa"/>
            <w:tcBorders>
              <w:bottom w:val="single" w:sz="4" w:space="0" w:color="293F5B"/>
            </w:tcBorders>
            <w:shd w:val="clear" w:color="auto" w:fill="auto"/>
          </w:tcPr>
          <w:p w14:paraId="16CFE578"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40A2DD99" w14:textId="7B2174F6" w:rsidR="0012790E" w:rsidRPr="001C06E6" w:rsidRDefault="00CA2CF7">
            <w:pPr>
              <w:pStyle w:val="Measuretabledatarightaligneditalics"/>
              <w:keepNext/>
            </w:pPr>
            <w:r>
              <w:t>..</w:t>
            </w:r>
          </w:p>
        </w:tc>
        <w:tc>
          <w:tcPr>
            <w:tcW w:w="1045" w:type="dxa"/>
            <w:tcBorders>
              <w:bottom w:val="single" w:sz="4" w:space="0" w:color="293F5B"/>
            </w:tcBorders>
            <w:shd w:val="clear" w:color="auto" w:fill="auto"/>
          </w:tcPr>
          <w:p w14:paraId="431C087B" w14:textId="77777777" w:rsidR="0012790E" w:rsidRPr="001C06E6" w:rsidRDefault="0012790E">
            <w:pPr>
              <w:pStyle w:val="Measuretabledatarightaligneditalics"/>
              <w:keepNext/>
            </w:pPr>
            <w:r w:rsidRPr="001C06E6">
              <w:t>-30.0</w:t>
            </w:r>
          </w:p>
        </w:tc>
        <w:tc>
          <w:tcPr>
            <w:tcW w:w="1045" w:type="dxa"/>
            <w:tcBorders>
              <w:bottom w:val="single" w:sz="4" w:space="0" w:color="293F5B"/>
            </w:tcBorders>
            <w:shd w:val="clear" w:color="auto" w:fill="auto"/>
          </w:tcPr>
          <w:p w14:paraId="257E1E9E" w14:textId="77777777" w:rsidR="0012790E" w:rsidRPr="001C06E6" w:rsidRDefault="0012790E">
            <w:pPr>
              <w:pStyle w:val="Measuretabledatarightaligneditalics"/>
              <w:keepNext/>
            </w:pPr>
            <w:r w:rsidRPr="001C06E6">
              <w:t>-120.0</w:t>
            </w:r>
          </w:p>
        </w:tc>
        <w:tc>
          <w:tcPr>
            <w:tcW w:w="1045" w:type="dxa"/>
            <w:tcBorders>
              <w:bottom w:val="single" w:sz="4" w:space="0" w:color="293F5B"/>
            </w:tcBorders>
            <w:shd w:val="clear" w:color="auto" w:fill="auto"/>
          </w:tcPr>
          <w:p w14:paraId="72695542" w14:textId="77777777" w:rsidR="0012790E" w:rsidRPr="001C06E6" w:rsidRDefault="0012790E">
            <w:pPr>
              <w:pStyle w:val="Measuretabledatarightaligneditalics"/>
              <w:keepNext/>
            </w:pPr>
            <w:r w:rsidRPr="001C06E6">
              <w:t>-320.0</w:t>
            </w:r>
          </w:p>
        </w:tc>
      </w:tr>
    </w:tbl>
    <w:p w14:paraId="59BFFDE8" w14:textId="77777777" w:rsidR="0012790E" w:rsidRPr="001C06E6" w:rsidRDefault="0012790E">
      <w:pPr>
        <w:keepNext/>
        <w:widowControl w:val="0"/>
        <w:tabs>
          <w:tab w:val="right" w:pos="3536"/>
          <w:tab w:val="right" w:pos="4579"/>
          <w:tab w:val="right" w:pos="5622"/>
          <w:tab w:val="right" w:pos="6664"/>
          <w:tab w:val="right" w:pos="7707"/>
        </w:tabs>
        <w:spacing w:line="240" w:lineRule="exact"/>
        <w:rPr>
          <w:i/>
          <w:iCs/>
          <w:color w:val="000000"/>
          <w:sz w:val="16"/>
          <w:szCs w:val="16"/>
          <w:lang w:val="en-AU"/>
        </w:rPr>
      </w:pPr>
    </w:p>
    <w:p w14:paraId="357C84A6" w14:textId="77777777" w:rsidR="0012790E" w:rsidRDefault="0012790E" w:rsidP="54937204">
      <w:pPr>
        <w:pStyle w:val="Normal2"/>
        <w:rPr>
          <w:rFonts w:cs="Book Antiqua"/>
          <w:lang w:val="en-US"/>
        </w:rPr>
      </w:pPr>
      <w:r w:rsidRPr="54937204">
        <w:rPr>
          <w:rFonts w:cs="Book Antiqua"/>
          <w:lang w:val="en-US"/>
        </w:rPr>
        <w:t>The Government will provide $154.5 million over six years from 2023–24 (and $12.6 million per year ongoing) to implement a New Vehicle Efficiency Standard to support greater choice of fuel</w:t>
      </w:r>
      <w:r>
        <w:rPr>
          <w:rFonts w:cs="Book Antiqua"/>
        </w:rPr>
        <w:noBreakHyphen/>
      </w:r>
      <w:r w:rsidRPr="54937204">
        <w:rPr>
          <w:rFonts w:cs="Book Antiqua"/>
          <w:lang w:val="en-US"/>
        </w:rPr>
        <w:t>efficient vehicles that will reduce motoring costs and transport emissions. Funding includes:</w:t>
      </w:r>
    </w:p>
    <w:p w14:paraId="04F9A635" w14:textId="77777777" w:rsidR="0012790E" w:rsidRDefault="0012790E">
      <w:pPr>
        <w:pStyle w:val="Bullet"/>
      </w:pPr>
      <w:r w:rsidRPr="001C06E6">
        <w:t>$84.5</w:t>
      </w:r>
      <w:r>
        <w:t> </w:t>
      </w:r>
      <w:r w:rsidRPr="001C06E6">
        <w:t xml:space="preserve">million over five years from </w:t>
      </w:r>
      <w:r>
        <w:t>2024–25</w:t>
      </w:r>
      <w:r w:rsidRPr="001C06E6">
        <w:t xml:space="preserve"> (and $12.6</w:t>
      </w:r>
      <w:r>
        <w:t> </w:t>
      </w:r>
      <w:r w:rsidRPr="001C06E6">
        <w:t>million per year ongoing) to establish a regulator to administer the New Vehicle Efficiency Standard, including to capture emissions data, establish a credit trading platform and undertake monitoring and compliance activities, and to undertake further work to bring Australian vehicle standards into line with those of our peers</w:t>
      </w:r>
      <w:r>
        <w:t xml:space="preserve"> </w:t>
      </w:r>
    </w:p>
    <w:p w14:paraId="7869E0D2" w14:textId="77777777" w:rsidR="0012790E" w:rsidRDefault="0012790E">
      <w:pPr>
        <w:pStyle w:val="Bullet"/>
      </w:pPr>
      <w:r w:rsidRPr="001C06E6">
        <w:t>$60.0</w:t>
      </w:r>
      <w:r>
        <w:t> </w:t>
      </w:r>
      <w:r w:rsidRPr="001C06E6">
        <w:t xml:space="preserve">million over four years from </w:t>
      </w:r>
      <w:r>
        <w:t>2024–25</w:t>
      </w:r>
      <w:r w:rsidRPr="001C06E6">
        <w:t xml:space="preserve"> to support the installation of electric vehicle charging infrastructure at automotive businesses to support the transition to selling and servicing electric vehicles</w:t>
      </w:r>
      <w:r>
        <w:t xml:space="preserve"> </w:t>
      </w:r>
    </w:p>
    <w:p w14:paraId="10E2C084" w14:textId="15BDA720" w:rsidR="0012790E" w:rsidRDefault="0012790E">
      <w:pPr>
        <w:pStyle w:val="Bullet"/>
      </w:pPr>
      <w:r w:rsidRPr="001C06E6">
        <w:t>$10.0</w:t>
      </w:r>
      <w:r>
        <w:t> </w:t>
      </w:r>
      <w:r w:rsidRPr="001C06E6">
        <w:t xml:space="preserve">million in </w:t>
      </w:r>
      <w:r>
        <w:t>2023–24</w:t>
      </w:r>
      <w:r w:rsidRPr="001C06E6">
        <w:t xml:space="preserve"> for a national communications campaign to raise awareness of</w:t>
      </w:r>
      <w:r w:rsidR="00EB5256">
        <w:t> </w:t>
      </w:r>
      <w:r w:rsidRPr="001C06E6">
        <w:t>the New Vehicle Efficiency Standard, with funding already provided for by the</w:t>
      </w:r>
      <w:r w:rsidR="00EB5256">
        <w:t> </w:t>
      </w:r>
      <w:r w:rsidRPr="001C06E6">
        <w:t>Government.</w:t>
      </w:r>
      <w:r>
        <w:t xml:space="preserve"> </w:t>
      </w:r>
    </w:p>
    <w:p w14:paraId="660054E7" w14:textId="77777777" w:rsidR="0012790E" w:rsidRDefault="0012790E" w:rsidP="54937204">
      <w:pPr>
        <w:pStyle w:val="Normal2"/>
        <w:rPr>
          <w:rFonts w:cs="Book Antiqua"/>
          <w:lang w:val="en-US"/>
        </w:rPr>
      </w:pPr>
      <w:r w:rsidRPr="54937204">
        <w:rPr>
          <w:rFonts w:cs="Book Antiqua"/>
          <w:lang w:val="en-US"/>
        </w:rPr>
        <w:t xml:space="preserve">The cost of this measure will be partially met from the reprioritisation of funding in the Infrastructure, Transport, and Regional Development portfolio and by redirecting funding from the 2022–23 October Budget measure titled </w:t>
      </w:r>
      <w:r w:rsidRPr="54937204">
        <w:rPr>
          <w:rFonts w:cs="Book Antiqua"/>
          <w:i/>
          <w:iCs/>
          <w:lang w:val="en-US"/>
        </w:rPr>
        <w:t>Powering Australia – Driving the Nation Fund – establishment</w:t>
      </w:r>
      <w:r w:rsidRPr="54937204">
        <w:rPr>
          <w:rFonts w:cs="Book Antiqua"/>
          <w:lang w:val="en-US"/>
        </w:rPr>
        <w:t xml:space="preserve">. </w:t>
      </w:r>
    </w:p>
    <w:p w14:paraId="35C610AA" w14:textId="77777777" w:rsidR="0012790E" w:rsidRDefault="0012790E" w:rsidP="54937204">
      <w:pPr>
        <w:pStyle w:val="Normal2"/>
        <w:rPr>
          <w:rFonts w:cs="Book Antiqua"/>
          <w:lang w:val="en-US"/>
        </w:rPr>
      </w:pPr>
      <w:r w:rsidRPr="54937204">
        <w:rPr>
          <w:rFonts w:cs="Book Antiqua"/>
          <w:lang w:val="en-US"/>
        </w:rPr>
        <w:t xml:space="preserve">The introduction of a New Vehicle Efficiency Standard is also estimated to decrease fuel excise receipts by $470.0 million over four years from 2024–25, owing to lower motoring costs resulting from greater availability of more fuel efficient vehicles. </w:t>
      </w:r>
    </w:p>
    <w:p w14:paraId="0A7A0F12" w14:textId="7777777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Budget measure titled</w:t>
      </w:r>
      <w:r w:rsidRPr="001C06E6">
        <w:rPr>
          <w:rFonts w:cs="Book Antiqua"/>
          <w:i/>
          <w:iCs/>
        </w:rPr>
        <w:t xml:space="preserve"> Reducing Transport</w:t>
      </w:r>
      <w:r>
        <w:rPr>
          <w:rFonts w:cs="Book Antiqua"/>
          <w:i/>
          <w:iCs/>
        </w:rPr>
        <w:t xml:space="preserve"> </w:t>
      </w:r>
      <w:r w:rsidRPr="001C06E6">
        <w:rPr>
          <w:rFonts w:cs="Book Antiqua"/>
          <w:i/>
          <w:iCs/>
        </w:rPr>
        <w:t>Emissions</w:t>
      </w:r>
      <w:r w:rsidRPr="001C06E6">
        <w:rPr>
          <w:rFonts w:cs="Book Antiqua"/>
        </w:rPr>
        <w:t>.</w:t>
      </w:r>
      <w:r>
        <w:rPr>
          <w:rFonts w:cs="Book Antiqua"/>
        </w:rPr>
        <w:t xml:space="preserve"> </w:t>
      </w:r>
    </w:p>
    <w:p w14:paraId="07A0D9B1" w14:textId="77777777" w:rsidR="0012790E" w:rsidRPr="001C06E6" w:rsidRDefault="0012790E">
      <w:pPr>
        <w:pStyle w:val="MeasureTitle"/>
        <w:rPr>
          <w:b w:val="0"/>
          <w:bCs/>
        </w:rPr>
      </w:pPr>
      <w:r w:rsidRPr="001C06E6">
        <w:rPr>
          <w:bCs/>
        </w:rPr>
        <w:t>Online Safety</w:t>
      </w:r>
    </w:p>
    <w:p w14:paraId="40CC1EF6"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41978B7D" w14:textId="77777777">
        <w:tc>
          <w:tcPr>
            <w:tcW w:w="2497" w:type="dxa"/>
            <w:tcBorders>
              <w:top w:val="single" w:sz="4" w:space="0" w:color="293F5B"/>
              <w:bottom w:val="single" w:sz="4" w:space="0" w:color="293F5B"/>
            </w:tcBorders>
            <w:shd w:val="clear" w:color="auto" w:fill="auto"/>
          </w:tcPr>
          <w:p w14:paraId="71CC9E07"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1D76A81"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501DA95C"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CF707BD"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BF0A4EB"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9F39B3E" w14:textId="77777777" w:rsidR="0012790E" w:rsidRPr="001C06E6" w:rsidRDefault="0012790E">
            <w:pPr>
              <w:pStyle w:val="MeasureTableYearHeadings"/>
              <w:keepNext/>
            </w:pPr>
            <w:r w:rsidRPr="001C06E6">
              <w:t>2027</w:t>
            </w:r>
            <w:r>
              <w:noBreakHyphen/>
            </w:r>
            <w:r w:rsidRPr="001C06E6">
              <w:t>28</w:t>
            </w:r>
          </w:p>
        </w:tc>
      </w:tr>
      <w:tr w:rsidR="0012790E" w:rsidRPr="001C06E6" w14:paraId="7BCEAFA4" w14:textId="77777777">
        <w:tc>
          <w:tcPr>
            <w:tcW w:w="2497" w:type="dxa"/>
            <w:tcBorders>
              <w:top w:val="single" w:sz="4" w:space="0" w:color="293F5B"/>
              <w:bottom w:val="single" w:sz="4" w:space="0" w:color="293F5B"/>
            </w:tcBorders>
            <w:shd w:val="clear" w:color="auto" w:fill="auto"/>
          </w:tcPr>
          <w:p w14:paraId="6DCF1ED0"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3DDDFAB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7E705C9" w14:textId="77777777" w:rsidR="0012790E" w:rsidRPr="001C06E6" w:rsidRDefault="0012790E">
            <w:pPr>
              <w:pStyle w:val="MeasureTableDataRightAlignedwith2ptsspacing"/>
              <w:keepNext/>
            </w:pPr>
            <w:r>
              <w:t xml:space="preserve">6.5   </w:t>
            </w:r>
          </w:p>
        </w:tc>
        <w:tc>
          <w:tcPr>
            <w:tcW w:w="1045" w:type="dxa"/>
            <w:tcBorders>
              <w:top w:val="single" w:sz="4" w:space="0" w:color="293F5B"/>
              <w:bottom w:val="single" w:sz="4" w:space="0" w:color="293F5B"/>
            </w:tcBorders>
            <w:shd w:val="clear" w:color="auto" w:fill="auto"/>
          </w:tcPr>
          <w:p w14:paraId="44D5AD5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4669FD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00FDE45" w14:textId="77777777" w:rsidR="0012790E" w:rsidRPr="001C06E6" w:rsidRDefault="0012790E">
            <w:pPr>
              <w:pStyle w:val="MeasureTableDataRightAlignedwith2ptsspacing"/>
              <w:keepNext/>
            </w:pPr>
            <w:r>
              <w:t xml:space="preserve">-   </w:t>
            </w:r>
          </w:p>
        </w:tc>
      </w:tr>
      <w:tr w:rsidR="0012790E" w:rsidRPr="001C06E6" w14:paraId="57A38984" w14:textId="77777777">
        <w:tc>
          <w:tcPr>
            <w:tcW w:w="2497" w:type="dxa"/>
            <w:tcBorders>
              <w:top w:val="single" w:sz="4" w:space="0" w:color="293F5B"/>
              <w:bottom w:val="single" w:sz="4" w:space="0" w:color="293F5B"/>
            </w:tcBorders>
            <w:shd w:val="clear" w:color="auto" w:fill="auto"/>
          </w:tcPr>
          <w:p w14:paraId="433517B9" w14:textId="77777777" w:rsidR="0012790E" w:rsidRPr="001C06E6" w:rsidRDefault="0012790E">
            <w:pPr>
              <w:pStyle w:val="MeasureTableHeadingleftalignedwith2ptsspacing"/>
              <w:keepNext/>
            </w:pPr>
            <w:r>
              <w:t xml:space="preserve">Australian Communications and Media Authority </w:t>
            </w:r>
          </w:p>
        </w:tc>
        <w:tc>
          <w:tcPr>
            <w:tcW w:w="1045" w:type="dxa"/>
            <w:tcBorders>
              <w:top w:val="single" w:sz="4" w:space="0" w:color="293F5B"/>
              <w:bottom w:val="single" w:sz="4" w:space="0" w:color="293F5B"/>
            </w:tcBorders>
            <w:shd w:val="clear" w:color="auto" w:fill="auto"/>
          </w:tcPr>
          <w:p w14:paraId="66DBE01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C316C17" w14:textId="77777777" w:rsidR="0012790E" w:rsidRPr="001C06E6" w:rsidRDefault="0012790E">
            <w:pPr>
              <w:pStyle w:val="MeasureTableDataRightAlignedwith2ptsspacing"/>
              <w:keepNext/>
            </w:pPr>
            <w:r>
              <w:t xml:space="preserve">0.6 </w:t>
            </w:r>
          </w:p>
        </w:tc>
        <w:tc>
          <w:tcPr>
            <w:tcW w:w="1045" w:type="dxa"/>
            <w:tcBorders>
              <w:top w:val="single" w:sz="4" w:space="0" w:color="293F5B"/>
              <w:bottom w:val="single" w:sz="4" w:space="0" w:color="293F5B"/>
            </w:tcBorders>
            <w:shd w:val="clear" w:color="auto" w:fill="auto"/>
          </w:tcPr>
          <w:p w14:paraId="2F0C60A2" w14:textId="77777777" w:rsidR="0012790E" w:rsidRPr="001C06E6" w:rsidRDefault="0012790E">
            <w:pPr>
              <w:pStyle w:val="MeasureTableDataRightAlignedwith2ptsspacing"/>
              <w:keepNext/>
            </w:pPr>
            <w:r>
              <w:t xml:space="preserve">0.8 </w:t>
            </w:r>
          </w:p>
        </w:tc>
        <w:tc>
          <w:tcPr>
            <w:tcW w:w="1045" w:type="dxa"/>
            <w:tcBorders>
              <w:top w:val="single" w:sz="4" w:space="0" w:color="293F5B"/>
              <w:bottom w:val="single" w:sz="4" w:space="0" w:color="293F5B"/>
            </w:tcBorders>
            <w:shd w:val="clear" w:color="auto" w:fill="auto"/>
          </w:tcPr>
          <w:p w14:paraId="08E3FC2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D4BFFDD" w14:textId="77777777" w:rsidR="0012790E" w:rsidRPr="001C06E6" w:rsidRDefault="0012790E">
            <w:pPr>
              <w:pStyle w:val="MeasureTableDataRightAlignedwith2ptsspacing"/>
              <w:keepNext/>
            </w:pPr>
            <w:r>
              <w:t xml:space="preserve">- </w:t>
            </w:r>
          </w:p>
        </w:tc>
      </w:tr>
      <w:tr w:rsidR="0012790E" w:rsidRPr="001C06E6" w14:paraId="4FD70A1A" w14:textId="77777777">
        <w:tc>
          <w:tcPr>
            <w:tcW w:w="2497" w:type="dxa"/>
            <w:tcBorders>
              <w:top w:val="single" w:sz="4" w:space="0" w:color="293F5B"/>
              <w:bottom w:val="single" w:sz="4" w:space="0" w:color="293F5B"/>
            </w:tcBorders>
            <w:shd w:val="clear" w:color="auto" w:fill="auto"/>
          </w:tcPr>
          <w:p w14:paraId="37DF6AB0"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110CC4B2"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1E2A394" w14:textId="77777777" w:rsidR="0012790E" w:rsidRPr="001C06E6" w:rsidRDefault="0012790E">
            <w:pPr>
              <w:pStyle w:val="Totaldatarowrightaligned"/>
              <w:keepNext/>
            </w:pPr>
            <w:r w:rsidRPr="001C06E6">
              <w:t>7.1</w:t>
            </w:r>
          </w:p>
        </w:tc>
        <w:tc>
          <w:tcPr>
            <w:tcW w:w="1045" w:type="dxa"/>
            <w:tcBorders>
              <w:top w:val="single" w:sz="4" w:space="0" w:color="293F5B"/>
              <w:bottom w:val="single" w:sz="4" w:space="0" w:color="293F5B"/>
            </w:tcBorders>
            <w:shd w:val="clear" w:color="auto" w:fill="auto"/>
          </w:tcPr>
          <w:p w14:paraId="5EAA201B" w14:textId="77777777" w:rsidR="0012790E" w:rsidRPr="001C06E6" w:rsidRDefault="0012790E">
            <w:pPr>
              <w:pStyle w:val="Totaldatarowrightaligned"/>
              <w:keepNext/>
            </w:pPr>
            <w:r w:rsidRPr="001C06E6">
              <w:t>0.8</w:t>
            </w:r>
          </w:p>
        </w:tc>
        <w:tc>
          <w:tcPr>
            <w:tcW w:w="1045" w:type="dxa"/>
            <w:tcBorders>
              <w:top w:val="single" w:sz="4" w:space="0" w:color="293F5B"/>
              <w:bottom w:val="single" w:sz="4" w:space="0" w:color="293F5B"/>
            </w:tcBorders>
            <w:shd w:val="clear" w:color="auto" w:fill="auto"/>
          </w:tcPr>
          <w:p w14:paraId="3F9EA69E"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446ACA13" w14:textId="77777777" w:rsidR="0012790E" w:rsidRPr="001C06E6" w:rsidRDefault="0012790E">
            <w:pPr>
              <w:pStyle w:val="Totaldatarowrightaligned"/>
              <w:keepNext/>
            </w:pPr>
            <w:r w:rsidRPr="001C06E6">
              <w:t>-</w:t>
            </w:r>
          </w:p>
        </w:tc>
      </w:tr>
    </w:tbl>
    <w:p w14:paraId="07AB6110"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54B75F94" w14:textId="77777777" w:rsidR="0012790E" w:rsidRDefault="0012790E">
      <w:pPr>
        <w:pStyle w:val="Normal2"/>
        <w:rPr>
          <w:rFonts w:cs="Book Antiqua"/>
        </w:rPr>
      </w:pPr>
      <w:r w:rsidRPr="001C06E6">
        <w:rPr>
          <w:rFonts w:cs="Book Antiqua"/>
        </w:rPr>
        <w:t>The Government will provide $7.9</w:t>
      </w:r>
      <w:r>
        <w:rPr>
          <w:rFonts w:cs="Book Antiqua"/>
        </w:rPr>
        <w:t> </w:t>
      </w:r>
      <w:r w:rsidRPr="001C06E6">
        <w:rPr>
          <w:rFonts w:cs="Book Antiqua"/>
        </w:rPr>
        <w:t xml:space="preserve">million over two years from </w:t>
      </w:r>
      <w:r>
        <w:rPr>
          <w:rFonts w:cs="Book Antiqua"/>
        </w:rPr>
        <w:t>2024–25</w:t>
      </w:r>
      <w:r w:rsidRPr="001C06E6">
        <w:rPr>
          <w:rFonts w:cs="Book Antiqua"/>
        </w:rPr>
        <w:t xml:space="preserve"> to support</w:t>
      </w:r>
      <w:r>
        <w:rPr>
          <w:rFonts w:cs="Book Antiqua"/>
        </w:rPr>
        <w:t xml:space="preserve"> </w:t>
      </w:r>
      <w:r w:rsidRPr="001C06E6">
        <w:rPr>
          <w:rFonts w:cs="Book Antiqua"/>
        </w:rPr>
        <w:t>online safety including:</w:t>
      </w:r>
    </w:p>
    <w:p w14:paraId="19DA9685" w14:textId="77777777" w:rsidR="0012790E" w:rsidRDefault="0012790E">
      <w:pPr>
        <w:pStyle w:val="Bullet"/>
      </w:pPr>
      <w:r w:rsidRPr="001C06E6">
        <w:t>$6.5</w:t>
      </w:r>
      <w:r>
        <w:t> </w:t>
      </w:r>
      <w:r w:rsidRPr="001C06E6">
        <w:t xml:space="preserve">million in </w:t>
      </w:r>
      <w:r>
        <w:t>2024–25</w:t>
      </w:r>
      <w:r w:rsidRPr="001C06E6">
        <w:t xml:space="preserve"> to develop a pilot of age assurance technologies to protect children from harmful online content</w:t>
      </w:r>
      <w:r>
        <w:t xml:space="preserve"> </w:t>
      </w:r>
    </w:p>
    <w:p w14:paraId="71CD396A" w14:textId="77777777" w:rsidR="0012790E" w:rsidRDefault="0012790E">
      <w:pPr>
        <w:pStyle w:val="Bullet"/>
        <w:rPr>
          <w:i/>
          <w:iCs/>
        </w:rPr>
      </w:pPr>
      <w:r w:rsidRPr="001C06E6">
        <w:t>$1.4</w:t>
      </w:r>
      <w:r>
        <w:t> </w:t>
      </w:r>
      <w:r w:rsidRPr="001C06E6">
        <w:t xml:space="preserve">million over two years from </w:t>
      </w:r>
      <w:r>
        <w:t>2024–25</w:t>
      </w:r>
      <w:r w:rsidRPr="001C06E6">
        <w:t xml:space="preserve"> for the Office of the eSafety Commissioner to support legal and compliance functions under the </w:t>
      </w:r>
      <w:r w:rsidRPr="001C06E6">
        <w:rPr>
          <w:i/>
          <w:iCs/>
        </w:rPr>
        <w:t>Online Safety Act 2021.</w:t>
      </w:r>
      <w:r>
        <w:rPr>
          <w:i/>
          <w:iCs/>
        </w:rPr>
        <w:t xml:space="preserve"> </w:t>
      </w:r>
    </w:p>
    <w:p w14:paraId="69209430" w14:textId="77777777" w:rsidR="0012790E" w:rsidRDefault="0012790E">
      <w:pPr>
        <w:pStyle w:val="Normal2"/>
        <w:rPr>
          <w:rFonts w:cs="Book Antiqua"/>
        </w:rPr>
      </w:pPr>
      <w:r w:rsidRPr="001C06E6">
        <w:rPr>
          <w:rFonts w:cs="Book Antiqua"/>
        </w:rPr>
        <w:t xml:space="preserve">This measure supports the implementation of the </w:t>
      </w:r>
      <w:r w:rsidRPr="001C06E6">
        <w:rPr>
          <w:rFonts w:cs="Book Antiqua"/>
          <w:i/>
          <w:iCs/>
        </w:rPr>
        <w:t>National Plan to End Violence</w:t>
      </w:r>
      <w:r>
        <w:rPr>
          <w:rFonts w:cs="Book Antiqua"/>
          <w:i/>
          <w:iCs/>
        </w:rPr>
        <w:t xml:space="preserve"> </w:t>
      </w:r>
      <w:r w:rsidRPr="001C06E6">
        <w:rPr>
          <w:rFonts w:cs="Book Antiqua"/>
          <w:i/>
          <w:iCs/>
        </w:rPr>
        <w:t xml:space="preserve">Against Women and Children </w:t>
      </w:r>
      <w:r>
        <w:rPr>
          <w:rFonts w:cs="Book Antiqua"/>
          <w:i/>
          <w:iCs/>
        </w:rPr>
        <w:t>2022–32</w:t>
      </w:r>
      <w:r w:rsidRPr="001C06E6">
        <w:rPr>
          <w:rFonts w:cs="Book Antiqua"/>
        </w:rPr>
        <w:t>.</w:t>
      </w:r>
      <w:r>
        <w:rPr>
          <w:rFonts w:cs="Book Antiqua"/>
        </w:rPr>
        <w:t xml:space="preserve"> </w:t>
      </w:r>
    </w:p>
    <w:p w14:paraId="21E1D8DF" w14:textId="77777777" w:rsidR="0012790E" w:rsidRPr="001C06E6" w:rsidRDefault="0012790E" w:rsidP="54937204">
      <w:pPr>
        <w:pStyle w:val="MeasureTitle"/>
        <w:rPr>
          <w:b w:val="0"/>
          <w:lang w:val="en-US"/>
        </w:rPr>
      </w:pPr>
      <w:r w:rsidRPr="54937204">
        <w:rPr>
          <w:lang w:val="en-US"/>
        </w:rPr>
        <w:t>Qtopia Sydney</w:t>
      </w:r>
    </w:p>
    <w:p w14:paraId="704997E9"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37A311A" w14:textId="77777777">
        <w:tc>
          <w:tcPr>
            <w:tcW w:w="2497" w:type="dxa"/>
            <w:tcBorders>
              <w:top w:val="single" w:sz="4" w:space="0" w:color="293F5B"/>
              <w:bottom w:val="single" w:sz="4" w:space="0" w:color="293F5B"/>
            </w:tcBorders>
            <w:shd w:val="clear" w:color="auto" w:fill="auto"/>
          </w:tcPr>
          <w:p w14:paraId="5255A8A0"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3B32DA04"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28E2A7C4"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A4ADBA7"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4D95A27"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16464C1" w14:textId="77777777" w:rsidR="0012790E" w:rsidRPr="001C06E6" w:rsidRDefault="0012790E">
            <w:pPr>
              <w:pStyle w:val="MeasureTableYearHeadings"/>
              <w:keepNext/>
            </w:pPr>
            <w:r w:rsidRPr="001C06E6">
              <w:t>2027</w:t>
            </w:r>
            <w:r>
              <w:noBreakHyphen/>
            </w:r>
            <w:r w:rsidRPr="001C06E6">
              <w:t>28</w:t>
            </w:r>
          </w:p>
        </w:tc>
      </w:tr>
      <w:tr w:rsidR="0012790E" w:rsidRPr="001C06E6" w14:paraId="58E253A9" w14:textId="77777777">
        <w:tc>
          <w:tcPr>
            <w:tcW w:w="2497" w:type="dxa"/>
            <w:tcBorders>
              <w:top w:val="single" w:sz="4" w:space="0" w:color="293F5B"/>
              <w:bottom w:val="single" w:sz="4" w:space="0" w:color="293F5B"/>
            </w:tcBorders>
            <w:shd w:val="clear" w:color="auto" w:fill="auto"/>
          </w:tcPr>
          <w:p w14:paraId="61BAAF59"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51E5E1A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B0F2C04" w14:textId="77777777" w:rsidR="0012790E" w:rsidRPr="001C06E6" w:rsidRDefault="0012790E">
            <w:pPr>
              <w:pStyle w:val="MeasureTableDataRightAlignedwith2ptsspacing"/>
              <w:keepNext/>
            </w:pPr>
            <w:r w:rsidRPr="001C06E6">
              <w:t>1.5</w:t>
            </w:r>
          </w:p>
        </w:tc>
        <w:tc>
          <w:tcPr>
            <w:tcW w:w="1045" w:type="dxa"/>
            <w:tcBorders>
              <w:top w:val="single" w:sz="4" w:space="0" w:color="293F5B"/>
              <w:bottom w:val="single" w:sz="4" w:space="0" w:color="293F5B"/>
            </w:tcBorders>
            <w:shd w:val="clear" w:color="auto" w:fill="auto"/>
          </w:tcPr>
          <w:p w14:paraId="10189FE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BBBEDF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3A5C0CE" w14:textId="77777777" w:rsidR="0012790E" w:rsidRPr="001C06E6" w:rsidRDefault="0012790E">
            <w:pPr>
              <w:pStyle w:val="MeasureTableDataRightAlignedwith2ptsspacing"/>
              <w:keepNext/>
            </w:pPr>
            <w:r w:rsidRPr="001C06E6">
              <w:t>-</w:t>
            </w:r>
          </w:p>
        </w:tc>
      </w:tr>
      <w:tr w:rsidR="0012790E" w:rsidRPr="001C06E6" w14:paraId="44EEEE28" w14:textId="77777777">
        <w:tc>
          <w:tcPr>
            <w:tcW w:w="2497" w:type="dxa"/>
            <w:tcBorders>
              <w:top w:val="single" w:sz="4" w:space="0" w:color="293F5B"/>
              <w:bottom w:val="single" w:sz="4" w:space="0" w:color="293F5B"/>
            </w:tcBorders>
            <w:shd w:val="clear" w:color="auto" w:fill="auto"/>
          </w:tcPr>
          <w:p w14:paraId="7DB05667"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70EFAFB7"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634FAE3"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989B69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32EE726"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9664EEE" w14:textId="77777777" w:rsidR="0012790E" w:rsidRPr="001C06E6" w:rsidRDefault="0012790E">
            <w:pPr>
              <w:pStyle w:val="MeasureTableDataRightAlignedwith2ptsspacing"/>
              <w:keepNext/>
            </w:pPr>
            <w:r>
              <w:t xml:space="preserve">-   </w:t>
            </w:r>
          </w:p>
        </w:tc>
      </w:tr>
      <w:tr w:rsidR="0012790E" w:rsidRPr="001C06E6" w14:paraId="659FD97E" w14:textId="77777777">
        <w:tc>
          <w:tcPr>
            <w:tcW w:w="2497" w:type="dxa"/>
            <w:tcBorders>
              <w:top w:val="single" w:sz="4" w:space="0" w:color="293F5B"/>
              <w:bottom w:val="single" w:sz="4" w:space="0" w:color="293F5B"/>
            </w:tcBorders>
            <w:shd w:val="clear" w:color="auto" w:fill="auto"/>
          </w:tcPr>
          <w:p w14:paraId="1D334B60"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3DF695B"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CD9ACD6" w14:textId="77777777" w:rsidR="0012790E" w:rsidRPr="001C06E6" w:rsidRDefault="0012790E">
            <w:pPr>
              <w:pStyle w:val="Totaldatarowrightaligned"/>
              <w:keepNext/>
            </w:pPr>
            <w:r w:rsidRPr="001C06E6">
              <w:t>1.5</w:t>
            </w:r>
          </w:p>
        </w:tc>
        <w:tc>
          <w:tcPr>
            <w:tcW w:w="1045" w:type="dxa"/>
            <w:tcBorders>
              <w:top w:val="single" w:sz="4" w:space="0" w:color="293F5B"/>
              <w:bottom w:val="single" w:sz="4" w:space="0" w:color="293F5B"/>
            </w:tcBorders>
            <w:shd w:val="clear" w:color="auto" w:fill="auto"/>
          </w:tcPr>
          <w:p w14:paraId="05C87359"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75FDDC7E"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2700D2B3" w14:textId="77777777" w:rsidR="0012790E" w:rsidRPr="001C06E6" w:rsidRDefault="0012790E">
            <w:pPr>
              <w:pStyle w:val="Totaldatarowrightaligned"/>
              <w:keepNext/>
            </w:pPr>
            <w:r w:rsidRPr="001C06E6">
              <w:t>-</w:t>
            </w:r>
          </w:p>
        </w:tc>
      </w:tr>
    </w:tbl>
    <w:p w14:paraId="4067A704"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637F2209" w14:textId="77777777" w:rsidR="0012790E" w:rsidRDefault="0012790E" w:rsidP="54937204">
      <w:pPr>
        <w:pStyle w:val="Normal2"/>
        <w:rPr>
          <w:rFonts w:cs="Book Antiqua"/>
          <w:lang w:val="en-US"/>
        </w:rPr>
      </w:pPr>
      <w:r w:rsidRPr="54937204">
        <w:rPr>
          <w:rFonts w:cs="Book Antiqua"/>
          <w:lang w:val="en-US"/>
        </w:rPr>
        <w:t xml:space="preserve">The Government will provide $1.5 million in 2024–25 to the New South Wales Government to support upgrades to Qtopia Sydney. </w:t>
      </w:r>
    </w:p>
    <w:p w14:paraId="1F49AE74" w14:textId="77777777" w:rsidR="0012790E" w:rsidRPr="001C06E6" w:rsidRDefault="0012790E">
      <w:pPr>
        <w:pStyle w:val="MeasureTitle"/>
        <w:rPr>
          <w:b w:val="0"/>
          <w:bCs/>
        </w:rPr>
      </w:pPr>
      <w:r w:rsidRPr="001C06E6">
        <w:rPr>
          <w:bCs/>
        </w:rPr>
        <w:t>Revive – National Cultural Policy</w:t>
      </w:r>
    </w:p>
    <w:p w14:paraId="68B6634B"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6939710" w14:textId="77777777">
        <w:tc>
          <w:tcPr>
            <w:tcW w:w="2497" w:type="dxa"/>
            <w:tcBorders>
              <w:top w:val="single" w:sz="4" w:space="0" w:color="293F5B"/>
              <w:bottom w:val="single" w:sz="4" w:space="0" w:color="293F5B"/>
            </w:tcBorders>
            <w:shd w:val="clear" w:color="auto" w:fill="auto"/>
          </w:tcPr>
          <w:p w14:paraId="380C1534"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2964761"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A3D25C3"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6DE754B"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F4694B7"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1C3FB7C" w14:textId="77777777" w:rsidR="0012790E" w:rsidRPr="001C06E6" w:rsidRDefault="0012790E">
            <w:pPr>
              <w:pStyle w:val="MeasureTableYearHeadings"/>
              <w:keepNext/>
            </w:pPr>
            <w:r w:rsidRPr="001C06E6">
              <w:t>2027</w:t>
            </w:r>
            <w:r>
              <w:noBreakHyphen/>
            </w:r>
            <w:r w:rsidRPr="001C06E6">
              <w:t>28</w:t>
            </w:r>
          </w:p>
        </w:tc>
      </w:tr>
      <w:tr w:rsidR="0012790E" w:rsidRPr="001C06E6" w14:paraId="0EB19957" w14:textId="77777777">
        <w:tc>
          <w:tcPr>
            <w:tcW w:w="2497" w:type="dxa"/>
            <w:tcBorders>
              <w:top w:val="single" w:sz="4" w:space="0" w:color="293F5B"/>
              <w:bottom w:val="single" w:sz="4" w:space="0" w:color="293F5B"/>
            </w:tcBorders>
            <w:shd w:val="clear" w:color="auto" w:fill="auto"/>
          </w:tcPr>
          <w:p w14:paraId="17174AE8"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73A1772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4640675" w14:textId="77777777" w:rsidR="0012790E" w:rsidRPr="001C06E6" w:rsidRDefault="0012790E">
            <w:pPr>
              <w:pStyle w:val="MeasureTableDataRightAlignedwith2ptsspacing"/>
              <w:keepNext/>
            </w:pPr>
            <w:r>
              <w:t xml:space="preserve">11.3   </w:t>
            </w:r>
          </w:p>
        </w:tc>
        <w:tc>
          <w:tcPr>
            <w:tcW w:w="1045" w:type="dxa"/>
            <w:tcBorders>
              <w:top w:val="single" w:sz="4" w:space="0" w:color="293F5B"/>
              <w:bottom w:val="single" w:sz="4" w:space="0" w:color="293F5B"/>
            </w:tcBorders>
            <w:shd w:val="clear" w:color="auto" w:fill="auto"/>
          </w:tcPr>
          <w:p w14:paraId="5C58657C" w14:textId="77777777" w:rsidR="0012790E" w:rsidRPr="001C06E6" w:rsidRDefault="0012790E">
            <w:pPr>
              <w:pStyle w:val="MeasureTableDataRightAlignedwith2ptsspacing"/>
              <w:keepNext/>
            </w:pPr>
            <w:r>
              <w:t xml:space="preserve">19.0   </w:t>
            </w:r>
          </w:p>
        </w:tc>
        <w:tc>
          <w:tcPr>
            <w:tcW w:w="1045" w:type="dxa"/>
            <w:tcBorders>
              <w:top w:val="single" w:sz="4" w:space="0" w:color="293F5B"/>
              <w:bottom w:val="single" w:sz="4" w:space="0" w:color="293F5B"/>
            </w:tcBorders>
            <w:shd w:val="clear" w:color="auto" w:fill="auto"/>
          </w:tcPr>
          <w:p w14:paraId="463A1B9D" w14:textId="77777777" w:rsidR="0012790E" w:rsidRPr="001C06E6" w:rsidRDefault="0012790E">
            <w:pPr>
              <w:pStyle w:val="MeasureTableDataRightAlignedwith2ptsspacing"/>
              <w:keepNext/>
            </w:pPr>
            <w:r>
              <w:t xml:space="preserve">44.8   </w:t>
            </w:r>
          </w:p>
        </w:tc>
        <w:tc>
          <w:tcPr>
            <w:tcW w:w="1045" w:type="dxa"/>
            <w:tcBorders>
              <w:top w:val="single" w:sz="4" w:space="0" w:color="293F5B"/>
              <w:bottom w:val="single" w:sz="4" w:space="0" w:color="293F5B"/>
            </w:tcBorders>
            <w:shd w:val="clear" w:color="auto" w:fill="auto"/>
          </w:tcPr>
          <w:p w14:paraId="3E424082" w14:textId="77777777" w:rsidR="0012790E" w:rsidRPr="001C06E6" w:rsidRDefault="0012790E">
            <w:pPr>
              <w:pStyle w:val="MeasureTableDataRightAlignedwith2ptsspacing"/>
              <w:keepNext/>
            </w:pPr>
            <w:r>
              <w:t xml:space="preserve">50.0   </w:t>
            </w:r>
          </w:p>
        </w:tc>
      </w:tr>
      <w:tr w:rsidR="0012790E" w:rsidRPr="001C06E6" w14:paraId="537F276B" w14:textId="77777777">
        <w:tc>
          <w:tcPr>
            <w:tcW w:w="2497" w:type="dxa"/>
            <w:tcBorders>
              <w:top w:val="single" w:sz="4" w:space="0" w:color="293F5B"/>
              <w:bottom w:val="single" w:sz="4" w:space="0" w:color="293F5B"/>
            </w:tcBorders>
            <w:shd w:val="clear" w:color="auto" w:fill="auto"/>
          </w:tcPr>
          <w:p w14:paraId="4E54577A" w14:textId="77777777" w:rsidR="0012790E" w:rsidRPr="001C06E6" w:rsidRDefault="0012790E">
            <w:pPr>
              <w:pStyle w:val="MeasureTableHeadingleftalignedwith2ptsspacing"/>
              <w:keepNext/>
            </w:pPr>
            <w:r>
              <w:t xml:space="preserve">National Film and Sound Archive of Australia </w:t>
            </w:r>
          </w:p>
        </w:tc>
        <w:tc>
          <w:tcPr>
            <w:tcW w:w="1045" w:type="dxa"/>
            <w:tcBorders>
              <w:top w:val="single" w:sz="4" w:space="0" w:color="293F5B"/>
              <w:bottom w:val="single" w:sz="4" w:space="0" w:color="293F5B"/>
            </w:tcBorders>
            <w:shd w:val="clear" w:color="auto" w:fill="auto"/>
          </w:tcPr>
          <w:p w14:paraId="14ACB7F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11B487D" w14:textId="77777777" w:rsidR="0012790E" w:rsidRPr="001C06E6" w:rsidRDefault="0012790E">
            <w:pPr>
              <w:pStyle w:val="MeasureTableDataRightAlignedwith2ptsspacing"/>
              <w:keepNext/>
            </w:pPr>
            <w:r>
              <w:t xml:space="preserve">3.8 </w:t>
            </w:r>
          </w:p>
        </w:tc>
        <w:tc>
          <w:tcPr>
            <w:tcW w:w="1045" w:type="dxa"/>
            <w:tcBorders>
              <w:top w:val="single" w:sz="4" w:space="0" w:color="293F5B"/>
              <w:bottom w:val="single" w:sz="4" w:space="0" w:color="293F5B"/>
            </w:tcBorders>
            <w:shd w:val="clear" w:color="auto" w:fill="auto"/>
          </w:tcPr>
          <w:p w14:paraId="4EB8CC9C" w14:textId="77777777" w:rsidR="0012790E" w:rsidRPr="001C06E6" w:rsidRDefault="0012790E">
            <w:pPr>
              <w:pStyle w:val="MeasureTableDataRightAlignedwith2ptsspacing"/>
              <w:keepNext/>
            </w:pPr>
            <w:r>
              <w:t xml:space="preserve">3.7 </w:t>
            </w:r>
          </w:p>
        </w:tc>
        <w:tc>
          <w:tcPr>
            <w:tcW w:w="1045" w:type="dxa"/>
            <w:tcBorders>
              <w:top w:val="single" w:sz="4" w:space="0" w:color="293F5B"/>
              <w:bottom w:val="single" w:sz="4" w:space="0" w:color="293F5B"/>
            </w:tcBorders>
            <w:shd w:val="clear" w:color="auto" w:fill="auto"/>
          </w:tcPr>
          <w:p w14:paraId="228E576A" w14:textId="77777777" w:rsidR="0012790E" w:rsidRPr="001C06E6" w:rsidRDefault="0012790E">
            <w:pPr>
              <w:pStyle w:val="MeasureTableDataRightAlignedwith2ptsspacing"/>
              <w:keepNext/>
            </w:pPr>
            <w:r>
              <w:t xml:space="preserve">1.7 </w:t>
            </w:r>
          </w:p>
        </w:tc>
        <w:tc>
          <w:tcPr>
            <w:tcW w:w="1045" w:type="dxa"/>
            <w:tcBorders>
              <w:top w:val="single" w:sz="4" w:space="0" w:color="293F5B"/>
              <w:bottom w:val="single" w:sz="4" w:space="0" w:color="293F5B"/>
            </w:tcBorders>
            <w:shd w:val="clear" w:color="auto" w:fill="auto"/>
          </w:tcPr>
          <w:p w14:paraId="49BC2FB6" w14:textId="77777777" w:rsidR="0012790E" w:rsidRPr="001C06E6" w:rsidRDefault="0012790E">
            <w:pPr>
              <w:pStyle w:val="MeasureTableDataRightAlignedwith2ptsspacing"/>
              <w:keepNext/>
            </w:pPr>
            <w:r>
              <w:t xml:space="preserve">0.1 </w:t>
            </w:r>
          </w:p>
        </w:tc>
      </w:tr>
      <w:tr w:rsidR="0012790E" w:rsidRPr="001C06E6" w14:paraId="042AF059" w14:textId="77777777">
        <w:tc>
          <w:tcPr>
            <w:tcW w:w="2497" w:type="dxa"/>
            <w:tcBorders>
              <w:top w:val="single" w:sz="4" w:space="0" w:color="293F5B"/>
              <w:bottom w:val="single" w:sz="4" w:space="0" w:color="293F5B"/>
            </w:tcBorders>
            <w:shd w:val="clear" w:color="auto" w:fill="auto"/>
          </w:tcPr>
          <w:p w14:paraId="50180697" w14:textId="77777777" w:rsidR="0012790E" w:rsidRPr="001C06E6" w:rsidRDefault="0012790E">
            <w:pPr>
              <w:pStyle w:val="MeasureTableHeadingleftalignedwith2ptsspacing"/>
              <w:keepNext/>
            </w:pPr>
            <w:r>
              <w:t xml:space="preserve">Australian Film, Television and Radio School </w:t>
            </w:r>
          </w:p>
        </w:tc>
        <w:tc>
          <w:tcPr>
            <w:tcW w:w="1045" w:type="dxa"/>
            <w:tcBorders>
              <w:top w:val="single" w:sz="4" w:space="0" w:color="293F5B"/>
              <w:bottom w:val="single" w:sz="4" w:space="0" w:color="293F5B"/>
            </w:tcBorders>
            <w:shd w:val="clear" w:color="auto" w:fill="auto"/>
          </w:tcPr>
          <w:p w14:paraId="44C1BD13"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77F6328" w14:textId="77777777" w:rsidR="0012790E" w:rsidRPr="001C06E6" w:rsidRDefault="0012790E">
            <w:pPr>
              <w:pStyle w:val="MeasureTableDataRightAlignedwith2ptsspacing"/>
              <w:keepNext/>
            </w:pPr>
            <w:r>
              <w:t xml:space="preserve">3.8 </w:t>
            </w:r>
          </w:p>
        </w:tc>
        <w:tc>
          <w:tcPr>
            <w:tcW w:w="1045" w:type="dxa"/>
            <w:tcBorders>
              <w:top w:val="single" w:sz="4" w:space="0" w:color="293F5B"/>
              <w:bottom w:val="single" w:sz="4" w:space="0" w:color="293F5B"/>
            </w:tcBorders>
            <w:shd w:val="clear" w:color="auto" w:fill="auto"/>
          </w:tcPr>
          <w:p w14:paraId="4D0BECE4" w14:textId="77777777" w:rsidR="0012790E" w:rsidRPr="001C06E6" w:rsidRDefault="0012790E">
            <w:pPr>
              <w:pStyle w:val="MeasureTableDataRightAlignedwith2ptsspacing"/>
              <w:keepNext/>
            </w:pPr>
            <w:r>
              <w:t xml:space="preserve">4.0 </w:t>
            </w:r>
          </w:p>
        </w:tc>
        <w:tc>
          <w:tcPr>
            <w:tcW w:w="1045" w:type="dxa"/>
            <w:tcBorders>
              <w:top w:val="single" w:sz="4" w:space="0" w:color="293F5B"/>
              <w:bottom w:val="single" w:sz="4" w:space="0" w:color="293F5B"/>
            </w:tcBorders>
            <w:shd w:val="clear" w:color="auto" w:fill="auto"/>
          </w:tcPr>
          <w:p w14:paraId="5D8BCE3A" w14:textId="77777777" w:rsidR="0012790E" w:rsidRPr="001C06E6" w:rsidRDefault="0012790E">
            <w:pPr>
              <w:pStyle w:val="MeasureTableDataRightAlignedwith2ptsspacing"/>
              <w:keepNext/>
            </w:pPr>
            <w:r>
              <w:t xml:space="preserve">4.9 </w:t>
            </w:r>
          </w:p>
        </w:tc>
        <w:tc>
          <w:tcPr>
            <w:tcW w:w="1045" w:type="dxa"/>
            <w:tcBorders>
              <w:top w:val="single" w:sz="4" w:space="0" w:color="293F5B"/>
              <w:bottom w:val="single" w:sz="4" w:space="0" w:color="293F5B"/>
            </w:tcBorders>
            <w:shd w:val="clear" w:color="auto" w:fill="auto"/>
          </w:tcPr>
          <w:p w14:paraId="57737A62" w14:textId="77777777" w:rsidR="0012790E" w:rsidRPr="001C06E6" w:rsidRDefault="0012790E">
            <w:pPr>
              <w:pStyle w:val="MeasureTableDataRightAlignedwith2ptsspacing"/>
              <w:keepNext/>
            </w:pPr>
            <w:r>
              <w:t xml:space="preserve">10.6 </w:t>
            </w:r>
          </w:p>
        </w:tc>
      </w:tr>
      <w:tr w:rsidR="0012790E" w:rsidRPr="001C06E6" w14:paraId="0AC1823A" w14:textId="77777777">
        <w:tc>
          <w:tcPr>
            <w:tcW w:w="2497" w:type="dxa"/>
            <w:tcBorders>
              <w:top w:val="single" w:sz="4" w:space="0" w:color="293F5B"/>
              <w:bottom w:val="single" w:sz="4" w:space="0" w:color="293F5B"/>
            </w:tcBorders>
            <w:shd w:val="clear" w:color="auto" w:fill="auto"/>
          </w:tcPr>
          <w:p w14:paraId="7E534BA3"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5C89AD1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8C2356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D86A4E7"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71710383" w14:textId="77777777" w:rsidR="0012790E" w:rsidRPr="001C06E6" w:rsidRDefault="0012790E">
            <w:pPr>
              <w:pStyle w:val="MeasureTableDataRightAlignedwith2ptsspacing"/>
              <w:keepNext/>
            </w:pPr>
            <w:r w:rsidRPr="001C06E6">
              <w:t>0.2</w:t>
            </w:r>
          </w:p>
        </w:tc>
        <w:tc>
          <w:tcPr>
            <w:tcW w:w="1045" w:type="dxa"/>
            <w:tcBorders>
              <w:top w:val="single" w:sz="4" w:space="0" w:color="293F5B"/>
              <w:bottom w:val="single" w:sz="4" w:space="0" w:color="293F5B"/>
            </w:tcBorders>
            <w:shd w:val="clear" w:color="auto" w:fill="auto"/>
          </w:tcPr>
          <w:p w14:paraId="17A0B161" w14:textId="77777777" w:rsidR="0012790E" w:rsidRPr="001C06E6" w:rsidRDefault="0012790E">
            <w:pPr>
              <w:pStyle w:val="MeasureTableDataRightAlignedwith2ptsspacing"/>
              <w:keepNext/>
            </w:pPr>
            <w:r w:rsidRPr="001C06E6">
              <w:t>0.2</w:t>
            </w:r>
          </w:p>
        </w:tc>
      </w:tr>
      <w:tr w:rsidR="0012790E" w:rsidRPr="001C06E6" w14:paraId="4DB0661B" w14:textId="77777777">
        <w:tc>
          <w:tcPr>
            <w:tcW w:w="2497" w:type="dxa"/>
            <w:tcBorders>
              <w:top w:val="single" w:sz="4" w:space="0" w:color="293F5B"/>
              <w:bottom w:val="single" w:sz="4" w:space="0" w:color="293F5B"/>
            </w:tcBorders>
            <w:shd w:val="clear" w:color="auto" w:fill="auto"/>
          </w:tcPr>
          <w:p w14:paraId="3CAD9016"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697D6B7D"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0B918FE7" w14:textId="77777777" w:rsidR="0012790E" w:rsidRPr="001C06E6" w:rsidRDefault="0012790E">
            <w:pPr>
              <w:pStyle w:val="Totaldatarowrightaligned"/>
              <w:keepNext/>
            </w:pPr>
            <w:r w:rsidRPr="001C06E6">
              <w:t>18.9</w:t>
            </w:r>
          </w:p>
        </w:tc>
        <w:tc>
          <w:tcPr>
            <w:tcW w:w="1045" w:type="dxa"/>
            <w:tcBorders>
              <w:top w:val="single" w:sz="4" w:space="0" w:color="293F5B"/>
              <w:bottom w:val="single" w:sz="4" w:space="0" w:color="293F5B"/>
            </w:tcBorders>
            <w:shd w:val="clear" w:color="auto" w:fill="auto"/>
          </w:tcPr>
          <w:p w14:paraId="6A4A3D33" w14:textId="77777777" w:rsidR="0012790E" w:rsidRPr="001C06E6" w:rsidRDefault="0012790E">
            <w:pPr>
              <w:pStyle w:val="Totaldatarowrightaligned"/>
              <w:keepNext/>
            </w:pPr>
            <w:r w:rsidRPr="001C06E6">
              <w:t>26.8</w:t>
            </w:r>
          </w:p>
        </w:tc>
        <w:tc>
          <w:tcPr>
            <w:tcW w:w="1045" w:type="dxa"/>
            <w:tcBorders>
              <w:top w:val="single" w:sz="4" w:space="0" w:color="293F5B"/>
              <w:bottom w:val="single" w:sz="4" w:space="0" w:color="293F5B"/>
            </w:tcBorders>
            <w:shd w:val="clear" w:color="auto" w:fill="auto"/>
          </w:tcPr>
          <w:p w14:paraId="3D1AB4C7" w14:textId="77777777" w:rsidR="0012790E" w:rsidRPr="001C06E6" w:rsidRDefault="0012790E">
            <w:pPr>
              <w:pStyle w:val="Totaldatarowrightaligned"/>
              <w:keepNext/>
            </w:pPr>
            <w:r w:rsidRPr="001C06E6">
              <w:t>51.6</w:t>
            </w:r>
          </w:p>
        </w:tc>
        <w:tc>
          <w:tcPr>
            <w:tcW w:w="1045" w:type="dxa"/>
            <w:tcBorders>
              <w:top w:val="single" w:sz="4" w:space="0" w:color="293F5B"/>
              <w:bottom w:val="single" w:sz="4" w:space="0" w:color="293F5B"/>
            </w:tcBorders>
            <w:shd w:val="clear" w:color="auto" w:fill="auto"/>
          </w:tcPr>
          <w:p w14:paraId="44961BAC" w14:textId="77777777" w:rsidR="0012790E" w:rsidRPr="001C06E6" w:rsidRDefault="0012790E">
            <w:pPr>
              <w:pStyle w:val="Totaldatarowrightaligned"/>
              <w:keepNext/>
            </w:pPr>
            <w:r w:rsidRPr="001C06E6">
              <w:t>60.9</w:t>
            </w:r>
          </w:p>
        </w:tc>
      </w:tr>
    </w:tbl>
    <w:p w14:paraId="034A04BC"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49A45B7D" w14:textId="77777777" w:rsidR="0012790E" w:rsidRDefault="0012790E" w:rsidP="54937204">
      <w:pPr>
        <w:pStyle w:val="Normal2"/>
        <w:rPr>
          <w:rFonts w:cs="Book Antiqua"/>
          <w:lang w:val="en-US"/>
        </w:rPr>
      </w:pPr>
      <w:r w:rsidRPr="54937204">
        <w:rPr>
          <w:rFonts w:cs="Book Antiqua"/>
          <w:lang w:val="en-US"/>
        </w:rPr>
        <w:t xml:space="preserve">The Government will provide $216.6 million over four years from 2024–25 (and $59.9 million per year ongoing) to further support Australia’s arts, entertainment and cultural sector under the </w:t>
      </w:r>
      <w:r w:rsidRPr="54937204">
        <w:rPr>
          <w:rFonts w:cs="Book Antiqua"/>
          <w:i/>
          <w:iCs/>
          <w:lang w:val="en-US"/>
        </w:rPr>
        <w:t>National Cultural Policy – Revive</w:t>
      </w:r>
      <w:r w:rsidRPr="54937204">
        <w:rPr>
          <w:rFonts w:cs="Book Antiqua"/>
          <w:lang w:val="en-US"/>
        </w:rPr>
        <w:t>. Funding includes:</w:t>
      </w:r>
    </w:p>
    <w:p w14:paraId="4156B749" w14:textId="77777777" w:rsidR="0012790E" w:rsidRDefault="0012790E">
      <w:pPr>
        <w:pStyle w:val="Bullet"/>
      </w:pPr>
      <w:r w:rsidRPr="001C06E6">
        <w:t>$117.2</w:t>
      </w:r>
      <w:r>
        <w:t> </w:t>
      </w:r>
      <w:r w:rsidRPr="001C06E6">
        <w:t xml:space="preserve">million over four years from </w:t>
      </w:r>
      <w:r>
        <w:t>2024–25</w:t>
      </w:r>
      <w:r w:rsidRPr="001C06E6">
        <w:t xml:space="preserve"> (and $36.9</w:t>
      </w:r>
      <w:r>
        <w:t> </w:t>
      </w:r>
      <w:r w:rsidRPr="001C06E6">
        <w:t>million per year ongoing) to support the operations and long</w:t>
      </w:r>
      <w:r>
        <w:noBreakHyphen/>
      </w:r>
      <w:r w:rsidRPr="001C06E6">
        <w:t>term financial sustainability of the national performing arts training organisations and Australian Film Television and Radio School</w:t>
      </w:r>
      <w:r>
        <w:t xml:space="preserve"> </w:t>
      </w:r>
    </w:p>
    <w:p w14:paraId="36C23314" w14:textId="157ED0E8" w:rsidR="0012790E" w:rsidRDefault="0012790E">
      <w:pPr>
        <w:pStyle w:val="Bullet"/>
      </w:pPr>
      <w:r w:rsidRPr="001C06E6">
        <w:t>$53.8</w:t>
      </w:r>
      <w:r>
        <w:t> </w:t>
      </w:r>
      <w:r w:rsidRPr="001C06E6">
        <w:t xml:space="preserve">million over four years from </w:t>
      </w:r>
      <w:r>
        <w:t>2024–25</w:t>
      </w:r>
      <w:r w:rsidRPr="001C06E6">
        <w:t xml:space="preserve"> (and $17.8</w:t>
      </w:r>
      <w:r>
        <w:t> </w:t>
      </w:r>
      <w:r w:rsidRPr="001C06E6">
        <w:t>million per year ongoing) to establish two new First Nations language centres, increase funding for existing language centres and for community language learning to increase the number of First</w:t>
      </w:r>
      <w:r w:rsidR="006B7A83">
        <w:t> </w:t>
      </w:r>
      <w:r w:rsidRPr="001C06E6">
        <w:t>Nations language speakers</w:t>
      </w:r>
      <w:r>
        <w:t xml:space="preserve"> </w:t>
      </w:r>
    </w:p>
    <w:p w14:paraId="532E4BA6" w14:textId="77777777" w:rsidR="0012790E" w:rsidRDefault="0012790E">
      <w:pPr>
        <w:pStyle w:val="Bullet"/>
      </w:pPr>
      <w:r w:rsidRPr="001C06E6">
        <w:t>$14.5</w:t>
      </w:r>
      <w:r>
        <w:t> </w:t>
      </w:r>
      <w:r w:rsidRPr="001C06E6">
        <w:t xml:space="preserve">million over four years from </w:t>
      </w:r>
      <w:r>
        <w:t>2024–25</w:t>
      </w:r>
      <w:r w:rsidRPr="001C06E6">
        <w:t xml:space="preserve"> (and $3.8</w:t>
      </w:r>
      <w:r>
        <w:t> </w:t>
      </w:r>
      <w:r w:rsidRPr="001C06E6">
        <w:t>million per year ongoing) for the Australian Children’s Television Foundation to increase investment in the production and development of Australian children’s content</w:t>
      </w:r>
      <w:r>
        <w:t xml:space="preserve"> </w:t>
      </w:r>
    </w:p>
    <w:p w14:paraId="321900CA" w14:textId="77777777" w:rsidR="0012790E" w:rsidRDefault="0012790E">
      <w:pPr>
        <w:pStyle w:val="Bullet"/>
      </w:pPr>
      <w:r w:rsidRPr="001C06E6">
        <w:t>$9.3</w:t>
      </w:r>
      <w:r>
        <w:t> </w:t>
      </w:r>
      <w:r w:rsidRPr="001C06E6">
        <w:t xml:space="preserve">million over four years from </w:t>
      </w:r>
      <w:r>
        <w:t>2024–25</w:t>
      </w:r>
      <w:r w:rsidRPr="001C06E6">
        <w:t xml:space="preserve"> (and $0.1</w:t>
      </w:r>
      <w:r>
        <w:t> </w:t>
      </w:r>
      <w:r w:rsidRPr="001C06E6">
        <w:t>million per year ongoing) for the National Film and Sound Archive of Australia to expand its capacity to safely store and protect nitrate</w:t>
      </w:r>
      <w:r>
        <w:noBreakHyphen/>
      </w:r>
      <w:r w:rsidRPr="001C06E6">
        <w:t>based cultural heritage material, with capital funding to be held in the Contingency Reserve until final project details are settled</w:t>
      </w:r>
      <w:r>
        <w:t xml:space="preserve"> </w:t>
      </w:r>
    </w:p>
    <w:p w14:paraId="044004ED" w14:textId="77777777" w:rsidR="0012790E" w:rsidRDefault="0012790E">
      <w:pPr>
        <w:pStyle w:val="Bullet"/>
      </w:pPr>
      <w:r w:rsidRPr="001C06E6">
        <w:t>$8.6</w:t>
      </w:r>
      <w:r>
        <w:t> </w:t>
      </w:r>
      <w:r w:rsidRPr="001C06E6">
        <w:t xml:space="preserve">million in </w:t>
      </w:r>
      <w:r>
        <w:t>2024–25</w:t>
      </w:r>
      <w:r w:rsidRPr="001C06E6">
        <w:t xml:space="preserve"> for Revive Live to support Australian live music venues and festivals showcasing Australian bands and artists, including to improve accessibility and inclusion at live music performances</w:t>
      </w:r>
      <w:r>
        <w:t xml:space="preserve"> </w:t>
      </w:r>
    </w:p>
    <w:p w14:paraId="2709ACC6" w14:textId="178F79B0" w:rsidR="0012790E" w:rsidRDefault="0012790E">
      <w:pPr>
        <w:pStyle w:val="Bullet"/>
        <w:rPr>
          <w:iCs/>
        </w:rPr>
      </w:pPr>
      <w:r w:rsidRPr="001C06E6">
        <w:t>$7.9</w:t>
      </w:r>
      <w:r>
        <w:t> </w:t>
      </w:r>
      <w:r w:rsidRPr="001C06E6">
        <w:t xml:space="preserve">million over four years from </w:t>
      </w:r>
      <w:r>
        <w:t>2024–25</w:t>
      </w:r>
      <w:r w:rsidRPr="001C06E6">
        <w:t xml:space="preserve"> for initiatives to support people with disability to access and participate in the creative arts, including $5.0</w:t>
      </w:r>
      <w:r>
        <w:t> </w:t>
      </w:r>
      <w:r w:rsidRPr="001C06E6">
        <w:t xml:space="preserve">million already provided for by the Government in the </w:t>
      </w:r>
      <w:r>
        <w:t>2023–24 </w:t>
      </w:r>
      <w:r w:rsidRPr="001C06E6">
        <w:t xml:space="preserve">Budget measure titled </w:t>
      </w:r>
      <w:r w:rsidRPr="001C06E6">
        <w:rPr>
          <w:i/>
          <w:iCs/>
        </w:rPr>
        <w:t>Revive – National</w:t>
      </w:r>
      <w:r w:rsidR="006B7A83">
        <w:rPr>
          <w:i/>
          <w:iCs/>
        </w:rPr>
        <w:t> </w:t>
      </w:r>
      <w:r w:rsidRPr="001C06E6">
        <w:rPr>
          <w:i/>
          <w:iCs/>
        </w:rPr>
        <w:t>Cultural Policy and Location Incentive</w:t>
      </w:r>
      <w:r>
        <w:rPr>
          <w:iCs/>
        </w:rPr>
        <w:t xml:space="preserve"> </w:t>
      </w:r>
    </w:p>
    <w:p w14:paraId="3935F601" w14:textId="77777777" w:rsidR="0012790E" w:rsidRDefault="0012790E">
      <w:pPr>
        <w:pStyle w:val="Bullet"/>
      </w:pPr>
      <w:r w:rsidRPr="001C06E6">
        <w:t>$5.2</w:t>
      </w:r>
      <w:r>
        <w:t> </w:t>
      </w:r>
      <w:r w:rsidRPr="001C06E6">
        <w:t xml:space="preserve">million over four years from </w:t>
      </w:r>
      <w:r>
        <w:t>2024–25</w:t>
      </w:r>
      <w:r w:rsidRPr="001C06E6">
        <w:t xml:space="preserve"> (and $1.3</w:t>
      </w:r>
      <w:r>
        <w:t> </w:t>
      </w:r>
      <w:r w:rsidRPr="001C06E6">
        <w:t>million per year ongoing) to support the financial sustainability of the Canberra and Darwin symphony orchestras.</w:t>
      </w:r>
      <w:r>
        <w:t xml:space="preserve"> </w:t>
      </w:r>
    </w:p>
    <w:p w14:paraId="662B688A" w14:textId="77777777" w:rsidR="0012790E" w:rsidRDefault="0012790E" w:rsidP="54937204">
      <w:pPr>
        <w:pStyle w:val="Normal2"/>
        <w:rPr>
          <w:rFonts w:cs="Book Antiqua"/>
          <w:lang w:val="en-US"/>
        </w:rPr>
      </w:pPr>
      <w:r w:rsidRPr="54937204">
        <w:rPr>
          <w:rFonts w:cs="Book Antiqua"/>
          <w:lang w:val="en-US"/>
        </w:rPr>
        <w:t>The Government will also remove both the minimum length requirements for content and the above</w:t>
      </w:r>
      <w:r>
        <w:rPr>
          <w:rFonts w:cs="Book Antiqua"/>
        </w:rPr>
        <w:noBreakHyphen/>
      </w:r>
      <w:r w:rsidRPr="54937204">
        <w:rPr>
          <w:rFonts w:cs="Book Antiqua"/>
          <w:lang w:val="en-US"/>
        </w:rPr>
        <w:t>the</w:t>
      </w:r>
      <w:r>
        <w:rPr>
          <w:rFonts w:cs="Book Antiqua"/>
        </w:rPr>
        <w:noBreakHyphen/>
      </w:r>
      <w:r w:rsidRPr="54937204">
        <w:rPr>
          <w:rFonts w:cs="Book Antiqua"/>
          <w:lang w:val="en-US"/>
        </w:rPr>
        <w:t xml:space="preserve">line cap of 20 per cent of total qualifying production expenditure for the Producer Tax Offset. This change is estimated to increase payments by $0.4 million over three years from 2025–26 (and $0.2 million per year ongoing). </w:t>
      </w:r>
    </w:p>
    <w:p w14:paraId="2A5670B8" w14:textId="450174A7" w:rsidR="0012790E" w:rsidRDefault="0012790E">
      <w:pPr>
        <w:pStyle w:val="Normal2"/>
        <w:rPr>
          <w:rFonts w:cs="Book Antiqua"/>
        </w:rPr>
      </w:pPr>
      <w:r w:rsidRPr="001C06E6">
        <w:rPr>
          <w:rFonts w:cs="Book Antiqua"/>
        </w:rPr>
        <w:t xml:space="preserve">The cost of this measure will be partially met by redirecting funding from the </w:t>
      </w:r>
      <w:r w:rsidRPr="001C06E6">
        <w:rPr>
          <w:rFonts w:cs="Book Antiqua"/>
          <w:i/>
          <w:iCs/>
        </w:rPr>
        <w:t>Location</w:t>
      </w:r>
      <w:r w:rsidR="006B7A83">
        <w:rPr>
          <w:rFonts w:cs="Book Antiqua"/>
          <w:i/>
          <w:iCs/>
        </w:rPr>
        <w:t> </w:t>
      </w:r>
      <w:r w:rsidRPr="001C06E6">
        <w:rPr>
          <w:rFonts w:cs="Book Antiqua"/>
          <w:i/>
          <w:iCs/>
        </w:rPr>
        <w:t>Incentive Program</w:t>
      </w:r>
      <w:r w:rsidRPr="001C06E6">
        <w:rPr>
          <w:rFonts w:cs="Book Antiqua"/>
        </w:rPr>
        <w:t>.</w:t>
      </w:r>
      <w:r>
        <w:rPr>
          <w:rFonts w:cs="Book Antiqua"/>
        </w:rPr>
        <w:t xml:space="preserve"> </w:t>
      </w:r>
    </w:p>
    <w:p w14:paraId="512EFC9D" w14:textId="77777777" w:rsidR="0012790E" w:rsidRPr="001C06E6" w:rsidRDefault="0012790E" w:rsidP="54937204">
      <w:pPr>
        <w:pStyle w:val="MeasureTitle"/>
        <w:rPr>
          <w:b w:val="0"/>
          <w:lang w:val="en-US"/>
        </w:rPr>
      </w:pPr>
      <w:r w:rsidRPr="54937204">
        <w:rPr>
          <w:lang w:val="en-US"/>
        </w:rPr>
        <w:t>Supporting Connectivity, Media and Communications</w:t>
      </w:r>
    </w:p>
    <w:p w14:paraId="129DEE9A"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B665C17" w14:textId="77777777">
        <w:tc>
          <w:tcPr>
            <w:tcW w:w="2497" w:type="dxa"/>
            <w:tcBorders>
              <w:top w:val="single" w:sz="4" w:space="0" w:color="293F5B"/>
              <w:bottom w:val="single" w:sz="4" w:space="0" w:color="293F5B"/>
            </w:tcBorders>
            <w:shd w:val="clear" w:color="auto" w:fill="auto"/>
          </w:tcPr>
          <w:p w14:paraId="4FD73C12"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F286C3D"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CCD10A4"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2042B10"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4F4C33A"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CF26DAC" w14:textId="77777777" w:rsidR="0012790E" w:rsidRPr="001C06E6" w:rsidRDefault="0012790E">
            <w:pPr>
              <w:pStyle w:val="MeasureTableYearHeadings"/>
              <w:keepNext/>
            </w:pPr>
            <w:r w:rsidRPr="001C06E6">
              <w:t>2027</w:t>
            </w:r>
            <w:r>
              <w:noBreakHyphen/>
            </w:r>
            <w:r w:rsidRPr="001C06E6">
              <w:t>28</w:t>
            </w:r>
          </w:p>
        </w:tc>
      </w:tr>
      <w:tr w:rsidR="0012790E" w:rsidRPr="001C06E6" w14:paraId="7101AAB0" w14:textId="77777777">
        <w:tc>
          <w:tcPr>
            <w:tcW w:w="2497" w:type="dxa"/>
            <w:tcBorders>
              <w:top w:val="single" w:sz="4" w:space="0" w:color="293F5B"/>
              <w:bottom w:val="single" w:sz="4" w:space="0" w:color="293F5B"/>
            </w:tcBorders>
            <w:shd w:val="clear" w:color="auto" w:fill="auto"/>
          </w:tcPr>
          <w:p w14:paraId="10E7BAE5" w14:textId="77777777" w:rsidR="0012790E" w:rsidRPr="001C06E6" w:rsidRDefault="0012790E">
            <w:pPr>
              <w:pStyle w:val="MeasureTableHeadingleftalignedwith2ptsspacing"/>
              <w:keepNext/>
            </w:pPr>
            <w:r>
              <w:t xml:space="preserve">Australian Communications and Media Authority </w:t>
            </w:r>
          </w:p>
        </w:tc>
        <w:tc>
          <w:tcPr>
            <w:tcW w:w="1045" w:type="dxa"/>
            <w:tcBorders>
              <w:top w:val="single" w:sz="4" w:space="0" w:color="293F5B"/>
              <w:bottom w:val="single" w:sz="4" w:space="0" w:color="293F5B"/>
            </w:tcBorders>
            <w:shd w:val="clear" w:color="auto" w:fill="auto"/>
          </w:tcPr>
          <w:p w14:paraId="24F9A32F"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7F5FA33"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28C2BE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67C16C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1839BED" w14:textId="77777777" w:rsidR="0012790E" w:rsidRPr="001C06E6" w:rsidRDefault="0012790E">
            <w:pPr>
              <w:pStyle w:val="MeasureTableDataRightAlignedwith2ptsspacing"/>
              <w:keepNext/>
            </w:pPr>
            <w:r>
              <w:t xml:space="preserve">- </w:t>
            </w:r>
          </w:p>
        </w:tc>
      </w:tr>
      <w:tr w:rsidR="0012790E" w:rsidRPr="001C06E6" w14:paraId="3F9B2967" w14:textId="77777777">
        <w:tc>
          <w:tcPr>
            <w:tcW w:w="2497" w:type="dxa"/>
            <w:tcBorders>
              <w:top w:val="single" w:sz="4" w:space="0" w:color="293F5B"/>
              <w:bottom w:val="single" w:sz="4" w:space="0" w:color="293F5B"/>
            </w:tcBorders>
            <w:shd w:val="clear" w:color="auto" w:fill="auto"/>
          </w:tcPr>
          <w:p w14:paraId="67FE08BD"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17A21C9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12FB634"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5E6DD190"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360D7800" w14:textId="77777777" w:rsidR="0012790E" w:rsidRPr="001C06E6" w:rsidRDefault="0012790E">
            <w:pPr>
              <w:pStyle w:val="MeasureTableDataRightAlignedwith2ptsspacing"/>
              <w:keepNext/>
            </w:pPr>
            <w:r>
              <w:t xml:space="preserve">nfp   </w:t>
            </w:r>
          </w:p>
        </w:tc>
        <w:tc>
          <w:tcPr>
            <w:tcW w:w="1045" w:type="dxa"/>
            <w:tcBorders>
              <w:top w:val="single" w:sz="4" w:space="0" w:color="293F5B"/>
              <w:bottom w:val="single" w:sz="4" w:space="0" w:color="293F5B"/>
            </w:tcBorders>
            <w:shd w:val="clear" w:color="auto" w:fill="auto"/>
          </w:tcPr>
          <w:p w14:paraId="3DC1670D" w14:textId="77777777" w:rsidR="0012790E" w:rsidRPr="001C06E6" w:rsidRDefault="0012790E">
            <w:pPr>
              <w:pStyle w:val="MeasureTableDataRightAlignedwith2ptsspacing"/>
              <w:keepNext/>
            </w:pPr>
            <w:r>
              <w:t xml:space="preserve">nfp   </w:t>
            </w:r>
          </w:p>
        </w:tc>
      </w:tr>
      <w:tr w:rsidR="0012790E" w:rsidRPr="001C06E6" w14:paraId="41CB5589" w14:textId="77777777">
        <w:tc>
          <w:tcPr>
            <w:tcW w:w="2497" w:type="dxa"/>
            <w:tcBorders>
              <w:top w:val="single" w:sz="4" w:space="0" w:color="293F5B"/>
              <w:bottom w:val="single" w:sz="4" w:space="0" w:color="293F5B"/>
            </w:tcBorders>
            <w:shd w:val="clear" w:color="auto" w:fill="auto"/>
          </w:tcPr>
          <w:p w14:paraId="3E90196D"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392C4F9A"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73F69B16"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6A89A85"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1D3CC027"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EA457DC" w14:textId="77777777" w:rsidR="0012790E" w:rsidRPr="001C06E6" w:rsidRDefault="0012790E">
            <w:pPr>
              <w:pStyle w:val="Totaldatarowrightaligned"/>
              <w:keepNext/>
            </w:pPr>
            <w:r w:rsidRPr="001C06E6">
              <w:t>-</w:t>
            </w:r>
          </w:p>
        </w:tc>
      </w:tr>
      <w:tr w:rsidR="0012790E" w:rsidRPr="001C06E6" w14:paraId="3DB4E051" w14:textId="77777777">
        <w:tc>
          <w:tcPr>
            <w:tcW w:w="2497" w:type="dxa"/>
            <w:tcBorders>
              <w:top w:val="single" w:sz="4" w:space="0" w:color="293F5B"/>
            </w:tcBorders>
            <w:shd w:val="clear" w:color="auto" w:fill="auto"/>
          </w:tcPr>
          <w:p w14:paraId="309D2E9B"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1911AEE0" w14:textId="77777777" w:rsidR="0012790E" w:rsidRPr="001C06E6" w:rsidRDefault="0012790E">
            <w:pPr>
              <w:pStyle w:val="AgencyName"/>
              <w:keepNext/>
            </w:pPr>
          </w:p>
        </w:tc>
        <w:tc>
          <w:tcPr>
            <w:tcW w:w="1045" w:type="dxa"/>
            <w:tcBorders>
              <w:top w:val="single" w:sz="4" w:space="0" w:color="293F5B"/>
            </w:tcBorders>
            <w:shd w:val="clear" w:color="auto" w:fill="auto"/>
          </w:tcPr>
          <w:p w14:paraId="566E948D" w14:textId="77777777" w:rsidR="0012790E" w:rsidRPr="001C06E6" w:rsidRDefault="0012790E">
            <w:pPr>
              <w:pStyle w:val="AgencyName"/>
              <w:keepNext/>
            </w:pPr>
          </w:p>
        </w:tc>
        <w:tc>
          <w:tcPr>
            <w:tcW w:w="1045" w:type="dxa"/>
            <w:tcBorders>
              <w:top w:val="single" w:sz="4" w:space="0" w:color="293F5B"/>
            </w:tcBorders>
            <w:shd w:val="clear" w:color="auto" w:fill="auto"/>
          </w:tcPr>
          <w:p w14:paraId="6B45C282" w14:textId="77777777" w:rsidR="0012790E" w:rsidRPr="001C06E6" w:rsidRDefault="0012790E">
            <w:pPr>
              <w:pStyle w:val="AgencyName"/>
              <w:keepNext/>
            </w:pPr>
          </w:p>
        </w:tc>
        <w:tc>
          <w:tcPr>
            <w:tcW w:w="1045" w:type="dxa"/>
            <w:tcBorders>
              <w:top w:val="single" w:sz="4" w:space="0" w:color="293F5B"/>
            </w:tcBorders>
            <w:shd w:val="clear" w:color="auto" w:fill="auto"/>
          </w:tcPr>
          <w:p w14:paraId="6E43D488" w14:textId="77777777" w:rsidR="0012790E" w:rsidRPr="001C06E6" w:rsidRDefault="0012790E">
            <w:pPr>
              <w:pStyle w:val="AgencyName"/>
              <w:keepNext/>
            </w:pPr>
          </w:p>
        </w:tc>
        <w:tc>
          <w:tcPr>
            <w:tcW w:w="1045" w:type="dxa"/>
            <w:tcBorders>
              <w:top w:val="single" w:sz="4" w:space="0" w:color="293F5B"/>
            </w:tcBorders>
            <w:shd w:val="clear" w:color="auto" w:fill="auto"/>
          </w:tcPr>
          <w:p w14:paraId="3B3D6768" w14:textId="77777777" w:rsidR="0012790E" w:rsidRPr="001C06E6" w:rsidRDefault="0012790E">
            <w:pPr>
              <w:pStyle w:val="AgencyName"/>
              <w:keepNext/>
            </w:pPr>
          </w:p>
        </w:tc>
      </w:tr>
      <w:tr w:rsidR="0012790E" w:rsidRPr="001C06E6" w14:paraId="36AAED7F" w14:textId="77777777">
        <w:tc>
          <w:tcPr>
            <w:tcW w:w="2497" w:type="dxa"/>
            <w:tcBorders>
              <w:bottom w:val="single" w:sz="4" w:space="0" w:color="293F5B"/>
            </w:tcBorders>
            <w:shd w:val="clear" w:color="auto" w:fill="auto"/>
          </w:tcPr>
          <w:p w14:paraId="5F0E4D9A" w14:textId="77777777" w:rsidR="0012790E" w:rsidRPr="001C06E6" w:rsidRDefault="0012790E">
            <w:pPr>
              <w:pStyle w:val="AgencyNamewith2ptsspacing"/>
              <w:keepNext/>
            </w:pPr>
            <w:r>
              <w:t xml:space="preserve">Department of Infrastructure, Transport, Regional Development, Communications and the Arts </w:t>
            </w:r>
          </w:p>
        </w:tc>
        <w:tc>
          <w:tcPr>
            <w:tcW w:w="1045" w:type="dxa"/>
            <w:tcBorders>
              <w:bottom w:val="single" w:sz="4" w:space="0" w:color="293F5B"/>
            </w:tcBorders>
            <w:shd w:val="clear" w:color="auto" w:fill="auto"/>
          </w:tcPr>
          <w:p w14:paraId="42C40667"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7536881D" w14:textId="77777777" w:rsidR="0012790E" w:rsidRPr="001C06E6" w:rsidRDefault="0012790E">
            <w:pPr>
              <w:pStyle w:val="Measuretabledatarightaligneditalics"/>
              <w:keepNext/>
            </w:pPr>
            <w:r>
              <w:t xml:space="preserve">nfp   </w:t>
            </w:r>
          </w:p>
        </w:tc>
        <w:tc>
          <w:tcPr>
            <w:tcW w:w="1045" w:type="dxa"/>
            <w:tcBorders>
              <w:bottom w:val="single" w:sz="4" w:space="0" w:color="293F5B"/>
            </w:tcBorders>
            <w:shd w:val="clear" w:color="auto" w:fill="auto"/>
          </w:tcPr>
          <w:p w14:paraId="4810B38D" w14:textId="77777777" w:rsidR="0012790E" w:rsidRPr="001C06E6" w:rsidRDefault="0012790E">
            <w:pPr>
              <w:pStyle w:val="Measuretabledatarightaligneditalics"/>
              <w:keepNext/>
            </w:pPr>
            <w:r>
              <w:t xml:space="preserve">nfp   </w:t>
            </w:r>
          </w:p>
        </w:tc>
        <w:tc>
          <w:tcPr>
            <w:tcW w:w="1045" w:type="dxa"/>
            <w:tcBorders>
              <w:bottom w:val="single" w:sz="4" w:space="0" w:color="293F5B"/>
            </w:tcBorders>
            <w:shd w:val="clear" w:color="auto" w:fill="auto"/>
          </w:tcPr>
          <w:p w14:paraId="43C4FB2B" w14:textId="77777777" w:rsidR="0012790E" w:rsidRPr="001C06E6" w:rsidRDefault="0012790E">
            <w:pPr>
              <w:pStyle w:val="Measuretabledatarightaligneditalics"/>
              <w:keepNext/>
            </w:pPr>
            <w:r>
              <w:t xml:space="preserve">nfp   </w:t>
            </w:r>
          </w:p>
        </w:tc>
        <w:tc>
          <w:tcPr>
            <w:tcW w:w="1045" w:type="dxa"/>
            <w:tcBorders>
              <w:bottom w:val="single" w:sz="4" w:space="0" w:color="293F5B"/>
            </w:tcBorders>
            <w:shd w:val="clear" w:color="auto" w:fill="auto"/>
          </w:tcPr>
          <w:p w14:paraId="76E47D61" w14:textId="77777777" w:rsidR="0012790E" w:rsidRPr="001C06E6" w:rsidRDefault="0012790E">
            <w:pPr>
              <w:pStyle w:val="Measuretabledatarightaligneditalics"/>
              <w:keepNext/>
            </w:pPr>
            <w:r>
              <w:t xml:space="preserve">nfp   </w:t>
            </w:r>
          </w:p>
        </w:tc>
      </w:tr>
    </w:tbl>
    <w:p w14:paraId="5665F355" w14:textId="77777777" w:rsidR="0012790E" w:rsidRPr="001C06E6" w:rsidRDefault="0012790E">
      <w:pPr>
        <w:keepNext/>
        <w:widowControl w:val="0"/>
        <w:spacing w:line="184" w:lineRule="exact"/>
        <w:rPr>
          <w:i/>
          <w:iCs/>
          <w:color w:val="000000"/>
          <w:sz w:val="16"/>
          <w:szCs w:val="16"/>
          <w:lang w:val="en-AU"/>
        </w:rPr>
      </w:pPr>
    </w:p>
    <w:p w14:paraId="2034E7B0" w14:textId="77777777" w:rsidR="0012790E" w:rsidRDefault="0012790E">
      <w:pPr>
        <w:pStyle w:val="Normal2"/>
        <w:rPr>
          <w:rFonts w:cs="Book Antiqua"/>
        </w:rPr>
      </w:pPr>
      <w:r w:rsidRPr="001C06E6">
        <w:rPr>
          <w:rFonts w:cs="Book Antiqua"/>
        </w:rPr>
        <w:t>The Government will continue to support media sustainability and deliver</w:t>
      </w:r>
      <w:r>
        <w:rPr>
          <w:rFonts w:cs="Book Antiqua"/>
        </w:rPr>
        <w:t xml:space="preserve"> </w:t>
      </w:r>
      <w:r w:rsidRPr="001C06E6">
        <w:rPr>
          <w:rFonts w:cs="Book Antiqua"/>
        </w:rPr>
        <w:t>communications priorities with $78.9</w:t>
      </w:r>
      <w:r>
        <w:rPr>
          <w:rFonts w:cs="Book Antiqua"/>
        </w:rPr>
        <w:t> </w:t>
      </w:r>
      <w:r w:rsidRPr="001C06E6">
        <w:rPr>
          <w:rFonts w:cs="Book Antiqua"/>
        </w:rPr>
        <w:t xml:space="preserve">million over five years from </w:t>
      </w:r>
      <w:r>
        <w:rPr>
          <w:rFonts w:cs="Book Antiqua"/>
        </w:rPr>
        <w:t>2024–25</w:t>
      </w:r>
      <w:r w:rsidRPr="001C06E6">
        <w:rPr>
          <w:rFonts w:cs="Book Antiqua"/>
        </w:rPr>
        <w:t xml:space="preserve"> (and $7.4</w:t>
      </w:r>
      <w:r>
        <w:rPr>
          <w:rFonts w:cs="Book Antiqua"/>
        </w:rPr>
        <w:t> </w:t>
      </w:r>
      <w:r w:rsidRPr="001C06E6">
        <w:rPr>
          <w:rFonts w:cs="Book Antiqua"/>
        </w:rPr>
        <w:t>million per year ongoing). Funding includes:</w:t>
      </w:r>
    </w:p>
    <w:p w14:paraId="28A8FC51" w14:textId="77777777" w:rsidR="0012790E" w:rsidRDefault="0012790E">
      <w:pPr>
        <w:pStyle w:val="Bullet"/>
      </w:pPr>
      <w:r w:rsidRPr="001C06E6">
        <w:t>$43.2</w:t>
      </w:r>
      <w:r>
        <w:t> </w:t>
      </w:r>
      <w:r w:rsidRPr="001C06E6">
        <w:t xml:space="preserve">million over five years from </w:t>
      </w:r>
      <w:r>
        <w:t>2024–25</w:t>
      </w:r>
      <w:r w:rsidRPr="001C06E6">
        <w:t xml:space="preserve"> (and $5.9</w:t>
      </w:r>
      <w:r>
        <w:t> </w:t>
      </w:r>
      <w:r w:rsidRPr="001C06E6">
        <w:t>million per year ongoing) to support the delivery of communications priorities, including responding to emerging and evolving online harms, boosting regional connectivity, digital inclusion and communications resilience</w:t>
      </w:r>
      <w:r>
        <w:t xml:space="preserve"> </w:t>
      </w:r>
    </w:p>
    <w:p w14:paraId="75E47DCC" w14:textId="2151D4E9" w:rsidR="0012790E" w:rsidRDefault="0012790E">
      <w:pPr>
        <w:pStyle w:val="Bullet"/>
      </w:pPr>
      <w:r w:rsidRPr="001C06E6">
        <w:t>$22.6</w:t>
      </w:r>
      <w:r>
        <w:t> </w:t>
      </w:r>
      <w:r w:rsidRPr="001C06E6">
        <w:t xml:space="preserve">million over five years from </w:t>
      </w:r>
      <w:r>
        <w:t>2024–25</w:t>
      </w:r>
      <w:r w:rsidRPr="001C06E6">
        <w:t xml:space="preserve"> (and $1.5 million per year ongoing) to</w:t>
      </w:r>
      <w:r w:rsidR="00EB5256">
        <w:t> </w:t>
      </w:r>
      <w:r w:rsidRPr="001C06E6">
        <w:t>support the modernisation of media regulation in Australia, including the implementation of a prominence framework for internet</w:t>
      </w:r>
      <w:r>
        <w:noBreakHyphen/>
      </w:r>
      <w:r w:rsidRPr="001C06E6">
        <w:t>connected television devices and an expanded anti</w:t>
      </w:r>
      <w:r>
        <w:noBreakHyphen/>
      </w:r>
      <w:r w:rsidRPr="001C06E6">
        <w:t>siphoning scheme</w:t>
      </w:r>
      <w:r>
        <w:t xml:space="preserve"> </w:t>
      </w:r>
    </w:p>
    <w:p w14:paraId="59BAFB29" w14:textId="77777777" w:rsidR="0012790E" w:rsidRDefault="0012790E">
      <w:pPr>
        <w:pStyle w:val="Bullet"/>
      </w:pPr>
      <w:r w:rsidRPr="001C06E6">
        <w:t>$12.0</w:t>
      </w:r>
      <w:r>
        <w:t> </w:t>
      </w:r>
      <w:r w:rsidRPr="001C06E6">
        <w:t xml:space="preserve">million in </w:t>
      </w:r>
      <w:r>
        <w:t>2024–25</w:t>
      </w:r>
      <w:r w:rsidRPr="001C06E6">
        <w:t xml:space="preserve"> to support the financial sustainability of the Australian Associated Press</w:t>
      </w:r>
      <w:r>
        <w:t xml:space="preserve"> </w:t>
      </w:r>
    </w:p>
    <w:p w14:paraId="75423E11" w14:textId="77777777" w:rsidR="0012790E" w:rsidRDefault="0012790E">
      <w:pPr>
        <w:pStyle w:val="Bullet"/>
      </w:pPr>
      <w:r w:rsidRPr="001C06E6">
        <w:t>$1.0</w:t>
      </w:r>
      <w:r>
        <w:t> </w:t>
      </w:r>
      <w:r w:rsidRPr="001C06E6">
        <w:t xml:space="preserve">million over two years from </w:t>
      </w:r>
      <w:r>
        <w:t>2024–25</w:t>
      </w:r>
      <w:r w:rsidRPr="001C06E6">
        <w:t xml:space="preserve"> to fund education and awareness of new mandatory minimum classifications for gambling</w:t>
      </w:r>
      <w:r>
        <w:noBreakHyphen/>
      </w:r>
      <w:r w:rsidRPr="001C06E6">
        <w:t>like content in computer games.</w:t>
      </w:r>
      <w:r>
        <w:t xml:space="preserve"> </w:t>
      </w:r>
    </w:p>
    <w:p w14:paraId="0953FAC8" w14:textId="77777777" w:rsidR="0012790E" w:rsidRDefault="0012790E" w:rsidP="00EB5256">
      <w:pPr>
        <w:pStyle w:val="Normal2"/>
        <w:keepNext/>
        <w:keepLines/>
        <w:rPr>
          <w:rFonts w:cs="Book Antiqua"/>
          <w:lang w:val="en-US"/>
        </w:rPr>
      </w:pPr>
      <w:r w:rsidRPr="54937204">
        <w:rPr>
          <w:rFonts w:cs="Book Antiqua"/>
          <w:lang w:val="en-US"/>
        </w:rPr>
        <w:t xml:space="preserve">The Government will also provide funding on a cost recovered basis for the Australian Communications Consumer Action Network to carry out consumer engagement activities to support NBN Co’s regulated Special Access Undertaking, with the financial implications not for publication (nfp) due to commercial sensitivities and the funding to be held in the Contingency Reserve until final contract details are settled. </w:t>
      </w:r>
    </w:p>
    <w:p w14:paraId="75C86DA5" w14:textId="64EDAE4F" w:rsidR="0012790E" w:rsidRDefault="0012790E">
      <w:pPr>
        <w:pStyle w:val="Normal2"/>
        <w:rPr>
          <w:rFonts w:cs="Book Antiqua"/>
        </w:rPr>
      </w:pPr>
      <w:r w:rsidRPr="001C06E6">
        <w:rPr>
          <w:rFonts w:cs="Book Antiqua"/>
        </w:rPr>
        <w:t xml:space="preserve">The cost of this measure will be partially met by redirecting funding from the </w:t>
      </w:r>
      <w:r w:rsidR="0057265E">
        <w:rPr>
          <w:rFonts w:cs="Book Antiqua"/>
        </w:rPr>
        <w:br/>
      </w:r>
      <w:r>
        <w:rPr>
          <w:rFonts w:cs="Book Antiqua"/>
        </w:rPr>
        <w:t>2022–23</w:t>
      </w:r>
      <w:r w:rsidR="0057265E">
        <w:rPr>
          <w:rFonts w:cs="Book Antiqua"/>
        </w:rPr>
        <w:t> </w:t>
      </w:r>
      <w:r w:rsidRPr="001C06E6">
        <w:rPr>
          <w:rFonts w:cs="Book Antiqua"/>
        </w:rPr>
        <w:t xml:space="preserve">October Budget measure titled </w:t>
      </w:r>
      <w:r w:rsidRPr="001C06E6">
        <w:rPr>
          <w:rFonts w:cs="Book Antiqua"/>
          <w:i/>
          <w:iCs/>
        </w:rPr>
        <w:t>Better Connectivity Plan for Regional and Rural</w:t>
      </w:r>
      <w:r>
        <w:rPr>
          <w:rFonts w:cs="Book Antiqua"/>
          <w:i/>
          <w:iCs/>
        </w:rPr>
        <w:t xml:space="preserve"> </w:t>
      </w:r>
      <w:r w:rsidRPr="001C06E6">
        <w:rPr>
          <w:rFonts w:cs="Book Antiqua"/>
          <w:i/>
          <w:iCs/>
        </w:rPr>
        <w:t xml:space="preserve">Australia </w:t>
      </w:r>
      <w:r w:rsidRPr="001C06E6">
        <w:rPr>
          <w:rFonts w:cs="Book Antiqua"/>
        </w:rPr>
        <w:t>and from within the existing resourcing of the Australian Communications</w:t>
      </w:r>
      <w:r>
        <w:rPr>
          <w:rFonts w:cs="Book Antiqua"/>
        </w:rPr>
        <w:t xml:space="preserve"> </w:t>
      </w:r>
      <w:r w:rsidRPr="001C06E6">
        <w:rPr>
          <w:rFonts w:cs="Book Antiqua"/>
        </w:rPr>
        <w:t>and Media Authority.</w:t>
      </w:r>
      <w:r>
        <w:rPr>
          <w:rFonts w:cs="Book Antiqua"/>
        </w:rPr>
        <w:t xml:space="preserve"> </w:t>
      </w:r>
    </w:p>
    <w:p w14:paraId="25234C7A" w14:textId="77777777" w:rsidR="0012790E" w:rsidRPr="001C06E6" w:rsidRDefault="0012790E">
      <w:pPr>
        <w:pStyle w:val="MeasureTitle"/>
        <w:rPr>
          <w:b w:val="0"/>
          <w:bCs/>
        </w:rPr>
      </w:pPr>
      <w:r w:rsidRPr="001C06E6">
        <w:rPr>
          <w:bCs/>
        </w:rPr>
        <w:t>Supporting Transport Priorities</w:t>
      </w:r>
    </w:p>
    <w:p w14:paraId="5639AFC6"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EBD73C6" w14:textId="77777777">
        <w:tc>
          <w:tcPr>
            <w:tcW w:w="2497" w:type="dxa"/>
            <w:tcBorders>
              <w:top w:val="single" w:sz="4" w:space="0" w:color="293F5B"/>
              <w:bottom w:val="single" w:sz="4" w:space="0" w:color="293F5B"/>
            </w:tcBorders>
            <w:shd w:val="clear" w:color="auto" w:fill="auto"/>
          </w:tcPr>
          <w:p w14:paraId="7E191565"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356B50F"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506CD38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9FC6631"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2E958D0"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D011CDF" w14:textId="77777777" w:rsidR="0012790E" w:rsidRPr="001C06E6" w:rsidRDefault="0012790E">
            <w:pPr>
              <w:pStyle w:val="MeasureTableYearHeadings"/>
              <w:keepNext/>
            </w:pPr>
            <w:r w:rsidRPr="001C06E6">
              <w:t>2027</w:t>
            </w:r>
            <w:r>
              <w:noBreakHyphen/>
            </w:r>
            <w:r w:rsidRPr="001C06E6">
              <w:t>28</w:t>
            </w:r>
          </w:p>
        </w:tc>
      </w:tr>
      <w:tr w:rsidR="0012790E" w:rsidRPr="001C06E6" w14:paraId="1BB3ED2A" w14:textId="77777777">
        <w:tc>
          <w:tcPr>
            <w:tcW w:w="2497" w:type="dxa"/>
            <w:tcBorders>
              <w:top w:val="single" w:sz="4" w:space="0" w:color="293F5B"/>
              <w:bottom w:val="single" w:sz="4" w:space="0" w:color="293F5B"/>
            </w:tcBorders>
            <w:shd w:val="clear" w:color="auto" w:fill="auto"/>
          </w:tcPr>
          <w:p w14:paraId="650F47D2" w14:textId="77777777" w:rsidR="0012790E" w:rsidRPr="001C06E6" w:rsidRDefault="0012790E">
            <w:pPr>
              <w:pStyle w:val="MeasureTableHeadingleftalignedwith2ptsspacing"/>
              <w:keepNext/>
            </w:pPr>
            <w:r w:rsidRPr="001C06E6">
              <w:t>High Speed Rail Authority</w:t>
            </w:r>
          </w:p>
        </w:tc>
        <w:tc>
          <w:tcPr>
            <w:tcW w:w="1045" w:type="dxa"/>
            <w:tcBorders>
              <w:top w:val="single" w:sz="4" w:space="0" w:color="293F5B"/>
              <w:bottom w:val="single" w:sz="4" w:space="0" w:color="293F5B"/>
            </w:tcBorders>
            <w:shd w:val="clear" w:color="auto" w:fill="auto"/>
          </w:tcPr>
          <w:p w14:paraId="16433BC7" w14:textId="77777777" w:rsidR="0012790E" w:rsidRPr="001C06E6" w:rsidRDefault="0012790E">
            <w:pPr>
              <w:pStyle w:val="MeasureTableDataRightAlignedwith2ptsspacing"/>
              <w:keepNext/>
            </w:pPr>
            <w:r w:rsidRPr="001C06E6">
              <w:t>23.8</w:t>
            </w:r>
          </w:p>
        </w:tc>
        <w:tc>
          <w:tcPr>
            <w:tcW w:w="1045" w:type="dxa"/>
            <w:tcBorders>
              <w:top w:val="single" w:sz="4" w:space="0" w:color="293F5B"/>
              <w:bottom w:val="single" w:sz="4" w:space="0" w:color="293F5B"/>
            </w:tcBorders>
            <w:shd w:val="clear" w:color="auto" w:fill="auto"/>
          </w:tcPr>
          <w:p w14:paraId="2C58F7C4" w14:textId="77777777" w:rsidR="0012790E" w:rsidRPr="001C06E6" w:rsidRDefault="0012790E">
            <w:pPr>
              <w:pStyle w:val="MeasureTableDataRightAlignedwith2ptsspacing"/>
              <w:keepNext/>
            </w:pPr>
            <w:r w:rsidRPr="001C06E6">
              <w:t>51.4</w:t>
            </w:r>
          </w:p>
        </w:tc>
        <w:tc>
          <w:tcPr>
            <w:tcW w:w="1045" w:type="dxa"/>
            <w:tcBorders>
              <w:top w:val="single" w:sz="4" w:space="0" w:color="293F5B"/>
              <w:bottom w:val="single" w:sz="4" w:space="0" w:color="293F5B"/>
            </w:tcBorders>
            <w:shd w:val="clear" w:color="auto" w:fill="auto"/>
          </w:tcPr>
          <w:p w14:paraId="6C25F610" w14:textId="77777777" w:rsidR="0012790E" w:rsidRPr="001C06E6" w:rsidRDefault="0012790E">
            <w:pPr>
              <w:pStyle w:val="MeasureTableDataRightAlignedwith2ptsspacing"/>
              <w:keepNext/>
            </w:pPr>
            <w:r w:rsidRPr="001C06E6">
              <w:t>3.6</w:t>
            </w:r>
          </w:p>
        </w:tc>
        <w:tc>
          <w:tcPr>
            <w:tcW w:w="1045" w:type="dxa"/>
            <w:tcBorders>
              <w:top w:val="single" w:sz="4" w:space="0" w:color="293F5B"/>
              <w:bottom w:val="single" w:sz="4" w:space="0" w:color="293F5B"/>
            </w:tcBorders>
            <w:shd w:val="clear" w:color="auto" w:fill="auto"/>
          </w:tcPr>
          <w:p w14:paraId="075DB82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16F73A2" w14:textId="77777777" w:rsidR="0012790E" w:rsidRPr="001C06E6" w:rsidRDefault="0012790E">
            <w:pPr>
              <w:pStyle w:val="MeasureTableDataRightAlignedwith2ptsspacing"/>
              <w:keepNext/>
            </w:pPr>
            <w:r w:rsidRPr="001C06E6">
              <w:t>-</w:t>
            </w:r>
          </w:p>
        </w:tc>
      </w:tr>
      <w:tr w:rsidR="0012790E" w:rsidRPr="001C06E6" w14:paraId="3D2CFD2F" w14:textId="77777777">
        <w:tc>
          <w:tcPr>
            <w:tcW w:w="2497" w:type="dxa"/>
            <w:tcBorders>
              <w:top w:val="single" w:sz="4" w:space="0" w:color="293F5B"/>
              <w:bottom w:val="single" w:sz="4" w:space="0" w:color="293F5B"/>
            </w:tcBorders>
            <w:shd w:val="clear" w:color="auto" w:fill="auto"/>
          </w:tcPr>
          <w:p w14:paraId="609E1988"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2C4655D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158E8DC" w14:textId="77777777" w:rsidR="0012790E" w:rsidRPr="001C06E6" w:rsidRDefault="0012790E">
            <w:pPr>
              <w:pStyle w:val="MeasureTableDataRightAlignedwith2ptsspacing"/>
              <w:keepNext/>
            </w:pPr>
            <w:r>
              <w:t xml:space="preserve">36.3   </w:t>
            </w:r>
          </w:p>
        </w:tc>
        <w:tc>
          <w:tcPr>
            <w:tcW w:w="1045" w:type="dxa"/>
            <w:tcBorders>
              <w:top w:val="single" w:sz="4" w:space="0" w:color="293F5B"/>
              <w:bottom w:val="single" w:sz="4" w:space="0" w:color="293F5B"/>
            </w:tcBorders>
            <w:shd w:val="clear" w:color="auto" w:fill="auto"/>
          </w:tcPr>
          <w:p w14:paraId="6AEA1723" w14:textId="77777777" w:rsidR="0012790E" w:rsidRPr="001C06E6" w:rsidRDefault="0012790E">
            <w:pPr>
              <w:pStyle w:val="MeasureTableDataRightAlignedwith2ptsspacing"/>
              <w:keepNext/>
            </w:pPr>
            <w:r>
              <w:t xml:space="preserve">47.0   </w:t>
            </w:r>
          </w:p>
        </w:tc>
        <w:tc>
          <w:tcPr>
            <w:tcW w:w="1045" w:type="dxa"/>
            <w:tcBorders>
              <w:top w:val="single" w:sz="4" w:space="0" w:color="293F5B"/>
              <w:bottom w:val="single" w:sz="4" w:space="0" w:color="293F5B"/>
            </w:tcBorders>
            <w:shd w:val="clear" w:color="auto" w:fill="auto"/>
          </w:tcPr>
          <w:p w14:paraId="3186840A" w14:textId="77777777" w:rsidR="0012790E" w:rsidRPr="001C06E6" w:rsidRDefault="0012790E">
            <w:pPr>
              <w:pStyle w:val="MeasureTableDataRightAlignedwith2ptsspacing"/>
              <w:keepNext/>
            </w:pPr>
            <w:r>
              <w:t xml:space="preserve">54.5   </w:t>
            </w:r>
          </w:p>
        </w:tc>
        <w:tc>
          <w:tcPr>
            <w:tcW w:w="1045" w:type="dxa"/>
            <w:tcBorders>
              <w:top w:val="single" w:sz="4" w:space="0" w:color="293F5B"/>
              <w:bottom w:val="single" w:sz="4" w:space="0" w:color="293F5B"/>
            </w:tcBorders>
            <w:shd w:val="clear" w:color="auto" w:fill="auto"/>
          </w:tcPr>
          <w:p w14:paraId="108443E2" w14:textId="77777777" w:rsidR="0012790E" w:rsidRPr="001C06E6" w:rsidRDefault="0012790E">
            <w:pPr>
              <w:pStyle w:val="MeasureTableDataRightAlignedwith2ptsspacing"/>
              <w:keepNext/>
            </w:pPr>
            <w:r>
              <w:t xml:space="preserve">7.9   </w:t>
            </w:r>
          </w:p>
        </w:tc>
      </w:tr>
      <w:tr w:rsidR="0012790E" w:rsidRPr="001C06E6" w14:paraId="4EBFDDB9" w14:textId="77777777">
        <w:tc>
          <w:tcPr>
            <w:tcW w:w="2497" w:type="dxa"/>
            <w:tcBorders>
              <w:top w:val="single" w:sz="4" w:space="0" w:color="293F5B"/>
              <w:bottom w:val="single" w:sz="4" w:space="0" w:color="293F5B"/>
            </w:tcBorders>
            <w:shd w:val="clear" w:color="auto" w:fill="auto"/>
          </w:tcPr>
          <w:p w14:paraId="01F9C3E1" w14:textId="77777777" w:rsidR="0012790E" w:rsidRPr="001C06E6" w:rsidRDefault="0012790E">
            <w:pPr>
              <w:pStyle w:val="MeasureTableHeadingleftalignedwith2ptsspacing"/>
              <w:keepNext/>
            </w:pPr>
            <w:r>
              <w:t xml:space="preserve">Australian Transport Safety Bureau </w:t>
            </w:r>
          </w:p>
        </w:tc>
        <w:tc>
          <w:tcPr>
            <w:tcW w:w="1045" w:type="dxa"/>
            <w:tcBorders>
              <w:top w:val="single" w:sz="4" w:space="0" w:color="293F5B"/>
              <w:bottom w:val="single" w:sz="4" w:space="0" w:color="293F5B"/>
            </w:tcBorders>
            <w:shd w:val="clear" w:color="auto" w:fill="auto"/>
          </w:tcPr>
          <w:p w14:paraId="65DC2D02"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AB78E41" w14:textId="77777777" w:rsidR="0012790E" w:rsidRPr="001C06E6" w:rsidRDefault="0012790E">
            <w:pPr>
              <w:pStyle w:val="MeasureTableDataRightAlignedwith2ptsspacing"/>
              <w:keepNext/>
            </w:pPr>
            <w:r>
              <w:t xml:space="preserve">3.9 </w:t>
            </w:r>
          </w:p>
        </w:tc>
        <w:tc>
          <w:tcPr>
            <w:tcW w:w="1045" w:type="dxa"/>
            <w:tcBorders>
              <w:top w:val="single" w:sz="4" w:space="0" w:color="293F5B"/>
              <w:bottom w:val="single" w:sz="4" w:space="0" w:color="293F5B"/>
            </w:tcBorders>
            <w:shd w:val="clear" w:color="auto" w:fill="auto"/>
          </w:tcPr>
          <w:p w14:paraId="7ED92D0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CA04D96"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CCD659B" w14:textId="77777777" w:rsidR="0012790E" w:rsidRPr="001C06E6" w:rsidRDefault="0012790E">
            <w:pPr>
              <w:pStyle w:val="MeasureTableDataRightAlignedwith2ptsspacing"/>
              <w:keepNext/>
            </w:pPr>
            <w:r>
              <w:t xml:space="preserve">- </w:t>
            </w:r>
          </w:p>
        </w:tc>
      </w:tr>
      <w:tr w:rsidR="0012790E" w:rsidRPr="001C06E6" w14:paraId="5297A24D" w14:textId="77777777">
        <w:tc>
          <w:tcPr>
            <w:tcW w:w="2497" w:type="dxa"/>
            <w:tcBorders>
              <w:top w:val="single" w:sz="4" w:space="0" w:color="293F5B"/>
              <w:bottom w:val="single" w:sz="4" w:space="0" w:color="293F5B"/>
            </w:tcBorders>
            <w:shd w:val="clear" w:color="auto" w:fill="auto"/>
          </w:tcPr>
          <w:p w14:paraId="31A9EA0F" w14:textId="77777777" w:rsidR="0012790E" w:rsidRPr="001C06E6" w:rsidRDefault="0012790E">
            <w:pPr>
              <w:pStyle w:val="MeasureTableHeadingleftalignedwith2ptsspacing"/>
              <w:keepNext/>
            </w:pPr>
            <w:r w:rsidRPr="001C06E6">
              <w:t>Civil Aviation Safety Authority</w:t>
            </w:r>
          </w:p>
        </w:tc>
        <w:tc>
          <w:tcPr>
            <w:tcW w:w="1045" w:type="dxa"/>
            <w:tcBorders>
              <w:top w:val="single" w:sz="4" w:space="0" w:color="293F5B"/>
              <w:bottom w:val="single" w:sz="4" w:space="0" w:color="293F5B"/>
            </w:tcBorders>
            <w:shd w:val="clear" w:color="auto" w:fill="auto"/>
          </w:tcPr>
          <w:p w14:paraId="5E8511D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20A87DA"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590A7DC0"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02871A80"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14105B9F" w14:textId="77777777" w:rsidR="0012790E" w:rsidRPr="001C06E6" w:rsidRDefault="0012790E">
            <w:pPr>
              <w:pStyle w:val="MeasureTableDataRightAlignedwith2ptsspacing"/>
              <w:keepNext/>
            </w:pPr>
            <w:r w:rsidRPr="001C06E6">
              <w:t>-</w:t>
            </w:r>
          </w:p>
        </w:tc>
      </w:tr>
      <w:tr w:rsidR="0012790E" w:rsidRPr="001C06E6" w14:paraId="19FA8373" w14:textId="77777777">
        <w:tc>
          <w:tcPr>
            <w:tcW w:w="2497" w:type="dxa"/>
            <w:tcBorders>
              <w:top w:val="single" w:sz="4" w:space="0" w:color="293F5B"/>
              <w:bottom w:val="single" w:sz="4" w:space="0" w:color="293F5B"/>
            </w:tcBorders>
            <w:shd w:val="clear" w:color="auto" w:fill="auto"/>
          </w:tcPr>
          <w:p w14:paraId="1E3A5604"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3F029C76" w14:textId="77777777" w:rsidR="0012790E" w:rsidRPr="001C06E6" w:rsidRDefault="0012790E">
            <w:pPr>
              <w:pStyle w:val="MeasureTableDataRightAlignedwith2ptsspacing"/>
              <w:keepNext/>
            </w:pPr>
            <w:r w:rsidRPr="001C06E6">
              <w:t>-22.1</w:t>
            </w:r>
          </w:p>
        </w:tc>
        <w:tc>
          <w:tcPr>
            <w:tcW w:w="1045" w:type="dxa"/>
            <w:tcBorders>
              <w:top w:val="single" w:sz="4" w:space="0" w:color="293F5B"/>
              <w:bottom w:val="single" w:sz="4" w:space="0" w:color="293F5B"/>
            </w:tcBorders>
            <w:shd w:val="clear" w:color="auto" w:fill="auto"/>
          </w:tcPr>
          <w:p w14:paraId="62393FDE" w14:textId="77777777" w:rsidR="0012790E" w:rsidRPr="001C06E6" w:rsidRDefault="0012790E">
            <w:pPr>
              <w:pStyle w:val="MeasureTableDataRightAlignedwith2ptsspacing"/>
              <w:keepNext/>
            </w:pPr>
            <w:r w:rsidRPr="001C06E6">
              <w:t>-58.7</w:t>
            </w:r>
          </w:p>
        </w:tc>
        <w:tc>
          <w:tcPr>
            <w:tcW w:w="1045" w:type="dxa"/>
            <w:tcBorders>
              <w:top w:val="single" w:sz="4" w:space="0" w:color="293F5B"/>
              <w:bottom w:val="single" w:sz="4" w:space="0" w:color="293F5B"/>
            </w:tcBorders>
            <w:shd w:val="clear" w:color="auto" w:fill="auto"/>
          </w:tcPr>
          <w:p w14:paraId="4954222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BAF31B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B125959" w14:textId="77777777" w:rsidR="0012790E" w:rsidRPr="001C06E6" w:rsidRDefault="0012790E">
            <w:pPr>
              <w:pStyle w:val="MeasureTableDataRightAlignedwith2ptsspacing"/>
              <w:keepNext/>
            </w:pPr>
            <w:r w:rsidRPr="001C06E6">
              <w:t>-</w:t>
            </w:r>
          </w:p>
        </w:tc>
      </w:tr>
      <w:tr w:rsidR="0012790E" w:rsidRPr="001C06E6" w14:paraId="317974FD" w14:textId="77777777">
        <w:tc>
          <w:tcPr>
            <w:tcW w:w="2497" w:type="dxa"/>
            <w:tcBorders>
              <w:top w:val="single" w:sz="4" w:space="0" w:color="293F5B"/>
              <w:bottom w:val="single" w:sz="4" w:space="0" w:color="293F5B"/>
            </w:tcBorders>
            <w:shd w:val="clear" w:color="auto" w:fill="auto"/>
          </w:tcPr>
          <w:p w14:paraId="3A919DA2"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7F5914EF" w14:textId="77777777" w:rsidR="0012790E" w:rsidRPr="001C06E6" w:rsidRDefault="0012790E">
            <w:pPr>
              <w:pStyle w:val="Totaldatarowrightaligned"/>
              <w:keepNext/>
            </w:pPr>
            <w:r w:rsidRPr="001C06E6">
              <w:t>1.7</w:t>
            </w:r>
          </w:p>
        </w:tc>
        <w:tc>
          <w:tcPr>
            <w:tcW w:w="1045" w:type="dxa"/>
            <w:tcBorders>
              <w:top w:val="single" w:sz="4" w:space="0" w:color="293F5B"/>
              <w:bottom w:val="single" w:sz="4" w:space="0" w:color="293F5B"/>
            </w:tcBorders>
            <w:shd w:val="clear" w:color="auto" w:fill="auto"/>
          </w:tcPr>
          <w:p w14:paraId="178500CC" w14:textId="77777777" w:rsidR="0012790E" w:rsidRPr="001C06E6" w:rsidRDefault="0012790E">
            <w:pPr>
              <w:pStyle w:val="Totaldatarowrightaligned"/>
              <w:keepNext/>
            </w:pPr>
            <w:r w:rsidRPr="001C06E6">
              <w:t>32.9</w:t>
            </w:r>
          </w:p>
        </w:tc>
        <w:tc>
          <w:tcPr>
            <w:tcW w:w="1045" w:type="dxa"/>
            <w:tcBorders>
              <w:top w:val="single" w:sz="4" w:space="0" w:color="293F5B"/>
              <w:bottom w:val="single" w:sz="4" w:space="0" w:color="293F5B"/>
            </w:tcBorders>
            <w:shd w:val="clear" w:color="auto" w:fill="auto"/>
          </w:tcPr>
          <w:p w14:paraId="647C6235" w14:textId="77777777" w:rsidR="0012790E" w:rsidRPr="001C06E6" w:rsidRDefault="0012790E">
            <w:pPr>
              <w:pStyle w:val="Totaldatarowrightaligned"/>
              <w:keepNext/>
            </w:pPr>
            <w:r w:rsidRPr="001C06E6">
              <w:t>50.7</w:t>
            </w:r>
          </w:p>
        </w:tc>
        <w:tc>
          <w:tcPr>
            <w:tcW w:w="1045" w:type="dxa"/>
            <w:tcBorders>
              <w:top w:val="single" w:sz="4" w:space="0" w:color="293F5B"/>
              <w:bottom w:val="single" w:sz="4" w:space="0" w:color="293F5B"/>
            </w:tcBorders>
            <w:shd w:val="clear" w:color="auto" w:fill="auto"/>
          </w:tcPr>
          <w:p w14:paraId="12D06BC4" w14:textId="77777777" w:rsidR="0012790E" w:rsidRPr="001C06E6" w:rsidRDefault="0012790E">
            <w:pPr>
              <w:pStyle w:val="Totaldatarowrightaligned"/>
              <w:keepNext/>
            </w:pPr>
            <w:r w:rsidRPr="001C06E6">
              <w:t>54.6</w:t>
            </w:r>
          </w:p>
        </w:tc>
        <w:tc>
          <w:tcPr>
            <w:tcW w:w="1045" w:type="dxa"/>
            <w:tcBorders>
              <w:top w:val="single" w:sz="4" w:space="0" w:color="293F5B"/>
              <w:bottom w:val="single" w:sz="4" w:space="0" w:color="293F5B"/>
            </w:tcBorders>
            <w:shd w:val="clear" w:color="auto" w:fill="auto"/>
          </w:tcPr>
          <w:p w14:paraId="60C2EFE1" w14:textId="77777777" w:rsidR="0012790E" w:rsidRPr="001C06E6" w:rsidRDefault="0012790E">
            <w:pPr>
              <w:pStyle w:val="Totaldatarowrightaligned"/>
              <w:keepNext/>
            </w:pPr>
            <w:r w:rsidRPr="001C06E6">
              <w:t>7.9</w:t>
            </w:r>
          </w:p>
        </w:tc>
      </w:tr>
    </w:tbl>
    <w:p w14:paraId="1B89D71E"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120E5F23" w14:textId="77777777" w:rsidR="0012790E" w:rsidRDefault="0012790E" w:rsidP="54937204">
      <w:pPr>
        <w:pStyle w:val="Normal2"/>
        <w:rPr>
          <w:rFonts w:cs="Book Antiqua"/>
          <w:lang w:val="en-US"/>
        </w:rPr>
      </w:pPr>
      <w:r w:rsidRPr="54937204">
        <w:rPr>
          <w:rFonts w:cs="Book Antiqua"/>
          <w:lang w:val="en-US"/>
        </w:rPr>
        <w:t>The Government will provide $237.7 million over seven years from 2023–24 (and $2.3 million per year ongoing) to support aviation, road, rail and maritime transport priorities, including:</w:t>
      </w:r>
    </w:p>
    <w:p w14:paraId="4C646EE5" w14:textId="77777777" w:rsidR="0012790E" w:rsidRDefault="0012790E">
      <w:pPr>
        <w:pStyle w:val="Bullet"/>
      </w:pPr>
      <w:r w:rsidRPr="001C06E6">
        <w:t>$101.9</w:t>
      </w:r>
      <w:r>
        <w:t> </w:t>
      </w:r>
      <w:r w:rsidRPr="001C06E6">
        <w:t xml:space="preserve">million over five years from </w:t>
      </w:r>
      <w:r>
        <w:t>2024–25</w:t>
      </w:r>
      <w:r w:rsidRPr="001C06E6">
        <w:t xml:space="preserve"> (and $0.8</w:t>
      </w:r>
      <w:r>
        <w:t> </w:t>
      </w:r>
      <w:r w:rsidRPr="001C06E6">
        <w:t xml:space="preserve">million per year ongoing) to extend the </w:t>
      </w:r>
      <w:r w:rsidRPr="001C06E6">
        <w:rPr>
          <w:i/>
          <w:iCs/>
        </w:rPr>
        <w:t>Remote Airstrip Upgrade Program</w:t>
      </w:r>
      <w:r w:rsidRPr="001C06E6">
        <w:t xml:space="preserve"> and the </w:t>
      </w:r>
      <w:r w:rsidRPr="001C06E6">
        <w:rPr>
          <w:i/>
          <w:iCs/>
        </w:rPr>
        <w:t>Regional Airports Program</w:t>
      </w:r>
      <w:r w:rsidRPr="001C06E6">
        <w:t xml:space="preserve"> for two additional rounds, and continue the </w:t>
      </w:r>
      <w:r w:rsidRPr="001C06E6">
        <w:rPr>
          <w:i/>
          <w:iCs/>
        </w:rPr>
        <w:t>Remote Aerodrome Inspection Programme</w:t>
      </w:r>
      <w:r w:rsidRPr="001C06E6">
        <w:t xml:space="preserve"> to improve aviation safety and access at remote airstrips and regional airports</w:t>
      </w:r>
      <w:r>
        <w:t xml:space="preserve"> </w:t>
      </w:r>
    </w:p>
    <w:p w14:paraId="43FF3556" w14:textId="77777777" w:rsidR="0012790E" w:rsidRDefault="0012790E">
      <w:pPr>
        <w:pStyle w:val="Bullet"/>
      </w:pPr>
      <w:r w:rsidRPr="001C06E6">
        <w:t>$78.8</w:t>
      </w:r>
      <w:r>
        <w:t> </w:t>
      </w:r>
      <w:r w:rsidRPr="001C06E6">
        <w:t xml:space="preserve">million over three years from </w:t>
      </w:r>
      <w:r>
        <w:t>2023–24</w:t>
      </w:r>
      <w:r w:rsidRPr="001C06E6">
        <w:t xml:space="preserve"> for the High Speed Rail Authority to undertake the development of a business case for the Sydney to Newcastle high speed rail corridor</w:t>
      </w:r>
      <w:r>
        <w:t xml:space="preserve"> </w:t>
      </w:r>
    </w:p>
    <w:p w14:paraId="30ADFE88" w14:textId="77777777" w:rsidR="0012790E" w:rsidRDefault="0012790E">
      <w:pPr>
        <w:pStyle w:val="Bullet"/>
      </w:pPr>
      <w:r w:rsidRPr="001C06E6">
        <w:t>$32.0</w:t>
      </w:r>
      <w:r>
        <w:t> </w:t>
      </w:r>
      <w:r w:rsidRPr="001C06E6">
        <w:t xml:space="preserve">million over six years from </w:t>
      </w:r>
      <w:r>
        <w:t>2024–25</w:t>
      </w:r>
      <w:r w:rsidRPr="001C06E6">
        <w:t xml:space="preserve"> to improve the National Road Safety Data Hub and support a National Road Safety Education and Awareness Campaign</w:t>
      </w:r>
      <w:r>
        <w:t xml:space="preserve"> </w:t>
      </w:r>
    </w:p>
    <w:p w14:paraId="1E0A7C87" w14:textId="77777777" w:rsidR="0012790E" w:rsidRDefault="0012790E">
      <w:pPr>
        <w:pStyle w:val="Bullet"/>
      </w:pPr>
      <w:r w:rsidRPr="001C06E6">
        <w:t>$10.1</w:t>
      </w:r>
      <w:r>
        <w:t> </w:t>
      </w:r>
      <w:r w:rsidRPr="001C06E6">
        <w:t xml:space="preserve">million over four years from </w:t>
      </w:r>
      <w:r>
        <w:t>2024–25</w:t>
      </w:r>
      <w:r w:rsidRPr="001C06E6">
        <w:t xml:space="preserve"> (and $1.5</w:t>
      </w:r>
      <w:r>
        <w:t> </w:t>
      </w:r>
      <w:r w:rsidRPr="001C06E6">
        <w:t>million per year ongoing) to implement reforms to the Sydney Airport Demand Management Compliance Framework to strengthen the compliance regime and enhance aviation competition, and support regulatory functions for the protection of airspace above and around federal leased airports</w:t>
      </w:r>
      <w:r>
        <w:t xml:space="preserve"> </w:t>
      </w:r>
    </w:p>
    <w:p w14:paraId="135807B6" w14:textId="7AB2BE1D" w:rsidR="0012790E" w:rsidRDefault="0012790E">
      <w:pPr>
        <w:pStyle w:val="Bullet"/>
      </w:pPr>
      <w:r w:rsidRPr="001C06E6">
        <w:t>$5.2</w:t>
      </w:r>
      <w:r>
        <w:t> </w:t>
      </w:r>
      <w:r w:rsidRPr="001C06E6">
        <w:t xml:space="preserve">million in </w:t>
      </w:r>
      <w:r>
        <w:t>2024–25</w:t>
      </w:r>
      <w:r w:rsidRPr="001C06E6">
        <w:t xml:space="preserve"> to support ongoing safety investigative services provided by the</w:t>
      </w:r>
      <w:r w:rsidR="00EB5256">
        <w:t> </w:t>
      </w:r>
      <w:r w:rsidRPr="001C06E6">
        <w:t>Australian Transport Safety Bureau and continued work on sustainable funding arrangements for the Australian Transport Safety Bureau, the Civil Aviation Safety Authority and the Australian Maritime Safety Authority</w:t>
      </w:r>
      <w:r>
        <w:t xml:space="preserve"> </w:t>
      </w:r>
    </w:p>
    <w:p w14:paraId="332C7B3A" w14:textId="77777777" w:rsidR="0012790E" w:rsidRDefault="0012790E">
      <w:pPr>
        <w:pStyle w:val="Bullet"/>
      </w:pPr>
      <w:r w:rsidRPr="001C06E6">
        <w:t>$3.6</w:t>
      </w:r>
      <w:r>
        <w:t> </w:t>
      </w:r>
      <w:r w:rsidRPr="001C06E6">
        <w:t xml:space="preserve">million over three years from </w:t>
      </w:r>
      <w:r>
        <w:t>2024–25</w:t>
      </w:r>
      <w:r w:rsidRPr="001C06E6">
        <w:t xml:space="preserve"> to extend the </w:t>
      </w:r>
      <w:r w:rsidRPr="001C06E6">
        <w:rPr>
          <w:i/>
          <w:iCs/>
        </w:rPr>
        <w:t>Automatic Dependent Surveillance Broadcast (ADS</w:t>
      </w:r>
      <w:r>
        <w:rPr>
          <w:i/>
          <w:iCs/>
        </w:rPr>
        <w:noBreakHyphen/>
      </w:r>
      <w:r w:rsidRPr="001C06E6">
        <w:rPr>
          <w:i/>
          <w:iCs/>
        </w:rPr>
        <w:t>B) Rebate Program</w:t>
      </w:r>
      <w:r w:rsidRPr="001C06E6">
        <w:t>, supporting general and recreational aviation operators to install ADS</w:t>
      </w:r>
      <w:r>
        <w:noBreakHyphen/>
      </w:r>
      <w:r w:rsidRPr="001C06E6">
        <w:t>B devices in their aircraft, bringing about improved airspace management and safety</w:t>
      </w:r>
      <w:r>
        <w:t xml:space="preserve"> </w:t>
      </w:r>
    </w:p>
    <w:p w14:paraId="4C803D0E" w14:textId="77777777" w:rsidR="0012790E" w:rsidRDefault="0012790E">
      <w:pPr>
        <w:pStyle w:val="Bullet"/>
      </w:pPr>
      <w:r w:rsidRPr="001C06E6">
        <w:t>$2.4</w:t>
      </w:r>
      <w:r>
        <w:t> </w:t>
      </w:r>
      <w:r w:rsidRPr="001C06E6">
        <w:t xml:space="preserve">million in </w:t>
      </w:r>
      <w:r>
        <w:t>2024–25</w:t>
      </w:r>
      <w:r w:rsidRPr="001C06E6">
        <w:t xml:space="preserve"> to continue development of the Maritime Single Window project.</w:t>
      </w:r>
      <w:r>
        <w:t xml:space="preserve"> </w:t>
      </w:r>
    </w:p>
    <w:p w14:paraId="6EB32BE2" w14:textId="7030441B" w:rsidR="0012790E" w:rsidRDefault="0012790E">
      <w:pPr>
        <w:pStyle w:val="Normal2"/>
        <w:rPr>
          <w:rFonts w:cs="Book Antiqua"/>
        </w:rPr>
      </w:pPr>
      <w:r w:rsidRPr="001C06E6">
        <w:rPr>
          <w:rFonts w:cs="Book Antiqua"/>
        </w:rPr>
        <w:t>The Government will also provide $5.0</w:t>
      </w:r>
      <w:r>
        <w:rPr>
          <w:rFonts w:cs="Book Antiqua"/>
        </w:rPr>
        <w:t> </w:t>
      </w:r>
      <w:r w:rsidRPr="001C06E6">
        <w:rPr>
          <w:rFonts w:cs="Book Antiqua"/>
        </w:rPr>
        <w:t xml:space="preserve">million in </w:t>
      </w:r>
      <w:r>
        <w:rPr>
          <w:rFonts w:cs="Book Antiqua"/>
        </w:rPr>
        <w:t>2024–25</w:t>
      </w:r>
      <w:r w:rsidRPr="001C06E6">
        <w:rPr>
          <w:rFonts w:cs="Book Antiqua"/>
        </w:rPr>
        <w:t xml:space="preserve"> to develop a business case</w:t>
      </w:r>
      <w:r>
        <w:rPr>
          <w:rFonts w:cs="Book Antiqua"/>
        </w:rPr>
        <w:t xml:space="preserve"> </w:t>
      </w:r>
      <w:r w:rsidRPr="001C06E6">
        <w:rPr>
          <w:rFonts w:cs="Book Antiqua"/>
        </w:rPr>
        <w:t>and progress technical and environmental planning for an intermodal terminal in</w:t>
      </w:r>
      <w:r>
        <w:rPr>
          <w:rFonts w:cs="Book Antiqua"/>
        </w:rPr>
        <w:t xml:space="preserve"> </w:t>
      </w:r>
      <w:r w:rsidRPr="001C06E6">
        <w:rPr>
          <w:rFonts w:cs="Book Antiqua"/>
        </w:rPr>
        <w:t>Parkes, New</w:t>
      </w:r>
      <w:r w:rsidR="0057265E">
        <w:rPr>
          <w:rFonts w:cs="Book Antiqua"/>
        </w:rPr>
        <w:t> </w:t>
      </w:r>
      <w:r w:rsidRPr="001C06E6">
        <w:rPr>
          <w:rFonts w:cs="Book Antiqua"/>
        </w:rPr>
        <w:t>South Wales, to support the Inland Rail program, with funding to be</w:t>
      </w:r>
      <w:r>
        <w:rPr>
          <w:rFonts w:cs="Book Antiqua"/>
        </w:rPr>
        <w:t xml:space="preserve"> </w:t>
      </w:r>
      <w:r w:rsidRPr="001C06E6">
        <w:rPr>
          <w:rFonts w:cs="Book Antiqua"/>
        </w:rPr>
        <w:t>redirected from existing National Intermodal Corporation equity.</w:t>
      </w:r>
      <w:r>
        <w:rPr>
          <w:rFonts w:cs="Book Antiqua"/>
        </w:rPr>
        <w:t xml:space="preserve"> </w:t>
      </w:r>
    </w:p>
    <w:p w14:paraId="6AA76939" w14:textId="77777777" w:rsidR="0012790E" w:rsidRDefault="0012790E">
      <w:pPr>
        <w:pStyle w:val="Normal2"/>
        <w:rPr>
          <w:rFonts w:cs="Book Antiqua"/>
        </w:rPr>
      </w:pPr>
      <w:r w:rsidRPr="001C06E6">
        <w:rPr>
          <w:rFonts w:cs="Book Antiqua"/>
        </w:rPr>
        <w:t>The cost of this measure will be partially met from existing funding for Infrastructure,</w:t>
      </w:r>
      <w:r>
        <w:rPr>
          <w:rFonts w:cs="Book Antiqua"/>
        </w:rPr>
        <w:t xml:space="preserve"> </w:t>
      </w:r>
      <w:r w:rsidRPr="001C06E6">
        <w:rPr>
          <w:rFonts w:cs="Book Antiqua"/>
        </w:rPr>
        <w:t>Transport and Regional Development portfolio programs.</w:t>
      </w:r>
      <w:r>
        <w:rPr>
          <w:rFonts w:cs="Book Antiqua"/>
        </w:rPr>
        <w:t xml:space="preserve"> </w:t>
      </w:r>
    </w:p>
    <w:p w14:paraId="337C8DBE" w14:textId="77777777" w:rsidR="0012790E" w:rsidRPr="001C06E6" w:rsidRDefault="0012790E">
      <w:pPr>
        <w:pStyle w:val="MeasureTitle"/>
        <w:rPr>
          <w:b w:val="0"/>
          <w:bCs/>
        </w:rPr>
      </w:pPr>
      <w:r w:rsidRPr="001C06E6">
        <w:rPr>
          <w:bCs/>
        </w:rPr>
        <w:t>Urban Agenda and Community Programs</w:t>
      </w:r>
    </w:p>
    <w:p w14:paraId="4C568A4A"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D69AA25" w14:textId="77777777">
        <w:tc>
          <w:tcPr>
            <w:tcW w:w="2497" w:type="dxa"/>
            <w:tcBorders>
              <w:top w:val="single" w:sz="4" w:space="0" w:color="293F5B"/>
              <w:bottom w:val="single" w:sz="4" w:space="0" w:color="293F5B"/>
            </w:tcBorders>
            <w:shd w:val="clear" w:color="auto" w:fill="auto"/>
          </w:tcPr>
          <w:p w14:paraId="2F0411A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A26D6B0"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F070AA8"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C30BE60"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55043F91"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F077D96" w14:textId="77777777" w:rsidR="0012790E" w:rsidRPr="001C06E6" w:rsidRDefault="0012790E">
            <w:pPr>
              <w:pStyle w:val="MeasureTableYearHeadings"/>
              <w:keepNext/>
            </w:pPr>
            <w:r w:rsidRPr="001C06E6">
              <w:t>2027</w:t>
            </w:r>
            <w:r>
              <w:noBreakHyphen/>
            </w:r>
            <w:r w:rsidRPr="001C06E6">
              <w:t>28</w:t>
            </w:r>
          </w:p>
        </w:tc>
      </w:tr>
      <w:tr w:rsidR="0012790E" w:rsidRPr="001C06E6" w14:paraId="0DA989E1" w14:textId="77777777">
        <w:tc>
          <w:tcPr>
            <w:tcW w:w="2497" w:type="dxa"/>
            <w:tcBorders>
              <w:top w:val="single" w:sz="4" w:space="0" w:color="293F5B"/>
              <w:bottom w:val="single" w:sz="4" w:space="0" w:color="293F5B"/>
            </w:tcBorders>
            <w:shd w:val="clear" w:color="auto" w:fill="auto"/>
          </w:tcPr>
          <w:p w14:paraId="59B158A8"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03A311C2" w14:textId="77777777" w:rsidR="0012790E" w:rsidRPr="001C06E6" w:rsidRDefault="0012790E">
            <w:pPr>
              <w:pStyle w:val="MeasureTableDataRightAlignedwith2ptsspacing"/>
              <w:keepNext/>
            </w:pPr>
            <w:r>
              <w:t xml:space="preserve">-36.8   </w:t>
            </w:r>
          </w:p>
        </w:tc>
        <w:tc>
          <w:tcPr>
            <w:tcW w:w="1045" w:type="dxa"/>
            <w:tcBorders>
              <w:top w:val="single" w:sz="4" w:space="0" w:color="293F5B"/>
              <w:bottom w:val="single" w:sz="4" w:space="0" w:color="293F5B"/>
            </w:tcBorders>
            <w:shd w:val="clear" w:color="auto" w:fill="auto"/>
          </w:tcPr>
          <w:p w14:paraId="21ECE21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7AA896A" w14:textId="77777777" w:rsidR="0012790E" w:rsidRPr="001C06E6" w:rsidRDefault="0012790E">
            <w:pPr>
              <w:pStyle w:val="MeasureTableDataRightAlignedwith2ptsspacing"/>
              <w:keepNext/>
            </w:pPr>
            <w:r>
              <w:t xml:space="preserve">3.4   </w:t>
            </w:r>
          </w:p>
        </w:tc>
        <w:tc>
          <w:tcPr>
            <w:tcW w:w="1045" w:type="dxa"/>
            <w:tcBorders>
              <w:top w:val="single" w:sz="4" w:space="0" w:color="293F5B"/>
              <w:bottom w:val="single" w:sz="4" w:space="0" w:color="293F5B"/>
            </w:tcBorders>
            <w:shd w:val="clear" w:color="auto" w:fill="auto"/>
          </w:tcPr>
          <w:p w14:paraId="0466610F" w14:textId="77777777" w:rsidR="0012790E" w:rsidRPr="001C06E6" w:rsidRDefault="0012790E">
            <w:pPr>
              <w:pStyle w:val="MeasureTableDataRightAlignedwith2ptsspacing"/>
              <w:keepNext/>
            </w:pPr>
            <w:r>
              <w:t xml:space="preserve">3.0   </w:t>
            </w:r>
          </w:p>
        </w:tc>
        <w:tc>
          <w:tcPr>
            <w:tcW w:w="1045" w:type="dxa"/>
            <w:tcBorders>
              <w:top w:val="single" w:sz="4" w:space="0" w:color="293F5B"/>
              <w:bottom w:val="single" w:sz="4" w:space="0" w:color="293F5B"/>
            </w:tcBorders>
            <w:shd w:val="clear" w:color="auto" w:fill="auto"/>
          </w:tcPr>
          <w:p w14:paraId="66A61CBE" w14:textId="77777777" w:rsidR="0012790E" w:rsidRPr="001C06E6" w:rsidRDefault="0012790E">
            <w:pPr>
              <w:pStyle w:val="MeasureTableDataRightAlignedwith2ptsspacing"/>
              <w:keepNext/>
            </w:pPr>
            <w:r>
              <w:t xml:space="preserve">2.6   </w:t>
            </w:r>
          </w:p>
        </w:tc>
      </w:tr>
    </w:tbl>
    <w:p w14:paraId="3C1B42F2" w14:textId="77777777" w:rsidR="0012790E" w:rsidRPr="001C06E6" w:rsidRDefault="0012790E">
      <w:pPr>
        <w:keepNext/>
        <w:widowControl w:val="0"/>
        <w:spacing w:line="184" w:lineRule="exact"/>
        <w:rPr>
          <w:color w:val="000000"/>
          <w:sz w:val="16"/>
          <w:szCs w:val="16"/>
          <w:lang w:val="en-AU"/>
        </w:rPr>
      </w:pPr>
    </w:p>
    <w:p w14:paraId="7CE41F51" w14:textId="64FAF45F" w:rsidR="0012790E" w:rsidRDefault="0012790E">
      <w:pPr>
        <w:pStyle w:val="Normal2"/>
        <w:rPr>
          <w:rFonts w:cs="Book Antiqua"/>
        </w:rPr>
      </w:pPr>
      <w:r w:rsidRPr="001C06E6">
        <w:rPr>
          <w:rFonts w:cs="Book Antiqua"/>
        </w:rPr>
        <w:t>The Government will provide $12.6</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to support</w:t>
      </w:r>
      <w:r>
        <w:rPr>
          <w:rFonts w:cs="Book Antiqua"/>
        </w:rPr>
        <w:t xml:space="preserve"> </w:t>
      </w:r>
      <w:r w:rsidRPr="001C06E6">
        <w:rPr>
          <w:rFonts w:cs="Book Antiqua"/>
        </w:rPr>
        <w:t>the</w:t>
      </w:r>
      <w:r w:rsidR="00EB5256">
        <w:rPr>
          <w:rFonts w:cs="Book Antiqua"/>
        </w:rPr>
        <w:t> </w:t>
      </w:r>
      <w:r w:rsidRPr="001C06E6">
        <w:rPr>
          <w:rFonts w:cs="Book Antiqua"/>
        </w:rPr>
        <w:t>delivery of the Government’s Urban Agenda, supporting a national approach to</w:t>
      </w:r>
      <w:r>
        <w:rPr>
          <w:rFonts w:cs="Book Antiqua"/>
        </w:rPr>
        <w:t xml:space="preserve"> </w:t>
      </w:r>
      <w:r w:rsidRPr="001C06E6">
        <w:rPr>
          <w:rFonts w:cs="Book Antiqua"/>
        </w:rPr>
        <w:t>sustainable urban development, oversight of urban renewal projects and the</w:t>
      </w:r>
      <w:r>
        <w:rPr>
          <w:rFonts w:cs="Book Antiqua"/>
        </w:rPr>
        <w:t xml:space="preserve"> </w:t>
      </w:r>
      <w:r w:rsidRPr="001C06E6">
        <w:rPr>
          <w:rFonts w:cs="Book Antiqua"/>
        </w:rPr>
        <w:t>continued delivery of city and regional deal projects.</w:t>
      </w:r>
      <w:r>
        <w:rPr>
          <w:rFonts w:cs="Book Antiqua"/>
        </w:rPr>
        <w:t xml:space="preserve"> </w:t>
      </w:r>
    </w:p>
    <w:p w14:paraId="56926BB9" w14:textId="4D910AEF" w:rsidR="0012790E" w:rsidRPr="001C06E6" w:rsidRDefault="0012790E">
      <w:pPr>
        <w:pStyle w:val="Normal2"/>
        <w:rPr>
          <w:rFonts w:cs="Book Antiqua"/>
          <w:iCs/>
        </w:rPr>
      </w:pPr>
      <w:r w:rsidRPr="001C06E6">
        <w:rPr>
          <w:rFonts w:cs="Book Antiqua"/>
        </w:rPr>
        <w:t>The Government will also achieve savings of $40.3</w:t>
      </w:r>
      <w:r>
        <w:rPr>
          <w:rFonts w:cs="Book Antiqua"/>
        </w:rPr>
        <w:t> </w:t>
      </w:r>
      <w:r w:rsidRPr="001C06E6">
        <w:rPr>
          <w:rFonts w:cs="Book Antiqua"/>
        </w:rPr>
        <w:t xml:space="preserve">million over two years from 2023–24 by reducing uncommitted funding for the </w:t>
      </w:r>
      <w:r w:rsidRPr="001C06E6">
        <w:rPr>
          <w:rFonts w:cs="Book Antiqua"/>
          <w:i/>
          <w:iCs/>
        </w:rPr>
        <w:t>Investing in Our Communities Program</w:t>
      </w:r>
      <w:r>
        <w:rPr>
          <w:rFonts w:cs="Book Antiqua"/>
        </w:rPr>
        <w:t xml:space="preserve"> </w:t>
      </w:r>
      <w:r w:rsidRPr="001C06E6">
        <w:rPr>
          <w:rFonts w:cs="Book Antiqua"/>
        </w:rPr>
        <w:t xml:space="preserve">and </w:t>
      </w:r>
      <w:r w:rsidRPr="001C06E6">
        <w:rPr>
          <w:rFonts w:cs="Book Antiqua"/>
          <w:i/>
          <w:iCs/>
        </w:rPr>
        <w:t>Priority Community Infrastructure Program.</w:t>
      </w:r>
      <w:r>
        <w:rPr>
          <w:rFonts w:cs="Book Antiqua"/>
          <w:i/>
          <w:iCs/>
        </w:rPr>
        <w:t xml:space="preserve"> </w:t>
      </w:r>
    </w:p>
    <w:p w14:paraId="4A3B7771" w14:textId="77777777" w:rsidR="0012790E" w:rsidRDefault="0012790E">
      <w:pPr>
        <w:pStyle w:val="PortfolioName"/>
        <w:rPr>
          <w:bCs/>
          <w:szCs w:val="26"/>
        </w:rPr>
        <w:sectPr w:rsidR="0012790E" w:rsidSect="00EA5BFE">
          <w:pgSz w:w="11905" w:h="16837"/>
          <w:pgMar w:top="2835" w:right="2098" w:bottom="2466" w:left="2098" w:header="1814" w:footer="1814" w:gutter="0"/>
          <w:cols w:space="720"/>
          <w:noEndnote/>
          <w:docGrid w:linePitch="272"/>
        </w:sectPr>
      </w:pPr>
    </w:p>
    <w:p w14:paraId="6661FEB8" w14:textId="77777777" w:rsidR="0012790E" w:rsidRPr="001C06E6" w:rsidRDefault="0012790E">
      <w:pPr>
        <w:pStyle w:val="PortfolioName"/>
      </w:pPr>
      <w:r w:rsidRPr="001C06E6">
        <w:rPr>
          <w:bCs/>
          <w:szCs w:val="26"/>
        </w:rPr>
        <w:t>Parliament</w:t>
      </w:r>
    </w:p>
    <w:p w14:paraId="5875BC6C" w14:textId="77777777" w:rsidR="0012790E" w:rsidRPr="001C06E6" w:rsidRDefault="0012790E">
      <w:pPr>
        <w:pStyle w:val="MeasureTitle"/>
      </w:pPr>
      <w:r w:rsidRPr="54937204">
        <w:rPr>
          <w:lang w:val="en-US"/>
        </w:rPr>
        <w:t>Parliamentary Departments – additional resourcing</w:t>
      </w:r>
    </w:p>
    <w:p w14:paraId="37CA646F"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DD77E34" w14:textId="77777777">
        <w:tc>
          <w:tcPr>
            <w:tcW w:w="2497" w:type="dxa"/>
            <w:tcBorders>
              <w:top w:val="single" w:sz="4" w:space="0" w:color="293F5B"/>
              <w:bottom w:val="single" w:sz="4" w:space="0" w:color="293F5B"/>
            </w:tcBorders>
            <w:shd w:val="clear" w:color="auto" w:fill="auto"/>
          </w:tcPr>
          <w:p w14:paraId="6A7BD10F"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B102B61"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265CF68A"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76ADEDA"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9F43F6A"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A31A6C3" w14:textId="77777777" w:rsidR="0012790E" w:rsidRPr="001C06E6" w:rsidRDefault="0012790E">
            <w:pPr>
              <w:pStyle w:val="MeasureTableYearHeadings"/>
              <w:keepNext/>
            </w:pPr>
            <w:r w:rsidRPr="001C06E6">
              <w:t>2027</w:t>
            </w:r>
            <w:r>
              <w:noBreakHyphen/>
            </w:r>
            <w:r w:rsidRPr="001C06E6">
              <w:t>28</w:t>
            </w:r>
          </w:p>
        </w:tc>
      </w:tr>
      <w:tr w:rsidR="0012790E" w:rsidRPr="001C06E6" w14:paraId="352991CA" w14:textId="77777777">
        <w:tc>
          <w:tcPr>
            <w:tcW w:w="2497" w:type="dxa"/>
            <w:tcBorders>
              <w:top w:val="single" w:sz="4" w:space="0" w:color="293F5B"/>
              <w:bottom w:val="single" w:sz="4" w:space="0" w:color="293F5B"/>
            </w:tcBorders>
            <w:shd w:val="clear" w:color="auto" w:fill="auto"/>
          </w:tcPr>
          <w:p w14:paraId="1F1151EE" w14:textId="77777777" w:rsidR="0012790E" w:rsidRPr="001C06E6" w:rsidRDefault="0012790E">
            <w:pPr>
              <w:pStyle w:val="MeasureTableHeadingleftalignedwith2ptsspacing"/>
              <w:keepNext/>
            </w:pPr>
            <w:r>
              <w:t xml:space="preserve">Department of Parliamentary Services </w:t>
            </w:r>
          </w:p>
        </w:tc>
        <w:tc>
          <w:tcPr>
            <w:tcW w:w="1045" w:type="dxa"/>
            <w:tcBorders>
              <w:top w:val="single" w:sz="4" w:space="0" w:color="293F5B"/>
              <w:bottom w:val="single" w:sz="4" w:space="0" w:color="293F5B"/>
            </w:tcBorders>
            <w:shd w:val="clear" w:color="auto" w:fill="auto"/>
          </w:tcPr>
          <w:p w14:paraId="7680E46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9C77EE3" w14:textId="77777777" w:rsidR="0012790E" w:rsidRPr="001C06E6" w:rsidRDefault="0012790E">
            <w:pPr>
              <w:pStyle w:val="MeasureTableDataRightAlignedwith2ptsspacing"/>
              <w:keepNext/>
            </w:pPr>
            <w:r>
              <w:t xml:space="preserve">26.2 </w:t>
            </w:r>
          </w:p>
        </w:tc>
        <w:tc>
          <w:tcPr>
            <w:tcW w:w="1045" w:type="dxa"/>
            <w:tcBorders>
              <w:top w:val="single" w:sz="4" w:space="0" w:color="293F5B"/>
              <w:bottom w:val="single" w:sz="4" w:space="0" w:color="293F5B"/>
            </w:tcBorders>
            <w:shd w:val="clear" w:color="auto" w:fill="auto"/>
          </w:tcPr>
          <w:p w14:paraId="055BB64A" w14:textId="77777777" w:rsidR="0012790E" w:rsidRPr="001C06E6" w:rsidRDefault="0012790E">
            <w:pPr>
              <w:pStyle w:val="MeasureTableDataRightAlignedwith2ptsspacing"/>
              <w:keepNext/>
            </w:pPr>
            <w:r>
              <w:t xml:space="preserve">31.8 </w:t>
            </w:r>
          </w:p>
        </w:tc>
        <w:tc>
          <w:tcPr>
            <w:tcW w:w="1045" w:type="dxa"/>
            <w:tcBorders>
              <w:top w:val="single" w:sz="4" w:space="0" w:color="293F5B"/>
              <w:bottom w:val="single" w:sz="4" w:space="0" w:color="293F5B"/>
            </w:tcBorders>
            <w:shd w:val="clear" w:color="auto" w:fill="auto"/>
          </w:tcPr>
          <w:p w14:paraId="2A6CF6F9" w14:textId="77777777" w:rsidR="0012790E" w:rsidRPr="001C06E6" w:rsidRDefault="0012790E">
            <w:pPr>
              <w:pStyle w:val="MeasureTableDataRightAlignedwith2ptsspacing"/>
              <w:keepNext/>
            </w:pPr>
            <w:r>
              <w:t xml:space="preserve">6.0 </w:t>
            </w:r>
          </w:p>
        </w:tc>
        <w:tc>
          <w:tcPr>
            <w:tcW w:w="1045" w:type="dxa"/>
            <w:tcBorders>
              <w:top w:val="single" w:sz="4" w:space="0" w:color="293F5B"/>
              <w:bottom w:val="single" w:sz="4" w:space="0" w:color="293F5B"/>
            </w:tcBorders>
            <w:shd w:val="clear" w:color="auto" w:fill="auto"/>
          </w:tcPr>
          <w:p w14:paraId="314B69E0" w14:textId="77777777" w:rsidR="0012790E" w:rsidRPr="001C06E6" w:rsidRDefault="0012790E">
            <w:pPr>
              <w:pStyle w:val="MeasureTableDataRightAlignedwith2ptsspacing"/>
              <w:keepNext/>
            </w:pPr>
            <w:r>
              <w:t xml:space="preserve">2.9 </w:t>
            </w:r>
          </w:p>
        </w:tc>
      </w:tr>
      <w:tr w:rsidR="0012790E" w:rsidRPr="001C06E6" w14:paraId="1FEF7A82" w14:textId="77777777">
        <w:tc>
          <w:tcPr>
            <w:tcW w:w="2497" w:type="dxa"/>
            <w:tcBorders>
              <w:top w:val="single" w:sz="4" w:space="0" w:color="293F5B"/>
              <w:bottom w:val="single" w:sz="4" w:space="0" w:color="293F5B"/>
            </w:tcBorders>
            <w:shd w:val="clear" w:color="auto" w:fill="auto"/>
          </w:tcPr>
          <w:p w14:paraId="16CABCF0" w14:textId="77777777" w:rsidR="0012790E" w:rsidRPr="001C06E6" w:rsidRDefault="0012790E">
            <w:pPr>
              <w:pStyle w:val="MeasureTableHeadingleftalignedwith2ptsspacing"/>
              <w:keepNext/>
            </w:pPr>
            <w:r>
              <w:t xml:space="preserve">Department of the House of Representatives </w:t>
            </w:r>
          </w:p>
        </w:tc>
        <w:tc>
          <w:tcPr>
            <w:tcW w:w="1045" w:type="dxa"/>
            <w:tcBorders>
              <w:top w:val="single" w:sz="4" w:space="0" w:color="293F5B"/>
              <w:bottom w:val="single" w:sz="4" w:space="0" w:color="293F5B"/>
            </w:tcBorders>
            <w:shd w:val="clear" w:color="auto" w:fill="auto"/>
          </w:tcPr>
          <w:p w14:paraId="7ABF12C2"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F3F98F0" w14:textId="77777777" w:rsidR="0012790E" w:rsidRPr="001C06E6" w:rsidRDefault="0012790E">
            <w:pPr>
              <w:pStyle w:val="MeasureTableDataRightAlignedwith2ptsspacing"/>
              <w:keepNext/>
            </w:pPr>
            <w:r>
              <w:t xml:space="preserve">1.5 </w:t>
            </w:r>
          </w:p>
        </w:tc>
        <w:tc>
          <w:tcPr>
            <w:tcW w:w="1045" w:type="dxa"/>
            <w:tcBorders>
              <w:top w:val="single" w:sz="4" w:space="0" w:color="293F5B"/>
              <w:bottom w:val="single" w:sz="4" w:space="0" w:color="293F5B"/>
            </w:tcBorders>
            <w:shd w:val="clear" w:color="auto" w:fill="auto"/>
          </w:tcPr>
          <w:p w14:paraId="15DAD76D" w14:textId="77777777" w:rsidR="0012790E" w:rsidRPr="001C06E6" w:rsidRDefault="0012790E">
            <w:pPr>
              <w:pStyle w:val="MeasureTableDataRightAlignedwith2ptsspacing"/>
              <w:keepNext/>
            </w:pPr>
            <w:r>
              <w:t xml:space="preserve">1.2 </w:t>
            </w:r>
          </w:p>
        </w:tc>
        <w:tc>
          <w:tcPr>
            <w:tcW w:w="1045" w:type="dxa"/>
            <w:tcBorders>
              <w:top w:val="single" w:sz="4" w:space="0" w:color="293F5B"/>
              <w:bottom w:val="single" w:sz="4" w:space="0" w:color="293F5B"/>
            </w:tcBorders>
            <w:shd w:val="clear" w:color="auto" w:fill="auto"/>
          </w:tcPr>
          <w:p w14:paraId="078738D5" w14:textId="77777777" w:rsidR="0012790E" w:rsidRPr="001C06E6" w:rsidRDefault="0012790E">
            <w:pPr>
              <w:pStyle w:val="MeasureTableDataRightAlignedwith2ptsspacing"/>
              <w:keepNext/>
            </w:pPr>
            <w:r>
              <w:t xml:space="preserve">0.5 </w:t>
            </w:r>
          </w:p>
        </w:tc>
        <w:tc>
          <w:tcPr>
            <w:tcW w:w="1045" w:type="dxa"/>
            <w:tcBorders>
              <w:top w:val="single" w:sz="4" w:space="0" w:color="293F5B"/>
              <w:bottom w:val="single" w:sz="4" w:space="0" w:color="293F5B"/>
            </w:tcBorders>
            <w:shd w:val="clear" w:color="auto" w:fill="auto"/>
          </w:tcPr>
          <w:p w14:paraId="699BFAC0" w14:textId="77777777" w:rsidR="0012790E" w:rsidRPr="001C06E6" w:rsidRDefault="0012790E">
            <w:pPr>
              <w:pStyle w:val="MeasureTableDataRightAlignedwith2ptsspacing"/>
              <w:keepNext/>
            </w:pPr>
            <w:r>
              <w:t xml:space="preserve">0.6 </w:t>
            </w:r>
          </w:p>
        </w:tc>
      </w:tr>
      <w:tr w:rsidR="0012790E" w:rsidRPr="001C06E6" w14:paraId="3B6B79A4" w14:textId="77777777">
        <w:tc>
          <w:tcPr>
            <w:tcW w:w="2497" w:type="dxa"/>
            <w:tcBorders>
              <w:top w:val="single" w:sz="4" w:space="0" w:color="293F5B"/>
              <w:bottom w:val="single" w:sz="4" w:space="0" w:color="293F5B"/>
            </w:tcBorders>
            <w:shd w:val="clear" w:color="auto" w:fill="auto"/>
          </w:tcPr>
          <w:p w14:paraId="413B9023" w14:textId="77777777" w:rsidR="0012790E" w:rsidRPr="001C06E6" w:rsidRDefault="0012790E">
            <w:pPr>
              <w:pStyle w:val="MeasureTableHeadingleftalignedwith2ptsspacing"/>
              <w:keepNext/>
            </w:pPr>
            <w:r w:rsidRPr="001C06E6">
              <w:t>Department of the Senate</w:t>
            </w:r>
          </w:p>
        </w:tc>
        <w:tc>
          <w:tcPr>
            <w:tcW w:w="1045" w:type="dxa"/>
            <w:tcBorders>
              <w:top w:val="single" w:sz="4" w:space="0" w:color="293F5B"/>
              <w:bottom w:val="single" w:sz="4" w:space="0" w:color="293F5B"/>
            </w:tcBorders>
            <w:shd w:val="clear" w:color="auto" w:fill="auto"/>
          </w:tcPr>
          <w:p w14:paraId="2515706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286B3AE" w14:textId="77777777" w:rsidR="0012790E" w:rsidRPr="001C06E6" w:rsidRDefault="0012790E">
            <w:pPr>
              <w:pStyle w:val="MeasureTableDataRightAlignedwith2ptsspacing"/>
              <w:keepNext/>
            </w:pPr>
            <w:r w:rsidRPr="001C06E6">
              <w:t>1.1</w:t>
            </w:r>
          </w:p>
        </w:tc>
        <w:tc>
          <w:tcPr>
            <w:tcW w:w="1045" w:type="dxa"/>
            <w:tcBorders>
              <w:top w:val="single" w:sz="4" w:space="0" w:color="293F5B"/>
              <w:bottom w:val="single" w:sz="4" w:space="0" w:color="293F5B"/>
            </w:tcBorders>
            <w:shd w:val="clear" w:color="auto" w:fill="auto"/>
          </w:tcPr>
          <w:p w14:paraId="44A7E8E3" w14:textId="77777777" w:rsidR="0012790E" w:rsidRPr="001C06E6" w:rsidRDefault="0012790E">
            <w:pPr>
              <w:pStyle w:val="MeasureTableDataRightAlignedwith2ptsspacing"/>
              <w:keepNext/>
            </w:pPr>
            <w:r w:rsidRPr="001C06E6">
              <w:t>1.2</w:t>
            </w:r>
          </w:p>
        </w:tc>
        <w:tc>
          <w:tcPr>
            <w:tcW w:w="1045" w:type="dxa"/>
            <w:tcBorders>
              <w:top w:val="single" w:sz="4" w:space="0" w:color="293F5B"/>
              <w:bottom w:val="single" w:sz="4" w:space="0" w:color="293F5B"/>
            </w:tcBorders>
            <w:shd w:val="clear" w:color="auto" w:fill="auto"/>
          </w:tcPr>
          <w:p w14:paraId="789E1BA9" w14:textId="77777777" w:rsidR="0012790E" w:rsidRPr="001C06E6" w:rsidRDefault="0012790E">
            <w:pPr>
              <w:pStyle w:val="MeasureTableDataRightAlignedwith2ptsspacing"/>
              <w:keepNext/>
            </w:pPr>
            <w:r w:rsidRPr="001C06E6">
              <w:t>0.3</w:t>
            </w:r>
          </w:p>
        </w:tc>
        <w:tc>
          <w:tcPr>
            <w:tcW w:w="1045" w:type="dxa"/>
            <w:tcBorders>
              <w:top w:val="single" w:sz="4" w:space="0" w:color="293F5B"/>
              <w:bottom w:val="single" w:sz="4" w:space="0" w:color="293F5B"/>
            </w:tcBorders>
            <w:shd w:val="clear" w:color="auto" w:fill="auto"/>
          </w:tcPr>
          <w:p w14:paraId="6498225F" w14:textId="77777777" w:rsidR="0012790E" w:rsidRPr="001C06E6" w:rsidRDefault="0012790E">
            <w:pPr>
              <w:pStyle w:val="MeasureTableDataRightAlignedwith2ptsspacing"/>
              <w:keepNext/>
            </w:pPr>
            <w:r w:rsidRPr="001C06E6">
              <w:t>0.3</w:t>
            </w:r>
          </w:p>
        </w:tc>
      </w:tr>
      <w:tr w:rsidR="0012790E" w:rsidRPr="001C06E6" w14:paraId="5403ED41" w14:textId="77777777">
        <w:tc>
          <w:tcPr>
            <w:tcW w:w="2497" w:type="dxa"/>
            <w:tcBorders>
              <w:top w:val="single" w:sz="4" w:space="0" w:color="293F5B"/>
              <w:bottom w:val="single" w:sz="4" w:space="0" w:color="293F5B"/>
            </w:tcBorders>
            <w:shd w:val="clear" w:color="auto" w:fill="auto"/>
          </w:tcPr>
          <w:p w14:paraId="25266E55"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4E637FFB"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A319680" w14:textId="77777777" w:rsidR="0012790E" w:rsidRPr="001C06E6" w:rsidRDefault="0012790E">
            <w:pPr>
              <w:pStyle w:val="Totaldatarowrightaligned"/>
              <w:keepNext/>
            </w:pPr>
            <w:r w:rsidRPr="001C06E6">
              <w:t>28.9</w:t>
            </w:r>
          </w:p>
        </w:tc>
        <w:tc>
          <w:tcPr>
            <w:tcW w:w="1045" w:type="dxa"/>
            <w:tcBorders>
              <w:top w:val="single" w:sz="4" w:space="0" w:color="293F5B"/>
              <w:bottom w:val="single" w:sz="4" w:space="0" w:color="293F5B"/>
            </w:tcBorders>
            <w:shd w:val="clear" w:color="auto" w:fill="auto"/>
          </w:tcPr>
          <w:p w14:paraId="3B678FEE" w14:textId="77777777" w:rsidR="0012790E" w:rsidRPr="001C06E6" w:rsidRDefault="0012790E">
            <w:pPr>
              <w:pStyle w:val="Totaldatarowrightaligned"/>
              <w:keepNext/>
            </w:pPr>
            <w:r w:rsidRPr="001C06E6">
              <w:t>34.2</w:t>
            </w:r>
          </w:p>
        </w:tc>
        <w:tc>
          <w:tcPr>
            <w:tcW w:w="1045" w:type="dxa"/>
            <w:tcBorders>
              <w:top w:val="single" w:sz="4" w:space="0" w:color="293F5B"/>
              <w:bottom w:val="single" w:sz="4" w:space="0" w:color="293F5B"/>
            </w:tcBorders>
            <w:shd w:val="clear" w:color="auto" w:fill="auto"/>
          </w:tcPr>
          <w:p w14:paraId="0F0978BA" w14:textId="77777777" w:rsidR="0012790E" w:rsidRPr="001C06E6" w:rsidRDefault="0012790E">
            <w:pPr>
              <w:pStyle w:val="Totaldatarowrightaligned"/>
              <w:keepNext/>
            </w:pPr>
            <w:r w:rsidRPr="001C06E6">
              <w:t>6.9</w:t>
            </w:r>
          </w:p>
        </w:tc>
        <w:tc>
          <w:tcPr>
            <w:tcW w:w="1045" w:type="dxa"/>
            <w:tcBorders>
              <w:top w:val="single" w:sz="4" w:space="0" w:color="293F5B"/>
              <w:bottom w:val="single" w:sz="4" w:space="0" w:color="293F5B"/>
            </w:tcBorders>
            <w:shd w:val="clear" w:color="auto" w:fill="auto"/>
          </w:tcPr>
          <w:p w14:paraId="7969342F" w14:textId="77777777" w:rsidR="0012790E" w:rsidRPr="001C06E6" w:rsidRDefault="0012790E">
            <w:pPr>
              <w:pStyle w:val="Totaldatarowrightaligned"/>
              <w:keepNext/>
            </w:pPr>
            <w:r w:rsidRPr="001C06E6">
              <w:t>3.8</w:t>
            </w:r>
          </w:p>
        </w:tc>
      </w:tr>
    </w:tbl>
    <w:p w14:paraId="35B1ABF5"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7C1EAB92" w14:textId="77777777" w:rsidR="0012790E" w:rsidRDefault="0012790E">
      <w:pPr>
        <w:pStyle w:val="Normal2"/>
        <w:rPr>
          <w:rFonts w:cs="Book Antiqua"/>
        </w:rPr>
      </w:pPr>
      <w:r w:rsidRPr="001C06E6">
        <w:rPr>
          <w:rFonts w:cs="Book Antiqua"/>
        </w:rPr>
        <w:t>The Government will provide $73.8</w:t>
      </w:r>
      <w:r>
        <w:rPr>
          <w:rFonts w:cs="Book Antiqua"/>
        </w:rPr>
        <w:t> </w:t>
      </w:r>
      <w:r w:rsidRPr="001C06E6">
        <w:rPr>
          <w:rFonts w:cs="Book Antiqua"/>
        </w:rPr>
        <w:t xml:space="preserve">million over four years from </w:t>
      </w:r>
      <w:r>
        <w:rPr>
          <w:rFonts w:cs="Book Antiqua"/>
        </w:rPr>
        <w:t>2024–25</w:t>
      </w:r>
      <w:r w:rsidRPr="001C06E6">
        <w:rPr>
          <w:rFonts w:cs="Book Antiqua"/>
        </w:rPr>
        <w:t>, including</w:t>
      </w:r>
      <w:r>
        <w:rPr>
          <w:rFonts w:cs="Book Antiqua"/>
        </w:rPr>
        <w:t xml:space="preserve"> </w:t>
      </w:r>
      <w:r w:rsidRPr="001C06E6">
        <w:rPr>
          <w:rFonts w:cs="Book Antiqua"/>
        </w:rPr>
        <w:t>$48.4</w:t>
      </w:r>
      <w:r>
        <w:rPr>
          <w:rFonts w:cs="Book Antiqua"/>
        </w:rPr>
        <w:t> </w:t>
      </w:r>
      <w:r w:rsidRPr="001C06E6">
        <w:rPr>
          <w:rFonts w:cs="Book Antiqua"/>
        </w:rPr>
        <w:t>million in capital funding (and $3.6</w:t>
      </w:r>
      <w:r>
        <w:rPr>
          <w:rFonts w:cs="Book Antiqua"/>
        </w:rPr>
        <w:t> </w:t>
      </w:r>
      <w:r w:rsidRPr="001C06E6">
        <w:rPr>
          <w:rFonts w:cs="Book Antiqua"/>
        </w:rPr>
        <w:t>million per year ongoing), to support the</w:t>
      </w:r>
      <w:r>
        <w:rPr>
          <w:rFonts w:cs="Book Antiqua"/>
        </w:rPr>
        <w:t xml:space="preserve"> </w:t>
      </w:r>
      <w:r w:rsidRPr="001C06E6">
        <w:rPr>
          <w:rFonts w:cs="Book Antiqua"/>
        </w:rPr>
        <w:t>operations of the parliamentary departments. Funding includes:</w:t>
      </w:r>
    </w:p>
    <w:p w14:paraId="3FA8EA83" w14:textId="77777777" w:rsidR="0012790E" w:rsidRDefault="0012790E">
      <w:pPr>
        <w:pStyle w:val="Bullet"/>
      </w:pPr>
      <w:r w:rsidRPr="001C06E6">
        <w:t>$22.4</w:t>
      </w:r>
      <w:r>
        <w:t> </w:t>
      </w:r>
      <w:r w:rsidRPr="001C06E6">
        <w:t xml:space="preserve">million over four years from </w:t>
      </w:r>
      <w:r>
        <w:t>2024–25</w:t>
      </w:r>
      <w:r w:rsidRPr="001C06E6">
        <w:t xml:space="preserve"> (and $0.5</w:t>
      </w:r>
      <w:r>
        <w:t> </w:t>
      </w:r>
      <w:r w:rsidRPr="001C06E6">
        <w:t>million per year ongoing) to the Department of Parliamentary Services, Department of the Senate and Department of the House of Representatives to modernise parliamentary business technology systems</w:t>
      </w:r>
      <w:r>
        <w:t xml:space="preserve"> </w:t>
      </w:r>
    </w:p>
    <w:p w14:paraId="4E3981C6" w14:textId="77777777" w:rsidR="0012790E" w:rsidRDefault="0012790E">
      <w:pPr>
        <w:pStyle w:val="Bullet"/>
      </w:pPr>
      <w:r w:rsidRPr="001C06E6">
        <w:t>$20.7</w:t>
      </w:r>
      <w:r>
        <w:t> </w:t>
      </w:r>
      <w:r w:rsidRPr="001C06E6">
        <w:t xml:space="preserve">million over two years from </w:t>
      </w:r>
      <w:r>
        <w:t>2024–25</w:t>
      </w:r>
      <w:r w:rsidRPr="001C06E6">
        <w:t xml:space="preserve"> to the Department of Parliamentary Services for initial capital works for fire safety and compliance upgrades and to replace end</w:t>
      </w:r>
      <w:r>
        <w:noBreakHyphen/>
      </w:r>
      <w:r w:rsidRPr="001C06E6">
        <w:t>of</w:t>
      </w:r>
      <w:r>
        <w:noBreakHyphen/>
      </w:r>
      <w:r w:rsidRPr="001C06E6">
        <w:t>life building equipment at the Australian Parliament House</w:t>
      </w:r>
      <w:r>
        <w:t xml:space="preserve"> </w:t>
      </w:r>
    </w:p>
    <w:p w14:paraId="0F346F23" w14:textId="77777777" w:rsidR="0012790E" w:rsidRDefault="0012790E">
      <w:pPr>
        <w:pStyle w:val="Bullet"/>
      </w:pPr>
      <w:r w:rsidRPr="001C06E6">
        <w:t>$14.5</w:t>
      </w:r>
      <w:r>
        <w:t> </w:t>
      </w:r>
      <w:r w:rsidRPr="001C06E6">
        <w:t xml:space="preserve">million over four years from </w:t>
      </w:r>
      <w:r>
        <w:t>2024–25</w:t>
      </w:r>
      <w:r w:rsidRPr="001C06E6">
        <w:t xml:space="preserve"> to the Department of Parliamentary Services to replace end</w:t>
      </w:r>
      <w:r>
        <w:noBreakHyphen/>
      </w:r>
      <w:r w:rsidRPr="001C06E6">
        <w:t>of</w:t>
      </w:r>
      <w:r>
        <w:noBreakHyphen/>
      </w:r>
      <w:r w:rsidRPr="001C06E6">
        <w:t>life broadcasting systems to support continuity of the broadcast of parliamentary proceedings</w:t>
      </w:r>
      <w:r>
        <w:t xml:space="preserve"> </w:t>
      </w:r>
    </w:p>
    <w:p w14:paraId="69983BE6" w14:textId="77777777" w:rsidR="0012790E" w:rsidRDefault="0012790E">
      <w:pPr>
        <w:pStyle w:val="Bullet"/>
      </w:pPr>
      <w:r w:rsidRPr="001C06E6">
        <w:t>$12.8</w:t>
      </w:r>
      <w:r>
        <w:t> </w:t>
      </w:r>
      <w:r w:rsidRPr="001C06E6">
        <w:t xml:space="preserve">million over four years from </w:t>
      </w:r>
      <w:r>
        <w:t>2024–25</w:t>
      </w:r>
      <w:r w:rsidRPr="001C06E6">
        <w:t xml:space="preserve"> (and $2.3</w:t>
      </w:r>
      <w:r>
        <w:t> </w:t>
      </w:r>
      <w:r w:rsidRPr="001C06E6">
        <w:t>million per year ongoing) to the Department of Parliamentary Services to enhance information technology to support business productivity and cyber security</w:t>
      </w:r>
      <w:r>
        <w:t xml:space="preserve"> </w:t>
      </w:r>
    </w:p>
    <w:p w14:paraId="103ECA83" w14:textId="77777777" w:rsidR="0012790E" w:rsidRDefault="0012790E">
      <w:pPr>
        <w:pStyle w:val="Bullet"/>
      </w:pPr>
      <w:r w:rsidRPr="001C06E6">
        <w:t>$3.4</w:t>
      </w:r>
      <w:r>
        <w:t> </w:t>
      </w:r>
      <w:r w:rsidRPr="001C06E6">
        <w:t xml:space="preserve">million over four years from </w:t>
      </w:r>
      <w:r>
        <w:t>2024–25</w:t>
      </w:r>
      <w:r w:rsidRPr="001C06E6">
        <w:t xml:space="preserve"> (and $0.8</w:t>
      </w:r>
      <w:r>
        <w:t> </w:t>
      </w:r>
      <w:r w:rsidRPr="001C06E6">
        <w:t>million per year ongoing) to the Department of the House of Representatives and the Department of the Senate to maintain service levels to Members and Senators.</w:t>
      </w:r>
      <w:r>
        <w:t xml:space="preserve"> </w:t>
      </w:r>
    </w:p>
    <w:p w14:paraId="53EBC2E7" w14:textId="77777777" w:rsidR="0012790E" w:rsidRDefault="0012790E">
      <w:pPr>
        <w:pStyle w:val="PortfolioName"/>
        <w:rPr>
          <w:b w:val="0"/>
          <w:bCs/>
          <w:szCs w:val="26"/>
        </w:rPr>
        <w:sectPr w:rsidR="0012790E" w:rsidSect="00EA5BFE">
          <w:pgSz w:w="11905" w:h="16837"/>
          <w:pgMar w:top="2835" w:right="2098" w:bottom="2466" w:left="2098" w:header="1814" w:footer="1814" w:gutter="0"/>
          <w:cols w:space="720"/>
          <w:noEndnote/>
          <w:docGrid w:linePitch="272"/>
        </w:sectPr>
      </w:pPr>
    </w:p>
    <w:p w14:paraId="16A1046B" w14:textId="77777777" w:rsidR="0012790E" w:rsidRPr="001C06E6" w:rsidRDefault="0012790E">
      <w:pPr>
        <w:pStyle w:val="PortfolioName"/>
      </w:pPr>
      <w:r>
        <w:rPr>
          <w:b w:val="0"/>
          <w:bCs/>
          <w:szCs w:val="26"/>
        </w:rPr>
        <w:t>Prime Minister and Cabinet</w:t>
      </w:r>
    </w:p>
    <w:p w14:paraId="3A3330F2" w14:textId="4D116D89" w:rsidR="0012790E" w:rsidRPr="001C06E6" w:rsidRDefault="0012790E">
      <w:pPr>
        <w:pStyle w:val="MeasureTitle"/>
      </w:pPr>
      <w:r w:rsidRPr="001C06E6">
        <w:rPr>
          <w:bCs/>
        </w:rPr>
        <w:t>APS Capability Reinvestment Fund: 2024</w:t>
      </w:r>
      <w:r w:rsidR="007109B3">
        <w:rPr>
          <w:bCs/>
        </w:rPr>
        <w:t>–</w:t>
      </w:r>
      <w:r w:rsidRPr="001C06E6">
        <w:rPr>
          <w:bCs/>
        </w:rPr>
        <w:t>25 projects funded under round two</w:t>
      </w:r>
    </w:p>
    <w:p w14:paraId="58E996F8"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398AEE5" w14:textId="77777777">
        <w:tc>
          <w:tcPr>
            <w:tcW w:w="2497" w:type="dxa"/>
            <w:tcBorders>
              <w:top w:val="single" w:sz="4" w:space="0" w:color="293F5B"/>
              <w:bottom w:val="single" w:sz="4" w:space="0" w:color="293F5B"/>
            </w:tcBorders>
            <w:shd w:val="clear" w:color="auto" w:fill="auto"/>
          </w:tcPr>
          <w:p w14:paraId="145186E2"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6B036F7"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01395150"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EF12AA7"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54FE122C"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20C0E98" w14:textId="77777777" w:rsidR="0012790E" w:rsidRPr="001C06E6" w:rsidRDefault="0012790E">
            <w:pPr>
              <w:pStyle w:val="MeasureTableYearHeadings"/>
              <w:keepNext/>
            </w:pPr>
            <w:r w:rsidRPr="001C06E6">
              <w:t>2027</w:t>
            </w:r>
            <w:r>
              <w:noBreakHyphen/>
            </w:r>
            <w:r w:rsidRPr="001C06E6">
              <w:t>28</w:t>
            </w:r>
          </w:p>
        </w:tc>
      </w:tr>
      <w:tr w:rsidR="0012790E" w:rsidRPr="001C06E6" w14:paraId="0EC83205" w14:textId="77777777">
        <w:tc>
          <w:tcPr>
            <w:tcW w:w="2497" w:type="dxa"/>
            <w:tcBorders>
              <w:top w:val="single" w:sz="4" w:space="0" w:color="293F5B"/>
              <w:bottom w:val="single" w:sz="4" w:space="0" w:color="293F5B"/>
            </w:tcBorders>
            <w:shd w:val="clear" w:color="auto" w:fill="auto"/>
          </w:tcPr>
          <w:p w14:paraId="637A3A37" w14:textId="77777777" w:rsidR="0012790E" w:rsidRPr="001C06E6" w:rsidRDefault="0012790E">
            <w:pPr>
              <w:pStyle w:val="MeasureTableHeadingleftalignedwith2ptsspacing"/>
              <w:keepNext/>
            </w:pPr>
            <w:r>
              <w:t xml:space="preserve">Department of the Prime Minister and Cabinet </w:t>
            </w:r>
          </w:p>
        </w:tc>
        <w:tc>
          <w:tcPr>
            <w:tcW w:w="1045" w:type="dxa"/>
            <w:tcBorders>
              <w:top w:val="single" w:sz="4" w:space="0" w:color="293F5B"/>
              <w:bottom w:val="single" w:sz="4" w:space="0" w:color="293F5B"/>
            </w:tcBorders>
            <w:shd w:val="clear" w:color="auto" w:fill="auto"/>
          </w:tcPr>
          <w:p w14:paraId="6318449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50B60CB" w14:textId="505D5F8B" w:rsidR="0012790E" w:rsidRPr="001C06E6" w:rsidRDefault="00B92B04">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108D17B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FD3F51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16E47E0" w14:textId="77777777" w:rsidR="0012790E" w:rsidRPr="001C06E6" w:rsidRDefault="0012790E">
            <w:pPr>
              <w:pStyle w:val="MeasureTableDataRightAlignedwith2ptsspacing"/>
              <w:keepNext/>
            </w:pPr>
            <w:r>
              <w:t xml:space="preserve">- </w:t>
            </w:r>
          </w:p>
        </w:tc>
      </w:tr>
      <w:tr w:rsidR="0012790E" w:rsidRPr="001C06E6" w14:paraId="5829C539" w14:textId="77777777">
        <w:tc>
          <w:tcPr>
            <w:tcW w:w="2497" w:type="dxa"/>
            <w:tcBorders>
              <w:top w:val="single" w:sz="4" w:space="0" w:color="293F5B"/>
              <w:bottom w:val="single" w:sz="4" w:space="0" w:color="293F5B"/>
            </w:tcBorders>
            <w:shd w:val="clear" w:color="auto" w:fill="auto"/>
          </w:tcPr>
          <w:p w14:paraId="3133B4E5" w14:textId="77777777" w:rsidR="0012790E" w:rsidRPr="001C06E6" w:rsidRDefault="0012790E">
            <w:pPr>
              <w:pStyle w:val="MeasureTableHeadingleftalignedwith2ptsspacing"/>
              <w:keepNext/>
            </w:pPr>
            <w:r w:rsidRPr="001C06E6">
              <w:t>Attorney</w:t>
            </w:r>
            <w:r>
              <w:noBreakHyphen/>
            </w:r>
            <w:r w:rsidRPr="001C06E6">
              <w:t>General's Department</w:t>
            </w:r>
          </w:p>
        </w:tc>
        <w:tc>
          <w:tcPr>
            <w:tcW w:w="1045" w:type="dxa"/>
            <w:tcBorders>
              <w:top w:val="single" w:sz="4" w:space="0" w:color="293F5B"/>
              <w:bottom w:val="single" w:sz="4" w:space="0" w:color="293F5B"/>
            </w:tcBorders>
            <w:shd w:val="clear" w:color="auto" w:fill="auto"/>
          </w:tcPr>
          <w:p w14:paraId="27AF8F2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514B753" w14:textId="292746D7" w:rsidR="0012790E" w:rsidRPr="001C06E6" w:rsidRDefault="00B92B04">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56C995E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E89E72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B75FAF7" w14:textId="77777777" w:rsidR="0012790E" w:rsidRPr="001C06E6" w:rsidRDefault="0012790E">
            <w:pPr>
              <w:pStyle w:val="MeasureTableDataRightAlignedwith2ptsspacing"/>
              <w:keepNext/>
            </w:pPr>
            <w:r w:rsidRPr="001C06E6">
              <w:t>-</w:t>
            </w:r>
          </w:p>
        </w:tc>
      </w:tr>
      <w:tr w:rsidR="0012790E" w:rsidRPr="001C06E6" w14:paraId="5A3BD928" w14:textId="77777777">
        <w:tc>
          <w:tcPr>
            <w:tcW w:w="2497" w:type="dxa"/>
            <w:tcBorders>
              <w:top w:val="single" w:sz="4" w:space="0" w:color="293F5B"/>
              <w:bottom w:val="single" w:sz="4" w:space="0" w:color="293F5B"/>
            </w:tcBorders>
            <w:shd w:val="clear" w:color="auto" w:fill="auto"/>
          </w:tcPr>
          <w:p w14:paraId="55800056" w14:textId="77777777" w:rsidR="0012790E" w:rsidRPr="001C06E6" w:rsidRDefault="0012790E">
            <w:pPr>
              <w:pStyle w:val="MeasureTableHeadingleftalignedwith2ptsspacing"/>
              <w:keepNext/>
            </w:pPr>
            <w:r>
              <w:t xml:space="preserve">Department of Industry, Science and Resources </w:t>
            </w:r>
          </w:p>
        </w:tc>
        <w:tc>
          <w:tcPr>
            <w:tcW w:w="1045" w:type="dxa"/>
            <w:tcBorders>
              <w:top w:val="single" w:sz="4" w:space="0" w:color="293F5B"/>
              <w:bottom w:val="single" w:sz="4" w:space="0" w:color="293F5B"/>
            </w:tcBorders>
            <w:shd w:val="clear" w:color="auto" w:fill="auto"/>
          </w:tcPr>
          <w:p w14:paraId="2A99BAE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6A4440D" w14:textId="62D57CCC" w:rsidR="0012790E" w:rsidRPr="001C06E6" w:rsidRDefault="00B92B04">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46D3848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B903F2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7D2BA25" w14:textId="77777777" w:rsidR="0012790E" w:rsidRPr="001C06E6" w:rsidRDefault="0012790E">
            <w:pPr>
              <w:pStyle w:val="MeasureTableDataRightAlignedwith2ptsspacing"/>
              <w:keepNext/>
            </w:pPr>
            <w:r>
              <w:t xml:space="preserve">- </w:t>
            </w:r>
          </w:p>
        </w:tc>
      </w:tr>
      <w:tr w:rsidR="0012790E" w:rsidRPr="001C06E6" w14:paraId="7DD38D1D" w14:textId="77777777">
        <w:tc>
          <w:tcPr>
            <w:tcW w:w="2497" w:type="dxa"/>
            <w:tcBorders>
              <w:top w:val="single" w:sz="4" w:space="0" w:color="293F5B"/>
              <w:bottom w:val="single" w:sz="4" w:space="0" w:color="293F5B"/>
            </w:tcBorders>
            <w:shd w:val="clear" w:color="auto" w:fill="auto"/>
          </w:tcPr>
          <w:p w14:paraId="4506CAD1" w14:textId="77777777" w:rsidR="0012790E" w:rsidRPr="001C06E6" w:rsidRDefault="0012790E">
            <w:pPr>
              <w:pStyle w:val="MeasureTableHeadingleftalignedwith2ptsspacing"/>
              <w:keepNext/>
            </w:pPr>
            <w:r>
              <w:t xml:space="preserve">Australian Public Service Commission </w:t>
            </w:r>
          </w:p>
        </w:tc>
        <w:tc>
          <w:tcPr>
            <w:tcW w:w="1045" w:type="dxa"/>
            <w:tcBorders>
              <w:top w:val="single" w:sz="4" w:space="0" w:color="293F5B"/>
              <w:bottom w:val="single" w:sz="4" w:space="0" w:color="293F5B"/>
            </w:tcBorders>
            <w:shd w:val="clear" w:color="auto" w:fill="auto"/>
          </w:tcPr>
          <w:p w14:paraId="309F945C"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50B5E7E" w14:textId="33217E05" w:rsidR="0012790E" w:rsidRPr="001C06E6" w:rsidRDefault="00B92B04">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5034F624"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AD3B25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66DD00E" w14:textId="77777777" w:rsidR="0012790E" w:rsidRPr="001C06E6" w:rsidRDefault="0012790E">
            <w:pPr>
              <w:pStyle w:val="MeasureTableDataRightAlignedwith2ptsspacing"/>
              <w:keepNext/>
            </w:pPr>
            <w:r>
              <w:t xml:space="preserve">- </w:t>
            </w:r>
          </w:p>
        </w:tc>
      </w:tr>
      <w:tr w:rsidR="0012790E" w:rsidRPr="001C06E6" w14:paraId="4E517134" w14:textId="77777777">
        <w:tc>
          <w:tcPr>
            <w:tcW w:w="2497" w:type="dxa"/>
            <w:tcBorders>
              <w:top w:val="single" w:sz="4" w:space="0" w:color="293F5B"/>
              <w:bottom w:val="single" w:sz="4" w:space="0" w:color="293F5B"/>
            </w:tcBorders>
            <w:shd w:val="clear" w:color="auto" w:fill="auto"/>
          </w:tcPr>
          <w:p w14:paraId="37D97E2F"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2DCA933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F7F4D8C" w14:textId="26EC4C7A" w:rsidR="0012790E" w:rsidRPr="001C06E6" w:rsidRDefault="00B92B04">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61CECB2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554621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1442523" w14:textId="77777777" w:rsidR="0012790E" w:rsidRPr="001C06E6" w:rsidRDefault="0012790E">
            <w:pPr>
              <w:pStyle w:val="MeasureTableDataRightAlignedwith2ptsspacing"/>
              <w:keepNext/>
            </w:pPr>
            <w:r w:rsidRPr="001C06E6">
              <w:t>-</w:t>
            </w:r>
          </w:p>
        </w:tc>
      </w:tr>
      <w:tr w:rsidR="0012790E" w:rsidRPr="001C06E6" w14:paraId="2D791040" w14:textId="77777777">
        <w:tc>
          <w:tcPr>
            <w:tcW w:w="2497" w:type="dxa"/>
            <w:tcBorders>
              <w:top w:val="single" w:sz="4" w:space="0" w:color="293F5B"/>
              <w:bottom w:val="single" w:sz="4" w:space="0" w:color="293F5B"/>
            </w:tcBorders>
            <w:shd w:val="clear" w:color="auto" w:fill="auto"/>
          </w:tcPr>
          <w:p w14:paraId="2570A84A" w14:textId="77777777" w:rsidR="0012790E" w:rsidRPr="001C06E6" w:rsidRDefault="0012790E">
            <w:pPr>
              <w:pStyle w:val="MeasureTableHeadingleftalignedwith2ptsspacing"/>
              <w:keepNext/>
            </w:pPr>
            <w:r>
              <w:t xml:space="preserve">National Indigenous Australians Agency </w:t>
            </w:r>
          </w:p>
        </w:tc>
        <w:tc>
          <w:tcPr>
            <w:tcW w:w="1045" w:type="dxa"/>
            <w:tcBorders>
              <w:top w:val="single" w:sz="4" w:space="0" w:color="293F5B"/>
              <w:bottom w:val="single" w:sz="4" w:space="0" w:color="293F5B"/>
            </w:tcBorders>
            <w:shd w:val="clear" w:color="auto" w:fill="auto"/>
          </w:tcPr>
          <w:p w14:paraId="6DF4F4E6"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9640979" w14:textId="523EA2CF" w:rsidR="0012790E" w:rsidRPr="001C06E6" w:rsidRDefault="00B92B04">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3DCC52C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29084B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D414ECE" w14:textId="77777777" w:rsidR="0012790E" w:rsidRPr="001C06E6" w:rsidRDefault="0012790E">
            <w:pPr>
              <w:pStyle w:val="MeasureTableDataRightAlignedwith2ptsspacing"/>
              <w:keepNext/>
            </w:pPr>
            <w:r>
              <w:t xml:space="preserve">- </w:t>
            </w:r>
          </w:p>
        </w:tc>
      </w:tr>
      <w:tr w:rsidR="0012790E" w:rsidRPr="001C06E6" w14:paraId="242EF3FC" w14:textId="77777777">
        <w:tc>
          <w:tcPr>
            <w:tcW w:w="2497" w:type="dxa"/>
            <w:tcBorders>
              <w:top w:val="single" w:sz="4" w:space="0" w:color="293F5B"/>
              <w:bottom w:val="single" w:sz="4" w:space="0" w:color="293F5B"/>
            </w:tcBorders>
            <w:shd w:val="clear" w:color="auto" w:fill="auto"/>
          </w:tcPr>
          <w:p w14:paraId="187131CE"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49907B6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6DB413D" w14:textId="47F8CBC5" w:rsidR="0012790E" w:rsidRPr="001C06E6" w:rsidRDefault="00B92B04">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64628FA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42F143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D26CA63" w14:textId="77777777" w:rsidR="0012790E" w:rsidRPr="001C06E6" w:rsidRDefault="0012790E">
            <w:pPr>
              <w:pStyle w:val="MeasureTableDataRightAlignedwith2ptsspacing"/>
              <w:keepNext/>
            </w:pPr>
            <w:r w:rsidRPr="001C06E6">
              <w:t>-</w:t>
            </w:r>
          </w:p>
        </w:tc>
      </w:tr>
      <w:tr w:rsidR="0012790E" w:rsidRPr="001C06E6" w14:paraId="0AEC5DEA" w14:textId="77777777">
        <w:tc>
          <w:tcPr>
            <w:tcW w:w="2497" w:type="dxa"/>
            <w:tcBorders>
              <w:top w:val="single" w:sz="4" w:space="0" w:color="293F5B"/>
              <w:bottom w:val="single" w:sz="4" w:space="0" w:color="293F5B"/>
            </w:tcBorders>
            <w:shd w:val="clear" w:color="auto" w:fill="auto"/>
          </w:tcPr>
          <w:p w14:paraId="3852D0FB" w14:textId="77777777" w:rsidR="0012790E" w:rsidRPr="001C06E6" w:rsidRDefault="0012790E">
            <w:pPr>
              <w:pStyle w:val="MeasureTableHeadingleftalignedwith2ptsspacing"/>
              <w:keepNext/>
            </w:pPr>
            <w:r w:rsidRPr="001C06E6">
              <w:t>Comcare</w:t>
            </w:r>
          </w:p>
        </w:tc>
        <w:tc>
          <w:tcPr>
            <w:tcW w:w="1045" w:type="dxa"/>
            <w:tcBorders>
              <w:top w:val="single" w:sz="4" w:space="0" w:color="293F5B"/>
              <w:bottom w:val="single" w:sz="4" w:space="0" w:color="293F5B"/>
            </w:tcBorders>
            <w:shd w:val="clear" w:color="auto" w:fill="auto"/>
          </w:tcPr>
          <w:p w14:paraId="5C27FD2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526D3ED" w14:textId="2EAE25F9" w:rsidR="0012790E" w:rsidRPr="001C06E6" w:rsidRDefault="00B92B04">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3D9CE50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70AB3F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0A667E5" w14:textId="77777777" w:rsidR="0012790E" w:rsidRPr="001C06E6" w:rsidRDefault="0012790E">
            <w:pPr>
              <w:pStyle w:val="MeasureTableDataRightAlignedwith2ptsspacing"/>
              <w:keepNext/>
            </w:pPr>
            <w:r w:rsidRPr="001C06E6">
              <w:t>-</w:t>
            </w:r>
          </w:p>
        </w:tc>
      </w:tr>
      <w:tr w:rsidR="0012790E" w:rsidRPr="001C06E6" w14:paraId="22F5EDDA" w14:textId="77777777">
        <w:tc>
          <w:tcPr>
            <w:tcW w:w="2497" w:type="dxa"/>
            <w:tcBorders>
              <w:top w:val="single" w:sz="4" w:space="0" w:color="293F5B"/>
              <w:bottom w:val="single" w:sz="4" w:space="0" w:color="293F5B"/>
            </w:tcBorders>
            <w:shd w:val="clear" w:color="auto" w:fill="auto"/>
          </w:tcPr>
          <w:p w14:paraId="28DB8372" w14:textId="77777777" w:rsidR="0012790E" w:rsidRPr="001C06E6" w:rsidRDefault="0012790E">
            <w:pPr>
              <w:pStyle w:val="MeasureTableHeadingleftalignedwith2ptsspacing"/>
              <w:keepNext/>
            </w:pPr>
            <w:r w:rsidRPr="001C06E6">
              <w:t>Australian Bureau of Statistics</w:t>
            </w:r>
          </w:p>
        </w:tc>
        <w:tc>
          <w:tcPr>
            <w:tcW w:w="1045" w:type="dxa"/>
            <w:tcBorders>
              <w:top w:val="single" w:sz="4" w:space="0" w:color="293F5B"/>
              <w:bottom w:val="single" w:sz="4" w:space="0" w:color="293F5B"/>
            </w:tcBorders>
            <w:shd w:val="clear" w:color="auto" w:fill="auto"/>
          </w:tcPr>
          <w:p w14:paraId="084E7C8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60CFE08" w14:textId="69F3A064" w:rsidR="0012790E" w:rsidRPr="001C06E6" w:rsidRDefault="00B92B04">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7B7A621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111109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6B5AE8C" w14:textId="77777777" w:rsidR="0012790E" w:rsidRPr="001C06E6" w:rsidRDefault="0012790E">
            <w:pPr>
              <w:pStyle w:val="MeasureTableDataRightAlignedwith2ptsspacing"/>
              <w:keepNext/>
            </w:pPr>
            <w:r w:rsidRPr="001C06E6">
              <w:t>-</w:t>
            </w:r>
          </w:p>
        </w:tc>
      </w:tr>
      <w:tr w:rsidR="0012790E" w:rsidRPr="001C06E6" w14:paraId="23E60F7A" w14:textId="77777777">
        <w:tc>
          <w:tcPr>
            <w:tcW w:w="2497" w:type="dxa"/>
            <w:tcBorders>
              <w:top w:val="single" w:sz="4" w:space="0" w:color="293F5B"/>
              <w:bottom w:val="single" w:sz="4" w:space="0" w:color="293F5B"/>
            </w:tcBorders>
            <w:shd w:val="clear" w:color="auto" w:fill="auto"/>
          </w:tcPr>
          <w:p w14:paraId="4FB2987D"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1190DA8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D1BAB07" w14:textId="425CFB7D" w:rsidR="0012790E" w:rsidRPr="001C06E6" w:rsidRDefault="00B92B04">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297D2AC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1DEB1E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75B4801" w14:textId="77777777" w:rsidR="0012790E" w:rsidRPr="001C06E6" w:rsidRDefault="0012790E">
            <w:pPr>
              <w:pStyle w:val="MeasureTableDataRightAlignedwith2ptsspacing"/>
              <w:keepNext/>
            </w:pPr>
            <w:r w:rsidRPr="001C06E6">
              <w:t>-</w:t>
            </w:r>
          </w:p>
        </w:tc>
      </w:tr>
      <w:tr w:rsidR="0012790E" w:rsidRPr="001C06E6" w14:paraId="7E049D0B" w14:textId="77777777">
        <w:tc>
          <w:tcPr>
            <w:tcW w:w="2497" w:type="dxa"/>
            <w:tcBorders>
              <w:top w:val="single" w:sz="4" w:space="0" w:color="293F5B"/>
              <w:bottom w:val="single" w:sz="4" w:space="0" w:color="293F5B"/>
            </w:tcBorders>
            <w:shd w:val="clear" w:color="auto" w:fill="auto"/>
          </w:tcPr>
          <w:p w14:paraId="4BEC8F3D"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4D4001C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B9141B4" w14:textId="0428B81D" w:rsidR="0012790E" w:rsidRPr="001C06E6" w:rsidRDefault="00B92B04">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7E926D6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27B1E0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83B825A" w14:textId="77777777" w:rsidR="0012790E" w:rsidRPr="001C06E6" w:rsidRDefault="0012790E">
            <w:pPr>
              <w:pStyle w:val="MeasureTableDataRightAlignedwith2ptsspacing"/>
              <w:keepNext/>
            </w:pPr>
            <w:r>
              <w:t xml:space="preserve">- </w:t>
            </w:r>
          </w:p>
        </w:tc>
      </w:tr>
      <w:tr w:rsidR="0012790E" w:rsidRPr="001C06E6" w14:paraId="0E0A60B6" w14:textId="77777777">
        <w:tc>
          <w:tcPr>
            <w:tcW w:w="2497" w:type="dxa"/>
            <w:tcBorders>
              <w:top w:val="single" w:sz="4" w:space="0" w:color="293F5B"/>
              <w:bottom w:val="single" w:sz="4" w:space="0" w:color="293F5B"/>
            </w:tcBorders>
            <w:shd w:val="clear" w:color="auto" w:fill="auto"/>
          </w:tcPr>
          <w:p w14:paraId="1209B3D9" w14:textId="77777777" w:rsidR="0012790E" w:rsidRPr="001C06E6" w:rsidRDefault="0012790E">
            <w:pPr>
              <w:pStyle w:val="MeasureTableHeadingleftalignedwith2ptsspacing"/>
              <w:keepNext/>
            </w:pPr>
            <w:r w:rsidRPr="001C06E6">
              <w:t>Digital Transformation Agency</w:t>
            </w:r>
          </w:p>
        </w:tc>
        <w:tc>
          <w:tcPr>
            <w:tcW w:w="1045" w:type="dxa"/>
            <w:tcBorders>
              <w:top w:val="single" w:sz="4" w:space="0" w:color="293F5B"/>
              <w:bottom w:val="single" w:sz="4" w:space="0" w:color="293F5B"/>
            </w:tcBorders>
            <w:shd w:val="clear" w:color="auto" w:fill="auto"/>
          </w:tcPr>
          <w:p w14:paraId="1945414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0E54803" w14:textId="292BF1E0" w:rsidR="0012790E" w:rsidRPr="001C06E6" w:rsidRDefault="00B92B04">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4708560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5DA556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40BA6CA" w14:textId="77777777" w:rsidR="0012790E" w:rsidRPr="001C06E6" w:rsidRDefault="0012790E">
            <w:pPr>
              <w:pStyle w:val="MeasureTableDataRightAlignedwith2ptsspacing"/>
              <w:keepNext/>
            </w:pPr>
            <w:r w:rsidRPr="001C06E6">
              <w:t>-</w:t>
            </w:r>
          </w:p>
        </w:tc>
      </w:tr>
      <w:tr w:rsidR="0012790E" w:rsidRPr="001C06E6" w14:paraId="7EC5EBEC" w14:textId="77777777">
        <w:tc>
          <w:tcPr>
            <w:tcW w:w="2497" w:type="dxa"/>
            <w:tcBorders>
              <w:top w:val="single" w:sz="4" w:space="0" w:color="293F5B"/>
              <w:bottom w:val="single" w:sz="4" w:space="0" w:color="293F5B"/>
            </w:tcBorders>
            <w:shd w:val="clear" w:color="auto" w:fill="auto"/>
          </w:tcPr>
          <w:p w14:paraId="3F2CEAFA" w14:textId="77777777" w:rsidR="0012790E" w:rsidRPr="001C06E6" w:rsidRDefault="0012790E">
            <w:pPr>
              <w:pStyle w:val="MeasureTableHeadingleftalignedwith2ptsspacing"/>
              <w:keepNext/>
            </w:pPr>
            <w:r w:rsidRPr="001C06E6">
              <w:t>Department of Education</w:t>
            </w:r>
          </w:p>
        </w:tc>
        <w:tc>
          <w:tcPr>
            <w:tcW w:w="1045" w:type="dxa"/>
            <w:tcBorders>
              <w:top w:val="single" w:sz="4" w:space="0" w:color="293F5B"/>
              <w:bottom w:val="single" w:sz="4" w:space="0" w:color="293F5B"/>
            </w:tcBorders>
            <w:shd w:val="clear" w:color="auto" w:fill="auto"/>
          </w:tcPr>
          <w:p w14:paraId="393F4FE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CE893DA" w14:textId="15EAE0D7" w:rsidR="0012790E" w:rsidRPr="001C06E6" w:rsidRDefault="00B92B04">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117CEA9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041496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3A9A904" w14:textId="77777777" w:rsidR="0012790E" w:rsidRPr="001C06E6" w:rsidRDefault="0012790E">
            <w:pPr>
              <w:pStyle w:val="MeasureTableDataRightAlignedwith2ptsspacing"/>
              <w:keepNext/>
            </w:pPr>
            <w:r w:rsidRPr="001C06E6">
              <w:t>-</w:t>
            </w:r>
          </w:p>
        </w:tc>
      </w:tr>
      <w:tr w:rsidR="0012790E" w:rsidRPr="001C06E6" w14:paraId="18052812" w14:textId="77777777">
        <w:tc>
          <w:tcPr>
            <w:tcW w:w="2497" w:type="dxa"/>
            <w:tcBorders>
              <w:top w:val="single" w:sz="4" w:space="0" w:color="293F5B"/>
              <w:bottom w:val="single" w:sz="4" w:space="0" w:color="293F5B"/>
            </w:tcBorders>
            <w:shd w:val="clear" w:color="auto" w:fill="auto"/>
          </w:tcPr>
          <w:p w14:paraId="09F8B36D"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2508054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FBF8D33" w14:textId="6EC05000" w:rsidR="0012790E" w:rsidRPr="001C06E6" w:rsidRDefault="00B92B04">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298A28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4A046C6"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3C7EE13" w14:textId="77777777" w:rsidR="0012790E" w:rsidRPr="001C06E6" w:rsidRDefault="0012790E">
            <w:pPr>
              <w:pStyle w:val="MeasureTableDataRightAlignedwith2ptsspacing"/>
              <w:keepNext/>
            </w:pPr>
            <w:r>
              <w:t xml:space="preserve">- </w:t>
            </w:r>
          </w:p>
        </w:tc>
      </w:tr>
      <w:tr w:rsidR="0012790E" w:rsidRPr="001C06E6" w14:paraId="136212B0" w14:textId="77777777">
        <w:tc>
          <w:tcPr>
            <w:tcW w:w="2497" w:type="dxa"/>
            <w:tcBorders>
              <w:top w:val="single" w:sz="4" w:space="0" w:color="293F5B"/>
              <w:bottom w:val="single" w:sz="4" w:space="0" w:color="293F5B"/>
            </w:tcBorders>
            <w:shd w:val="clear" w:color="auto" w:fill="auto"/>
          </w:tcPr>
          <w:p w14:paraId="18DEF3DD"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3C3E170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506A57D" w14:textId="62C9FD2B" w:rsidR="0012790E" w:rsidRPr="001C06E6" w:rsidRDefault="00B92B04">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5B07717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799DAB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469A168" w14:textId="77777777" w:rsidR="0012790E" w:rsidRPr="001C06E6" w:rsidRDefault="0012790E">
            <w:pPr>
              <w:pStyle w:val="MeasureTableDataRightAlignedwith2ptsspacing"/>
              <w:keepNext/>
            </w:pPr>
            <w:r w:rsidRPr="001C06E6">
              <w:t>-</w:t>
            </w:r>
          </w:p>
        </w:tc>
      </w:tr>
      <w:tr w:rsidR="0012790E" w:rsidRPr="001C06E6" w14:paraId="5DAD8C8A" w14:textId="77777777">
        <w:tc>
          <w:tcPr>
            <w:tcW w:w="2497" w:type="dxa"/>
            <w:tcBorders>
              <w:top w:val="single" w:sz="4" w:space="0" w:color="293F5B"/>
              <w:bottom w:val="single" w:sz="4" w:space="0" w:color="293F5B"/>
            </w:tcBorders>
            <w:shd w:val="clear" w:color="auto" w:fill="auto"/>
          </w:tcPr>
          <w:p w14:paraId="34739FD0" w14:textId="77777777" w:rsidR="0012790E" w:rsidRPr="001C06E6" w:rsidRDefault="0012790E">
            <w:pPr>
              <w:pStyle w:val="MeasureTableHeadingleftalignedwith2ptsspacing"/>
              <w:keepNext/>
            </w:pPr>
            <w:r w:rsidRPr="001C06E6">
              <w:t>Department of Veterans' Affairs</w:t>
            </w:r>
          </w:p>
        </w:tc>
        <w:tc>
          <w:tcPr>
            <w:tcW w:w="1045" w:type="dxa"/>
            <w:tcBorders>
              <w:top w:val="single" w:sz="4" w:space="0" w:color="293F5B"/>
              <w:bottom w:val="single" w:sz="4" w:space="0" w:color="293F5B"/>
            </w:tcBorders>
            <w:shd w:val="clear" w:color="auto" w:fill="auto"/>
          </w:tcPr>
          <w:p w14:paraId="52C6B90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CB5A39A" w14:textId="7A024D7C" w:rsidR="0012790E" w:rsidRPr="001C06E6" w:rsidRDefault="00B92B04">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4F52252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D68640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8D2E525" w14:textId="77777777" w:rsidR="0012790E" w:rsidRPr="001C06E6" w:rsidRDefault="0012790E">
            <w:pPr>
              <w:pStyle w:val="MeasureTableDataRightAlignedwith2ptsspacing"/>
              <w:keepNext/>
            </w:pPr>
            <w:r w:rsidRPr="001C06E6">
              <w:t>-</w:t>
            </w:r>
          </w:p>
        </w:tc>
      </w:tr>
      <w:tr w:rsidR="0012790E" w:rsidRPr="001C06E6" w14:paraId="2B8453DA" w14:textId="77777777">
        <w:tc>
          <w:tcPr>
            <w:tcW w:w="2497" w:type="dxa"/>
            <w:tcBorders>
              <w:top w:val="single" w:sz="4" w:space="0" w:color="293F5B"/>
              <w:bottom w:val="single" w:sz="4" w:space="0" w:color="293F5B"/>
            </w:tcBorders>
            <w:shd w:val="clear" w:color="auto" w:fill="auto"/>
          </w:tcPr>
          <w:p w14:paraId="66DE55FC"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7A95A007"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9291391"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17E09897"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1E4A9673"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2E7A7918" w14:textId="77777777" w:rsidR="0012790E" w:rsidRPr="001C06E6" w:rsidRDefault="0012790E">
            <w:pPr>
              <w:pStyle w:val="Totaldatarowrightaligned"/>
              <w:keepNext/>
            </w:pPr>
            <w:r w:rsidRPr="001C06E6">
              <w:t>-</w:t>
            </w:r>
          </w:p>
        </w:tc>
      </w:tr>
    </w:tbl>
    <w:p w14:paraId="0E91ACA3"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0598A5E9" w14:textId="47A0AC85" w:rsidR="0012790E" w:rsidRDefault="0012790E" w:rsidP="54937204">
      <w:pPr>
        <w:pStyle w:val="Normal2"/>
        <w:rPr>
          <w:rFonts w:cs="Book Antiqua"/>
          <w:lang w:val="en-US"/>
        </w:rPr>
      </w:pPr>
      <w:r w:rsidRPr="54937204">
        <w:rPr>
          <w:rFonts w:cs="Book Antiqua"/>
          <w:lang w:val="en-US"/>
        </w:rPr>
        <w:t>The Government will allocate $6.5 million in 2024–25 remaining from the $25 million APS</w:t>
      </w:r>
      <w:r w:rsidR="005A5608">
        <w:rPr>
          <w:rFonts w:cs="Book Antiqua"/>
          <w:lang w:val="en-US"/>
        </w:rPr>
        <w:t> </w:t>
      </w:r>
      <w:r w:rsidRPr="54937204">
        <w:rPr>
          <w:rFonts w:cs="Book Antiqua"/>
          <w:lang w:val="en-US"/>
        </w:rPr>
        <w:t>Capability Reinvestment Fund (the Fund). Funding includes:</w:t>
      </w:r>
    </w:p>
    <w:p w14:paraId="4C219411" w14:textId="77777777" w:rsidR="0012790E" w:rsidRDefault="0012790E">
      <w:pPr>
        <w:pStyle w:val="Bullet"/>
      </w:pPr>
      <w:r w:rsidRPr="001C06E6">
        <w:t>$3.4</w:t>
      </w:r>
      <w:r>
        <w:t> </w:t>
      </w:r>
      <w:r w:rsidRPr="001C06E6">
        <w:t xml:space="preserve">million in </w:t>
      </w:r>
      <w:r>
        <w:t>2024–25</w:t>
      </w:r>
      <w:r w:rsidRPr="001C06E6">
        <w:t xml:space="preserve"> for projects to improve cultural competency and enhance integrity for APS staff</w:t>
      </w:r>
      <w:r>
        <w:t xml:space="preserve"> </w:t>
      </w:r>
    </w:p>
    <w:p w14:paraId="3F3A2166" w14:textId="77777777" w:rsidR="0012790E" w:rsidRDefault="0012790E">
      <w:pPr>
        <w:pStyle w:val="Bullet"/>
      </w:pPr>
      <w:r w:rsidRPr="001C06E6">
        <w:t>$2.2</w:t>
      </w:r>
      <w:r>
        <w:t> </w:t>
      </w:r>
      <w:r w:rsidRPr="001C06E6">
        <w:t xml:space="preserve">million in </w:t>
      </w:r>
      <w:r>
        <w:t>2024–25</w:t>
      </w:r>
      <w:r w:rsidRPr="001C06E6">
        <w:t xml:space="preserve"> for projects to uplift capability across the APS including AI integration and enhancing the quality of data to inform policy analysis</w:t>
      </w:r>
      <w:r>
        <w:t xml:space="preserve"> </w:t>
      </w:r>
    </w:p>
    <w:p w14:paraId="34201C00" w14:textId="77777777" w:rsidR="0012790E" w:rsidRDefault="0012790E">
      <w:pPr>
        <w:pStyle w:val="Bullet"/>
      </w:pPr>
      <w:r w:rsidRPr="001C06E6">
        <w:t>$0.9</w:t>
      </w:r>
      <w:r>
        <w:t> </w:t>
      </w:r>
      <w:r w:rsidRPr="001C06E6">
        <w:t xml:space="preserve">million in </w:t>
      </w:r>
      <w:r>
        <w:t>2024–25</w:t>
      </w:r>
      <w:r w:rsidRPr="001C06E6">
        <w:t xml:space="preserve"> for projects to develop aligned Greening Government microcredentials and whole</w:t>
      </w:r>
      <w:r>
        <w:noBreakHyphen/>
      </w:r>
      <w:r w:rsidRPr="001C06E6">
        <w:t>of</w:t>
      </w:r>
      <w:r>
        <w:noBreakHyphen/>
      </w:r>
      <w:r w:rsidRPr="001C06E6">
        <w:t>government responses to future challenges in the Indo</w:t>
      </w:r>
      <w:r>
        <w:noBreakHyphen/>
      </w:r>
      <w:r w:rsidRPr="001C06E6">
        <w:t>Pacific.</w:t>
      </w:r>
      <w:r>
        <w:t xml:space="preserve"> </w:t>
      </w:r>
    </w:p>
    <w:p w14:paraId="4EDEEC96" w14:textId="77777777" w:rsidR="0012790E" w:rsidRDefault="0012790E" w:rsidP="54937204">
      <w:pPr>
        <w:pStyle w:val="Normal2"/>
        <w:rPr>
          <w:rFonts w:cs="Book Antiqua"/>
          <w:lang w:val="en-US"/>
        </w:rPr>
      </w:pPr>
      <w:r w:rsidRPr="54937204">
        <w:rPr>
          <w:rFonts w:cs="Book Antiqua"/>
          <w:lang w:val="en-US"/>
        </w:rPr>
        <w:t xml:space="preserve">The cost of this measure will be met from funding previously included in the Contingency Reserve. </w:t>
      </w:r>
    </w:p>
    <w:p w14:paraId="5927265C" w14:textId="77777777" w:rsidR="0012790E" w:rsidRPr="001C06E6" w:rsidRDefault="0012790E">
      <w:pPr>
        <w:pStyle w:val="Normal2"/>
        <w:rPr>
          <w:rFonts w:cs="Book Antiqua"/>
          <w:iCs/>
        </w:rPr>
      </w:pPr>
      <w:r w:rsidRPr="001C06E6">
        <w:rPr>
          <w:rFonts w:cs="Book Antiqua"/>
        </w:rPr>
        <w:t xml:space="preserve">This measure builds on the </w:t>
      </w:r>
      <w:r>
        <w:rPr>
          <w:rFonts w:cs="Book Antiqua"/>
        </w:rPr>
        <w:t>2023–24 </w:t>
      </w:r>
      <w:r w:rsidRPr="001C06E6">
        <w:rPr>
          <w:rFonts w:cs="Book Antiqua"/>
        </w:rPr>
        <w:t xml:space="preserve">Budget measure titled </w:t>
      </w:r>
      <w:r w:rsidRPr="001C06E6">
        <w:rPr>
          <w:rFonts w:cs="Book Antiqua"/>
          <w:i/>
          <w:iCs/>
        </w:rPr>
        <w:t>APS Capability</w:t>
      </w:r>
      <w:r>
        <w:rPr>
          <w:rFonts w:cs="Book Antiqua"/>
          <w:i/>
          <w:iCs/>
        </w:rPr>
        <w:t xml:space="preserve"> </w:t>
      </w:r>
      <w:r w:rsidRPr="001C06E6">
        <w:rPr>
          <w:rFonts w:cs="Book Antiqua"/>
          <w:i/>
          <w:iCs/>
        </w:rPr>
        <w:t xml:space="preserve">Reinvestment Fund: </w:t>
      </w:r>
      <w:r>
        <w:rPr>
          <w:rFonts w:cs="Book Antiqua"/>
          <w:i/>
          <w:iCs/>
        </w:rPr>
        <w:t>2023–24</w:t>
      </w:r>
      <w:r w:rsidRPr="001C06E6">
        <w:rPr>
          <w:rFonts w:cs="Book Antiqua"/>
          <w:i/>
          <w:iCs/>
        </w:rPr>
        <w:t xml:space="preserve"> projects funded under round one </w:t>
      </w:r>
      <w:r w:rsidRPr="001C06E6">
        <w:rPr>
          <w:rFonts w:cs="Book Antiqua"/>
        </w:rPr>
        <w:t xml:space="preserve">in the </w:t>
      </w:r>
      <w:r>
        <w:rPr>
          <w:rFonts w:cs="Book Antiqua"/>
        </w:rPr>
        <w:t>Prime Minister and Cabinet</w:t>
      </w:r>
      <w:r w:rsidRPr="001C06E6">
        <w:rPr>
          <w:rFonts w:cs="Book Antiqua"/>
        </w:rPr>
        <w:t xml:space="preserve"> Portfolio</w:t>
      </w:r>
      <w:r w:rsidRPr="001C06E6">
        <w:rPr>
          <w:rFonts w:cs="Book Antiqua"/>
          <w:i/>
          <w:iCs/>
        </w:rPr>
        <w:t>.</w:t>
      </w:r>
      <w:r>
        <w:rPr>
          <w:rFonts w:cs="Book Antiqua"/>
          <w:i/>
          <w:iCs/>
        </w:rPr>
        <w:t xml:space="preserve"> </w:t>
      </w:r>
    </w:p>
    <w:p w14:paraId="4DF77887" w14:textId="77777777" w:rsidR="0012790E" w:rsidRPr="001C06E6" w:rsidRDefault="0012790E" w:rsidP="54937204">
      <w:pPr>
        <w:pStyle w:val="MeasureTitle"/>
        <w:rPr>
          <w:b w:val="0"/>
          <w:lang w:val="en-US"/>
        </w:rPr>
      </w:pPr>
      <w:r w:rsidRPr="54937204">
        <w:rPr>
          <w:lang w:val="en-US"/>
        </w:rPr>
        <w:t>Ending Gender</w:t>
      </w:r>
      <w:r>
        <w:rPr>
          <w:bCs/>
        </w:rPr>
        <w:noBreakHyphen/>
      </w:r>
      <w:r w:rsidRPr="54937204">
        <w:rPr>
          <w:lang w:val="en-US"/>
        </w:rPr>
        <w:t>Based Violence – additional resourcing</w:t>
      </w:r>
    </w:p>
    <w:p w14:paraId="29D7BC78"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6B799F3" w14:textId="77777777">
        <w:tc>
          <w:tcPr>
            <w:tcW w:w="2497" w:type="dxa"/>
            <w:tcBorders>
              <w:top w:val="single" w:sz="4" w:space="0" w:color="293F5B"/>
              <w:bottom w:val="single" w:sz="4" w:space="0" w:color="293F5B"/>
            </w:tcBorders>
            <w:shd w:val="clear" w:color="auto" w:fill="auto"/>
          </w:tcPr>
          <w:p w14:paraId="546610DF"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AA22D93"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ABB5630"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2FE65DF5"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3AF56C6"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8A0AA71" w14:textId="77777777" w:rsidR="0012790E" w:rsidRPr="001C06E6" w:rsidRDefault="0012790E">
            <w:pPr>
              <w:pStyle w:val="MeasureTableYearHeadings"/>
              <w:keepNext/>
            </w:pPr>
            <w:r w:rsidRPr="001C06E6">
              <w:t>2027</w:t>
            </w:r>
            <w:r>
              <w:noBreakHyphen/>
            </w:r>
            <w:r w:rsidRPr="001C06E6">
              <w:t>28</w:t>
            </w:r>
          </w:p>
        </w:tc>
      </w:tr>
      <w:tr w:rsidR="0012790E" w:rsidRPr="001C06E6" w14:paraId="6F30CDED" w14:textId="77777777">
        <w:tc>
          <w:tcPr>
            <w:tcW w:w="2497" w:type="dxa"/>
            <w:tcBorders>
              <w:top w:val="single" w:sz="4" w:space="0" w:color="293F5B"/>
              <w:bottom w:val="single" w:sz="4" w:space="0" w:color="293F5B"/>
            </w:tcBorders>
            <w:shd w:val="clear" w:color="auto" w:fill="auto"/>
          </w:tcPr>
          <w:p w14:paraId="7C99E481" w14:textId="77777777" w:rsidR="0012790E" w:rsidRPr="001C06E6" w:rsidRDefault="0012790E">
            <w:pPr>
              <w:pStyle w:val="MeasureTableHeadingleftalignedwith2ptsspacing"/>
              <w:keepNext/>
            </w:pPr>
            <w:r>
              <w:t xml:space="preserve">Department of the Prime Minister and Cabinet </w:t>
            </w:r>
          </w:p>
        </w:tc>
        <w:tc>
          <w:tcPr>
            <w:tcW w:w="1045" w:type="dxa"/>
            <w:tcBorders>
              <w:top w:val="single" w:sz="4" w:space="0" w:color="293F5B"/>
              <w:bottom w:val="single" w:sz="4" w:space="0" w:color="293F5B"/>
            </w:tcBorders>
            <w:shd w:val="clear" w:color="auto" w:fill="auto"/>
          </w:tcPr>
          <w:p w14:paraId="36E011FD" w14:textId="77777777" w:rsidR="0012790E" w:rsidRPr="001C06E6" w:rsidRDefault="0012790E">
            <w:pPr>
              <w:pStyle w:val="MeasureTableDataRightAlignedwith2ptsspacing"/>
              <w:keepNext/>
            </w:pPr>
            <w:r>
              <w:t xml:space="preserve">0.4 </w:t>
            </w:r>
          </w:p>
        </w:tc>
        <w:tc>
          <w:tcPr>
            <w:tcW w:w="1045" w:type="dxa"/>
            <w:tcBorders>
              <w:top w:val="single" w:sz="4" w:space="0" w:color="293F5B"/>
              <w:bottom w:val="single" w:sz="4" w:space="0" w:color="293F5B"/>
            </w:tcBorders>
            <w:shd w:val="clear" w:color="auto" w:fill="auto"/>
          </w:tcPr>
          <w:p w14:paraId="4D1EEAC1" w14:textId="77777777" w:rsidR="0012790E" w:rsidRPr="001C06E6" w:rsidRDefault="0012790E">
            <w:pPr>
              <w:pStyle w:val="MeasureTableDataRightAlignedwith2ptsspacing"/>
              <w:keepNext/>
            </w:pPr>
            <w:r>
              <w:t xml:space="preserve">1.9 </w:t>
            </w:r>
          </w:p>
        </w:tc>
        <w:tc>
          <w:tcPr>
            <w:tcW w:w="1045" w:type="dxa"/>
            <w:tcBorders>
              <w:top w:val="single" w:sz="4" w:space="0" w:color="293F5B"/>
              <w:bottom w:val="single" w:sz="4" w:space="0" w:color="293F5B"/>
            </w:tcBorders>
            <w:shd w:val="clear" w:color="auto" w:fill="auto"/>
          </w:tcPr>
          <w:p w14:paraId="3620D1C5" w14:textId="77777777" w:rsidR="0012790E" w:rsidRPr="001C06E6" w:rsidRDefault="0012790E">
            <w:pPr>
              <w:pStyle w:val="MeasureTableDataRightAlignedwith2ptsspacing"/>
              <w:keepNext/>
            </w:pPr>
            <w:r>
              <w:t xml:space="preserve">1.0 </w:t>
            </w:r>
          </w:p>
        </w:tc>
        <w:tc>
          <w:tcPr>
            <w:tcW w:w="1045" w:type="dxa"/>
            <w:tcBorders>
              <w:top w:val="single" w:sz="4" w:space="0" w:color="293F5B"/>
              <w:bottom w:val="single" w:sz="4" w:space="0" w:color="293F5B"/>
            </w:tcBorders>
            <w:shd w:val="clear" w:color="auto" w:fill="auto"/>
          </w:tcPr>
          <w:p w14:paraId="241C3C5F" w14:textId="77777777" w:rsidR="0012790E" w:rsidRPr="001C06E6" w:rsidRDefault="0012790E">
            <w:pPr>
              <w:pStyle w:val="MeasureTableDataRightAlignedwith2ptsspacing"/>
              <w:keepNext/>
            </w:pPr>
            <w:r>
              <w:t xml:space="preserve">1.0 </w:t>
            </w:r>
          </w:p>
        </w:tc>
        <w:tc>
          <w:tcPr>
            <w:tcW w:w="1045" w:type="dxa"/>
            <w:tcBorders>
              <w:top w:val="single" w:sz="4" w:space="0" w:color="293F5B"/>
              <w:bottom w:val="single" w:sz="4" w:space="0" w:color="293F5B"/>
            </w:tcBorders>
            <w:shd w:val="clear" w:color="auto" w:fill="auto"/>
          </w:tcPr>
          <w:p w14:paraId="6A44DF20" w14:textId="77777777" w:rsidR="0012790E" w:rsidRPr="001C06E6" w:rsidRDefault="0012790E">
            <w:pPr>
              <w:pStyle w:val="MeasureTableDataRightAlignedwith2ptsspacing"/>
              <w:keepNext/>
            </w:pPr>
            <w:r>
              <w:t xml:space="preserve">1.0 </w:t>
            </w:r>
          </w:p>
        </w:tc>
      </w:tr>
      <w:tr w:rsidR="0012790E" w:rsidRPr="001C06E6" w14:paraId="796D9BEF" w14:textId="77777777">
        <w:tc>
          <w:tcPr>
            <w:tcW w:w="2497" w:type="dxa"/>
            <w:tcBorders>
              <w:top w:val="single" w:sz="4" w:space="0" w:color="293F5B"/>
              <w:bottom w:val="single" w:sz="4" w:space="0" w:color="293F5B"/>
            </w:tcBorders>
            <w:shd w:val="clear" w:color="auto" w:fill="auto"/>
          </w:tcPr>
          <w:p w14:paraId="3E58EE3D"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74B87EC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4E4E30C" w14:textId="77777777" w:rsidR="0012790E" w:rsidRPr="001C06E6" w:rsidRDefault="0012790E">
            <w:pPr>
              <w:pStyle w:val="MeasureTableDataRightAlignedwith2ptsspacing"/>
              <w:keepNext/>
            </w:pPr>
            <w:r w:rsidRPr="001C06E6">
              <w:t>4.3</w:t>
            </w:r>
          </w:p>
        </w:tc>
        <w:tc>
          <w:tcPr>
            <w:tcW w:w="1045" w:type="dxa"/>
            <w:tcBorders>
              <w:top w:val="single" w:sz="4" w:space="0" w:color="293F5B"/>
              <w:bottom w:val="single" w:sz="4" w:space="0" w:color="293F5B"/>
            </w:tcBorders>
            <w:shd w:val="clear" w:color="auto" w:fill="auto"/>
          </w:tcPr>
          <w:p w14:paraId="3BE7314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F5A5C8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89CFB9E" w14:textId="77777777" w:rsidR="0012790E" w:rsidRPr="001C06E6" w:rsidRDefault="0012790E">
            <w:pPr>
              <w:pStyle w:val="MeasureTableDataRightAlignedwith2ptsspacing"/>
              <w:keepNext/>
            </w:pPr>
            <w:r w:rsidRPr="001C06E6">
              <w:t>-</w:t>
            </w:r>
          </w:p>
        </w:tc>
      </w:tr>
      <w:tr w:rsidR="0012790E" w:rsidRPr="001C06E6" w14:paraId="4FC2C975" w14:textId="77777777">
        <w:tc>
          <w:tcPr>
            <w:tcW w:w="2497" w:type="dxa"/>
            <w:tcBorders>
              <w:top w:val="single" w:sz="4" w:space="0" w:color="293F5B"/>
              <w:bottom w:val="single" w:sz="4" w:space="0" w:color="293F5B"/>
            </w:tcBorders>
            <w:shd w:val="clear" w:color="auto" w:fill="auto"/>
          </w:tcPr>
          <w:p w14:paraId="7D042139"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227B7C39" w14:textId="77777777" w:rsidR="0012790E" w:rsidRPr="001C06E6" w:rsidRDefault="0012790E">
            <w:pPr>
              <w:pStyle w:val="Totaldatarowrightaligned"/>
              <w:keepNext/>
            </w:pPr>
            <w:r w:rsidRPr="001C06E6">
              <w:t>0.4</w:t>
            </w:r>
          </w:p>
        </w:tc>
        <w:tc>
          <w:tcPr>
            <w:tcW w:w="1045" w:type="dxa"/>
            <w:tcBorders>
              <w:top w:val="single" w:sz="4" w:space="0" w:color="293F5B"/>
              <w:bottom w:val="single" w:sz="4" w:space="0" w:color="293F5B"/>
            </w:tcBorders>
            <w:shd w:val="clear" w:color="auto" w:fill="auto"/>
          </w:tcPr>
          <w:p w14:paraId="76595B90" w14:textId="77777777" w:rsidR="0012790E" w:rsidRPr="001C06E6" w:rsidRDefault="0012790E">
            <w:pPr>
              <w:pStyle w:val="Totaldatarowrightaligned"/>
              <w:keepNext/>
            </w:pPr>
            <w:r w:rsidRPr="001C06E6">
              <w:t>6.3</w:t>
            </w:r>
          </w:p>
        </w:tc>
        <w:tc>
          <w:tcPr>
            <w:tcW w:w="1045" w:type="dxa"/>
            <w:tcBorders>
              <w:top w:val="single" w:sz="4" w:space="0" w:color="293F5B"/>
              <w:bottom w:val="single" w:sz="4" w:space="0" w:color="293F5B"/>
            </w:tcBorders>
            <w:shd w:val="clear" w:color="auto" w:fill="auto"/>
          </w:tcPr>
          <w:p w14:paraId="5D1AA0BE" w14:textId="77777777" w:rsidR="0012790E" w:rsidRPr="001C06E6" w:rsidRDefault="0012790E">
            <w:pPr>
              <w:pStyle w:val="Totaldatarowrightaligned"/>
              <w:keepNext/>
            </w:pPr>
            <w:r w:rsidRPr="001C06E6">
              <w:t>1.0</w:t>
            </w:r>
          </w:p>
        </w:tc>
        <w:tc>
          <w:tcPr>
            <w:tcW w:w="1045" w:type="dxa"/>
            <w:tcBorders>
              <w:top w:val="single" w:sz="4" w:space="0" w:color="293F5B"/>
              <w:bottom w:val="single" w:sz="4" w:space="0" w:color="293F5B"/>
            </w:tcBorders>
            <w:shd w:val="clear" w:color="auto" w:fill="auto"/>
          </w:tcPr>
          <w:p w14:paraId="6195758F" w14:textId="77777777" w:rsidR="0012790E" w:rsidRPr="001C06E6" w:rsidRDefault="0012790E">
            <w:pPr>
              <w:pStyle w:val="Totaldatarowrightaligned"/>
              <w:keepNext/>
            </w:pPr>
            <w:r w:rsidRPr="001C06E6">
              <w:t>1.0</w:t>
            </w:r>
          </w:p>
        </w:tc>
        <w:tc>
          <w:tcPr>
            <w:tcW w:w="1045" w:type="dxa"/>
            <w:tcBorders>
              <w:top w:val="single" w:sz="4" w:space="0" w:color="293F5B"/>
              <w:bottom w:val="single" w:sz="4" w:space="0" w:color="293F5B"/>
            </w:tcBorders>
            <w:shd w:val="clear" w:color="auto" w:fill="auto"/>
          </w:tcPr>
          <w:p w14:paraId="3DCBD54D" w14:textId="77777777" w:rsidR="0012790E" w:rsidRPr="001C06E6" w:rsidRDefault="0012790E">
            <w:pPr>
              <w:pStyle w:val="Totaldatarowrightaligned"/>
              <w:keepNext/>
            </w:pPr>
            <w:r w:rsidRPr="001C06E6">
              <w:t>1.0</w:t>
            </w:r>
          </w:p>
        </w:tc>
      </w:tr>
    </w:tbl>
    <w:p w14:paraId="7EB76936"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16"/>
          <w:lang w:val="en-AU"/>
        </w:rPr>
      </w:pPr>
    </w:p>
    <w:p w14:paraId="5D4C4968" w14:textId="77777777" w:rsidR="0012790E" w:rsidRDefault="0012790E" w:rsidP="54937204">
      <w:pPr>
        <w:pStyle w:val="Normal2"/>
        <w:rPr>
          <w:rFonts w:cs="Book Antiqua"/>
          <w:lang w:val="en-US"/>
        </w:rPr>
      </w:pPr>
      <w:r w:rsidRPr="54937204">
        <w:rPr>
          <w:rFonts w:cs="Book Antiqua"/>
          <w:lang w:val="en-US"/>
        </w:rPr>
        <w:t>The Government will provide $9.6 million over five years from 2023–24 (and $1.0 million per year ongoing) in additional resourcing to further support informed policy advice to Government to end gender</w:t>
      </w:r>
      <w:r>
        <w:rPr>
          <w:rFonts w:cs="Book Antiqua"/>
        </w:rPr>
        <w:noBreakHyphen/>
      </w:r>
      <w:r w:rsidRPr="54937204">
        <w:rPr>
          <w:rFonts w:cs="Book Antiqua"/>
          <w:lang w:val="en-US"/>
        </w:rPr>
        <w:t>based violence. Funding includes:</w:t>
      </w:r>
    </w:p>
    <w:p w14:paraId="52A9004F" w14:textId="61528E2B" w:rsidR="0012790E" w:rsidRDefault="0012790E">
      <w:pPr>
        <w:pStyle w:val="Bullet"/>
      </w:pPr>
      <w:r w:rsidRPr="001C06E6">
        <w:t>$4.3</w:t>
      </w:r>
      <w:r>
        <w:t> </w:t>
      </w:r>
      <w:r w:rsidRPr="001C06E6">
        <w:t xml:space="preserve">million in </w:t>
      </w:r>
      <w:r>
        <w:t>2024–25</w:t>
      </w:r>
      <w:r w:rsidRPr="001C06E6">
        <w:t xml:space="preserve"> to commission Australia’s National Research Organisation for</w:t>
      </w:r>
      <w:r w:rsidR="005A5608">
        <w:t> </w:t>
      </w:r>
      <w:r w:rsidRPr="001C06E6">
        <w:t>Women’s Safety to further build the evidence base on pathways into and out of perpetration of family, domestic and sexual violence</w:t>
      </w:r>
      <w:r>
        <w:t xml:space="preserve"> </w:t>
      </w:r>
    </w:p>
    <w:p w14:paraId="387DB542" w14:textId="3E2053C6" w:rsidR="0012790E" w:rsidRDefault="0012790E">
      <w:pPr>
        <w:pStyle w:val="Bullet"/>
      </w:pPr>
      <w:r w:rsidRPr="001C06E6">
        <w:t>$3.9</w:t>
      </w:r>
      <w:r>
        <w:t> </w:t>
      </w:r>
      <w:r w:rsidRPr="001C06E6">
        <w:t xml:space="preserve">million over four years from </w:t>
      </w:r>
      <w:r>
        <w:t>2024–25</w:t>
      </w:r>
      <w:r w:rsidRPr="001C06E6">
        <w:t xml:space="preserve"> (and $1.0</w:t>
      </w:r>
      <w:r>
        <w:t> </w:t>
      </w:r>
      <w:r w:rsidRPr="001C06E6">
        <w:t xml:space="preserve">million per year ongoing) in additional resourcing for the Office for Women, in the Department of the </w:t>
      </w:r>
      <w:r>
        <w:t>Prime Minister and Cabinet</w:t>
      </w:r>
      <w:r w:rsidRPr="001C06E6">
        <w:t>, to support whole of government coordination and work with</w:t>
      </w:r>
      <w:r w:rsidR="005A5608">
        <w:t> </w:t>
      </w:r>
      <w:r w:rsidRPr="001C06E6">
        <w:t>the</w:t>
      </w:r>
      <w:r w:rsidR="005A5608">
        <w:t> </w:t>
      </w:r>
      <w:r w:rsidRPr="001C06E6">
        <w:t>Department of Social Services to identify further opportunities to respond to</w:t>
      </w:r>
      <w:r w:rsidR="005A5608">
        <w:t> </w:t>
      </w:r>
      <w:r w:rsidRPr="001C06E6">
        <w:t>gender</w:t>
      </w:r>
      <w:r>
        <w:noBreakHyphen/>
      </w:r>
      <w:r w:rsidRPr="001C06E6">
        <w:t>based violence and continue to embed a focus on women’s safety across</w:t>
      </w:r>
      <w:r w:rsidR="005A5608">
        <w:t> </w:t>
      </w:r>
      <w:r w:rsidRPr="001C06E6">
        <w:t>Government</w:t>
      </w:r>
      <w:r>
        <w:t xml:space="preserve"> </w:t>
      </w:r>
    </w:p>
    <w:p w14:paraId="499F87A8" w14:textId="77777777" w:rsidR="0012790E" w:rsidRDefault="0012790E">
      <w:pPr>
        <w:pStyle w:val="Bullet"/>
      </w:pPr>
      <w:r w:rsidRPr="001C06E6">
        <w:t>$1.3</w:t>
      </w:r>
      <w:r>
        <w:t> </w:t>
      </w:r>
      <w:r w:rsidRPr="001C06E6">
        <w:t xml:space="preserve">million over two years from </w:t>
      </w:r>
      <w:r>
        <w:t>2023–24</w:t>
      </w:r>
      <w:r w:rsidRPr="001C06E6">
        <w:t xml:space="preserve"> for a rapid review of targeted prevention approaches to violence against women, with a panel of experts to provide advice to Government on preventing gender</w:t>
      </w:r>
      <w:r>
        <w:noBreakHyphen/>
      </w:r>
      <w:r w:rsidRPr="001C06E6">
        <w:t>based violence, including a focus on homicides.</w:t>
      </w:r>
      <w:r>
        <w:t xml:space="preserve"> </w:t>
      </w:r>
    </w:p>
    <w:p w14:paraId="08241A57" w14:textId="77777777" w:rsidR="0012790E" w:rsidRDefault="0012790E">
      <w:pPr>
        <w:pStyle w:val="Normal2"/>
        <w:rPr>
          <w:rFonts w:cs="Book Antiqua"/>
        </w:rPr>
      </w:pPr>
      <w:r w:rsidRPr="001C06E6">
        <w:rPr>
          <w:rFonts w:cs="Book Antiqua"/>
        </w:rPr>
        <w:t>The resourcing for the Office for Women is in addition to its existing base funding and</w:t>
      </w:r>
      <w:r>
        <w:rPr>
          <w:rFonts w:cs="Book Antiqua"/>
        </w:rPr>
        <w:t xml:space="preserve"> </w:t>
      </w:r>
      <w:r w:rsidRPr="001C06E6">
        <w:rPr>
          <w:rFonts w:cs="Book Antiqua"/>
        </w:rPr>
        <w:t>supports the Government’s election commitment to strengthen the Office for Women.</w:t>
      </w:r>
      <w:r>
        <w:rPr>
          <w:rFonts w:cs="Book Antiqua"/>
        </w:rPr>
        <w:t xml:space="preserve"> </w:t>
      </w:r>
    </w:p>
    <w:p w14:paraId="6C133B11" w14:textId="77777777" w:rsidR="0012790E" w:rsidRDefault="0012790E">
      <w:pPr>
        <w:pStyle w:val="Normal2"/>
        <w:rPr>
          <w:rFonts w:cs="Book Antiqua"/>
        </w:rPr>
      </w:pPr>
      <w:r w:rsidRPr="001C06E6">
        <w:rPr>
          <w:rFonts w:cs="Book Antiqua"/>
        </w:rPr>
        <w:t xml:space="preserve">This measure supports the implementation of the </w:t>
      </w:r>
      <w:r w:rsidRPr="001C06E6">
        <w:rPr>
          <w:rFonts w:cs="Book Antiqua"/>
          <w:i/>
          <w:iCs/>
        </w:rPr>
        <w:t>National Plan to End Violence</w:t>
      </w:r>
      <w:r>
        <w:rPr>
          <w:rFonts w:cs="Book Antiqua"/>
          <w:i/>
          <w:iCs/>
        </w:rPr>
        <w:t xml:space="preserve"> </w:t>
      </w:r>
      <w:r w:rsidRPr="001C06E6">
        <w:rPr>
          <w:rFonts w:cs="Book Antiqua"/>
          <w:i/>
          <w:iCs/>
        </w:rPr>
        <w:t xml:space="preserve">against Women and Children </w:t>
      </w:r>
      <w:r>
        <w:rPr>
          <w:rFonts w:cs="Book Antiqua"/>
          <w:i/>
          <w:iCs/>
        </w:rPr>
        <w:t>2022–32</w:t>
      </w:r>
      <w:r w:rsidRPr="001C06E6">
        <w:rPr>
          <w:rFonts w:cs="Book Antiqua"/>
        </w:rPr>
        <w:t>.</w:t>
      </w:r>
      <w:r>
        <w:rPr>
          <w:rFonts w:cs="Book Antiqua"/>
        </w:rPr>
        <w:t xml:space="preserve"> </w:t>
      </w:r>
    </w:p>
    <w:p w14:paraId="38CDF59C" w14:textId="77777777" w:rsidR="0012790E" w:rsidRPr="001C06E6" w:rsidRDefault="0012790E">
      <w:pPr>
        <w:pStyle w:val="MeasureTitle"/>
        <w:rPr>
          <w:b w:val="0"/>
          <w:bCs/>
        </w:rPr>
      </w:pPr>
      <w:r w:rsidRPr="001C06E6">
        <w:rPr>
          <w:bCs/>
        </w:rPr>
        <w:t>Further Investment to Closing the Gap</w:t>
      </w:r>
    </w:p>
    <w:p w14:paraId="50543404" w14:textId="77777777" w:rsidR="0012790E" w:rsidRPr="001C06E6" w:rsidRDefault="0012790E">
      <w:pPr>
        <w:pStyle w:val="MeasureTableHeading"/>
      </w:pPr>
      <w:r w:rsidRPr="001C06E6">
        <w:rPr>
          <w:color w:val="000000"/>
          <w:szCs w:val="16"/>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99CAF95" w14:textId="77777777">
        <w:tc>
          <w:tcPr>
            <w:tcW w:w="2497" w:type="dxa"/>
            <w:tcBorders>
              <w:top w:val="single" w:sz="4" w:space="0" w:color="293F5B"/>
              <w:bottom w:val="single" w:sz="4" w:space="0" w:color="293F5B"/>
            </w:tcBorders>
            <w:shd w:val="clear" w:color="auto" w:fill="auto"/>
          </w:tcPr>
          <w:p w14:paraId="495C6F32"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A22A0A9"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D7A68E2"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C1678BE"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5231EA4"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F5B38BE" w14:textId="77777777" w:rsidR="0012790E" w:rsidRPr="001C06E6" w:rsidRDefault="0012790E">
            <w:pPr>
              <w:pStyle w:val="MeasureTableYearHeadings"/>
              <w:keepNext/>
            </w:pPr>
            <w:r w:rsidRPr="001C06E6">
              <w:t>2027</w:t>
            </w:r>
            <w:r>
              <w:noBreakHyphen/>
            </w:r>
            <w:r w:rsidRPr="001C06E6">
              <w:t>28</w:t>
            </w:r>
          </w:p>
        </w:tc>
      </w:tr>
      <w:tr w:rsidR="0012790E" w:rsidRPr="001C06E6" w14:paraId="356FA66B" w14:textId="77777777">
        <w:tc>
          <w:tcPr>
            <w:tcW w:w="2497" w:type="dxa"/>
            <w:tcBorders>
              <w:top w:val="single" w:sz="4" w:space="0" w:color="293F5B"/>
              <w:bottom w:val="single" w:sz="4" w:space="0" w:color="293F5B"/>
            </w:tcBorders>
            <w:shd w:val="clear" w:color="auto" w:fill="auto"/>
          </w:tcPr>
          <w:p w14:paraId="6B08C9CF"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4B32EC8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BA7F6B0" w14:textId="59765020" w:rsidR="0012790E" w:rsidRPr="001C06E6" w:rsidRDefault="000F114E">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75AFB85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140E6D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1E5515F" w14:textId="77777777" w:rsidR="0012790E" w:rsidRPr="001C06E6" w:rsidRDefault="0012790E">
            <w:pPr>
              <w:pStyle w:val="MeasureTableDataRightAlignedwith2ptsspacing"/>
              <w:keepNext/>
            </w:pPr>
            <w:r w:rsidRPr="001C06E6">
              <w:t>-</w:t>
            </w:r>
          </w:p>
        </w:tc>
      </w:tr>
      <w:tr w:rsidR="0012790E" w:rsidRPr="001C06E6" w14:paraId="78B95218" w14:textId="77777777">
        <w:tc>
          <w:tcPr>
            <w:tcW w:w="2497" w:type="dxa"/>
            <w:tcBorders>
              <w:top w:val="single" w:sz="4" w:space="0" w:color="293F5B"/>
              <w:bottom w:val="single" w:sz="4" w:space="0" w:color="293F5B"/>
            </w:tcBorders>
            <w:shd w:val="clear" w:color="auto" w:fill="auto"/>
          </w:tcPr>
          <w:p w14:paraId="175028D8" w14:textId="77777777" w:rsidR="0012790E" w:rsidRPr="001C06E6" w:rsidRDefault="0012790E">
            <w:pPr>
              <w:pStyle w:val="MeasureTableHeadingleftalignedwith2ptsspacing"/>
              <w:keepNext/>
            </w:pPr>
            <w:r>
              <w:t xml:space="preserve">Australian Institute of Aboriginal and Torres Strait Islander Studies </w:t>
            </w:r>
          </w:p>
        </w:tc>
        <w:tc>
          <w:tcPr>
            <w:tcW w:w="1045" w:type="dxa"/>
            <w:tcBorders>
              <w:top w:val="single" w:sz="4" w:space="0" w:color="293F5B"/>
              <w:bottom w:val="single" w:sz="4" w:space="0" w:color="293F5B"/>
            </w:tcBorders>
            <w:shd w:val="clear" w:color="auto" w:fill="auto"/>
          </w:tcPr>
          <w:p w14:paraId="793BB55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2A9BB42" w14:textId="2AECB04C" w:rsidR="0012790E" w:rsidRPr="001C06E6" w:rsidRDefault="0092404C">
            <w:pPr>
              <w:pStyle w:val="MeasureTableDataRightAlignedwith2ptsspacing"/>
              <w:keepNext/>
            </w:pPr>
            <w:r>
              <w:t>2.5</w:t>
            </w:r>
          </w:p>
        </w:tc>
        <w:tc>
          <w:tcPr>
            <w:tcW w:w="1045" w:type="dxa"/>
            <w:tcBorders>
              <w:top w:val="single" w:sz="4" w:space="0" w:color="293F5B"/>
              <w:bottom w:val="single" w:sz="4" w:space="0" w:color="293F5B"/>
            </w:tcBorders>
            <w:shd w:val="clear" w:color="auto" w:fill="auto"/>
          </w:tcPr>
          <w:p w14:paraId="448179DD" w14:textId="77777777" w:rsidR="0012790E" w:rsidRPr="001C06E6" w:rsidRDefault="0012790E">
            <w:pPr>
              <w:pStyle w:val="MeasureTableDataRightAlignedwith2ptsspacing"/>
              <w:keepNext/>
            </w:pPr>
            <w:r>
              <w:t xml:space="preserve">2.6   </w:t>
            </w:r>
          </w:p>
        </w:tc>
        <w:tc>
          <w:tcPr>
            <w:tcW w:w="1045" w:type="dxa"/>
            <w:tcBorders>
              <w:top w:val="single" w:sz="4" w:space="0" w:color="293F5B"/>
              <w:bottom w:val="single" w:sz="4" w:space="0" w:color="293F5B"/>
            </w:tcBorders>
            <w:shd w:val="clear" w:color="auto" w:fill="auto"/>
          </w:tcPr>
          <w:p w14:paraId="362CF78B" w14:textId="77777777" w:rsidR="0012790E" w:rsidRPr="001C06E6" w:rsidRDefault="0012790E">
            <w:pPr>
              <w:pStyle w:val="MeasureTableDataRightAlignedwith2ptsspacing"/>
              <w:keepNext/>
            </w:pPr>
            <w:r>
              <w:t xml:space="preserve">2.6   </w:t>
            </w:r>
          </w:p>
        </w:tc>
        <w:tc>
          <w:tcPr>
            <w:tcW w:w="1045" w:type="dxa"/>
            <w:tcBorders>
              <w:top w:val="single" w:sz="4" w:space="0" w:color="293F5B"/>
              <w:bottom w:val="single" w:sz="4" w:space="0" w:color="293F5B"/>
            </w:tcBorders>
            <w:shd w:val="clear" w:color="auto" w:fill="auto"/>
          </w:tcPr>
          <w:p w14:paraId="76215B52" w14:textId="77777777" w:rsidR="0012790E" w:rsidRPr="001C06E6" w:rsidRDefault="0012790E">
            <w:pPr>
              <w:pStyle w:val="MeasureTableDataRightAlignedwith2ptsspacing"/>
              <w:keepNext/>
            </w:pPr>
            <w:r>
              <w:t xml:space="preserve">2.7   </w:t>
            </w:r>
          </w:p>
        </w:tc>
      </w:tr>
      <w:tr w:rsidR="0012790E" w:rsidRPr="001C06E6" w14:paraId="4DA16587" w14:textId="77777777">
        <w:tc>
          <w:tcPr>
            <w:tcW w:w="2497" w:type="dxa"/>
            <w:tcBorders>
              <w:top w:val="single" w:sz="4" w:space="0" w:color="293F5B"/>
              <w:bottom w:val="single" w:sz="4" w:space="0" w:color="293F5B"/>
            </w:tcBorders>
            <w:shd w:val="clear" w:color="auto" w:fill="auto"/>
          </w:tcPr>
          <w:p w14:paraId="788F65EA"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3045C44F"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F88DFBD" w14:textId="553410D3" w:rsidR="0012790E" w:rsidRPr="001C06E6" w:rsidRDefault="00B76CD4">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40FC5C1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C65666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915350F" w14:textId="77777777" w:rsidR="0012790E" w:rsidRPr="001C06E6" w:rsidRDefault="0012790E">
            <w:pPr>
              <w:pStyle w:val="MeasureTableDataRightAlignedwith2ptsspacing"/>
              <w:keepNext/>
            </w:pPr>
            <w:r>
              <w:t xml:space="preserve">- </w:t>
            </w:r>
          </w:p>
        </w:tc>
      </w:tr>
      <w:tr w:rsidR="0012790E" w:rsidRPr="001C06E6" w14:paraId="505FB98D" w14:textId="77777777">
        <w:tc>
          <w:tcPr>
            <w:tcW w:w="2497" w:type="dxa"/>
            <w:tcBorders>
              <w:top w:val="single" w:sz="4" w:space="0" w:color="293F5B"/>
              <w:bottom w:val="single" w:sz="4" w:space="0" w:color="293F5B"/>
            </w:tcBorders>
            <w:shd w:val="clear" w:color="auto" w:fill="auto"/>
          </w:tcPr>
          <w:p w14:paraId="04DBA2A4" w14:textId="77777777" w:rsidR="0012790E" w:rsidRPr="001C06E6" w:rsidRDefault="0012790E">
            <w:pPr>
              <w:pStyle w:val="MeasureTableHeadingleftalignedwith2ptsspacing"/>
              <w:keepNext/>
            </w:pPr>
            <w:r>
              <w:t xml:space="preserve">National Indigenous Australians Agency </w:t>
            </w:r>
          </w:p>
        </w:tc>
        <w:tc>
          <w:tcPr>
            <w:tcW w:w="1045" w:type="dxa"/>
            <w:tcBorders>
              <w:top w:val="single" w:sz="4" w:space="0" w:color="293F5B"/>
              <w:bottom w:val="single" w:sz="4" w:space="0" w:color="293F5B"/>
            </w:tcBorders>
            <w:shd w:val="clear" w:color="auto" w:fill="auto"/>
          </w:tcPr>
          <w:p w14:paraId="78FB2A31" w14:textId="77777777" w:rsidR="0012790E" w:rsidRPr="001C06E6" w:rsidRDefault="0012790E">
            <w:pPr>
              <w:pStyle w:val="MeasureTableDataRightAlignedwith2ptsspacing"/>
              <w:keepNext/>
            </w:pPr>
            <w:r>
              <w:t xml:space="preserve">-10.0 </w:t>
            </w:r>
          </w:p>
        </w:tc>
        <w:tc>
          <w:tcPr>
            <w:tcW w:w="1045" w:type="dxa"/>
            <w:tcBorders>
              <w:top w:val="single" w:sz="4" w:space="0" w:color="293F5B"/>
              <w:bottom w:val="single" w:sz="4" w:space="0" w:color="293F5B"/>
            </w:tcBorders>
            <w:shd w:val="clear" w:color="auto" w:fill="auto"/>
          </w:tcPr>
          <w:p w14:paraId="568E97FB" w14:textId="235E708E" w:rsidR="0012790E" w:rsidRPr="001C06E6" w:rsidRDefault="0092404C">
            <w:pPr>
              <w:pStyle w:val="MeasureTableDataRightAlignedwith2ptsspacing"/>
              <w:keepNext/>
            </w:pPr>
            <w:r>
              <w:t>-12.5</w:t>
            </w:r>
            <w:r w:rsidR="0012790E">
              <w:t xml:space="preserve"> </w:t>
            </w:r>
          </w:p>
        </w:tc>
        <w:tc>
          <w:tcPr>
            <w:tcW w:w="1045" w:type="dxa"/>
            <w:tcBorders>
              <w:top w:val="single" w:sz="4" w:space="0" w:color="293F5B"/>
              <w:bottom w:val="single" w:sz="4" w:space="0" w:color="293F5B"/>
            </w:tcBorders>
            <w:shd w:val="clear" w:color="auto" w:fill="auto"/>
          </w:tcPr>
          <w:p w14:paraId="37694D87" w14:textId="77777777" w:rsidR="0012790E" w:rsidRPr="001C06E6" w:rsidRDefault="0012790E">
            <w:pPr>
              <w:pStyle w:val="MeasureTableDataRightAlignedwith2ptsspacing"/>
              <w:keepNext/>
            </w:pPr>
            <w:r>
              <w:t xml:space="preserve">-2.6 </w:t>
            </w:r>
          </w:p>
        </w:tc>
        <w:tc>
          <w:tcPr>
            <w:tcW w:w="1045" w:type="dxa"/>
            <w:tcBorders>
              <w:top w:val="single" w:sz="4" w:space="0" w:color="293F5B"/>
              <w:bottom w:val="single" w:sz="4" w:space="0" w:color="293F5B"/>
            </w:tcBorders>
            <w:shd w:val="clear" w:color="auto" w:fill="auto"/>
          </w:tcPr>
          <w:p w14:paraId="5DD0099C" w14:textId="77777777" w:rsidR="0012790E" w:rsidRPr="001C06E6" w:rsidRDefault="0012790E">
            <w:pPr>
              <w:pStyle w:val="MeasureTableDataRightAlignedwith2ptsspacing"/>
              <w:keepNext/>
            </w:pPr>
            <w:r>
              <w:t xml:space="preserve">-2.6 </w:t>
            </w:r>
          </w:p>
        </w:tc>
        <w:tc>
          <w:tcPr>
            <w:tcW w:w="1045" w:type="dxa"/>
            <w:tcBorders>
              <w:top w:val="single" w:sz="4" w:space="0" w:color="293F5B"/>
              <w:bottom w:val="single" w:sz="4" w:space="0" w:color="293F5B"/>
            </w:tcBorders>
            <w:shd w:val="clear" w:color="auto" w:fill="auto"/>
          </w:tcPr>
          <w:p w14:paraId="110D9026" w14:textId="77777777" w:rsidR="0012790E" w:rsidRPr="001C06E6" w:rsidRDefault="0012790E">
            <w:pPr>
              <w:pStyle w:val="MeasureTableDataRightAlignedwith2ptsspacing"/>
              <w:keepNext/>
            </w:pPr>
            <w:r>
              <w:t xml:space="preserve">-2.7 </w:t>
            </w:r>
          </w:p>
        </w:tc>
      </w:tr>
      <w:tr w:rsidR="0012790E" w:rsidRPr="001C06E6" w14:paraId="5D38C4ED" w14:textId="77777777">
        <w:tc>
          <w:tcPr>
            <w:tcW w:w="2497" w:type="dxa"/>
            <w:tcBorders>
              <w:top w:val="single" w:sz="4" w:space="0" w:color="293F5B"/>
              <w:bottom w:val="single" w:sz="4" w:space="0" w:color="293F5B"/>
            </w:tcBorders>
            <w:shd w:val="clear" w:color="auto" w:fill="auto"/>
          </w:tcPr>
          <w:p w14:paraId="035E3576"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0359E2C" w14:textId="77777777" w:rsidR="0012790E" w:rsidRPr="001C06E6" w:rsidRDefault="0012790E">
            <w:pPr>
              <w:pStyle w:val="Totaldatarowrightaligned"/>
              <w:keepNext/>
            </w:pPr>
            <w:r w:rsidRPr="001C06E6">
              <w:t>-10.0</w:t>
            </w:r>
          </w:p>
        </w:tc>
        <w:tc>
          <w:tcPr>
            <w:tcW w:w="1045" w:type="dxa"/>
            <w:tcBorders>
              <w:top w:val="single" w:sz="4" w:space="0" w:color="293F5B"/>
              <w:bottom w:val="single" w:sz="4" w:space="0" w:color="293F5B"/>
            </w:tcBorders>
            <w:shd w:val="clear" w:color="auto" w:fill="auto"/>
          </w:tcPr>
          <w:p w14:paraId="3401E191" w14:textId="77777777" w:rsidR="0012790E" w:rsidRPr="001C06E6" w:rsidRDefault="0012790E">
            <w:pPr>
              <w:pStyle w:val="Totaldatarowrightaligned"/>
              <w:keepNext/>
            </w:pPr>
            <w:r w:rsidRPr="001C06E6">
              <w:t>-10.0</w:t>
            </w:r>
          </w:p>
        </w:tc>
        <w:tc>
          <w:tcPr>
            <w:tcW w:w="1045" w:type="dxa"/>
            <w:tcBorders>
              <w:top w:val="single" w:sz="4" w:space="0" w:color="293F5B"/>
              <w:bottom w:val="single" w:sz="4" w:space="0" w:color="293F5B"/>
            </w:tcBorders>
            <w:shd w:val="clear" w:color="auto" w:fill="auto"/>
          </w:tcPr>
          <w:p w14:paraId="47373A83"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2CCC8E54"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E7D0515" w14:textId="77777777" w:rsidR="0012790E" w:rsidRPr="001C06E6" w:rsidRDefault="0012790E">
            <w:pPr>
              <w:pStyle w:val="Totaldatarowrightaligned"/>
              <w:keepNext/>
            </w:pPr>
            <w:r w:rsidRPr="001C06E6">
              <w:t>-</w:t>
            </w:r>
          </w:p>
        </w:tc>
      </w:tr>
    </w:tbl>
    <w:p w14:paraId="65E7B12E"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16"/>
          <w:lang w:val="en-AU"/>
        </w:rPr>
      </w:pPr>
    </w:p>
    <w:p w14:paraId="04851FEF" w14:textId="77777777" w:rsidR="0012790E" w:rsidRDefault="0012790E">
      <w:pPr>
        <w:pStyle w:val="Normal2"/>
        <w:rPr>
          <w:rFonts w:cs="Book Antiqua"/>
        </w:rPr>
      </w:pPr>
      <w:r w:rsidRPr="001C06E6">
        <w:rPr>
          <w:rFonts w:cs="Book Antiqua"/>
        </w:rPr>
        <w:t>The Government will provide $151.4</w:t>
      </w:r>
      <w:r>
        <w:rPr>
          <w:rFonts w:cs="Book Antiqua"/>
        </w:rPr>
        <w:t> </w:t>
      </w:r>
      <w:r w:rsidRPr="001C06E6">
        <w:rPr>
          <w:rFonts w:cs="Book Antiqua"/>
        </w:rPr>
        <w:t xml:space="preserve">million over four years from </w:t>
      </w:r>
      <w:r>
        <w:rPr>
          <w:rFonts w:cs="Book Antiqua"/>
        </w:rPr>
        <w:t>2024–25</w:t>
      </w:r>
      <w:r w:rsidRPr="001C06E6">
        <w:rPr>
          <w:rFonts w:cs="Book Antiqua"/>
        </w:rPr>
        <w:t xml:space="preserve"> (including</w:t>
      </w:r>
      <w:r>
        <w:rPr>
          <w:rFonts w:cs="Book Antiqua"/>
        </w:rPr>
        <w:t xml:space="preserve"> </w:t>
      </w:r>
      <w:r w:rsidRPr="001C06E6">
        <w:rPr>
          <w:rFonts w:cs="Book Antiqua"/>
        </w:rPr>
        <w:t>$3.0</w:t>
      </w:r>
      <w:r>
        <w:rPr>
          <w:rFonts w:cs="Book Antiqua"/>
        </w:rPr>
        <w:t> </w:t>
      </w:r>
      <w:r w:rsidRPr="001C06E6">
        <w:rPr>
          <w:rFonts w:cs="Book Antiqua"/>
        </w:rPr>
        <w:t xml:space="preserve">million in capital funding in </w:t>
      </w:r>
      <w:r>
        <w:rPr>
          <w:rFonts w:cs="Book Antiqua"/>
        </w:rPr>
        <w:t>2024–25</w:t>
      </w:r>
      <w:r w:rsidRPr="001C06E6">
        <w:rPr>
          <w:rFonts w:cs="Book Antiqua"/>
        </w:rPr>
        <w:t xml:space="preserve">) to accelerate progress under the </w:t>
      </w:r>
      <w:r w:rsidRPr="001C06E6">
        <w:rPr>
          <w:rFonts w:cs="Book Antiqua"/>
          <w:i/>
          <w:iCs/>
        </w:rPr>
        <w:t>National</w:t>
      </w:r>
      <w:r>
        <w:rPr>
          <w:rFonts w:cs="Book Antiqua"/>
          <w:i/>
          <w:iCs/>
        </w:rPr>
        <w:t xml:space="preserve"> </w:t>
      </w:r>
      <w:r w:rsidRPr="001C06E6">
        <w:rPr>
          <w:rFonts w:cs="Book Antiqua"/>
          <w:i/>
          <w:iCs/>
        </w:rPr>
        <w:t>Agreement on Closing the Gap</w:t>
      </w:r>
      <w:r w:rsidRPr="001C06E6">
        <w:rPr>
          <w:rFonts w:cs="Book Antiqua"/>
        </w:rPr>
        <w:t xml:space="preserve"> and deliver better outcomes for First Nations peoples,</w:t>
      </w:r>
      <w:r>
        <w:rPr>
          <w:rFonts w:cs="Book Antiqua"/>
        </w:rPr>
        <w:t xml:space="preserve"> </w:t>
      </w:r>
      <w:r w:rsidRPr="001C06E6">
        <w:rPr>
          <w:rFonts w:cs="Book Antiqua"/>
        </w:rPr>
        <w:t>including:</w:t>
      </w:r>
    </w:p>
    <w:p w14:paraId="0226CEB9" w14:textId="77777777" w:rsidR="0012790E" w:rsidRDefault="0012790E">
      <w:pPr>
        <w:pStyle w:val="Bullet"/>
      </w:pPr>
      <w:r w:rsidRPr="001C06E6">
        <w:t>$111.1</w:t>
      </w:r>
      <w:r>
        <w:t> </w:t>
      </w:r>
      <w:r w:rsidRPr="001C06E6">
        <w:t xml:space="preserve">million in </w:t>
      </w:r>
      <w:r>
        <w:t>2024–25</w:t>
      </w:r>
      <w:r w:rsidRPr="001C06E6">
        <w:t xml:space="preserve"> to maintain delivery of critical services provided under the </w:t>
      </w:r>
      <w:r w:rsidRPr="001C06E6">
        <w:rPr>
          <w:i/>
          <w:iCs/>
        </w:rPr>
        <w:t>National Partnership on Northern Territory Remote Aboriginal Investment</w:t>
      </w:r>
      <w:r w:rsidRPr="001C06E6">
        <w:t>, including health, safety, wellbeing, schooling and justice services</w:t>
      </w:r>
      <w:r>
        <w:t xml:space="preserve"> </w:t>
      </w:r>
    </w:p>
    <w:p w14:paraId="25D539D8" w14:textId="77777777" w:rsidR="0012790E" w:rsidRDefault="0012790E">
      <w:pPr>
        <w:pStyle w:val="Bullet"/>
      </w:pPr>
      <w:r w:rsidRPr="001C06E6">
        <w:t>$18.0</w:t>
      </w:r>
      <w:r>
        <w:t> </w:t>
      </w:r>
      <w:r w:rsidRPr="001C06E6">
        <w:t xml:space="preserve">million over two years from </w:t>
      </w:r>
      <w:r>
        <w:t>2024–25</w:t>
      </w:r>
      <w:r w:rsidRPr="001C06E6">
        <w:t xml:space="preserve"> to establish the new Central Australian Boarding Response Fund. The Central Australian Boarding Response Fund will build new, and improve existing, boarding facilities in Central Australia for Aboriginal and Torres Strait Islander students from remote Northern Territory communities, enabling facilities to take on more students</w:t>
      </w:r>
      <w:r>
        <w:t xml:space="preserve"> </w:t>
      </w:r>
    </w:p>
    <w:p w14:paraId="0018D483" w14:textId="77777777" w:rsidR="0012790E" w:rsidRDefault="0012790E">
      <w:pPr>
        <w:pStyle w:val="Bullet"/>
      </w:pPr>
      <w:r w:rsidRPr="001C06E6">
        <w:t>$10.3</w:t>
      </w:r>
      <w:r>
        <w:t> </w:t>
      </w:r>
      <w:r w:rsidRPr="001C06E6">
        <w:t xml:space="preserve">million over four years from </w:t>
      </w:r>
      <w:r>
        <w:t>2024–25</w:t>
      </w:r>
      <w:r w:rsidRPr="001C06E6">
        <w:t xml:space="preserve"> (and $2.7</w:t>
      </w:r>
      <w:r>
        <w:t> </w:t>
      </w:r>
      <w:r w:rsidRPr="001C06E6">
        <w:t xml:space="preserve">million per year ongoing) to the Australian Institute of Aboriginal and Torres Strait Islander Studies (AIATSIS) to extend the </w:t>
      </w:r>
      <w:r w:rsidRPr="001C06E6">
        <w:rPr>
          <w:i/>
          <w:iCs/>
        </w:rPr>
        <w:t xml:space="preserve">Return of Cultural Heritage </w:t>
      </w:r>
      <w:r w:rsidRPr="001C06E6">
        <w:t>program to continue the facilitation of the return of First Nations cultural heritage material held in overseas collections to traditional owners and custodians</w:t>
      </w:r>
      <w:r>
        <w:t xml:space="preserve"> </w:t>
      </w:r>
    </w:p>
    <w:p w14:paraId="539D632E" w14:textId="4E13C6CC" w:rsidR="0012790E" w:rsidRDefault="0012790E">
      <w:pPr>
        <w:pStyle w:val="Bullet"/>
      </w:pPr>
      <w:r w:rsidRPr="001C06E6">
        <w:t>$7.3</w:t>
      </w:r>
      <w:r>
        <w:t> </w:t>
      </w:r>
      <w:r w:rsidRPr="001C06E6">
        <w:t xml:space="preserve">million in </w:t>
      </w:r>
      <w:r>
        <w:t>2024–25</w:t>
      </w:r>
      <w:r w:rsidRPr="001C06E6">
        <w:t xml:space="preserve"> (including $3.0</w:t>
      </w:r>
      <w:r>
        <w:t> </w:t>
      </w:r>
      <w:r w:rsidRPr="001C06E6">
        <w:t>million in capital funding) to the AIATSIS to enhance its ability to support and facilitate Aboriginal and Torres Strait Islander cultural resurgence, including ensuring its collection is appropriately maintained within</w:t>
      </w:r>
      <w:r w:rsidR="00B87B93">
        <w:t> </w:t>
      </w:r>
      <w:r w:rsidRPr="001C06E6">
        <w:t>the facilities of AIATSIS</w:t>
      </w:r>
      <w:r>
        <w:t xml:space="preserve"> </w:t>
      </w:r>
    </w:p>
    <w:p w14:paraId="57F2C164" w14:textId="77777777" w:rsidR="0012790E" w:rsidRDefault="0012790E">
      <w:pPr>
        <w:pStyle w:val="Bullet"/>
      </w:pPr>
      <w:r w:rsidRPr="001C06E6">
        <w:t>$4.6</w:t>
      </w:r>
      <w:r>
        <w:t> </w:t>
      </w:r>
      <w:r w:rsidRPr="001C06E6">
        <w:t xml:space="preserve">million in </w:t>
      </w:r>
      <w:r>
        <w:t>2024–25</w:t>
      </w:r>
      <w:r w:rsidRPr="001C06E6">
        <w:t xml:space="preserve"> to extend Commonwealth funding for Custody Notification Services (CNS) in the Northern Territory, Western Australia, South Australia, Victoria, New South Wales and the Australian Capital Territory. CNS provides culturally appropriate health and wellbeing checks when an Aboriginal and/or Torres Strait Islander person is taken into police custody.</w:t>
      </w:r>
      <w:r>
        <w:t xml:space="preserve"> </w:t>
      </w:r>
    </w:p>
    <w:p w14:paraId="16F1ED1A" w14:textId="77777777" w:rsidR="0012790E" w:rsidRDefault="0012790E">
      <w:pPr>
        <w:pStyle w:val="Normal2"/>
        <w:rPr>
          <w:rFonts w:cs="Book Antiqua"/>
        </w:rPr>
      </w:pPr>
      <w:r w:rsidRPr="001C06E6">
        <w:rPr>
          <w:rFonts w:cs="Book Antiqua"/>
        </w:rPr>
        <w:t>The Government has already provided partial funding for this measure, with the</w:t>
      </w:r>
      <w:r>
        <w:rPr>
          <w:rFonts w:cs="Book Antiqua"/>
        </w:rPr>
        <w:t xml:space="preserve"> </w:t>
      </w:r>
      <w:r w:rsidRPr="001C06E6">
        <w:rPr>
          <w:rFonts w:cs="Book Antiqua"/>
        </w:rPr>
        <w:t>remaining cost of this measure to be met from within existing resources of the</w:t>
      </w:r>
      <w:r>
        <w:rPr>
          <w:rFonts w:cs="Book Antiqua"/>
        </w:rPr>
        <w:t xml:space="preserve"> </w:t>
      </w:r>
      <w:r w:rsidRPr="001C06E6">
        <w:rPr>
          <w:rFonts w:cs="Book Antiqua"/>
        </w:rPr>
        <w:t>National Indigenous Australians Agency.</w:t>
      </w:r>
      <w:r>
        <w:rPr>
          <w:rFonts w:cs="Book Antiqua"/>
        </w:rPr>
        <w:t xml:space="preserve"> </w:t>
      </w:r>
    </w:p>
    <w:p w14:paraId="5A21B4C4" w14:textId="1E42F76B" w:rsidR="0012790E" w:rsidRDefault="0012790E" w:rsidP="54937204">
      <w:pPr>
        <w:pStyle w:val="Normal2"/>
        <w:rPr>
          <w:rFonts w:cs="Book Antiqua"/>
          <w:lang w:val="en-US"/>
        </w:rPr>
      </w:pPr>
      <w:r w:rsidRPr="54937204">
        <w:rPr>
          <w:rFonts w:cs="Book Antiqua"/>
          <w:lang w:val="en-US"/>
        </w:rPr>
        <w:t xml:space="preserve">The Government will </w:t>
      </w:r>
      <w:r w:rsidR="00053B27">
        <w:rPr>
          <w:rFonts w:cs="Book Antiqua"/>
          <w:lang w:val="en-US"/>
        </w:rPr>
        <w:t>redirect</w:t>
      </w:r>
      <w:r w:rsidRPr="54937204">
        <w:rPr>
          <w:rFonts w:cs="Book Antiqua"/>
          <w:lang w:val="en-US"/>
        </w:rPr>
        <w:t xml:space="preserve"> $20.0 million over two years from 2023–24 </w:t>
      </w:r>
      <w:r w:rsidR="00053B27">
        <w:rPr>
          <w:rFonts w:cs="Book Antiqua"/>
          <w:lang w:val="en-US"/>
        </w:rPr>
        <w:t xml:space="preserve">towards other priorities within the Indigenous Australians portfolio </w:t>
      </w:r>
      <w:r w:rsidRPr="54937204">
        <w:rPr>
          <w:rFonts w:cs="Book Antiqua"/>
          <w:lang w:val="en-US"/>
        </w:rPr>
        <w:t xml:space="preserve">by not proceeding with Local and Regional Voice arrangements, consistent with the outcome of the 2023 Referendum on an Aboriginal and Torres Strait Islander Voice. </w:t>
      </w:r>
    </w:p>
    <w:p w14:paraId="5A20B77E" w14:textId="77777777" w:rsidR="0012790E" w:rsidRDefault="0012790E">
      <w:pPr>
        <w:pStyle w:val="Normal2"/>
        <w:rPr>
          <w:rFonts w:cs="Book Antiqua"/>
        </w:rPr>
      </w:pPr>
      <w:r w:rsidRPr="001C06E6">
        <w:rPr>
          <w:rFonts w:cs="Book Antiqua"/>
        </w:rPr>
        <w:t>The Treasury manages Commonwealth payments to the states and territories.</w:t>
      </w:r>
      <w:r>
        <w:rPr>
          <w:rFonts w:cs="Book Antiqua"/>
        </w:rPr>
        <w:t xml:space="preserve"> </w:t>
      </w:r>
    </w:p>
    <w:p w14:paraId="342C3304" w14:textId="77777777" w:rsidR="0012790E" w:rsidRDefault="0012790E">
      <w:pPr>
        <w:pStyle w:val="Normal2"/>
        <w:rPr>
          <w:rFonts w:cs="Book Antiqua"/>
        </w:rPr>
      </w:pPr>
      <w:r w:rsidRPr="001C06E6">
        <w:rPr>
          <w:rFonts w:cs="Book Antiqua"/>
        </w:rPr>
        <w:t xml:space="preserve">This measure builds on the </w:t>
      </w:r>
      <w:r>
        <w:rPr>
          <w:rFonts w:cs="Book Antiqua"/>
        </w:rPr>
        <w:t>2023–24 </w:t>
      </w:r>
      <w:r w:rsidRPr="001C06E6">
        <w:rPr>
          <w:rFonts w:cs="Book Antiqua"/>
        </w:rPr>
        <w:t xml:space="preserve">Budget measure </w:t>
      </w:r>
      <w:r w:rsidRPr="001C06E6">
        <w:rPr>
          <w:rFonts w:cs="Book Antiqua"/>
          <w:i/>
        </w:rPr>
        <w:t>Closing the Gap – further</w:t>
      </w:r>
      <w:r>
        <w:rPr>
          <w:rFonts w:cs="Book Antiqua"/>
          <w:i/>
        </w:rPr>
        <w:t xml:space="preserve"> </w:t>
      </w:r>
      <w:r w:rsidRPr="001C06E6">
        <w:rPr>
          <w:rFonts w:cs="Book Antiqua"/>
          <w:i/>
        </w:rPr>
        <w:t>investment</w:t>
      </w:r>
      <w:r w:rsidRPr="001C06E6">
        <w:rPr>
          <w:rFonts w:cs="Book Antiqua"/>
        </w:rPr>
        <w:t>.</w:t>
      </w:r>
      <w:r>
        <w:rPr>
          <w:rFonts w:cs="Book Antiqua"/>
        </w:rPr>
        <w:t xml:space="preserve"> </w:t>
      </w:r>
    </w:p>
    <w:p w14:paraId="1EADFCEB" w14:textId="77777777" w:rsidR="0012790E" w:rsidRPr="001C06E6" w:rsidRDefault="0012790E" w:rsidP="54937204">
      <w:pPr>
        <w:pStyle w:val="MeasureTitle"/>
        <w:rPr>
          <w:rFonts w:cs="Book Antiqua"/>
          <w:b w:val="0"/>
          <w:lang w:val="en-US"/>
        </w:rPr>
      </w:pPr>
      <w:r w:rsidRPr="54937204">
        <w:rPr>
          <w:rFonts w:cs="Book Antiqua"/>
          <w:lang w:val="en-US"/>
        </w:rPr>
        <w:t>National Australia Day Council – additional resourcing</w:t>
      </w:r>
    </w:p>
    <w:p w14:paraId="13CC7C65" w14:textId="77777777" w:rsidR="0012790E" w:rsidRPr="001C06E6" w:rsidRDefault="0012790E">
      <w:pPr>
        <w:pStyle w:val="MeasureTableHeading"/>
      </w:pPr>
      <w:r w:rsidRPr="001C06E6">
        <w:rPr>
          <w:rFonts w:cs="Book Antiqua"/>
          <w:color w:val="000000"/>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26AE083" w14:textId="77777777">
        <w:tc>
          <w:tcPr>
            <w:tcW w:w="2497" w:type="dxa"/>
            <w:tcBorders>
              <w:top w:val="single" w:sz="4" w:space="0" w:color="293F5B"/>
              <w:bottom w:val="single" w:sz="4" w:space="0" w:color="293F5B"/>
            </w:tcBorders>
            <w:shd w:val="clear" w:color="auto" w:fill="auto"/>
          </w:tcPr>
          <w:p w14:paraId="26CCEAF0"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E5DAE2A"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0AEF44D9"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830E62B"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6FAAEFA"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A177EDD" w14:textId="77777777" w:rsidR="0012790E" w:rsidRPr="001C06E6" w:rsidRDefault="0012790E">
            <w:pPr>
              <w:pStyle w:val="MeasureTableYearHeadings"/>
              <w:keepNext/>
            </w:pPr>
            <w:r w:rsidRPr="001C06E6">
              <w:t>2027</w:t>
            </w:r>
            <w:r>
              <w:noBreakHyphen/>
            </w:r>
            <w:r w:rsidRPr="001C06E6">
              <w:t>28</w:t>
            </w:r>
          </w:p>
        </w:tc>
      </w:tr>
      <w:tr w:rsidR="0012790E" w:rsidRPr="001C06E6" w14:paraId="1F4EDED8" w14:textId="77777777">
        <w:tc>
          <w:tcPr>
            <w:tcW w:w="2497" w:type="dxa"/>
            <w:tcBorders>
              <w:top w:val="single" w:sz="4" w:space="0" w:color="293F5B"/>
              <w:bottom w:val="single" w:sz="4" w:space="0" w:color="293F5B"/>
            </w:tcBorders>
            <w:shd w:val="clear" w:color="auto" w:fill="auto"/>
          </w:tcPr>
          <w:p w14:paraId="09340817" w14:textId="77777777" w:rsidR="0012790E" w:rsidRPr="001C06E6" w:rsidRDefault="0012790E">
            <w:pPr>
              <w:pStyle w:val="MeasureTableHeadingleftalignedwith2ptsspacing"/>
              <w:keepNext/>
            </w:pPr>
            <w:r>
              <w:t xml:space="preserve">Department of the Prime Minister and Cabinet </w:t>
            </w:r>
          </w:p>
        </w:tc>
        <w:tc>
          <w:tcPr>
            <w:tcW w:w="1045" w:type="dxa"/>
            <w:tcBorders>
              <w:top w:val="single" w:sz="4" w:space="0" w:color="293F5B"/>
              <w:bottom w:val="single" w:sz="4" w:space="0" w:color="293F5B"/>
            </w:tcBorders>
            <w:shd w:val="clear" w:color="auto" w:fill="auto"/>
          </w:tcPr>
          <w:p w14:paraId="2C270FA2"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18F72F2" w14:textId="77777777" w:rsidR="0012790E" w:rsidRPr="001C06E6" w:rsidRDefault="0012790E">
            <w:pPr>
              <w:pStyle w:val="MeasureTableDataRightAlignedwith2ptsspacing"/>
              <w:keepNext/>
            </w:pPr>
            <w:r>
              <w:t xml:space="preserve">11.5 </w:t>
            </w:r>
          </w:p>
        </w:tc>
        <w:tc>
          <w:tcPr>
            <w:tcW w:w="1045" w:type="dxa"/>
            <w:tcBorders>
              <w:top w:val="single" w:sz="4" w:space="0" w:color="293F5B"/>
              <w:bottom w:val="single" w:sz="4" w:space="0" w:color="293F5B"/>
            </w:tcBorders>
            <w:shd w:val="clear" w:color="auto" w:fill="auto"/>
          </w:tcPr>
          <w:p w14:paraId="2739977D" w14:textId="77777777" w:rsidR="0012790E" w:rsidRPr="001C06E6" w:rsidRDefault="0012790E">
            <w:pPr>
              <w:pStyle w:val="MeasureTableDataRightAlignedwith2ptsspacing"/>
              <w:keepNext/>
            </w:pPr>
            <w:r>
              <w:t xml:space="preserve">1.5 </w:t>
            </w:r>
          </w:p>
        </w:tc>
        <w:tc>
          <w:tcPr>
            <w:tcW w:w="1045" w:type="dxa"/>
            <w:tcBorders>
              <w:top w:val="single" w:sz="4" w:space="0" w:color="293F5B"/>
              <w:bottom w:val="single" w:sz="4" w:space="0" w:color="293F5B"/>
            </w:tcBorders>
            <w:shd w:val="clear" w:color="auto" w:fill="auto"/>
          </w:tcPr>
          <w:p w14:paraId="67756DB3" w14:textId="77777777" w:rsidR="0012790E" w:rsidRPr="001C06E6" w:rsidRDefault="0012790E">
            <w:pPr>
              <w:pStyle w:val="MeasureTableDataRightAlignedwith2ptsspacing"/>
              <w:keepNext/>
            </w:pPr>
            <w:r>
              <w:t xml:space="preserve">1.6 </w:t>
            </w:r>
          </w:p>
        </w:tc>
        <w:tc>
          <w:tcPr>
            <w:tcW w:w="1045" w:type="dxa"/>
            <w:tcBorders>
              <w:top w:val="single" w:sz="4" w:space="0" w:color="293F5B"/>
              <w:bottom w:val="single" w:sz="4" w:space="0" w:color="293F5B"/>
            </w:tcBorders>
            <w:shd w:val="clear" w:color="auto" w:fill="auto"/>
          </w:tcPr>
          <w:p w14:paraId="1EFE5D52" w14:textId="77777777" w:rsidR="0012790E" w:rsidRPr="001C06E6" w:rsidRDefault="0012790E">
            <w:pPr>
              <w:pStyle w:val="MeasureTableDataRightAlignedwith2ptsspacing"/>
              <w:keepNext/>
            </w:pPr>
            <w:r>
              <w:t xml:space="preserve">1.6 </w:t>
            </w:r>
          </w:p>
        </w:tc>
      </w:tr>
    </w:tbl>
    <w:p w14:paraId="2FC7C5F5" w14:textId="77777777" w:rsidR="0012790E" w:rsidRPr="001C06E6" w:rsidRDefault="0012790E">
      <w:pPr>
        <w:keepNext/>
        <w:widowControl w:val="0"/>
        <w:spacing w:line="184" w:lineRule="exact"/>
        <w:rPr>
          <w:rFonts w:cs="Book Antiqua"/>
          <w:color w:val="000000"/>
          <w:sz w:val="16"/>
          <w:lang w:val="en-AU"/>
        </w:rPr>
      </w:pPr>
    </w:p>
    <w:p w14:paraId="1E021868" w14:textId="77777777" w:rsidR="0012790E" w:rsidRDefault="0012790E">
      <w:pPr>
        <w:pStyle w:val="Normal2"/>
      </w:pPr>
      <w:r w:rsidRPr="54937204">
        <w:rPr>
          <w:lang w:val="en-US"/>
        </w:rPr>
        <w:t xml:space="preserve">The Government will provide an additional $16.2 million over four years from 2024–25 (and $1.6 million per year ongoing) to support the operations of the National Australia Day Council, including support for the Australian of the Year recipients, and also including $10.0 million in 2024–25 to deliver community grants for Australia Day events. </w:t>
      </w:r>
    </w:p>
    <w:p w14:paraId="516EFD6F" w14:textId="77777777" w:rsidR="0012790E" w:rsidRDefault="0012790E">
      <w:pPr>
        <w:pStyle w:val="Normal2"/>
        <w:rPr>
          <w:szCs w:val="24"/>
        </w:rPr>
      </w:pPr>
      <w:r w:rsidRPr="001C06E6">
        <w:rPr>
          <w:szCs w:val="24"/>
        </w:rPr>
        <w:t xml:space="preserve">This measure extends the </w:t>
      </w:r>
      <w:r>
        <w:rPr>
          <w:szCs w:val="24"/>
        </w:rPr>
        <w:t>2023–24 </w:t>
      </w:r>
      <w:r w:rsidRPr="001C06E6">
        <w:rPr>
          <w:szCs w:val="24"/>
        </w:rPr>
        <w:t xml:space="preserve">Budget measure titled </w:t>
      </w:r>
      <w:r w:rsidRPr="001C06E6">
        <w:rPr>
          <w:i/>
          <w:szCs w:val="24"/>
        </w:rPr>
        <w:t>Additional Resourcing for</w:t>
      </w:r>
      <w:r>
        <w:rPr>
          <w:i/>
          <w:szCs w:val="24"/>
        </w:rPr>
        <w:t xml:space="preserve"> </w:t>
      </w:r>
      <w:r w:rsidRPr="001C06E6">
        <w:rPr>
          <w:i/>
          <w:szCs w:val="24"/>
        </w:rPr>
        <w:t>the National Australia Day Council</w:t>
      </w:r>
      <w:r w:rsidRPr="001C06E6">
        <w:rPr>
          <w:szCs w:val="24"/>
        </w:rPr>
        <w:t>.</w:t>
      </w:r>
      <w:r>
        <w:rPr>
          <w:szCs w:val="24"/>
        </w:rPr>
        <w:t xml:space="preserve"> </w:t>
      </w:r>
    </w:p>
    <w:p w14:paraId="29FD793F" w14:textId="77777777" w:rsidR="0012790E" w:rsidRPr="001C06E6" w:rsidRDefault="0012790E">
      <w:pPr>
        <w:pStyle w:val="MeasureTitle"/>
        <w:rPr>
          <w:b w:val="0"/>
          <w:szCs w:val="24"/>
        </w:rPr>
      </w:pPr>
      <w:r w:rsidRPr="001C06E6">
        <w:rPr>
          <w:szCs w:val="24"/>
        </w:rPr>
        <w:t>Net Zero Economy</w:t>
      </w:r>
    </w:p>
    <w:p w14:paraId="7C212B44"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D4CF254" w14:textId="77777777">
        <w:tc>
          <w:tcPr>
            <w:tcW w:w="2497" w:type="dxa"/>
            <w:tcBorders>
              <w:top w:val="single" w:sz="4" w:space="0" w:color="293F5B"/>
              <w:bottom w:val="single" w:sz="4" w:space="0" w:color="293F5B"/>
            </w:tcBorders>
            <w:shd w:val="clear" w:color="auto" w:fill="auto"/>
          </w:tcPr>
          <w:p w14:paraId="1F85D78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CAAFBD6"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68C22BF"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91DE9B3"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B9B8306"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7FE2E8E" w14:textId="77777777" w:rsidR="0012790E" w:rsidRPr="001C06E6" w:rsidRDefault="0012790E">
            <w:pPr>
              <w:pStyle w:val="MeasureTableYearHeadings"/>
              <w:keepNext/>
            </w:pPr>
            <w:r w:rsidRPr="001C06E6">
              <w:t>2027</w:t>
            </w:r>
            <w:r>
              <w:noBreakHyphen/>
            </w:r>
            <w:r w:rsidRPr="001C06E6">
              <w:t>28</w:t>
            </w:r>
          </w:p>
        </w:tc>
      </w:tr>
      <w:tr w:rsidR="0012790E" w:rsidRPr="001C06E6" w14:paraId="6633FBBD" w14:textId="77777777">
        <w:tc>
          <w:tcPr>
            <w:tcW w:w="2497" w:type="dxa"/>
            <w:tcBorders>
              <w:top w:val="single" w:sz="4" w:space="0" w:color="293F5B"/>
              <w:bottom w:val="single" w:sz="4" w:space="0" w:color="293F5B"/>
            </w:tcBorders>
            <w:shd w:val="clear" w:color="auto" w:fill="auto"/>
          </w:tcPr>
          <w:p w14:paraId="2BF933D8"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1246A93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BD61186" w14:textId="77777777" w:rsidR="0012790E" w:rsidRPr="001C06E6" w:rsidRDefault="0012790E">
            <w:pPr>
              <w:pStyle w:val="MeasureTableDataRightAlignedwith2ptsspacing"/>
              <w:keepNext/>
            </w:pPr>
            <w:r>
              <w:t xml:space="preserve">9.6 </w:t>
            </w:r>
          </w:p>
        </w:tc>
        <w:tc>
          <w:tcPr>
            <w:tcW w:w="1045" w:type="dxa"/>
            <w:tcBorders>
              <w:top w:val="single" w:sz="4" w:space="0" w:color="293F5B"/>
              <w:bottom w:val="single" w:sz="4" w:space="0" w:color="293F5B"/>
            </w:tcBorders>
            <w:shd w:val="clear" w:color="auto" w:fill="auto"/>
          </w:tcPr>
          <w:p w14:paraId="1E6B0F28" w14:textId="77777777" w:rsidR="0012790E" w:rsidRPr="001C06E6" w:rsidRDefault="0012790E">
            <w:pPr>
              <w:pStyle w:val="MeasureTableDataRightAlignedwith2ptsspacing"/>
              <w:keepNext/>
            </w:pPr>
            <w:r>
              <w:t xml:space="preserve">27.6 </w:t>
            </w:r>
          </w:p>
        </w:tc>
        <w:tc>
          <w:tcPr>
            <w:tcW w:w="1045" w:type="dxa"/>
            <w:tcBorders>
              <w:top w:val="single" w:sz="4" w:space="0" w:color="293F5B"/>
              <w:bottom w:val="single" w:sz="4" w:space="0" w:color="293F5B"/>
            </w:tcBorders>
            <w:shd w:val="clear" w:color="auto" w:fill="auto"/>
          </w:tcPr>
          <w:p w14:paraId="0C314455" w14:textId="77777777" w:rsidR="0012790E" w:rsidRPr="001C06E6" w:rsidRDefault="0012790E">
            <w:pPr>
              <w:pStyle w:val="MeasureTableDataRightAlignedwith2ptsspacing"/>
              <w:keepNext/>
            </w:pPr>
            <w:r>
              <w:t xml:space="preserve">31.5 </w:t>
            </w:r>
          </w:p>
        </w:tc>
        <w:tc>
          <w:tcPr>
            <w:tcW w:w="1045" w:type="dxa"/>
            <w:tcBorders>
              <w:top w:val="single" w:sz="4" w:space="0" w:color="293F5B"/>
              <w:bottom w:val="single" w:sz="4" w:space="0" w:color="293F5B"/>
            </w:tcBorders>
            <w:shd w:val="clear" w:color="auto" w:fill="auto"/>
          </w:tcPr>
          <w:p w14:paraId="59171957" w14:textId="77777777" w:rsidR="0012790E" w:rsidRPr="001C06E6" w:rsidRDefault="0012790E">
            <w:pPr>
              <w:pStyle w:val="MeasureTableDataRightAlignedwith2ptsspacing"/>
              <w:keepNext/>
            </w:pPr>
            <w:r>
              <w:t xml:space="preserve">28.8 </w:t>
            </w:r>
          </w:p>
        </w:tc>
      </w:tr>
      <w:tr w:rsidR="0012790E" w:rsidRPr="001C06E6" w14:paraId="317D9CF2" w14:textId="77777777">
        <w:tc>
          <w:tcPr>
            <w:tcW w:w="2497" w:type="dxa"/>
            <w:tcBorders>
              <w:top w:val="single" w:sz="4" w:space="0" w:color="293F5B"/>
              <w:bottom w:val="single" w:sz="4" w:space="0" w:color="293F5B"/>
            </w:tcBorders>
            <w:shd w:val="clear" w:color="auto" w:fill="auto"/>
          </w:tcPr>
          <w:p w14:paraId="734D7965" w14:textId="77777777" w:rsidR="0012790E" w:rsidRPr="001C06E6" w:rsidRDefault="0012790E">
            <w:pPr>
              <w:pStyle w:val="MeasureTableHeadingleftalignedwith2ptsspacing"/>
              <w:keepNext/>
            </w:pPr>
            <w:r>
              <w:t xml:space="preserve">Department of the Prime Minister and Cabinet </w:t>
            </w:r>
          </w:p>
        </w:tc>
        <w:tc>
          <w:tcPr>
            <w:tcW w:w="1045" w:type="dxa"/>
            <w:tcBorders>
              <w:top w:val="single" w:sz="4" w:space="0" w:color="293F5B"/>
              <w:bottom w:val="single" w:sz="4" w:space="0" w:color="293F5B"/>
            </w:tcBorders>
            <w:shd w:val="clear" w:color="auto" w:fill="auto"/>
          </w:tcPr>
          <w:p w14:paraId="7E36FB9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E5DEED3" w14:textId="77777777" w:rsidR="0012790E" w:rsidRPr="001C06E6" w:rsidRDefault="0012790E">
            <w:pPr>
              <w:pStyle w:val="MeasureTableDataRightAlignedwith2ptsspacing"/>
              <w:keepNext/>
            </w:pPr>
            <w:r>
              <w:t xml:space="preserve">3.8 </w:t>
            </w:r>
          </w:p>
        </w:tc>
        <w:tc>
          <w:tcPr>
            <w:tcW w:w="1045" w:type="dxa"/>
            <w:tcBorders>
              <w:top w:val="single" w:sz="4" w:space="0" w:color="293F5B"/>
              <w:bottom w:val="single" w:sz="4" w:space="0" w:color="293F5B"/>
            </w:tcBorders>
            <w:shd w:val="clear" w:color="auto" w:fill="auto"/>
          </w:tcPr>
          <w:p w14:paraId="149FE5F4" w14:textId="77777777" w:rsidR="0012790E" w:rsidRPr="001C06E6" w:rsidRDefault="0012790E">
            <w:pPr>
              <w:pStyle w:val="MeasureTableDataRightAlignedwith2ptsspacing"/>
              <w:keepNext/>
            </w:pPr>
            <w:r>
              <w:t xml:space="preserve">24.3 </w:t>
            </w:r>
          </w:p>
        </w:tc>
        <w:tc>
          <w:tcPr>
            <w:tcW w:w="1045" w:type="dxa"/>
            <w:tcBorders>
              <w:top w:val="single" w:sz="4" w:space="0" w:color="293F5B"/>
              <w:bottom w:val="single" w:sz="4" w:space="0" w:color="293F5B"/>
            </w:tcBorders>
            <w:shd w:val="clear" w:color="auto" w:fill="auto"/>
          </w:tcPr>
          <w:p w14:paraId="55457830" w14:textId="77777777" w:rsidR="0012790E" w:rsidRPr="001C06E6" w:rsidRDefault="0012790E">
            <w:pPr>
              <w:pStyle w:val="MeasureTableDataRightAlignedwith2ptsspacing"/>
              <w:keepNext/>
            </w:pPr>
            <w:r>
              <w:t xml:space="preserve">7.8 </w:t>
            </w:r>
          </w:p>
        </w:tc>
        <w:tc>
          <w:tcPr>
            <w:tcW w:w="1045" w:type="dxa"/>
            <w:tcBorders>
              <w:top w:val="single" w:sz="4" w:space="0" w:color="293F5B"/>
              <w:bottom w:val="single" w:sz="4" w:space="0" w:color="293F5B"/>
            </w:tcBorders>
            <w:shd w:val="clear" w:color="auto" w:fill="auto"/>
          </w:tcPr>
          <w:p w14:paraId="6520AC44" w14:textId="77777777" w:rsidR="0012790E" w:rsidRPr="001C06E6" w:rsidRDefault="0012790E">
            <w:pPr>
              <w:pStyle w:val="MeasureTableDataRightAlignedwith2ptsspacing"/>
              <w:keepNext/>
            </w:pPr>
            <w:r>
              <w:t xml:space="preserve">11.8 </w:t>
            </w:r>
          </w:p>
        </w:tc>
      </w:tr>
      <w:tr w:rsidR="0012790E" w:rsidRPr="001C06E6" w14:paraId="599013D1" w14:textId="77777777">
        <w:tc>
          <w:tcPr>
            <w:tcW w:w="2497" w:type="dxa"/>
            <w:tcBorders>
              <w:top w:val="single" w:sz="4" w:space="0" w:color="293F5B"/>
              <w:bottom w:val="single" w:sz="4" w:space="0" w:color="293F5B"/>
            </w:tcBorders>
            <w:shd w:val="clear" w:color="auto" w:fill="auto"/>
          </w:tcPr>
          <w:p w14:paraId="3AFACD80"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42AA7C5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17020F2" w14:textId="77777777" w:rsidR="0012790E" w:rsidRPr="001C06E6" w:rsidRDefault="0012790E">
            <w:pPr>
              <w:pStyle w:val="MeasureTableDataRightAlignedwith2ptsspacing"/>
              <w:keepNext/>
            </w:pPr>
            <w:r w:rsidRPr="001C06E6">
              <w:t>0.6</w:t>
            </w:r>
          </w:p>
        </w:tc>
        <w:tc>
          <w:tcPr>
            <w:tcW w:w="1045" w:type="dxa"/>
            <w:tcBorders>
              <w:top w:val="single" w:sz="4" w:space="0" w:color="293F5B"/>
              <w:bottom w:val="single" w:sz="4" w:space="0" w:color="293F5B"/>
            </w:tcBorders>
            <w:shd w:val="clear" w:color="auto" w:fill="auto"/>
          </w:tcPr>
          <w:p w14:paraId="65AC9E82" w14:textId="77777777" w:rsidR="0012790E" w:rsidRPr="001C06E6" w:rsidRDefault="0012790E">
            <w:pPr>
              <w:pStyle w:val="MeasureTableDataRightAlignedwith2ptsspacing"/>
              <w:keepNext/>
            </w:pPr>
            <w:r w:rsidRPr="001C06E6">
              <w:t>0.6</w:t>
            </w:r>
          </w:p>
        </w:tc>
        <w:tc>
          <w:tcPr>
            <w:tcW w:w="1045" w:type="dxa"/>
            <w:tcBorders>
              <w:top w:val="single" w:sz="4" w:space="0" w:color="293F5B"/>
              <w:bottom w:val="single" w:sz="4" w:space="0" w:color="293F5B"/>
            </w:tcBorders>
            <w:shd w:val="clear" w:color="auto" w:fill="auto"/>
          </w:tcPr>
          <w:p w14:paraId="2A49BCB7"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69D98A00" w14:textId="77777777" w:rsidR="0012790E" w:rsidRPr="001C06E6" w:rsidRDefault="0012790E">
            <w:pPr>
              <w:pStyle w:val="MeasureTableDataRightAlignedwith2ptsspacing"/>
              <w:keepNext/>
            </w:pPr>
            <w:r w:rsidRPr="001C06E6">
              <w:t>0.1</w:t>
            </w:r>
          </w:p>
        </w:tc>
      </w:tr>
      <w:tr w:rsidR="0012790E" w:rsidRPr="001C06E6" w14:paraId="4F8F566F" w14:textId="77777777">
        <w:tc>
          <w:tcPr>
            <w:tcW w:w="2497" w:type="dxa"/>
            <w:tcBorders>
              <w:top w:val="single" w:sz="4" w:space="0" w:color="293F5B"/>
              <w:bottom w:val="single" w:sz="4" w:space="0" w:color="293F5B"/>
            </w:tcBorders>
            <w:shd w:val="clear" w:color="auto" w:fill="auto"/>
          </w:tcPr>
          <w:p w14:paraId="07550F66" w14:textId="77777777" w:rsidR="0012790E" w:rsidRPr="001C06E6" w:rsidRDefault="0012790E">
            <w:pPr>
              <w:pStyle w:val="MeasureTableHeadingleftalignedwith2ptsspacing"/>
              <w:keepNext/>
            </w:pPr>
            <w:r w:rsidRPr="001C06E6">
              <w:t>Fair Work Commission</w:t>
            </w:r>
          </w:p>
        </w:tc>
        <w:tc>
          <w:tcPr>
            <w:tcW w:w="1045" w:type="dxa"/>
            <w:tcBorders>
              <w:top w:val="single" w:sz="4" w:space="0" w:color="293F5B"/>
              <w:bottom w:val="single" w:sz="4" w:space="0" w:color="293F5B"/>
            </w:tcBorders>
            <w:shd w:val="clear" w:color="auto" w:fill="auto"/>
          </w:tcPr>
          <w:p w14:paraId="653C60B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8565FAF" w14:textId="77777777" w:rsidR="0012790E" w:rsidRPr="001C06E6" w:rsidRDefault="0012790E">
            <w:pPr>
              <w:pStyle w:val="MeasureTableDataRightAlignedwith2ptsspacing"/>
              <w:keepNext/>
            </w:pPr>
            <w:r w:rsidRPr="001C06E6">
              <w:t>0.5</w:t>
            </w:r>
          </w:p>
        </w:tc>
        <w:tc>
          <w:tcPr>
            <w:tcW w:w="1045" w:type="dxa"/>
            <w:tcBorders>
              <w:top w:val="single" w:sz="4" w:space="0" w:color="293F5B"/>
              <w:bottom w:val="single" w:sz="4" w:space="0" w:color="293F5B"/>
            </w:tcBorders>
            <w:shd w:val="clear" w:color="auto" w:fill="auto"/>
          </w:tcPr>
          <w:p w14:paraId="04A1A04F" w14:textId="77777777" w:rsidR="0012790E" w:rsidRPr="001C06E6" w:rsidRDefault="0012790E">
            <w:pPr>
              <w:pStyle w:val="MeasureTableDataRightAlignedwith2ptsspacing"/>
              <w:keepNext/>
            </w:pPr>
            <w:r w:rsidRPr="001C06E6">
              <w:t>0.5</w:t>
            </w:r>
          </w:p>
        </w:tc>
        <w:tc>
          <w:tcPr>
            <w:tcW w:w="1045" w:type="dxa"/>
            <w:tcBorders>
              <w:top w:val="single" w:sz="4" w:space="0" w:color="293F5B"/>
              <w:bottom w:val="single" w:sz="4" w:space="0" w:color="293F5B"/>
            </w:tcBorders>
            <w:shd w:val="clear" w:color="auto" w:fill="auto"/>
          </w:tcPr>
          <w:p w14:paraId="478FA11C" w14:textId="77777777" w:rsidR="0012790E" w:rsidRPr="001C06E6" w:rsidRDefault="0012790E">
            <w:pPr>
              <w:pStyle w:val="MeasureTableDataRightAlignedwith2ptsspacing"/>
              <w:keepNext/>
            </w:pPr>
            <w:r w:rsidRPr="001C06E6">
              <w:t>0.5</w:t>
            </w:r>
          </w:p>
        </w:tc>
        <w:tc>
          <w:tcPr>
            <w:tcW w:w="1045" w:type="dxa"/>
            <w:tcBorders>
              <w:top w:val="single" w:sz="4" w:space="0" w:color="293F5B"/>
              <w:bottom w:val="single" w:sz="4" w:space="0" w:color="293F5B"/>
            </w:tcBorders>
            <w:shd w:val="clear" w:color="auto" w:fill="auto"/>
          </w:tcPr>
          <w:p w14:paraId="6C2481AA" w14:textId="77777777" w:rsidR="0012790E" w:rsidRPr="001C06E6" w:rsidRDefault="0012790E">
            <w:pPr>
              <w:pStyle w:val="MeasureTableDataRightAlignedwith2ptsspacing"/>
              <w:keepNext/>
            </w:pPr>
            <w:r w:rsidRPr="001C06E6">
              <w:t>0.5</w:t>
            </w:r>
          </w:p>
        </w:tc>
      </w:tr>
      <w:tr w:rsidR="0012790E" w:rsidRPr="001C06E6" w14:paraId="2E5385E8" w14:textId="77777777">
        <w:tc>
          <w:tcPr>
            <w:tcW w:w="2497" w:type="dxa"/>
            <w:tcBorders>
              <w:top w:val="single" w:sz="4" w:space="0" w:color="293F5B"/>
              <w:bottom w:val="single" w:sz="4" w:space="0" w:color="293F5B"/>
            </w:tcBorders>
            <w:shd w:val="clear" w:color="auto" w:fill="auto"/>
          </w:tcPr>
          <w:p w14:paraId="31D22671"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661993BE"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7E45BFEE" w14:textId="77777777" w:rsidR="0012790E" w:rsidRPr="001C06E6" w:rsidRDefault="0012790E">
            <w:pPr>
              <w:pStyle w:val="Totaldatarowrightaligned"/>
              <w:keepNext/>
            </w:pPr>
            <w:r w:rsidRPr="001C06E6">
              <w:t>14.4</w:t>
            </w:r>
          </w:p>
        </w:tc>
        <w:tc>
          <w:tcPr>
            <w:tcW w:w="1045" w:type="dxa"/>
            <w:tcBorders>
              <w:top w:val="single" w:sz="4" w:space="0" w:color="293F5B"/>
              <w:bottom w:val="single" w:sz="4" w:space="0" w:color="293F5B"/>
            </w:tcBorders>
            <w:shd w:val="clear" w:color="auto" w:fill="auto"/>
          </w:tcPr>
          <w:p w14:paraId="54E0FA7B" w14:textId="77777777" w:rsidR="0012790E" w:rsidRPr="001C06E6" w:rsidRDefault="0012790E">
            <w:pPr>
              <w:pStyle w:val="Totaldatarowrightaligned"/>
              <w:keepNext/>
            </w:pPr>
            <w:r w:rsidRPr="001C06E6">
              <w:t>53.0</w:t>
            </w:r>
          </w:p>
        </w:tc>
        <w:tc>
          <w:tcPr>
            <w:tcW w:w="1045" w:type="dxa"/>
            <w:tcBorders>
              <w:top w:val="single" w:sz="4" w:space="0" w:color="293F5B"/>
              <w:bottom w:val="single" w:sz="4" w:space="0" w:color="293F5B"/>
            </w:tcBorders>
            <w:shd w:val="clear" w:color="auto" w:fill="auto"/>
          </w:tcPr>
          <w:p w14:paraId="55F6259C" w14:textId="77777777" w:rsidR="0012790E" w:rsidRPr="001C06E6" w:rsidRDefault="0012790E">
            <w:pPr>
              <w:pStyle w:val="Totaldatarowrightaligned"/>
              <w:keepNext/>
            </w:pPr>
            <w:r w:rsidRPr="001C06E6">
              <w:t>40.0</w:t>
            </w:r>
          </w:p>
        </w:tc>
        <w:tc>
          <w:tcPr>
            <w:tcW w:w="1045" w:type="dxa"/>
            <w:tcBorders>
              <w:top w:val="single" w:sz="4" w:space="0" w:color="293F5B"/>
              <w:bottom w:val="single" w:sz="4" w:space="0" w:color="293F5B"/>
            </w:tcBorders>
            <w:shd w:val="clear" w:color="auto" w:fill="auto"/>
          </w:tcPr>
          <w:p w14:paraId="5F0DC536" w14:textId="77777777" w:rsidR="0012790E" w:rsidRPr="001C06E6" w:rsidRDefault="0012790E">
            <w:pPr>
              <w:pStyle w:val="Totaldatarowrightaligned"/>
              <w:keepNext/>
            </w:pPr>
            <w:r w:rsidRPr="001C06E6">
              <w:t>41.2</w:t>
            </w:r>
          </w:p>
        </w:tc>
      </w:tr>
    </w:tbl>
    <w:p w14:paraId="5544CE3A"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24"/>
          <w:lang w:val="en-AU"/>
        </w:rPr>
      </w:pPr>
    </w:p>
    <w:p w14:paraId="4BA862B5" w14:textId="77777777" w:rsidR="0012790E" w:rsidRDefault="0012790E">
      <w:pPr>
        <w:pStyle w:val="Normal2"/>
      </w:pPr>
      <w:r w:rsidRPr="54937204">
        <w:rPr>
          <w:lang w:val="en-US"/>
        </w:rPr>
        <w:t>The Government will provide $399.1 million over five years from 2023–24 (and an additional $616.8 million from 2028–29 to 2034–35 and $93.4 million per year ongoing) in additional resourcing for the Net Zero Economy Authority (the Authority), the Department of Employment and Workplace Relations, and the Fair Work Commission to promote orderly and positive economic transformation associated with decarbonisation to ensure Australia, its regions and workers realise the benefits of the net zero economy. Funding includes:</w:t>
      </w:r>
    </w:p>
    <w:p w14:paraId="15DF9937" w14:textId="550D7ADB" w:rsidR="0012790E" w:rsidRDefault="0012790E">
      <w:pPr>
        <w:pStyle w:val="Bullet"/>
      </w:pPr>
      <w:r w:rsidRPr="001C06E6">
        <w:t>$209.3</w:t>
      </w:r>
      <w:r>
        <w:t> </w:t>
      </w:r>
      <w:r w:rsidRPr="001C06E6">
        <w:t xml:space="preserve">million over four years from </w:t>
      </w:r>
      <w:r>
        <w:t>2024–25</w:t>
      </w:r>
      <w:r w:rsidRPr="001C06E6">
        <w:t xml:space="preserve"> (and $53.3</w:t>
      </w:r>
      <w:r>
        <w:t> </w:t>
      </w:r>
      <w:r w:rsidRPr="001C06E6">
        <w:t>million per year ongoing) to</w:t>
      </w:r>
      <w:r w:rsidR="00B87B93">
        <w:t> </w:t>
      </w:r>
      <w:r w:rsidRPr="001C06E6">
        <w:t>expand the Authority to coordinate policy and deliver across government, broker</w:t>
      </w:r>
      <w:r w:rsidR="00B87B93">
        <w:t> </w:t>
      </w:r>
      <w:r w:rsidRPr="001C06E6">
        <w:t>investments that create jobs in regions, and support workers affected by the net</w:t>
      </w:r>
      <w:r w:rsidR="00B87B93">
        <w:t> </w:t>
      </w:r>
      <w:r w:rsidRPr="001C06E6">
        <w:t>zero transition</w:t>
      </w:r>
      <w:r>
        <w:t xml:space="preserve"> </w:t>
      </w:r>
    </w:p>
    <w:p w14:paraId="3E059631" w14:textId="77777777" w:rsidR="0012790E" w:rsidRDefault="0012790E">
      <w:pPr>
        <w:pStyle w:val="Bullet"/>
      </w:pPr>
      <w:r w:rsidRPr="001C06E6">
        <w:t>$134.2</w:t>
      </w:r>
      <w:r>
        <w:t> </w:t>
      </w:r>
      <w:r w:rsidRPr="001C06E6">
        <w:t xml:space="preserve">million over four years from </w:t>
      </w:r>
      <w:r>
        <w:t>2024–25</w:t>
      </w:r>
      <w:r w:rsidRPr="001C06E6">
        <w:t xml:space="preserve"> and $377.8</w:t>
      </w:r>
      <w:r>
        <w:t> </w:t>
      </w:r>
      <w:r w:rsidRPr="001C06E6">
        <w:t>million over the medium term (and $40.1</w:t>
      </w:r>
      <w:r>
        <w:t> </w:t>
      </w:r>
      <w:r w:rsidRPr="001C06E6">
        <w:t xml:space="preserve">million per year ongoing from </w:t>
      </w:r>
      <w:r>
        <w:t>2035–36</w:t>
      </w:r>
      <w:r w:rsidRPr="001C06E6">
        <w:t>) to provide workforce transition support for impacted workers and the broader communities affected by the net zero transition</w:t>
      </w:r>
      <w:r>
        <w:t xml:space="preserve"> </w:t>
      </w:r>
    </w:p>
    <w:p w14:paraId="775FAD04" w14:textId="77777777" w:rsidR="0012790E" w:rsidRDefault="0012790E">
      <w:pPr>
        <w:pStyle w:val="Bullet"/>
      </w:pPr>
      <w:r w:rsidRPr="001C06E6">
        <w:t>$44.4</w:t>
      </w:r>
      <w:r>
        <w:t> </w:t>
      </w:r>
      <w:r w:rsidRPr="001C06E6">
        <w:t xml:space="preserve">million over four years from </w:t>
      </w:r>
      <w:r>
        <w:t>2024–25</w:t>
      </w:r>
      <w:r w:rsidRPr="001C06E6">
        <w:t xml:space="preserve"> to deliver the Energy Industry Jobs Plan, to assist employees impacted by the closure of relevant coal</w:t>
      </w:r>
      <w:r>
        <w:noBreakHyphen/>
      </w:r>
      <w:r w:rsidRPr="001C06E6">
        <w:t>and gas</w:t>
      </w:r>
      <w:r>
        <w:noBreakHyphen/>
      </w:r>
      <w:r w:rsidRPr="001C06E6">
        <w:t>fired power stations to access new employment by supporting job and skills matching and providing onboarding and early retirement incentives to employers</w:t>
      </w:r>
      <w:r>
        <w:t xml:space="preserve"> </w:t>
      </w:r>
    </w:p>
    <w:p w14:paraId="2C7D5CC7" w14:textId="1EEEA565" w:rsidR="0012790E" w:rsidRDefault="0012790E">
      <w:pPr>
        <w:pStyle w:val="Bullet"/>
      </w:pPr>
      <w:r w:rsidRPr="001C06E6">
        <w:t>$10.0</w:t>
      </w:r>
      <w:r>
        <w:t> </w:t>
      </w:r>
      <w:r w:rsidRPr="001C06E6">
        <w:t xml:space="preserve">million over two years from </w:t>
      </w:r>
      <w:r>
        <w:t>2023–24</w:t>
      </w:r>
      <w:r w:rsidRPr="001C06E6">
        <w:t xml:space="preserve"> to deliver public information on the net zero transition and ensure affected workers and communities are aware of the support available</w:t>
      </w:r>
      <w:r>
        <w:t xml:space="preserve"> </w:t>
      </w:r>
    </w:p>
    <w:p w14:paraId="605D0E8A" w14:textId="4A891095" w:rsidR="0012790E" w:rsidRDefault="0012790E">
      <w:pPr>
        <w:pStyle w:val="Bullet"/>
      </w:pPr>
      <w:r w:rsidRPr="001C06E6">
        <w:t>$1.3</w:t>
      </w:r>
      <w:r>
        <w:t> </w:t>
      </w:r>
      <w:r w:rsidRPr="001C06E6">
        <w:t xml:space="preserve">million over four years from </w:t>
      </w:r>
      <w:r>
        <w:t>2024–25</w:t>
      </w:r>
      <w:r w:rsidRPr="001C06E6">
        <w:t xml:space="preserve"> for Treasury to develop and publish high</w:t>
      </w:r>
      <w:r>
        <w:noBreakHyphen/>
      </w:r>
      <w:r w:rsidRPr="001C06E6">
        <w:t>quality guidance on best practices for Australian businesses when</w:t>
      </w:r>
      <w:r>
        <w:t xml:space="preserve"> </w:t>
      </w:r>
      <w:r w:rsidRPr="001C06E6">
        <w:t>developing net</w:t>
      </w:r>
      <w:r w:rsidR="00B87B93">
        <w:t> </w:t>
      </w:r>
      <w:r w:rsidRPr="001C06E6">
        <w:t>zero transition plans.</w:t>
      </w:r>
      <w:r>
        <w:t xml:space="preserve"> </w:t>
      </w:r>
    </w:p>
    <w:p w14:paraId="6D03B293" w14:textId="5F2ACE6C" w:rsidR="0012790E" w:rsidRDefault="0012790E">
      <w:pPr>
        <w:pStyle w:val="Normal2"/>
      </w:pPr>
      <w:r w:rsidRPr="001C06E6">
        <w:t>The Government has already provided partial funding for this measure. This measure</w:t>
      </w:r>
      <w:r>
        <w:t xml:space="preserve"> </w:t>
      </w:r>
      <w:r w:rsidRPr="001C06E6">
        <w:t>will</w:t>
      </w:r>
      <w:r w:rsidR="00B87B93">
        <w:t> </w:t>
      </w:r>
      <w:r w:rsidRPr="001C06E6">
        <w:t>also be partially offset by a reduction in the Labour Market Support Scheme of</w:t>
      </w:r>
      <w:r>
        <w:t xml:space="preserve"> </w:t>
      </w:r>
      <w:r w:rsidRPr="001C06E6">
        <w:t>$31.3</w:t>
      </w:r>
      <w:r>
        <w:t> </w:t>
      </w:r>
      <w:r w:rsidRPr="001C06E6">
        <w:t xml:space="preserve">million over four years from </w:t>
      </w:r>
      <w:r>
        <w:t>2024–25</w:t>
      </w:r>
      <w:r w:rsidRPr="001C06E6">
        <w:t xml:space="preserve"> and savings of $7.3</w:t>
      </w:r>
      <w:r>
        <w:t> </w:t>
      </w:r>
      <w:r w:rsidRPr="001C06E6">
        <w:t>million per year</w:t>
      </w:r>
      <w:r>
        <w:t xml:space="preserve"> </w:t>
      </w:r>
      <w:r w:rsidRPr="001C06E6">
        <w:t xml:space="preserve">ongoing from </w:t>
      </w:r>
      <w:r>
        <w:t>2028–29</w:t>
      </w:r>
      <w:r w:rsidRPr="001C06E6">
        <w:t>.</w:t>
      </w:r>
      <w:r>
        <w:t xml:space="preserve"> </w:t>
      </w:r>
    </w:p>
    <w:p w14:paraId="41E6A791" w14:textId="77777777" w:rsidR="0012790E" w:rsidRDefault="0012790E">
      <w:pPr>
        <w:pStyle w:val="Normal2"/>
      </w:pPr>
      <w:r w:rsidRPr="54937204">
        <w:rPr>
          <w:lang w:val="en-US"/>
        </w:rPr>
        <w:t xml:space="preserve">This measure builds on the 2023–24 Budget measure titled </w:t>
      </w:r>
      <w:r w:rsidRPr="54937204">
        <w:rPr>
          <w:i/>
          <w:iCs/>
          <w:lang w:val="en-US"/>
        </w:rPr>
        <w:t xml:space="preserve">National Net Zero Authority </w:t>
      </w:r>
      <w:r w:rsidRPr="54937204">
        <w:rPr>
          <w:lang w:val="en-US"/>
        </w:rPr>
        <w:t xml:space="preserve">and on the Employment White Paper. </w:t>
      </w:r>
    </w:p>
    <w:p w14:paraId="48B72A63" w14:textId="77777777" w:rsidR="0012790E" w:rsidRPr="001C06E6" w:rsidRDefault="0012790E">
      <w:pPr>
        <w:pStyle w:val="MeasureTitle"/>
        <w:rPr>
          <w:b w:val="0"/>
          <w:szCs w:val="24"/>
        </w:rPr>
      </w:pPr>
      <w:r w:rsidRPr="001C06E6">
        <w:rPr>
          <w:szCs w:val="24"/>
        </w:rPr>
        <w:t>Northern Territory Homelands and Housing</w:t>
      </w:r>
    </w:p>
    <w:p w14:paraId="35E1E119"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16FF375" w14:textId="77777777">
        <w:tc>
          <w:tcPr>
            <w:tcW w:w="2497" w:type="dxa"/>
            <w:tcBorders>
              <w:top w:val="single" w:sz="4" w:space="0" w:color="293F5B"/>
              <w:bottom w:val="single" w:sz="4" w:space="0" w:color="293F5B"/>
            </w:tcBorders>
            <w:shd w:val="clear" w:color="auto" w:fill="auto"/>
          </w:tcPr>
          <w:p w14:paraId="35853A59"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31C3FFF"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DD00767"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0B8FE98"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40BD094"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44DA2EC" w14:textId="77777777" w:rsidR="0012790E" w:rsidRPr="001C06E6" w:rsidRDefault="0012790E">
            <w:pPr>
              <w:pStyle w:val="MeasureTableYearHeadings"/>
              <w:keepNext/>
            </w:pPr>
            <w:r w:rsidRPr="001C06E6">
              <w:t>2027</w:t>
            </w:r>
            <w:r>
              <w:noBreakHyphen/>
            </w:r>
            <w:r w:rsidRPr="001C06E6">
              <w:t>28</w:t>
            </w:r>
          </w:p>
        </w:tc>
      </w:tr>
      <w:tr w:rsidR="0012790E" w:rsidRPr="001C06E6" w14:paraId="799127D4" w14:textId="77777777">
        <w:tc>
          <w:tcPr>
            <w:tcW w:w="2497" w:type="dxa"/>
            <w:tcBorders>
              <w:top w:val="single" w:sz="4" w:space="0" w:color="293F5B"/>
              <w:bottom w:val="single" w:sz="4" w:space="0" w:color="293F5B"/>
            </w:tcBorders>
            <w:shd w:val="clear" w:color="auto" w:fill="auto"/>
          </w:tcPr>
          <w:p w14:paraId="3EDB7A10"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04E69840" w14:textId="77777777" w:rsidR="0012790E" w:rsidRPr="001C06E6" w:rsidRDefault="0012790E">
            <w:pPr>
              <w:pStyle w:val="MeasureTableDataRightAlignedwith2ptsspacing"/>
              <w:keepNext/>
            </w:pPr>
            <w:r w:rsidRPr="001C06E6">
              <w:t>20.0</w:t>
            </w:r>
          </w:p>
        </w:tc>
        <w:tc>
          <w:tcPr>
            <w:tcW w:w="1045" w:type="dxa"/>
            <w:tcBorders>
              <w:top w:val="single" w:sz="4" w:space="0" w:color="293F5B"/>
              <w:bottom w:val="single" w:sz="4" w:space="0" w:color="293F5B"/>
            </w:tcBorders>
            <w:shd w:val="clear" w:color="auto" w:fill="auto"/>
          </w:tcPr>
          <w:p w14:paraId="1D6B856D" w14:textId="77777777" w:rsidR="0012790E" w:rsidRPr="001C06E6" w:rsidRDefault="0012790E">
            <w:pPr>
              <w:pStyle w:val="MeasureTableDataRightAlignedwith2ptsspacing"/>
              <w:keepNext/>
            </w:pPr>
            <w:r w:rsidRPr="001C06E6">
              <w:t>203.0</w:t>
            </w:r>
          </w:p>
        </w:tc>
        <w:tc>
          <w:tcPr>
            <w:tcW w:w="1045" w:type="dxa"/>
            <w:tcBorders>
              <w:top w:val="single" w:sz="4" w:space="0" w:color="293F5B"/>
              <w:bottom w:val="single" w:sz="4" w:space="0" w:color="293F5B"/>
            </w:tcBorders>
            <w:shd w:val="clear" w:color="auto" w:fill="auto"/>
          </w:tcPr>
          <w:p w14:paraId="40EA6696" w14:textId="77777777" w:rsidR="0012790E" w:rsidRPr="001C06E6" w:rsidRDefault="0012790E">
            <w:pPr>
              <w:pStyle w:val="MeasureTableDataRightAlignedwith2ptsspacing"/>
              <w:keepNext/>
            </w:pPr>
            <w:r w:rsidRPr="001C06E6">
              <w:t>210.1</w:t>
            </w:r>
          </w:p>
        </w:tc>
        <w:tc>
          <w:tcPr>
            <w:tcW w:w="1045" w:type="dxa"/>
            <w:tcBorders>
              <w:top w:val="single" w:sz="4" w:space="0" w:color="293F5B"/>
              <w:bottom w:val="single" w:sz="4" w:space="0" w:color="293F5B"/>
            </w:tcBorders>
            <w:shd w:val="clear" w:color="auto" w:fill="auto"/>
          </w:tcPr>
          <w:p w14:paraId="7B6E66F9" w14:textId="77777777" w:rsidR="0012790E" w:rsidRPr="001C06E6" w:rsidRDefault="0012790E">
            <w:pPr>
              <w:pStyle w:val="MeasureTableDataRightAlignedwith2ptsspacing"/>
              <w:keepNext/>
            </w:pPr>
            <w:r w:rsidRPr="001C06E6">
              <w:t>217.6</w:t>
            </w:r>
          </w:p>
        </w:tc>
        <w:tc>
          <w:tcPr>
            <w:tcW w:w="1045" w:type="dxa"/>
            <w:tcBorders>
              <w:top w:val="single" w:sz="4" w:space="0" w:color="293F5B"/>
              <w:bottom w:val="single" w:sz="4" w:space="0" w:color="293F5B"/>
            </w:tcBorders>
            <w:shd w:val="clear" w:color="auto" w:fill="auto"/>
          </w:tcPr>
          <w:p w14:paraId="55716088" w14:textId="77777777" w:rsidR="0012790E" w:rsidRPr="001C06E6" w:rsidRDefault="0012790E">
            <w:pPr>
              <w:pStyle w:val="MeasureTableDataRightAlignedwith2ptsspacing"/>
              <w:keepNext/>
            </w:pPr>
            <w:r w:rsidRPr="001C06E6">
              <w:t>185.4</w:t>
            </w:r>
          </w:p>
        </w:tc>
      </w:tr>
      <w:tr w:rsidR="0012790E" w:rsidRPr="001C06E6" w14:paraId="23D5DB78" w14:textId="77777777">
        <w:tc>
          <w:tcPr>
            <w:tcW w:w="2497" w:type="dxa"/>
            <w:tcBorders>
              <w:top w:val="single" w:sz="4" w:space="0" w:color="293F5B"/>
              <w:bottom w:val="single" w:sz="4" w:space="0" w:color="293F5B"/>
            </w:tcBorders>
            <w:shd w:val="clear" w:color="auto" w:fill="auto"/>
          </w:tcPr>
          <w:p w14:paraId="50B1FBD5" w14:textId="77777777" w:rsidR="0012790E" w:rsidRPr="001C06E6" w:rsidRDefault="0012790E">
            <w:pPr>
              <w:pStyle w:val="MeasureTableHeadingleftalignedwith2ptsspacing"/>
              <w:keepNext/>
            </w:pPr>
            <w:r>
              <w:t xml:space="preserve">National Indigenous Australians Agency </w:t>
            </w:r>
          </w:p>
        </w:tc>
        <w:tc>
          <w:tcPr>
            <w:tcW w:w="1045" w:type="dxa"/>
            <w:tcBorders>
              <w:top w:val="single" w:sz="4" w:space="0" w:color="293F5B"/>
              <w:bottom w:val="single" w:sz="4" w:space="0" w:color="293F5B"/>
            </w:tcBorders>
            <w:shd w:val="clear" w:color="auto" w:fill="auto"/>
          </w:tcPr>
          <w:p w14:paraId="5716F21E" w14:textId="77777777" w:rsidR="0012790E" w:rsidRPr="001C06E6" w:rsidRDefault="0012790E">
            <w:pPr>
              <w:pStyle w:val="MeasureTableDataRightAlignedwith2ptsspacing"/>
              <w:keepNext/>
            </w:pPr>
            <w:r>
              <w:t xml:space="preserve">-20.0 </w:t>
            </w:r>
          </w:p>
        </w:tc>
        <w:tc>
          <w:tcPr>
            <w:tcW w:w="1045" w:type="dxa"/>
            <w:tcBorders>
              <w:top w:val="single" w:sz="4" w:space="0" w:color="293F5B"/>
              <w:bottom w:val="single" w:sz="4" w:space="0" w:color="293F5B"/>
            </w:tcBorders>
            <w:shd w:val="clear" w:color="auto" w:fill="auto"/>
          </w:tcPr>
          <w:p w14:paraId="26535DA3" w14:textId="77777777" w:rsidR="0012790E" w:rsidRPr="001C06E6" w:rsidRDefault="0012790E">
            <w:pPr>
              <w:pStyle w:val="MeasureTableDataRightAlignedwith2ptsspacing"/>
              <w:keepNext/>
            </w:pPr>
            <w:r>
              <w:t xml:space="preserve">-114.3 </w:t>
            </w:r>
          </w:p>
        </w:tc>
        <w:tc>
          <w:tcPr>
            <w:tcW w:w="1045" w:type="dxa"/>
            <w:tcBorders>
              <w:top w:val="single" w:sz="4" w:space="0" w:color="293F5B"/>
              <w:bottom w:val="single" w:sz="4" w:space="0" w:color="293F5B"/>
            </w:tcBorders>
            <w:shd w:val="clear" w:color="auto" w:fill="auto"/>
          </w:tcPr>
          <w:p w14:paraId="673C0FE7" w14:textId="77777777" w:rsidR="0012790E" w:rsidRPr="001C06E6" w:rsidRDefault="0012790E">
            <w:pPr>
              <w:pStyle w:val="MeasureTableDataRightAlignedwith2ptsspacing"/>
              <w:keepNext/>
            </w:pPr>
            <w:r>
              <w:t xml:space="preserve">-117.3 </w:t>
            </w:r>
          </w:p>
        </w:tc>
        <w:tc>
          <w:tcPr>
            <w:tcW w:w="1045" w:type="dxa"/>
            <w:tcBorders>
              <w:top w:val="single" w:sz="4" w:space="0" w:color="293F5B"/>
              <w:bottom w:val="single" w:sz="4" w:space="0" w:color="293F5B"/>
            </w:tcBorders>
            <w:shd w:val="clear" w:color="auto" w:fill="auto"/>
          </w:tcPr>
          <w:p w14:paraId="063AFB05" w14:textId="77777777" w:rsidR="0012790E" w:rsidRPr="001C06E6" w:rsidRDefault="0012790E">
            <w:pPr>
              <w:pStyle w:val="MeasureTableDataRightAlignedwith2ptsspacing"/>
              <w:keepNext/>
            </w:pPr>
            <w:r>
              <w:t xml:space="preserve">-120.3 </w:t>
            </w:r>
          </w:p>
        </w:tc>
        <w:tc>
          <w:tcPr>
            <w:tcW w:w="1045" w:type="dxa"/>
            <w:tcBorders>
              <w:top w:val="single" w:sz="4" w:space="0" w:color="293F5B"/>
              <w:bottom w:val="single" w:sz="4" w:space="0" w:color="293F5B"/>
            </w:tcBorders>
            <w:shd w:val="clear" w:color="auto" w:fill="auto"/>
          </w:tcPr>
          <w:p w14:paraId="1FBCAA16" w14:textId="77777777" w:rsidR="0012790E" w:rsidRPr="001C06E6" w:rsidRDefault="0012790E">
            <w:pPr>
              <w:pStyle w:val="MeasureTableDataRightAlignedwith2ptsspacing"/>
              <w:keepNext/>
            </w:pPr>
            <w:r>
              <w:t xml:space="preserve">-122.8 </w:t>
            </w:r>
          </w:p>
        </w:tc>
      </w:tr>
      <w:tr w:rsidR="0012790E" w:rsidRPr="001C06E6" w14:paraId="76B8C8C4" w14:textId="77777777">
        <w:tc>
          <w:tcPr>
            <w:tcW w:w="2497" w:type="dxa"/>
            <w:tcBorders>
              <w:top w:val="single" w:sz="4" w:space="0" w:color="293F5B"/>
              <w:bottom w:val="single" w:sz="4" w:space="0" w:color="293F5B"/>
            </w:tcBorders>
            <w:shd w:val="clear" w:color="auto" w:fill="auto"/>
          </w:tcPr>
          <w:p w14:paraId="5E515D63"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72789426"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16D8794F" w14:textId="77777777" w:rsidR="0012790E" w:rsidRPr="001C06E6" w:rsidRDefault="0012790E">
            <w:pPr>
              <w:pStyle w:val="Totaldatarowrightaligned"/>
              <w:keepNext/>
            </w:pPr>
            <w:r w:rsidRPr="001C06E6">
              <w:t>88.7</w:t>
            </w:r>
          </w:p>
        </w:tc>
        <w:tc>
          <w:tcPr>
            <w:tcW w:w="1045" w:type="dxa"/>
            <w:tcBorders>
              <w:top w:val="single" w:sz="4" w:space="0" w:color="293F5B"/>
              <w:bottom w:val="single" w:sz="4" w:space="0" w:color="293F5B"/>
            </w:tcBorders>
            <w:shd w:val="clear" w:color="auto" w:fill="auto"/>
          </w:tcPr>
          <w:p w14:paraId="09B276C9" w14:textId="77777777" w:rsidR="0012790E" w:rsidRPr="001C06E6" w:rsidRDefault="0012790E">
            <w:pPr>
              <w:pStyle w:val="Totaldatarowrightaligned"/>
              <w:keepNext/>
            </w:pPr>
            <w:r w:rsidRPr="001C06E6">
              <w:t>92.8</w:t>
            </w:r>
          </w:p>
        </w:tc>
        <w:tc>
          <w:tcPr>
            <w:tcW w:w="1045" w:type="dxa"/>
            <w:tcBorders>
              <w:top w:val="single" w:sz="4" w:space="0" w:color="293F5B"/>
              <w:bottom w:val="single" w:sz="4" w:space="0" w:color="293F5B"/>
            </w:tcBorders>
            <w:shd w:val="clear" w:color="auto" w:fill="auto"/>
          </w:tcPr>
          <w:p w14:paraId="1E83C182" w14:textId="77777777" w:rsidR="0012790E" w:rsidRPr="001C06E6" w:rsidRDefault="0012790E">
            <w:pPr>
              <w:pStyle w:val="Totaldatarowrightaligned"/>
              <w:keepNext/>
            </w:pPr>
            <w:r w:rsidRPr="001C06E6">
              <w:t>97.3</w:t>
            </w:r>
          </w:p>
        </w:tc>
        <w:tc>
          <w:tcPr>
            <w:tcW w:w="1045" w:type="dxa"/>
            <w:tcBorders>
              <w:top w:val="single" w:sz="4" w:space="0" w:color="293F5B"/>
              <w:bottom w:val="single" w:sz="4" w:space="0" w:color="293F5B"/>
            </w:tcBorders>
            <w:shd w:val="clear" w:color="auto" w:fill="auto"/>
          </w:tcPr>
          <w:p w14:paraId="3FA34C74" w14:textId="77777777" w:rsidR="0012790E" w:rsidRPr="001C06E6" w:rsidRDefault="0012790E">
            <w:pPr>
              <w:pStyle w:val="Totaldatarowrightaligned"/>
              <w:keepNext/>
            </w:pPr>
            <w:r w:rsidRPr="001C06E6">
              <w:t>62.5</w:t>
            </w:r>
          </w:p>
        </w:tc>
      </w:tr>
    </w:tbl>
    <w:p w14:paraId="29FB041C"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24"/>
          <w:lang w:val="en-AU"/>
        </w:rPr>
      </w:pPr>
    </w:p>
    <w:p w14:paraId="1DD97839" w14:textId="77777777" w:rsidR="0012790E" w:rsidRDefault="0012790E">
      <w:pPr>
        <w:pStyle w:val="Normal2"/>
      </w:pPr>
      <w:r w:rsidRPr="54937204">
        <w:rPr>
          <w:lang w:val="en-US"/>
        </w:rPr>
        <w:t xml:space="preserve">The Government will provide $839.4 million over five years from 2023–24 (and $2.1 billion over ten years from 2024–25) to accelerate housing delivery in remote Northern Territory communities and increase investment in homelands. This will reduce overcrowding and improve housing quality, making significant progress under the </w:t>
      </w:r>
      <w:r w:rsidRPr="54937204">
        <w:rPr>
          <w:i/>
          <w:iCs/>
          <w:lang w:val="en-US"/>
        </w:rPr>
        <w:t>National Agreement on Closing the Gap</w:t>
      </w:r>
      <w:r w:rsidRPr="54937204">
        <w:rPr>
          <w:lang w:val="en-US"/>
        </w:rPr>
        <w:t>. Funding includes:</w:t>
      </w:r>
    </w:p>
    <w:p w14:paraId="3AE5D236" w14:textId="2437F429" w:rsidR="0012790E" w:rsidRDefault="0012790E">
      <w:pPr>
        <w:pStyle w:val="Bullet"/>
      </w:pPr>
      <w:r w:rsidRPr="001C06E6">
        <w:t>$698.4</w:t>
      </w:r>
      <w:r>
        <w:t> </w:t>
      </w:r>
      <w:r w:rsidRPr="001C06E6">
        <w:t xml:space="preserve">million over four years from </w:t>
      </w:r>
      <w:r>
        <w:t>2024–25</w:t>
      </w:r>
      <w:r w:rsidRPr="001C06E6">
        <w:t xml:space="preserve"> (and $2.0 billion over ten years from </w:t>
      </w:r>
      <w:r w:rsidR="0057265E">
        <w:br/>
      </w:r>
      <w:r>
        <w:t>2024–25</w:t>
      </w:r>
      <w:r w:rsidRPr="001C06E6">
        <w:t>) to enter into a 10</w:t>
      </w:r>
      <w:r>
        <w:noBreakHyphen/>
      </w:r>
      <w:r w:rsidRPr="001C06E6">
        <w:t>year remote housing agreement with the Northern Territory Government to reduce overcrowding in remote Northern Territory communities. The Northern Territory Government has committed to match the Commonwealth’s remote housing investment, bringing the total investment to $4.0 billion</w:t>
      </w:r>
      <w:r>
        <w:t xml:space="preserve"> </w:t>
      </w:r>
    </w:p>
    <w:p w14:paraId="1DBE419A" w14:textId="77777777" w:rsidR="0012790E" w:rsidRDefault="0012790E">
      <w:pPr>
        <w:pStyle w:val="Bullet"/>
      </w:pPr>
      <w:r w:rsidRPr="001C06E6">
        <w:t>$120.0</w:t>
      </w:r>
      <w:r>
        <w:t> </w:t>
      </w:r>
      <w:r w:rsidRPr="001C06E6">
        <w:t xml:space="preserve">million over three years from </w:t>
      </w:r>
      <w:r>
        <w:t>2024–25</w:t>
      </w:r>
      <w:r w:rsidRPr="001C06E6">
        <w:t xml:space="preserve"> to continue the delivery of urgent repairs and maintenance of existing housing and essential infrastructure through an extension of the</w:t>
      </w:r>
      <w:r w:rsidRPr="001C06E6">
        <w:rPr>
          <w:i/>
        </w:rPr>
        <w:t xml:space="preserve"> Northern Territory Homelands Federation Funding Agreement</w:t>
      </w:r>
      <w:r>
        <w:t xml:space="preserve"> </w:t>
      </w:r>
    </w:p>
    <w:p w14:paraId="26E77E93" w14:textId="77777777" w:rsidR="0012790E" w:rsidRDefault="0012790E">
      <w:pPr>
        <w:pStyle w:val="Bullet"/>
      </w:pPr>
      <w:r w:rsidRPr="001C06E6">
        <w:t>$20.0</w:t>
      </w:r>
      <w:r>
        <w:t> </w:t>
      </w:r>
      <w:r w:rsidRPr="001C06E6">
        <w:t xml:space="preserve">million in </w:t>
      </w:r>
      <w:r>
        <w:t>2023–24</w:t>
      </w:r>
      <w:r w:rsidRPr="001C06E6">
        <w:t xml:space="preserve"> to deliver an additional 49 houses under the existing</w:t>
      </w:r>
      <w:r w:rsidRPr="001C06E6">
        <w:rPr>
          <w:i/>
        </w:rPr>
        <w:t xml:space="preserve"> Remote Housing Northern Territory Federation Funding Agreement</w:t>
      </w:r>
      <w:r w:rsidRPr="001C06E6">
        <w:t>, in partnership with and jointly funded by the Northern Territory Government, delivering a total of 206 houses under the one</w:t>
      </w:r>
      <w:r>
        <w:noBreakHyphen/>
      </w:r>
      <w:r w:rsidRPr="001C06E6">
        <w:t>year agreement</w:t>
      </w:r>
      <w:r>
        <w:t xml:space="preserve"> </w:t>
      </w:r>
    </w:p>
    <w:p w14:paraId="19EF87C6" w14:textId="77777777" w:rsidR="0012790E" w:rsidRDefault="0012790E">
      <w:pPr>
        <w:pStyle w:val="Bullet"/>
      </w:pPr>
      <w:r w:rsidRPr="001C06E6">
        <w:t>$1.0</w:t>
      </w:r>
      <w:r>
        <w:t> </w:t>
      </w:r>
      <w:r w:rsidRPr="001C06E6">
        <w:t xml:space="preserve">million over two years from </w:t>
      </w:r>
      <w:r>
        <w:t>2024–25</w:t>
      </w:r>
      <w:r w:rsidRPr="001C06E6">
        <w:t xml:space="preserve"> to develop a sustainable Community</w:t>
      </w:r>
      <w:r>
        <w:noBreakHyphen/>
      </w:r>
      <w:r w:rsidRPr="001C06E6">
        <w:t>Controlled Housing Model to improve housing delivery and management in remote Northern Territory communities.</w:t>
      </w:r>
      <w:r>
        <w:t xml:space="preserve"> </w:t>
      </w:r>
    </w:p>
    <w:p w14:paraId="15387D84" w14:textId="77777777" w:rsidR="0012790E" w:rsidRDefault="0012790E">
      <w:pPr>
        <w:pStyle w:val="Normal2"/>
      </w:pPr>
      <w:r w:rsidRPr="001C06E6">
        <w:t>The cost of this measure will be partially met from within the existing resourcing of the</w:t>
      </w:r>
      <w:r>
        <w:t xml:space="preserve"> </w:t>
      </w:r>
      <w:r w:rsidRPr="001C06E6">
        <w:t>National Indigenous Australians Agency.</w:t>
      </w:r>
      <w:r>
        <w:t xml:space="preserve"> </w:t>
      </w:r>
    </w:p>
    <w:p w14:paraId="3333E87A" w14:textId="77777777" w:rsidR="0012790E" w:rsidRDefault="0012790E">
      <w:pPr>
        <w:pStyle w:val="Normal2"/>
      </w:pPr>
      <w:r w:rsidRPr="001C06E6">
        <w:t>The Treasury manages Commonwealth payments to the states and territories.</w:t>
      </w:r>
      <w:r>
        <w:t xml:space="preserve"> </w:t>
      </w:r>
    </w:p>
    <w:p w14:paraId="696A5AA6" w14:textId="77777777" w:rsidR="0012790E" w:rsidRPr="001C06E6" w:rsidRDefault="0012790E">
      <w:pPr>
        <w:pStyle w:val="Normal2"/>
      </w:pPr>
      <w:r w:rsidRPr="001C06E6">
        <w:t xml:space="preserve">This measure builds on the </w:t>
      </w:r>
      <w:r>
        <w:t>2022–23</w:t>
      </w:r>
      <w:r w:rsidRPr="001C06E6">
        <w:t xml:space="preserve"> October Budget measure titled </w:t>
      </w:r>
      <w:r w:rsidRPr="001C06E6">
        <w:rPr>
          <w:i/>
        </w:rPr>
        <w:t>Restoring</w:t>
      </w:r>
      <w:r>
        <w:rPr>
          <w:i/>
        </w:rPr>
        <w:t xml:space="preserve"> </w:t>
      </w:r>
      <w:r w:rsidRPr="001C06E6">
        <w:rPr>
          <w:i/>
        </w:rPr>
        <w:t>Funding for Homelands</w:t>
      </w:r>
      <w:r w:rsidRPr="001C06E6">
        <w:t xml:space="preserve">, and the </w:t>
      </w:r>
      <w:r>
        <w:t>2023–24 </w:t>
      </w:r>
      <w:r w:rsidRPr="001C06E6">
        <w:t xml:space="preserve">Budget measure title </w:t>
      </w:r>
      <w:r w:rsidRPr="001C06E6">
        <w:rPr>
          <w:i/>
        </w:rPr>
        <w:t>Closing the Gap –</w:t>
      </w:r>
      <w:r>
        <w:rPr>
          <w:i/>
        </w:rPr>
        <w:t xml:space="preserve"> </w:t>
      </w:r>
      <w:r w:rsidRPr="001C06E6">
        <w:rPr>
          <w:i/>
        </w:rPr>
        <w:t>further investment.</w:t>
      </w:r>
      <w:r>
        <w:rPr>
          <w:i/>
        </w:rPr>
        <w:t xml:space="preserve"> </w:t>
      </w:r>
    </w:p>
    <w:p w14:paraId="30247357" w14:textId="77777777" w:rsidR="0012790E" w:rsidRPr="001C06E6" w:rsidRDefault="0012790E" w:rsidP="54937204">
      <w:pPr>
        <w:pStyle w:val="MeasureTitle"/>
        <w:rPr>
          <w:b w:val="0"/>
          <w:lang w:val="en-US"/>
        </w:rPr>
      </w:pPr>
      <w:r w:rsidRPr="00F319D9">
        <w:rPr>
          <w:lang w:val="en-US"/>
        </w:rPr>
        <w:t>Prime Minister and Cabinet</w:t>
      </w:r>
      <w:r w:rsidRPr="54937204">
        <w:rPr>
          <w:lang w:val="en-US"/>
        </w:rPr>
        <w:t xml:space="preserve"> – additional resourcing</w:t>
      </w:r>
    </w:p>
    <w:p w14:paraId="01698CB4"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D05E3BF" w14:textId="77777777">
        <w:tc>
          <w:tcPr>
            <w:tcW w:w="2497" w:type="dxa"/>
            <w:tcBorders>
              <w:top w:val="single" w:sz="4" w:space="0" w:color="293F5B"/>
              <w:bottom w:val="single" w:sz="4" w:space="0" w:color="293F5B"/>
            </w:tcBorders>
            <w:shd w:val="clear" w:color="auto" w:fill="auto"/>
          </w:tcPr>
          <w:p w14:paraId="49477C6E"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67D53CA"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21044AC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CB6227E"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255FFF6"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8493F15" w14:textId="77777777" w:rsidR="0012790E" w:rsidRPr="001C06E6" w:rsidRDefault="0012790E">
            <w:pPr>
              <w:pStyle w:val="MeasureTableYearHeadings"/>
              <w:keepNext/>
            </w:pPr>
            <w:r w:rsidRPr="001C06E6">
              <w:t>2027</w:t>
            </w:r>
            <w:r>
              <w:noBreakHyphen/>
            </w:r>
            <w:r w:rsidRPr="001C06E6">
              <w:t>28</w:t>
            </w:r>
          </w:p>
        </w:tc>
      </w:tr>
      <w:tr w:rsidR="0012790E" w:rsidRPr="001C06E6" w14:paraId="7E16D0E5" w14:textId="77777777">
        <w:tc>
          <w:tcPr>
            <w:tcW w:w="2497" w:type="dxa"/>
            <w:tcBorders>
              <w:top w:val="single" w:sz="4" w:space="0" w:color="293F5B"/>
              <w:bottom w:val="single" w:sz="4" w:space="0" w:color="293F5B"/>
            </w:tcBorders>
            <w:shd w:val="clear" w:color="auto" w:fill="auto"/>
          </w:tcPr>
          <w:p w14:paraId="05FEC512" w14:textId="77777777" w:rsidR="0012790E" w:rsidRPr="001C06E6" w:rsidRDefault="0012790E">
            <w:pPr>
              <w:pStyle w:val="MeasureTableHeadingleftalignedwith2ptsspacing"/>
              <w:keepNext/>
            </w:pPr>
            <w:r>
              <w:t xml:space="preserve">Australian Public Service Commission </w:t>
            </w:r>
          </w:p>
        </w:tc>
        <w:tc>
          <w:tcPr>
            <w:tcW w:w="1045" w:type="dxa"/>
            <w:tcBorders>
              <w:top w:val="single" w:sz="4" w:space="0" w:color="293F5B"/>
              <w:bottom w:val="single" w:sz="4" w:space="0" w:color="293F5B"/>
            </w:tcBorders>
            <w:shd w:val="clear" w:color="auto" w:fill="auto"/>
          </w:tcPr>
          <w:p w14:paraId="19DAFD3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131BB65" w14:textId="77777777" w:rsidR="0012790E" w:rsidRPr="001C06E6" w:rsidRDefault="0012790E">
            <w:pPr>
              <w:pStyle w:val="MeasureTableDataRightAlignedwith2ptsspacing"/>
              <w:keepNext/>
            </w:pPr>
            <w:r>
              <w:t xml:space="preserve">4.8 </w:t>
            </w:r>
          </w:p>
        </w:tc>
        <w:tc>
          <w:tcPr>
            <w:tcW w:w="1045" w:type="dxa"/>
            <w:tcBorders>
              <w:top w:val="single" w:sz="4" w:space="0" w:color="293F5B"/>
              <w:bottom w:val="single" w:sz="4" w:space="0" w:color="293F5B"/>
            </w:tcBorders>
            <w:shd w:val="clear" w:color="auto" w:fill="auto"/>
          </w:tcPr>
          <w:p w14:paraId="6BEEC7F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2792F82"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E207434" w14:textId="77777777" w:rsidR="0012790E" w:rsidRPr="001C06E6" w:rsidRDefault="0012790E">
            <w:pPr>
              <w:pStyle w:val="MeasureTableDataRightAlignedwith2ptsspacing"/>
              <w:keepNext/>
            </w:pPr>
            <w:r>
              <w:t xml:space="preserve">- </w:t>
            </w:r>
          </w:p>
        </w:tc>
      </w:tr>
      <w:tr w:rsidR="0012790E" w:rsidRPr="001C06E6" w14:paraId="48533D45" w14:textId="77777777">
        <w:tc>
          <w:tcPr>
            <w:tcW w:w="2497" w:type="dxa"/>
            <w:tcBorders>
              <w:top w:val="single" w:sz="4" w:space="0" w:color="293F5B"/>
              <w:bottom w:val="single" w:sz="4" w:space="0" w:color="293F5B"/>
            </w:tcBorders>
            <w:shd w:val="clear" w:color="auto" w:fill="auto"/>
          </w:tcPr>
          <w:p w14:paraId="4C58D182"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066A4CD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713453A" w14:textId="77777777" w:rsidR="0012790E" w:rsidRPr="001C06E6" w:rsidRDefault="0012790E">
            <w:pPr>
              <w:pStyle w:val="MeasureTableDataRightAlignedwith2ptsspacing"/>
              <w:keepNext/>
            </w:pPr>
            <w:r w:rsidRPr="001C06E6">
              <w:t>4.6</w:t>
            </w:r>
          </w:p>
        </w:tc>
        <w:tc>
          <w:tcPr>
            <w:tcW w:w="1045" w:type="dxa"/>
            <w:tcBorders>
              <w:top w:val="single" w:sz="4" w:space="0" w:color="293F5B"/>
              <w:bottom w:val="single" w:sz="4" w:space="0" w:color="293F5B"/>
            </w:tcBorders>
            <w:shd w:val="clear" w:color="auto" w:fill="auto"/>
          </w:tcPr>
          <w:p w14:paraId="7953897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4CDEB2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AC23AB6" w14:textId="77777777" w:rsidR="0012790E" w:rsidRPr="001C06E6" w:rsidRDefault="0012790E">
            <w:pPr>
              <w:pStyle w:val="MeasureTableDataRightAlignedwith2ptsspacing"/>
              <w:keepNext/>
            </w:pPr>
            <w:r w:rsidRPr="001C06E6">
              <w:t>-</w:t>
            </w:r>
          </w:p>
        </w:tc>
      </w:tr>
      <w:tr w:rsidR="0012790E" w:rsidRPr="001C06E6" w14:paraId="72ECE0E4" w14:textId="77777777">
        <w:tc>
          <w:tcPr>
            <w:tcW w:w="2497" w:type="dxa"/>
            <w:tcBorders>
              <w:top w:val="single" w:sz="4" w:space="0" w:color="293F5B"/>
              <w:bottom w:val="single" w:sz="4" w:space="0" w:color="293F5B"/>
            </w:tcBorders>
            <w:shd w:val="clear" w:color="auto" w:fill="auto"/>
          </w:tcPr>
          <w:p w14:paraId="3C626226"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255C1CB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9C6EC0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F58B37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8E897B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E10507F" w14:textId="77777777" w:rsidR="0012790E" w:rsidRPr="001C06E6" w:rsidRDefault="0012790E">
            <w:pPr>
              <w:pStyle w:val="MeasureTableDataRightAlignedwith2ptsspacing"/>
              <w:keepNext/>
            </w:pPr>
            <w:r w:rsidRPr="001C06E6">
              <w:t>-</w:t>
            </w:r>
          </w:p>
        </w:tc>
      </w:tr>
      <w:tr w:rsidR="0012790E" w:rsidRPr="001C06E6" w14:paraId="12291A27" w14:textId="77777777">
        <w:tc>
          <w:tcPr>
            <w:tcW w:w="2497" w:type="dxa"/>
            <w:tcBorders>
              <w:top w:val="single" w:sz="4" w:space="0" w:color="293F5B"/>
              <w:bottom w:val="single" w:sz="4" w:space="0" w:color="293F5B"/>
            </w:tcBorders>
            <w:shd w:val="clear" w:color="auto" w:fill="auto"/>
          </w:tcPr>
          <w:p w14:paraId="047C72FC" w14:textId="77777777" w:rsidR="0012790E" w:rsidRPr="001C06E6" w:rsidRDefault="0012790E">
            <w:pPr>
              <w:pStyle w:val="MeasureTableHeadingleftalignedwith2ptsspacing"/>
              <w:keepNext/>
            </w:pPr>
            <w:r>
              <w:t xml:space="preserve">Department of the Prime Minister and Cabinet </w:t>
            </w:r>
          </w:p>
        </w:tc>
        <w:tc>
          <w:tcPr>
            <w:tcW w:w="1045" w:type="dxa"/>
            <w:tcBorders>
              <w:top w:val="single" w:sz="4" w:space="0" w:color="293F5B"/>
              <w:bottom w:val="single" w:sz="4" w:space="0" w:color="293F5B"/>
            </w:tcBorders>
            <w:shd w:val="clear" w:color="auto" w:fill="auto"/>
          </w:tcPr>
          <w:p w14:paraId="3553CD3E" w14:textId="77777777" w:rsidR="0012790E" w:rsidRPr="001C06E6" w:rsidRDefault="0012790E">
            <w:pPr>
              <w:pStyle w:val="MeasureTableDataRightAlignedwith2ptsspacing"/>
              <w:keepNext/>
            </w:pPr>
            <w:r>
              <w:t xml:space="preserve">-0.9 </w:t>
            </w:r>
          </w:p>
        </w:tc>
        <w:tc>
          <w:tcPr>
            <w:tcW w:w="1045" w:type="dxa"/>
            <w:tcBorders>
              <w:top w:val="single" w:sz="4" w:space="0" w:color="293F5B"/>
              <w:bottom w:val="single" w:sz="4" w:space="0" w:color="293F5B"/>
            </w:tcBorders>
            <w:shd w:val="clear" w:color="auto" w:fill="auto"/>
          </w:tcPr>
          <w:p w14:paraId="6AF596FE" w14:textId="77777777" w:rsidR="0012790E" w:rsidRPr="001C06E6" w:rsidRDefault="0012790E">
            <w:pPr>
              <w:pStyle w:val="MeasureTableDataRightAlignedwith2ptsspacing"/>
              <w:keepNext/>
            </w:pPr>
            <w:r>
              <w:t xml:space="preserve">39.7 </w:t>
            </w:r>
          </w:p>
        </w:tc>
        <w:tc>
          <w:tcPr>
            <w:tcW w:w="1045" w:type="dxa"/>
            <w:tcBorders>
              <w:top w:val="single" w:sz="4" w:space="0" w:color="293F5B"/>
              <w:bottom w:val="single" w:sz="4" w:space="0" w:color="293F5B"/>
            </w:tcBorders>
            <w:shd w:val="clear" w:color="auto" w:fill="auto"/>
          </w:tcPr>
          <w:p w14:paraId="6AAE7573" w14:textId="77777777" w:rsidR="0012790E" w:rsidRPr="001C06E6" w:rsidRDefault="0012790E">
            <w:pPr>
              <w:pStyle w:val="MeasureTableDataRightAlignedwith2ptsspacing"/>
              <w:keepNext/>
            </w:pPr>
            <w:r>
              <w:t xml:space="preserve">5.6 </w:t>
            </w:r>
          </w:p>
        </w:tc>
        <w:tc>
          <w:tcPr>
            <w:tcW w:w="1045" w:type="dxa"/>
            <w:tcBorders>
              <w:top w:val="single" w:sz="4" w:space="0" w:color="293F5B"/>
              <w:bottom w:val="single" w:sz="4" w:space="0" w:color="293F5B"/>
            </w:tcBorders>
            <w:shd w:val="clear" w:color="auto" w:fill="auto"/>
          </w:tcPr>
          <w:p w14:paraId="41DC9B43" w14:textId="77777777" w:rsidR="0012790E" w:rsidRPr="001C06E6" w:rsidRDefault="0012790E">
            <w:pPr>
              <w:pStyle w:val="MeasureTableDataRightAlignedwith2ptsspacing"/>
              <w:keepNext/>
            </w:pPr>
            <w:r>
              <w:t xml:space="preserve">5.3 </w:t>
            </w:r>
          </w:p>
        </w:tc>
        <w:tc>
          <w:tcPr>
            <w:tcW w:w="1045" w:type="dxa"/>
            <w:tcBorders>
              <w:top w:val="single" w:sz="4" w:space="0" w:color="293F5B"/>
              <w:bottom w:val="single" w:sz="4" w:space="0" w:color="293F5B"/>
            </w:tcBorders>
            <w:shd w:val="clear" w:color="auto" w:fill="auto"/>
          </w:tcPr>
          <w:p w14:paraId="473D350D" w14:textId="77777777" w:rsidR="0012790E" w:rsidRPr="001C06E6" w:rsidRDefault="0012790E">
            <w:pPr>
              <w:pStyle w:val="MeasureTableDataRightAlignedwith2ptsspacing"/>
              <w:keepNext/>
            </w:pPr>
            <w:r>
              <w:t xml:space="preserve">4.9 </w:t>
            </w:r>
          </w:p>
        </w:tc>
      </w:tr>
      <w:tr w:rsidR="0012790E" w:rsidRPr="001C06E6" w14:paraId="1CC7354D" w14:textId="77777777">
        <w:tc>
          <w:tcPr>
            <w:tcW w:w="2497" w:type="dxa"/>
            <w:tcBorders>
              <w:top w:val="single" w:sz="4" w:space="0" w:color="293F5B"/>
              <w:bottom w:val="single" w:sz="4" w:space="0" w:color="293F5B"/>
            </w:tcBorders>
            <w:shd w:val="clear" w:color="auto" w:fill="auto"/>
          </w:tcPr>
          <w:p w14:paraId="4DDD0942"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33B90092" w14:textId="77777777" w:rsidR="0012790E" w:rsidRPr="001C06E6" w:rsidRDefault="0012790E">
            <w:pPr>
              <w:pStyle w:val="Totaldatarowrightaligned"/>
              <w:keepNext/>
            </w:pPr>
            <w:r w:rsidRPr="001C06E6">
              <w:t>-0.9</w:t>
            </w:r>
          </w:p>
        </w:tc>
        <w:tc>
          <w:tcPr>
            <w:tcW w:w="1045" w:type="dxa"/>
            <w:tcBorders>
              <w:top w:val="single" w:sz="4" w:space="0" w:color="293F5B"/>
              <w:bottom w:val="single" w:sz="4" w:space="0" w:color="293F5B"/>
            </w:tcBorders>
            <w:shd w:val="clear" w:color="auto" w:fill="auto"/>
          </w:tcPr>
          <w:p w14:paraId="5B57A17A" w14:textId="77777777" w:rsidR="0012790E" w:rsidRPr="001C06E6" w:rsidRDefault="0012790E">
            <w:pPr>
              <w:pStyle w:val="Totaldatarowrightaligned"/>
              <w:keepNext/>
            </w:pPr>
            <w:r w:rsidRPr="001C06E6">
              <w:t>49.2</w:t>
            </w:r>
          </w:p>
        </w:tc>
        <w:tc>
          <w:tcPr>
            <w:tcW w:w="1045" w:type="dxa"/>
            <w:tcBorders>
              <w:top w:val="single" w:sz="4" w:space="0" w:color="293F5B"/>
              <w:bottom w:val="single" w:sz="4" w:space="0" w:color="293F5B"/>
            </w:tcBorders>
            <w:shd w:val="clear" w:color="auto" w:fill="auto"/>
          </w:tcPr>
          <w:p w14:paraId="4BDAA740" w14:textId="77777777" w:rsidR="0012790E" w:rsidRPr="001C06E6" w:rsidRDefault="0012790E">
            <w:pPr>
              <w:pStyle w:val="Totaldatarowrightaligned"/>
              <w:keepNext/>
            </w:pPr>
            <w:r w:rsidRPr="001C06E6">
              <w:t>5.6</w:t>
            </w:r>
          </w:p>
        </w:tc>
        <w:tc>
          <w:tcPr>
            <w:tcW w:w="1045" w:type="dxa"/>
            <w:tcBorders>
              <w:top w:val="single" w:sz="4" w:space="0" w:color="293F5B"/>
              <w:bottom w:val="single" w:sz="4" w:space="0" w:color="293F5B"/>
            </w:tcBorders>
            <w:shd w:val="clear" w:color="auto" w:fill="auto"/>
          </w:tcPr>
          <w:p w14:paraId="1E4F2B9A" w14:textId="77777777" w:rsidR="0012790E" w:rsidRPr="001C06E6" w:rsidRDefault="0012790E">
            <w:pPr>
              <w:pStyle w:val="Totaldatarowrightaligned"/>
              <w:keepNext/>
            </w:pPr>
            <w:r w:rsidRPr="001C06E6">
              <w:t>5.3</w:t>
            </w:r>
          </w:p>
        </w:tc>
        <w:tc>
          <w:tcPr>
            <w:tcW w:w="1045" w:type="dxa"/>
            <w:tcBorders>
              <w:top w:val="single" w:sz="4" w:space="0" w:color="293F5B"/>
              <w:bottom w:val="single" w:sz="4" w:space="0" w:color="293F5B"/>
            </w:tcBorders>
            <w:shd w:val="clear" w:color="auto" w:fill="auto"/>
          </w:tcPr>
          <w:p w14:paraId="5E487541" w14:textId="77777777" w:rsidR="0012790E" w:rsidRPr="001C06E6" w:rsidRDefault="0012790E">
            <w:pPr>
              <w:pStyle w:val="Totaldatarowrightaligned"/>
              <w:keepNext/>
            </w:pPr>
            <w:r w:rsidRPr="001C06E6">
              <w:t>4.9</w:t>
            </w:r>
          </w:p>
        </w:tc>
      </w:tr>
    </w:tbl>
    <w:p w14:paraId="21549A06"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24"/>
          <w:lang w:val="en-AU"/>
        </w:rPr>
      </w:pPr>
    </w:p>
    <w:p w14:paraId="45A5A3DB" w14:textId="77777777" w:rsidR="0012790E" w:rsidRPr="00382790" w:rsidRDefault="0012790E" w:rsidP="00382790">
      <w:pPr>
        <w:pStyle w:val="Normal2"/>
        <w:keepLines/>
        <w:rPr>
          <w:spacing w:val="-2"/>
        </w:rPr>
      </w:pPr>
      <w:r w:rsidRPr="00382790">
        <w:rPr>
          <w:spacing w:val="-2"/>
        </w:rPr>
        <w:t>The Government will provide $64.9 million over four years ($0.9 million ongoing), including:</w:t>
      </w:r>
    </w:p>
    <w:p w14:paraId="7E8BF3ED" w14:textId="77777777" w:rsidR="0012790E" w:rsidRDefault="0012790E">
      <w:pPr>
        <w:pStyle w:val="Bullet"/>
      </w:pPr>
      <w:r w:rsidRPr="001C06E6">
        <w:t>$60.1</w:t>
      </w:r>
      <w:r>
        <w:t> </w:t>
      </w:r>
      <w:r w:rsidRPr="001C06E6">
        <w:t xml:space="preserve">million in additional resourcing to enable the Department of the </w:t>
      </w:r>
      <w:r>
        <w:t>Prime Minister and Cabinet</w:t>
      </w:r>
      <w:r w:rsidRPr="001C06E6">
        <w:t xml:space="preserve"> to support the </w:t>
      </w:r>
      <w:r>
        <w:t>Prime Minister and Cabinet</w:t>
      </w:r>
      <w:r w:rsidRPr="001C06E6">
        <w:t xml:space="preserve"> to deliver on Government priorities, including national security and resilience, the care and support economy and to implement </w:t>
      </w:r>
      <w:r w:rsidRPr="001C06E6">
        <w:rPr>
          <w:i/>
        </w:rPr>
        <w:t>Working for Women: A Strategy for Gender Equality</w:t>
      </w:r>
      <w:r w:rsidRPr="001C06E6">
        <w:t>, including working with the Department of Finance to establish a new voluntary Commonwealth supplier registration process within AusTender to identify women</w:t>
      </w:r>
      <w:r>
        <w:noBreakHyphen/>
      </w:r>
      <w:r w:rsidRPr="001C06E6">
        <w:t>owned and led businesses</w:t>
      </w:r>
      <w:r>
        <w:t xml:space="preserve"> </w:t>
      </w:r>
    </w:p>
    <w:p w14:paraId="5A19D677" w14:textId="77777777" w:rsidR="0012790E" w:rsidRDefault="0012790E">
      <w:pPr>
        <w:pStyle w:val="Bullet"/>
      </w:pPr>
      <w:r w:rsidRPr="001C06E6">
        <w:t>$4.8</w:t>
      </w:r>
      <w:r>
        <w:t> </w:t>
      </w:r>
      <w:r w:rsidRPr="001C06E6">
        <w:t xml:space="preserve">million in </w:t>
      </w:r>
      <w:r>
        <w:t>2024–25</w:t>
      </w:r>
      <w:r w:rsidRPr="001C06E6">
        <w:t xml:space="preserve"> to update and enhance the Australian Public Service Employment Database to provide improved insights into the APS workforce.</w:t>
      </w:r>
      <w:r>
        <w:t xml:space="preserve"> </w:t>
      </w:r>
    </w:p>
    <w:p w14:paraId="2C456760" w14:textId="77777777" w:rsidR="0012790E" w:rsidRDefault="0012790E">
      <w:pPr>
        <w:pStyle w:val="Normal2"/>
      </w:pPr>
      <w:r w:rsidRPr="54937204">
        <w:rPr>
          <w:lang w:val="en-US"/>
        </w:rPr>
        <w:t xml:space="preserve">The cost of this measure will be partially met from within the existing resourcing of the Department of the Prime Minister and Cabinet, and the Department of Finance. </w:t>
      </w:r>
    </w:p>
    <w:p w14:paraId="7D9BA709" w14:textId="77777777" w:rsidR="0012790E" w:rsidRPr="001C06E6" w:rsidRDefault="0012790E">
      <w:pPr>
        <w:pStyle w:val="MeasureTitle"/>
        <w:rPr>
          <w:b w:val="0"/>
          <w:szCs w:val="24"/>
        </w:rPr>
      </w:pPr>
      <w:r w:rsidRPr="001C06E6">
        <w:rPr>
          <w:szCs w:val="24"/>
        </w:rPr>
        <w:t>Remote Jobs and Economic Development Program</w:t>
      </w:r>
    </w:p>
    <w:p w14:paraId="57640A51"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66E2645" w14:textId="77777777">
        <w:tc>
          <w:tcPr>
            <w:tcW w:w="2497" w:type="dxa"/>
            <w:tcBorders>
              <w:top w:val="single" w:sz="4" w:space="0" w:color="293F5B"/>
              <w:bottom w:val="single" w:sz="4" w:space="0" w:color="293F5B"/>
            </w:tcBorders>
            <w:shd w:val="clear" w:color="auto" w:fill="auto"/>
          </w:tcPr>
          <w:p w14:paraId="33EC9D9E"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7678839"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9E1B3A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2B69377"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1442F40"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FD556C1" w14:textId="77777777" w:rsidR="0012790E" w:rsidRPr="001C06E6" w:rsidRDefault="0012790E">
            <w:pPr>
              <w:pStyle w:val="MeasureTableYearHeadings"/>
              <w:keepNext/>
            </w:pPr>
            <w:r w:rsidRPr="001C06E6">
              <w:t>2027</w:t>
            </w:r>
            <w:r>
              <w:noBreakHyphen/>
            </w:r>
            <w:r w:rsidRPr="001C06E6">
              <w:t>28</w:t>
            </w:r>
          </w:p>
        </w:tc>
      </w:tr>
      <w:tr w:rsidR="0012790E" w:rsidRPr="001C06E6" w14:paraId="174EEB5C" w14:textId="77777777">
        <w:tc>
          <w:tcPr>
            <w:tcW w:w="2497" w:type="dxa"/>
            <w:tcBorders>
              <w:top w:val="single" w:sz="4" w:space="0" w:color="293F5B"/>
              <w:bottom w:val="single" w:sz="4" w:space="0" w:color="293F5B"/>
            </w:tcBorders>
            <w:shd w:val="clear" w:color="auto" w:fill="auto"/>
          </w:tcPr>
          <w:p w14:paraId="3ABEFE28"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4C291D3F" w14:textId="77777777" w:rsidR="0012790E" w:rsidRPr="001C06E6" w:rsidRDefault="0012790E">
            <w:pPr>
              <w:pStyle w:val="MeasureTableDataRightAlignedwith2ptsspacing"/>
              <w:keepNext/>
            </w:pPr>
            <w:r w:rsidRPr="001C06E6">
              <w:t>2.6</w:t>
            </w:r>
          </w:p>
        </w:tc>
        <w:tc>
          <w:tcPr>
            <w:tcW w:w="1045" w:type="dxa"/>
            <w:tcBorders>
              <w:top w:val="single" w:sz="4" w:space="0" w:color="293F5B"/>
              <w:bottom w:val="single" w:sz="4" w:space="0" w:color="293F5B"/>
            </w:tcBorders>
            <w:shd w:val="clear" w:color="auto" w:fill="auto"/>
          </w:tcPr>
          <w:p w14:paraId="6053D61F" w14:textId="77777777" w:rsidR="0012790E" w:rsidRPr="001C06E6" w:rsidRDefault="0012790E">
            <w:pPr>
              <w:pStyle w:val="MeasureTableDataRightAlignedwith2ptsspacing"/>
              <w:keepNext/>
            </w:pPr>
            <w:r w:rsidRPr="001C06E6">
              <w:t>11.8</w:t>
            </w:r>
          </w:p>
        </w:tc>
        <w:tc>
          <w:tcPr>
            <w:tcW w:w="1045" w:type="dxa"/>
            <w:tcBorders>
              <w:top w:val="single" w:sz="4" w:space="0" w:color="293F5B"/>
              <w:bottom w:val="single" w:sz="4" w:space="0" w:color="293F5B"/>
            </w:tcBorders>
            <w:shd w:val="clear" w:color="auto" w:fill="auto"/>
          </w:tcPr>
          <w:p w14:paraId="0B4A541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D89586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911B4B8" w14:textId="77777777" w:rsidR="0012790E" w:rsidRPr="001C06E6" w:rsidRDefault="0012790E">
            <w:pPr>
              <w:pStyle w:val="MeasureTableDataRightAlignedwith2ptsspacing"/>
              <w:keepNext/>
            </w:pPr>
            <w:r w:rsidRPr="001C06E6">
              <w:t>-</w:t>
            </w:r>
          </w:p>
        </w:tc>
      </w:tr>
      <w:tr w:rsidR="0012790E" w:rsidRPr="001C06E6" w14:paraId="5619C563" w14:textId="77777777">
        <w:tc>
          <w:tcPr>
            <w:tcW w:w="2497" w:type="dxa"/>
            <w:tcBorders>
              <w:top w:val="single" w:sz="4" w:space="0" w:color="293F5B"/>
              <w:bottom w:val="single" w:sz="4" w:space="0" w:color="293F5B"/>
            </w:tcBorders>
            <w:shd w:val="clear" w:color="auto" w:fill="auto"/>
          </w:tcPr>
          <w:p w14:paraId="49A7ED35" w14:textId="77777777" w:rsidR="0012790E" w:rsidRPr="001C06E6" w:rsidRDefault="0012790E">
            <w:pPr>
              <w:pStyle w:val="MeasureTableHeadingleftalignedwith2ptsspacing"/>
              <w:keepNext/>
            </w:pPr>
            <w:r>
              <w:t xml:space="preserve">National Indigenous Australians Agency </w:t>
            </w:r>
          </w:p>
        </w:tc>
        <w:tc>
          <w:tcPr>
            <w:tcW w:w="1045" w:type="dxa"/>
            <w:tcBorders>
              <w:top w:val="single" w:sz="4" w:space="0" w:color="293F5B"/>
              <w:bottom w:val="single" w:sz="4" w:space="0" w:color="293F5B"/>
            </w:tcBorders>
            <w:shd w:val="clear" w:color="auto" w:fill="auto"/>
          </w:tcPr>
          <w:p w14:paraId="4A43DA5A" w14:textId="77777777" w:rsidR="0012790E" w:rsidRPr="001C06E6" w:rsidRDefault="0012790E">
            <w:pPr>
              <w:pStyle w:val="MeasureTableDataRightAlignedwith2ptsspacing"/>
              <w:keepNext/>
            </w:pPr>
            <w:r>
              <w:t xml:space="preserve">1.0 </w:t>
            </w:r>
          </w:p>
        </w:tc>
        <w:tc>
          <w:tcPr>
            <w:tcW w:w="1045" w:type="dxa"/>
            <w:tcBorders>
              <w:top w:val="single" w:sz="4" w:space="0" w:color="293F5B"/>
              <w:bottom w:val="single" w:sz="4" w:space="0" w:color="293F5B"/>
            </w:tcBorders>
            <w:shd w:val="clear" w:color="auto" w:fill="auto"/>
          </w:tcPr>
          <w:p w14:paraId="281C8F34" w14:textId="77777777" w:rsidR="0012790E" w:rsidRPr="001C06E6" w:rsidRDefault="0012790E">
            <w:pPr>
              <w:pStyle w:val="MeasureTableDataRightAlignedwith2ptsspacing"/>
              <w:keepNext/>
            </w:pPr>
            <w:r>
              <w:t xml:space="preserve">105.8 </w:t>
            </w:r>
          </w:p>
        </w:tc>
        <w:tc>
          <w:tcPr>
            <w:tcW w:w="1045" w:type="dxa"/>
            <w:tcBorders>
              <w:top w:val="single" w:sz="4" w:space="0" w:color="293F5B"/>
              <w:bottom w:val="single" w:sz="4" w:space="0" w:color="293F5B"/>
            </w:tcBorders>
            <w:shd w:val="clear" w:color="auto" w:fill="auto"/>
          </w:tcPr>
          <w:p w14:paraId="6AAE95EE" w14:textId="77777777" w:rsidR="0012790E" w:rsidRPr="001C06E6" w:rsidRDefault="0012790E">
            <w:pPr>
              <w:pStyle w:val="MeasureTableDataRightAlignedwith2ptsspacing"/>
              <w:keepNext/>
            </w:pPr>
            <w:r>
              <w:t xml:space="preserve">145.0 </w:t>
            </w:r>
          </w:p>
        </w:tc>
        <w:tc>
          <w:tcPr>
            <w:tcW w:w="1045" w:type="dxa"/>
            <w:tcBorders>
              <w:top w:val="single" w:sz="4" w:space="0" w:color="293F5B"/>
              <w:bottom w:val="single" w:sz="4" w:space="0" w:color="293F5B"/>
            </w:tcBorders>
            <w:shd w:val="clear" w:color="auto" w:fill="auto"/>
          </w:tcPr>
          <w:p w14:paraId="46BAB5B6" w14:textId="77777777" w:rsidR="0012790E" w:rsidRPr="001C06E6" w:rsidRDefault="0012790E">
            <w:pPr>
              <w:pStyle w:val="MeasureTableDataRightAlignedwith2ptsspacing"/>
              <w:keepNext/>
            </w:pPr>
            <w:r>
              <w:t xml:space="preserve">218.5 </w:t>
            </w:r>
          </w:p>
        </w:tc>
        <w:tc>
          <w:tcPr>
            <w:tcW w:w="1045" w:type="dxa"/>
            <w:tcBorders>
              <w:top w:val="single" w:sz="4" w:space="0" w:color="293F5B"/>
              <w:bottom w:val="single" w:sz="4" w:space="0" w:color="293F5B"/>
            </w:tcBorders>
            <w:shd w:val="clear" w:color="auto" w:fill="auto"/>
          </w:tcPr>
          <w:p w14:paraId="03D9D053" w14:textId="77777777" w:rsidR="0012790E" w:rsidRPr="001C06E6" w:rsidRDefault="0012790E">
            <w:pPr>
              <w:pStyle w:val="MeasureTableDataRightAlignedwith2ptsspacing"/>
              <w:keepNext/>
            </w:pPr>
            <w:r>
              <w:t xml:space="preserve">255.5 </w:t>
            </w:r>
          </w:p>
        </w:tc>
      </w:tr>
      <w:tr w:rsidR="0012790E" w:rsidRPr="001C06E6" w14:paraId="6F7DAF89" w14:textId="77777777">
        <w:tc>
          <w:tcPr>
            <w:tcW w:w="2497" w:type="dxa"/>
            <w:tcBorders>
              <w:top w:val="single" w:sz="4" w:space="0" w:color="293F5B"/>
              <w:bottom w:val="single" w:sz="4" w:space="0" w:color="293F5B"/>
            </w:tcBorders>
            <w:shd w:val="clear" w:color="auto" w:fill="auto"/>
          </w:tcPr>
          <w:p w14:paraId="35B63A83"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2AEF7B5F" w14:textId="77777777" w:rsidR="0012790E" w:rsidRPr="001C06E6" w:rsidRDefault="0012790E">
            <w:pPr>
              <w:pStyle w:val="MeasureTableDataRightAlignedwith2ptsspacing"/>
              <w:keepNext/>
            </w:pPr>
            <w:r w:rsidRPr="001C06E6">
              <w:t>0.3</w:t>
            </w:r>
          </w:p>
        </w:tc>
        <w:tc>
          <w:tcPr>
            <w:tcW w:w="1045" w:type="dxa"/>
            <w:tcBorders>
              <w:top w:val="single" w:sz="4" w:space="0" w:color="293F5B"/>
              <w:bottom w:val="single" w:sz="4" w:space="0" w:color="293F5B"/>
            </w:tcBorders>
            <w:shd w:val="clear" w:color="auto" w:fill="auto"/>
          </w:tcPr>
          <w:p w14:paraId="405CC5CD" w14:textId="77777777" w:rsidR="0012790E" w:rsidRPr="001C06E6" w:rsidRDefault="0012790E">
            <w:pPr>
              <w:pStyle w:val="MeasureTableDataRightAlignedwith2ptsspacing"/>
              <w:keepNext/>
            </w:pPr>
            <w:r w:rsidRPr="001C06E6">
              <w:t>11.2</w:t>
            </w:r>
          </w:p>
        </w:tc>
        <w:tc>
          <w:tcPr>
            <w:tcW w:w="1045" w:type="dxa"/>
            <w:tcBorders>
              <w:top w:val="single" w:sz="4" w:space="0" w:color="293F5B"/>
              <w:bottom w:val="single" w:sz="4" w:space="0" w:color="293F5B"/>
            </w:tcBorders>
            <w:shd w:val="clear" w:color="auto" w:fill="auto"/>
          </w:tcPr>
          <w:p w14:paraId="421D1E9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22B6DE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7234794" w14:textId="77777777" w:rsidR="0012790E" w:rsidRPr="001C06E6" w:rsidRDefault="0012790E">
            <w:pPr>
              <w:pStyle w:val="MeasureTableDataRightAlignedwith2ptsspacing"/>
              <w:keepNext/>
            </w:pPr>
            <w:r w:rsidRPr="001C06E6">
              <w:t>-</w:t>
            </w:r>
          </w:p>
        </w:tc>
      </w:tr>
      <w:tr w:rsidR="0012790E" w:rsidRPr="001C06E6" w14:paraId="4BE4AEEC" w14:textId="77777777">
        <w:tc>
          <w:tcPr>
            <w:tcW w:w="2497" w:type="dxa"/>
            <w:tcBorders>
              <w:top w:val="single" w:sz="4" w:space="0" w:color="293F5B"/>
              <w:bottom w:val="single" w:sz="4" w:space="0" w:color="293F5B"/>
            </w:tcBorders>
            <w:shd w:val="clear" w:color="auto" w:fill="auto"/>
          </w:tcPr>
          <w:p w14:paraId="43C41281"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5406C2E4"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26F917A" w14:textId="77777777" w:rsidR="0012790E" w:rsidRPr="001C06E6" w:rsidRDefault="0012790E">
            <w:pPr>
              <w:pStyle w:val="MeasureTableDataRightAlignedwith2ptsspacing"/>
              <w:keepNext/>
            </w:pPr>
            <w:r>
              <w:t xml:space="preserve">0.6 </w:t>
            </w:r>
          </w:p>
        </w:tc>
        <w:tc>
          <w:tcPr>
            <w:tcW w:w="1045" w:type="dxa"/>
            <w:tcBorders>
              <w:top w:val="single" w:sz="4" w:space="0" w:color="293F5B"/>
              <w:bottom w:val="single" w:sz="4" w:space="0" w:color="293F5B"/>
            </w:tcBorders>
            <w:shd w:val="clear" w:color="auto" w:fill="auto"/>
          </w:tcPr>
          <w:p w14:paraId="2D2CB755" w14:textId="77777777" w:rsidR="0012790E" w:rsidRPr="001C06E6" w:rsidRDefault="0012790E">
            <w:pPr>
              <w:pStyle w:val="MeasureTableDataRightAlignedwith2ptsspacing"/>
              <w:keepNext/>
            </w:pPr>
            <w:r>
              <w:t xml:space="preserve">0.5 </w:t>
            </w:r>
          </w:p>
        </w:tc>
        <w:tc>
          <w:tcPr>
            <w:tcW w:w="1045" w:type="dxa"/>
            <w:tcBorders>
              <w:top w:val="single" w:sz="4" w:space="0" w:color="293F5B"/>
              <w:bottom w:val="single" w:sz="4" w:space="0" w:color="293F5B"/>
            </w:tcBorders>
            <w:shd w:val="clear" w:color="auto" w:fill="auto"/>
          </w:tcPr>
          <w:p w14:paraId="278212B2" w14:textId="77777777" w:rsidR="0012790E" w:rsidRPr="001C06E6" w:rsidRDefault="0012790E">
            <w:pPr>
              <w:pStyle w:val="MeasureTableDataRightAlignedwith2ptsspacing"/>
              <w:keepNext/>
            </w:pPr>
            <w:r>
              <w:t xml:space="preserve">0.1 </w:t>
            </w:r>
          </w:p>
        </w:tc>
        <w:tc>
          <w:tcPr>
            <w:tcW w:w="1045" w:type="dxa"/>
            <w:tcBorders>
              <w:top w:val="single" w:sz="4" w:space="0" w:color="293F5B"/>
              <w:bottom w:val="single" w:sz="4" w:space="0" w:color="293F5B"/>
            </w:tcBorders>
            <w:shd w:val="clear" w:color="auto" w:fill="auto"/>
          </w:tcPr>
          <w:p w14:paraId="4413EFD6" w14:textId="77777777" w:rsidR="0012790E" w:rsidRPr="001C06E6" w:rsidRDefault="0012790E">
            <w:pPr>
              <w:pStyle w:val="MeasureTableDataRightAlignedwith2ptsspacing"/>
              <w:keepNext/>
            </w:pPr>
            <w:r>
              <w:t xml:space="preserve">0.1 </w:t>
            </w:r>
          </w:p>
        </w:tc>
      </w:tr>
      <w:tr w:rsidR="0012790E" w:rsidRPr="001C06E6" w14:paraId="0A379DB4" w14:textId="77777777">
        <w:tc>
          <w:tcPr>
            <w:tcW w:w="2497" w:type="dxa"/>
            <w:tcBorders>
              <w:top w:val="single" w:sz="4" w:space="0" w:color="293F5B"/>
              <w:bottom w:val="single" w:sz="4" w:space="0" w:color="293F5B"/>
            </w:tcBorders>
            <w:shd w:val="clear" w:color="auto" w:fill="auto"/>
          </w:tcPr>
          <w:p w14:paraId="1F1766D5"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FD0BDB6" w14:textId="77777777" w:rsidR="0012790E" w:rsidRPr="001C06E6" w:rsidRDefault="0012790E">
            <w:pPr>
              <w:pStyle w:val="Totaldatarowrightaligned"/>
              <w:keepNext/>
            </w:pPr>
            <w:r w:rsidRPr="001C06E6">
              <w:t>3.9</w:t>
            </w:r>
          </w:p>
        </w:tc>
        <w:tc>
          <w:tcPr>
            <w:tcW w:w="1045" w:type="dxa"/>
            <w:tcBorders>
              <w:top w:val="single" w:sz="4" w:space="0" w:color="293F5B"/>
              <w:bottom w:val="single" w:sz="4" w:space="0" w:color="293F5B"/>
            </w:tcBorders>
            <w:shd w:val="clear" w:color="auto" w:fill="auto"/>
          </w:tcPr>
          <w:p w14:paraId="660AE221" w14:textId="77777777" w:rsidR="0012790E" w:rsidRPr="001C06E6" w:rsidRDefault="0012790E">
            <w:pPr>
              <w:pStyle w:val="Totaldatarowrightaligned"/>
              <w:keepNext/>
            </w:pPr>
            <w:r w:rsidRPr="001C06E6">
              <w:t>129.4</w:t>
            </w:r>
          </w:p>
        </w:tc>
        <w:tc>
          <w:tcPr>
            <w:tcW w:w="1045" w:type="dxa"/>
            <w:tcBorders>
              <w:top w:val="single" w:sz="4" w:space="0" w:color="293F5B"/>
              <w:bottom w:val="single" w:sz="4" w:space="0" w:color="293F5B"/>
            </w:tcBorders>
            <w:shd w:val="clear" w:color="auto" w:fill="auto"/>
          </w:tcPr>
          <w:p w14:paraId="4A920539" w14:textId="77777777" w:rsidR="0012790E" w:rsidRPr="001C06E6" w:rsidRDefault="0012790E">
            <w:pPr>
              <w:pStyle w:val="Totaldatarowrightaligned"/>
              <w:keepNext/>
            </w:pPr>
            <w:r w:rsidRPr="001C06E6">
              <w:t>145.5</w:t>
            </w:r>
          </w:p>
        </w:tc>
        <w:tc>
          <w:tcPr>
            <w:tcW w:w="1045" w:type="dxa"/>
            <w:tcBorders>
              <w:top w:val="single" w:sz="4" w:space="0" w:color="293F5B"/>
              <w:bottom w:val="single" w:sz="4" w:space="0" w:color="293F5B"/>
            </w:tcBorders>
            <w:shd w:val="clear" w:color="auto" w:fill="auto"/>
          </w:tcPr>
          <w:p w14:paraId="5EDF3180" w14:textId="77777777" w:rsidR="0012790E" w:rsidRPr="001C06E6" w:rsidRDefault="0012790E">
            <w:pPr>
              <w:pStyle w:val="Totaldatarowrightaligned"/>
              <w:keepNext/>
            </w:pPr>
            <w:r w:rsidRPr="001C06E6">
              <w:t>218.6</w:t>
            </w:r>
          </w:p>
        </w:tc>
        <w:tc>
          <w:tcPr>
            <w:tcW w:w="1045" w:type="dxa"/>
            <w:tcBorders>
              <w:top w:val="single" w:sz="4" w:space="0" w:color="293F5B"/>
              <w:bottom w:val="single" w:sz="4" w:space="0" w:color="293F5B"/>
            </w:tcBorders>
            <w:shd w:val="clear" w:color="auto" w:fill="auto"/>
          </w:tcPr>
          <w:p w14:paraId="337AD484" w14:textId="77777777" w:rsidR="0012790E" w:rsidRPr="001C06E6" w:rsidRDefault="0012790E">
            <w:pPr>
              <w:pStyle w:val="Totaldatarowrightaligned"/>
              <w:keepNext/>
            </w:pPr>
            <w:r w:rsidRPr="001C06E6">
              <w:t>255.5</w:t>
            </w:r>
          </w:p>
        </w:tc>
      </w:tr>
    </w:tbl>
    <w:p w14:paraId="12A9BC63"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24"/>
          <w:lang w:val="en-AU"/>
        </w:rPr>
      </w:pPr>
    </w:p>
    <w:p w14:paraId="14ACEC12" w14:textId="77777777" w:rsidR="0012790E" w:rsidRDefault="0012790E">
      <w:pPr>
        <w:pStyle w:val="Normal2"/>
      </w:pPr>
      <w:r w:rsidRPr="54937204">
        <w:rPr>
          <w:lang w:val="en-US"/>
        </w:rPr>
        <w:t xml:space="preserve">The Government will provide $777.4 million over five years from 2023–24 (and $255.5 million per year ongoing) to establish the </w:t>
      </w:r>
      <w:r w:rsidRPr="54937204">
        <w:rPr>
          <w:i/>
          <w:iCs/>
          <w:lang w:val="en-US"/>
        </w:rPr>
        <w:t>Remote Jobs and Economic Development Program</w:t>
      </w:r>
      <w:r w:rsidRPr="54937204">
        <w:rPr>
          <w:lang w:val="en-US"/>
        </w:rPr>
        <w:t>, which will create 3,000 jobs in remote Australia and support income support recipients move into paid employment. Funding includes:</w:t>
      </w:r>
    </w:p>
    <w:p w14:paraId="48E93AAA" w14:textId="7A0F5541" w:rsidR="0012790E" w:rsidRDefault="0012790E">
      <w:pPr>
        <w:pStyle w:val="Bullet"/>
      </w:pPr>
      <w:r w:rsidRPr="001C06E6">
        <w:t>$536.1</w:t>
      </w:r>
      <w:r>
        <w:t> </w:t>
      </w:r>
      <w:r w:rsidRPr="001C06E6">
        <w:t xml:space="preserve">million over five years from </w:t>
      </w:r>
      <w:r>
        <w:t>2023–24</w:t>
      </w:r>
      <w:r w:rsidRPr="001C06E6">
        <w:t xml:space="preserve"> (and $194.3</w:t>
      </w:r>
      <w:r>
        <w:t> </w:t>
      </w:r>
      <w:r w:rsidRPr="001C06E6">
        <w:t>million per year ongoing) to fund the creation of 3,000 jobs in remote Australia, through a phased roll out over three</w:t>
      </w:r>
      <w:r w:rsidR="00382790">
        <w:t> </w:t>
      </w:r>
      <w:r w:rsidRPr="001C06E6">
        <w:t>years from September 2024</w:t>
      </w:r>
      <w:r>
        <w:t xml:space="preserve"> </w:t>
      </w:r>
    </w:p>
    <w:p w14:paraId="367C7A94" w14:textId="56CE12DA" w:rsidR="0012790E" w:rsidRDefault="0012790E">
      <w:pPr>
        <w:pStyle w:val="Bullet"/>
      </w:pPr>
      <w:r w:rsidRPr="001C06E6">
        <w:t>$188.7</w:t>
      </w:r>
      <w:r>
        <w:t> </w:t>
      </w:r>
      <w:r w:rsidRPr="001C06E6">
        <w:t xml:space="preserve">million over four years from </w:t>
      </w:r>
      <w:r>
        <w:t>2024–25</w:t>
      </w:r>
      <w:r w:rsidRPr="001C06E6">
        <w:t xml:space="preserve"> (and $61.2</w:t>
      </w:r>
      <w:r>
        <w:t> </w:t>
      </w:r>
      <w:r w:rsidRPr="001C06E6">
        <w:t>million per year ongoing) for a</w:t>
      </w:r>
      <w:r w:rsidR="00382790">
        <w:t> </w:t>
      </w:r>
      <w:r w:rsidRPr="001C06E6">
        <w:t>Community Jobs and Business Fund, to support community development and the creation of employment opportunities through funding capital, equipment and capacity building services</w:t>
      </w:r>
      <w:r>
        <w:t xml:space="preserve"> </w:t>
      </w:r>
    </w:p>
    <w:p w14:paraId="60774C0A" w14:textId="6079C9CB" w:rsidR="0012790E" w:rsidRDefault="0012790E">
      <w:pPr>
        <w:pStyle w:val="Bullet"/>
      </w:pPr>
      <w:r w:rsidRPr="001C06E6">
        <w:t>$45.5</w:t>
      </w:r>
      <w:r>
        <w:t> </w:t>
      </w:r>
      <w:r w:rsidRPr="001C06E6">
        <w:t xml:space="preserve">million over three years from </w:t>
      </w:r>
      <w:r>
        <w:t>2024–25</w:t>
      </w:r>
      <w:r w:rsidRPr="001C06E6">
        <w:t xml:space="preserve"> to extend the current </w:t>
      </w:r>
      <w:r w:rsidRPr="001C06E6">
        <w:rPr>
          <w:i/>
        </w:rPr>
        <w:t>Community Development Program</w:t>
      </w:r>
      <w:r w:rsidRPr="001C06E6">
        <w:t xml:space="preserve"> (CDP) provider arrangements from 31</w:t>
      </w:r>
      <w:r>
        <w:t> </w:t>
      </w:r>
      <w:r w:rsidRPr="001C06E6">
        <w:t>October</w:t>
      </w:r>
      <w:r>
        <w:t> </w:t>
      </w:r>
      <w:r w:rsidRPr="001C06E6">
        <w:t>2024 to 30</w:t>
      </w:r>
      <w:r>
        <w:t> </w:t>
      </w:r>
      <w:r w:rsidRPr="001C06E6">
        <w:t>June</w:t>
      </w:r>
      <w:r>
        <w:t> </w:t>
      </w:r>
      <w:r w:rsidRPr="001C06E6">
        <w:t xml:space="preserve">2025 – when </w:t>
      </w:r>
      <w:r w:rsidR="00C67E64">
        <w:t>a new</w:t>
      </w:r>
      <w:r w:rsidR="0055707F">
        <w:t xml:space="preserve"> remote employment services</w:t>
      </w:r>
      <w:r w:rsidR="00C420BE">
        <w:t xml:space="preserve"> program</w:t>
      </w:r>
      <w:r w:rsidR="0055707F">
        <w:t xml:space="preserve"> </w:t>
      </w:r>
      <w:r w:rsidRPr="001C06E6">
        <w:t>will replace the current CDP provider arrangements – and provide supplementary funding to support the increased caseload following impacts of COVID</w:t>
      </w:r>
      <w:r>
        <w:noBreakHyphen/>
      </w:r>
      <w:r w:rsidRPr="001C06E6">
        <w:t>19, to provide continuity of support to participants who are not job</w:t>
      </w:r>
      <w:r>
        <w:noBreakHyphen/>
      </w:r>
      <w:r w:rsidRPr="001C06E6">
        <w:t xml:space="preserve">ready or able to commence employment under the </w:t>
      </w:r>
      <w:r w:rsidRPr="001C06E6">
        <w:rPr>
          <w:i/>
        </w:rPr>
        <w:t>Remote Jobs and Economic Development Program</w:t>
      </w:r>
      <w:r>
        <w:t xml:space="preserve"> </w:t>
      </w:r>
    </w:p>
    <w:p w14:paraId="5BAD1863" w14:textId="3B3F5D3E" w:rsidR="0012790E" w:rsidRDefault="0012790E">
      <w:pPr>
        <w:pStyle w:val="Bullet"/>
      </w:pPr>
      <w:r w:rsidRPr="001C06E6">
        <w:t>$7.1</w:t>
      </w:r>
      <w:r>
        <w:t> </w:t>
      </w:r>
      <w:r w:rsidRPr="001C06E6">
        <w:t xml:space="preserve">million over two years from </w:t>
      </w:r>
      <w:r>
        <w:t>2023–24</w:t>
      </w:r>
      <w:r w:rsidRPr="001C06E6">
        <w:t xml:space="preserve"> to increase the number of jobs funded under the </w:t>
      </w:r>
      <w:r w:rsidRPr="001C06E6">
        <w:rPr>
          <w:i/>
        </w:rPr>
        <w:t>New Jobs Program</w:t>
      </w:r>
      <w:r w:rsidRPr="001C06E6">
        <w:t xml:space="preserve"> </w:t>
      </w:r>
      <w:r w:rsidR="00151467">
        <w:t>t</w:t>
      </w:r>
      <w:r w:rsidRPr="001C06E6">
        <w:t xml:space="preserve">rial to 300, to support the current demand until the </w:t>
      </w:r>
      <w:r w:rsidRPr="001C06E6">
        <w:rPr>
          <w:i/>
        </w:rPr>
        <w:t>Remote Jobs and Economic Development Program</w:t>
      </w:r>
      <w:r w:rsidRPr="001C06E6">
        <w:t xml:space="preserve"> commences from September 2024.</w:t>
      </w:r>
      <w:r>
        <w:t xml:space="preserve"> </w:t>
      </w:r>
    </w:p>
    <w:p w14:paraId="1A8D785E" w14:textId="77777777" w:rsidR="0012790E" w:rsidRDefault="0012790E">
      <w:pPr>
        <w:pStyle w:val="Normal2"/>
      </w:pPr>
      <w:r w:rsidRPr="54937204">
        <w:rPr>
          <w:lang w:val="en-US"/>
        </w:rPr>
        <w:t xml:space="preserve">The cost of this measure will be partially met from a reprioritisation of funding from the 2023–24 Budget measure titled </w:t>
      </w:r>
      <w:r w:rsidRPr="54937204">
        <w:rPr>
          <w:i/>
          <w:iCs/>
          <w:lang w:val="en-US"/>
        </w:rPr>
        <w:t xml:space="preserve">Closing the Gap – further investment </w:t>
      </w:r>
      <w:r w:rsidRPr="54937204">
        <w:rPr>
          <w:lang w:val="en-US"/>
        </w:rPr>
        <w:t xml:space="preserve">and within the existing resources of the National Indigenous Australians Agency. </w:t>
      </w:r>
    </w:p>
    <w:p w14:paraId="404F5EED" w14:textId="77777777" w:rsidR="0012790E" w:rsidRPr="001C06E6" w:rsidRDefault="0012790E">
      <w:pPr>
        <w:pStyle w:val="Normal2"/>
      </w:pPr>
      <w:r w:rsidRPr="001C06E6">
        <w:t xml:space="preserve">This measure builds on the </w:t>
      </w:r>
      <w:r>
        <w:t>2023–24 </w:t>
      </w:r>
      <w:r w:rsidRPr="001C06E6">
        <w:t xml:space="preserve">Budget measure titled </w:t>
      </w:r>
      <w:r w:rsidRPr="001C06E6">
        <w:rPr>
          <w:i/>
        </w:rPr>
        <w:t>Closing the Gap – further</w:t>
      </w:r>
      <w:r>
        <w:rPr>
          <w:i/>
        </w:rPr>
        <w:t xml:space="preserve"> </w:t>
      </w:r>
      <w:r w:rsidRPr="001C06E6">
        <w:rPr>
          <w:i/>
        </w:rPr>
        <w:t>investment.</w:t>
      </w:r>
      <w:r>
        <w:rPr>
          <w:i/>
        </w:rPr>
        <w:t xml:space="preserve"> </w:t>
      </w:r>
    </w:p>
    <w:p w14:paraId="3FF98D74" w14:textId="77777777" w:rsidR="0012790E" w:rsidRPr="001C06E6" w:rsidRDefault="0012790E" w:rsidP="54937204">
      <w:pPr>
        <w:pStyle w:val="MeasureTitle"/>
        <w:rPr>
          <w:b w:val="0"/>
          <w:lang w:val="en-US"/>
        </w:rPr>
      </w:pPr>
      <w:r w:rsidRPr="54937204">
        <w:rPr>
          <w:lang w:val="en-US"/>
        </w:rPr>
        <w:t>Youpla Support Program – continuation</w:t>
      </w:r>
    </w:p>
    <w:p w14:paraId="63B46F6F"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415A894" w14:textId="77777777">
        <w:tc>
          <w:tcPr>
            <w:tcW w:w="2497" w:type="dxa"/>
            <w:tcBorders>
              <w:top w:val="single" w:sz="4" w:space="0" w:color="293F5B"/>
              <w:bottom w:val="single" w:sz="4" w:space="0" w:color="293F5B"/>
            </w:tcBorders>
            <w:shd w:val="clear" w:color="auto" w:fill="auto"/>
          </w:tcPr>
          <w:p w14:paraId="1C23DC6E"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6CC190A"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EE96D7F"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C1A8B4F"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15F3E61"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DE8B933" w14:textId="77777777" w:rsidR="0012790E" w:rsidRPr="001C06E6" w:rsidRDefault="0012790E">
            <w:pPr>
              <w:pStyle w:val="MeasureTableYearHeadings"/>
              <w:keepNext/>
            </w:pPr>
            <w:r w:rsidRPr="001C06E6">
              <w:t>2027</w:t>
            </w:r>
            <w:r>
              <w:noBreakHyphen/>
            </w:r>
            <w:r w:rsidRPr="001C06E6">
              <w:t>28</w:t>
            </w:r>
          </w:p>
        </w:tc>
      </w:tr>
      <w:tr w:rsidR="0012790E" w:rsidRPr="001C06E6" w14:paraId="22EC076F" w14:textId="77777777">
        <w:tc>
          <w:tcPr>
            <w:tcW w:w="2497" w:type="dxa"/>
            <w:tcBorders>
              <w:top w:val="single" w:sz="4" w:space="0" w:color="293F5B"/>
              <w:bottom w:val="single" w:sz="4" w:space="0" w:color="293F5B"/>
            </w:tcBorders>
            <w:shd w:val="clear" w:color="auto" w:fill="auto"/>
          </w:tcPr>
          <w:p w14:paraId="6DF10CE8"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538903A3" w14:textId="415DD246" w:rsidR="0012790E" w:rsidRPr="001C06E6" w:rsidRDefault="0092404C">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4A5D58A9" w14:textId="4758A324" w:rsidR="0012790E" w:rsidRPr="001C06E6" w:rsidRDefault="0092404C">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7A1F1A11" w14:textId="2E778282" w:rsidR="0012790E" w:rsidRPr="001C06E6" w:rsidRDefault="0092404C">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1637F3BE" w14:textId="39D67451" w:rsidR="0012790E" w:rsidRPr="001C06E6" w:rsidRDefault="0092404C">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7B8E7359" w14:textId="77777777" w:rsidR="0012790E" w:rsidRPr="001C06E6" w:rsidRDefault="0012790E">
            <w:pPr>
              <w:pStyle w:val="MeasureTableDataRightAlignedwith2ptsspacing"/>
              <w:keepNext/>
            </w:pPr>
            <w:r w:rsidRPr="001C06E6">
              <w:t>-</w:t>
            </w:r>
          </w:p>
        </w:tc>
      </w:tr>
      <w:tr w:rsidR="0012790E" w:rsidRPr="001C06E6" w14:paraId="4ADB9C54" w14:textId="77777777">
        <w:tc>
          <w:tcPr>
            <w:tcW w:w="2497" w:type="dxa"/>
            <w:tcBorders>
              <w:top w:val="single" w:sz="4" w:space="0" w:color="293F5B"/>
              <w:bottom w:val="single" w:sz="4" w:space="0" w:color="293F5B"/>
            </w:tcBorders>
            <w:shd w:val="clear" w:color="auto" w:fill="auto"/>
          </w:tcPr>
          <w:p w14:paraId="53E5E897" w14:textId="77777777" w:rsidR="0012790E" w:rsidRPr="001C06E6" w:rsidRDefault="0012790E">
            <w:pPr>
              <w:pStyle w:val="MeasureTableHeadingleftalignedwith2ptsspacing"/>
              <w:keepNext/>
            </w:pPr>
            <w:r>
              <w:t xml:space="preserve">National Indigenous Australians Agency </w:t>
            </w:r>
          </w:p>
        </w:tc>
        <w:tc>
          <w:tcPr>
            <w:tcW w:w="1045" w:type="dxa"/>
            <w:tcBorders>
              <w:top w:val="single" w:sz="4" w:space="0" w:color="293F5B"/>
              <w:bottom w:val="single" w:sz="4" w:space="0" w:color="293F5B"/>
            </w:tcBorders>
            <w:shd w:val="clear" w:color="auto" w:fill="auto"/>
          </w:tcPr>
          <w:p w14:paraId="3618DCB2" w14:textId="73391F04" w:rsidR="0012790E" w:rsidRPr="001C06E6" w:rsidRDefault="0092404C">
            <w:pPr>
              <w:pStyle w:val="MeasureTableDataRightAlignedwith2ptsspacing"/>
              <w:keepNext/>
            </w:pPr>
            <w:r>
              <w:t>-</w:t>
            </w:r>
            <w:r w:rsidR="0012790E">
              <w:t xml:space="preserve"> </w:t>
            </w:r>
          </w:p>
        </w:tc>
        <w:tc>
          <w:tcPr>
            <w:tcW w:w="1045" w:type="dxa"/>
            <w:tcBorders>
              <w:top w:val="single" w:sz="4" w:space="0" w:color="293F5B"/>
              <w:bottom w:val="single" w:sz="4" w:space="0" w:color="293F5B"/>
            </w:tcBorders>
            <w:shd w:val="clear" w:color="auto" w:fill="auto"/>
          </w:tcPr>
          <w:p w14:paraId="72D76B75" w14:textId="7167C341" w:rsidR="0012790E" w:rsidRPr="001C06E6" w:rsidRDefault="0092404C">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4D425CB1" w14:textId="34BA768C" w:rsidR="0012790E" w:rsidRPr="001C06E6" w:rsidRDefault="0092404C">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05EACF71" w14:textId="70629BEB" w:rsidR="0012790E" w:rsidRPr="001C06E6" w:rsidRDefault="0092404C">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1C24CD10" w14:textId="77777777" w:rsidR="0012790E" w:rsidRPr="001C06E6" w:rsidRDefault="0012790E">
            <w:pPr>
              <w:pStyle w:val="MeasureTableDataRightAlignedwith2ptsspacing"/>
              <w:keepNext/>
            </w:pPr>
            <w:r>
              <w:t xml:space="preserve">- </w:t>
            </w:r>
          </w:p>
        </w:tc>
      </w:tr>
      <w:tr w:rsidR="0012790E" w:rsidRPr="001C06E6" w14:paraId="7FE62B03" w14:textId="77777777">
        <w:tc>
          <w:tcPr>
            <w:tcW w:w="2497" w:type="dxa"/>
            <w:tcBorders>
              <w:top w:val="single" w:sz="4" w:space="0" w:color="293F5B"/>
              <w:bottom w:val="single" w:sz="4" w:space="0" w:color="293F5B"/>
            </w:tcBorders>
            <w:shd w:val="clear" w:color="auto" w:fill="auto"/>
          </w:tcPr>
          <w:p w14:paraId="57EA7DDF"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9EBBA83"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435F2003"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35BE690"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67A8E320"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51E2109" w14:textId="77777777" w:rsidR="0012790E" w:rsidRPr="001C06E6" w:rsidRDefault="0012790E">
            <w:pPr>
              <w:pStyle w:val="Totaldatarowrightaligned"/>
              <w:keepNext/>
            </w:pPr>
            <w:r w:rsidRPr="001C06E6">
              <w:t>-</w:t>
            </w:r>
          </w:p>
        </w:tc>
      </w:tr>
    </w:tbl>
    <w:p w14:paraId="3C0CFCA3"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24"/>
          <w:lang w:val="en-AU"/>
        </w:rPr>
      </w:pPr>
    </w:p>
    <w:p w14:paraId="5944DE71" w14:textId="77777777" w:rsidR="0012790E" w:rsidRDefault="0012790E">
      <w:pPr>
        <w:pStyle w:val="Normal2"/>
      </w:pPr>
      <w:r w:rsidRPr="54937204">
        <w:rPr>
          <w:lang w:val="en-US"/>
        </w:rPr>
        <w:t xml:space="preserve">The Government has provided $96.9 million over four years from 2023–24 to ensure an enduring resolution for people impacted by the collapse of the insurance provider Youpla Group. The </w:t>
      </w:r>
      <w:r w:rsidRPr="54937204">
        <w:rPr>
          <w:i/>
          <w:iCs/>
          <w:lang w:val="en-US"/>
        </w:rPr>
        <w:t>Youpla Support Program</w:t>
      </w:r>
      <w:r w:rsidRPr="54937204">
        <w:rPr>
          <w:lang w:val="en-US"/>
        </w:rPr>
        <w:t xml:space="preserve"> will begin on 1 July 2024, with people who held an active Youpla policy on or after 1 August 2015 eligible to apply until 30 June 2026. </w:t>
      </w:r>
    </w:p>
    <w:p w14:paraId="42167E1A" w14:textId="77777777" w:rsidR="0012790E" w:rsidRDefault="0012790E">
      <w:pPr>
        <w:pStyle w:val="Normal2"/>
      </w:pPr>
      <w:r w:rsidRPr="54937204">
        <w:rPr>
          <w:lang w:val="en-US"/>
        </w:rPr>
        <w:t>Under the program, eligible recipients will be offered the choice of a resolution payment, assessed at 60 per cent of the premiums paid up to the value of the insurance, to be provided through a low</w:t>
      </w:r>
      <w:r>
        <w:noBreakHyphen/>
      </w:r>
      <w:r w:rsidRPr="54937204">
        <w:rPr>
          <w:lang w:val="en-US"/>
        </w:rPr>
        <w:t>risk prudentially</w:t>
      </w:r>
      <w:r>
        <w:noBreakHyphen/>
      </w:r>
      <w:r w:rsidRPr="54937204">
        <w:rPr>
          <w:lang w:val="en-US"/>
        </w:rPr>
        <w:t xml:space="preserve">regulated funeral bond, or a payment. Financial counselling will be offered to all eligible recipients to assist in the understanding of options available under the </w:t>
      </w:r>
      <w:r w:rsidRPr="54937204">
        <w:rPr>
          <w:i/>
          <w:iCs/>
          <w:lang w:val="en-US"/>
        </w:rPr>
        <w:t>Youpla Support Program</w:t>
      </w:r>
      <w:r w:rsidRPr="54937204">
        <w:rPr>
          <w:lang w:val="en-US"/>
        </w:rPr>
        <w:t xml:space="preserve">. </w:t>
      </w:r>
    </w:p>
    <w:p w14:paraId="73F0783E" w14:textId="77777777" w:rsidR="0012790E" w:rsidRDefault="0012790E">
      <w:pPr>
        <w:pStyle w:val="Normal2"/>
      </w:pPr>
      <w:r w:rsidRPr="001C06E6">
        <w:t>The Government has already provided funding for this measure.</w:t>
      </w:r>
      <w:r>
        <w:t xml:space="preserve"> </w:t>
      </w:r>
    </w:p>
    <w:p w14:paraId="6B41E9B1" w14:textId="77777777" w:rsidR="0012790E" w:rsidRDefault="0012790E">
      <w:pPr>
        <w:pStyle w:val="Normal2"/>
      </w:pPr>
      <w:r w:rsidRPr="54937204">
        <w:rPr>
          <w:lang w:val="en-US"/>
        </w:rPr>
        <w:t xml:space="preserve">This measure builds on the 2022–23 October Budget measure titled </w:t>
      </w:r>
      <w:r w:rsidRPr="54937204">
        <w:rPr>
          <w:i/>
          <w:iCs/>
          <w:lang w:val="en-US"/>
        </w:rPr>
        <w:t>Youpla Group Funeral Benefits Program – establishment</w:t>
      </w:r>
      <w:r w:rsidRPr="54937204">
        <w:rPr>
          <w:lang w:val="en-US"/>
        </w:rPr>
        <w:t xml:space="preserve">. This interim program will continue to accept applications until 30 June 2024, to ensure a smoother transition for former Youpla Group policy holders. </w:t>
      </w:r>
    </w:p>
    <w:p w14:paraId="5AAF1F37" w14:textId="77777777" w:rsidR="0012790E" w:rsidRDefault="0012790E">
      <w:pPr>
        <w:pStyle w:val="PortfolioName"/>
        <w:rPr>
          <w:szCs w:val="24"/>
        </w:rPr>
        <w:sectPr w:rsidR="0012790E" w:rsidSect="00EA5BFE">
          <w:pgSz w:w="11905" w:h="16837"/>
          <w:pgMar w:top="2835" w:right="2098" w:bottom="2466" w:left="2098" w:header="1814" w:footer="1814" w:gutter="0"/>
          <w:cols w:space="720"/>
          <w:noEndnote/>
          <w:docGrid w:linePitch="272"/>
        </w:sectPr>
      </w:pPr>
    </w:p>
    <w:p w14:paraId="0B4D5AD3" w14:textId="77777777" w:rsidR="0012790E" w:rsidRPr="001C06E6" w:rsidRDefault="0012790E">
      <w:pPr>
        <w:pStyle w:val="PortfolioName"/>
      </w:pPr>
      <w:r w:rsidRPr="001C06E6">
        <w:rPr>
          <w:szCs w:val="24"/>
        </w:rPr>
        <w:t>Social Services</w:t>
      </w:r>
    </w:p>
    <w:p w14:paraId="31A1FBF6" w14:textId="77777777" w:rsidR="0012790E" w:rsidRPr="001C06E6" w:rsidRDefault="0012790E">
      <w:pPr>
        <w:pStyle w:val="MeasureTitle"/>
      </w:pPr>
      <w:r w:rsidRPr="54937204">
        <w:rPr>
          <w:lang w:val="en-US"/>
        </w:rPr>
        <w:t>A Higher Rate of JobSeeker Payment for Participants with a Partial Capacity to Work (0</w:t>
      </w:r>
      <w:r>
        <w:rPr>
          <w:szCs w:val="24"/>
        </w:rPr>
        <w:noBreakHyphen/>
      </w:r>
      <w:r w:rsidRPr="54937204">
        <w:rPr>
          <w:lang w:val="en-US"/>
        </w:rPr>
        <w:t>14 hours)</w:t>
      </w:r>
    </w:p>
    <w:p w14:paraId="2E4BE5C2"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DEEFD9E" w14:textId="77777777">
        <w:tc>
          <w:tcPr>
            <w:tcW w:w="2497" w:type="dxa"/>
            <w:tcBorders>
              <w:top w:val="single" w:sz="4" w:space="0" w:color="293F5B"/>
              <w:bottom w:val="single" w:sz="4" w:space="0" w:color="293F5B"/>
            </w:tcBorders>
            <w:shd w:val="clear" w:color="auto" w:fill="auto"/>
          </w:tcPr>
          <w:p w14:paraId="30BA11B4"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D45F224"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2F67416C"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274586E8"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1552E60"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BE0E647" w14:textId="77777777" w:rsidR="0012790E" w:rsidRPr="001C06E6" w:rsidRDefault="0012790E">
            <w:pPr>
              <w:pStyle w:val="MeasureTableYearHeadings"/>
              <w:keepNext/>
            </w:pPr>
            <w:r w:rsidRPr="001C06E6">
              <w:t>2027</w:t>
            </w:r>
            <w:r>
              <w:noBreakHyphen/>
            </w:r>
            <w:r w:rsidRPr="001C06E6">
              <w:t>28</w:t>
            </w:r>
          </w:p>
        </w:tc>
      </w:tr>
      <w:tr w:rsidR="0012790E" w:rsidRPr="001C06E6" w14:paraId="64212AAE" w14:textId="77777777">
        <w:tc>
          <w:tcPr>
            <w:tcW w:w="2497" w:type="dxa"/>
            <w:tcBorders>
              <w:top w:val="single" w:sz="4" w:space="0" w:color="293F5B"/>
              <w:bottom w:val="single" w:sz="4" w:space="0" w:color="293F5B"/>
            </w:tcBorders>
            <w:shd w:val="clear" w:color="auto" w:fill="auto"/>
          </w:tcPr>
          <w:p w14:paraId="04848FB6"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6C89EF96" w14:textId="77777777" w:rsidR="0012790E" w:rsidRPr="001C06E6" w:rsidRDefault="0012790E">
            <w:pPr>
              <w:pStyle w:val="MeasureTableDataRightAlignedwith2ptsspacing"/>
              <w:keepNext/>
            </w:pPr>
            <w:r w:rsidRPr="001C06E6">
              <w:t>0.9</w:t>
            </w:r>
          </w:p>
        </w:tc>
        <w:tc>
          <w:tcPr>
            <w:tcW w:w="1045" w:type="dxa"/>
            <w:tcBorders>
              <w:top w:val="single" w:sz="4" w:space="0" w:color="293F5B"/>
              <w:bottom w:val="single" w:sz="4" w:space="0" w:color="293F5B"/>
            </w:tcBorders>
            <w:shd w:val="clear" w:color="auto" w:fill="auto"/>
          </w:tcPr>
          <w:p w14:paraId="02B94FB9" w14:textId="77777777" w:rsidR="0012790E" w:rsidRPr="001C06E6" w:rsidRDefault="0012790E">
            <w:pPr>
              <w:pStyle w:val="MeasureTableDataRightAlignedwith2ptsspacing"/>
              <w:keepNext/>
            </w:pPr>
            <w:r w:rsidRPr="001C06E6">
              <w:t>11.3</w:t>
            </w:r>
          </w:p>
        </w:tc>
        <w:tc>
          <w:tcPr>
            <w:tcW w:w="1045" w:type="dxa"/>
            <w:tcBorders>
              <w:top w:val="single" w:sz="4" w:space="0" w:color="293F5B"/>
              <w:bottom w:val="single" w:sz="4" w:space="0" w:color="293F5B"/>
            </w:tcBorders>
            <w:shd w:val="clear" w:color="auto" w:fill="auto"/>
          </w:tcPr>
          <w:p w14:paraId="1A3413FF" w14:textId="77777777" w:rsidR="0012790E" w:rsidRPr="001C06E6" w:rsidRDefault="0012790E">
            <w:pPr>
              <w:pStyle w:val="MeasureTableDataRightAlignedwith2ptsspacing"/>
              <w:keepNext/>
            </w:pPr>
            <w:r w:rsidRPr="001C06E6">
              <w:t>5.2</w:t>
            </w:r>
          </w:p>
        </w:tc>
        <w:tc>
          <w:tcPr>
            <w:tcW w:w="1045" w:type="dxa"/>
            <w:tcBorders>
              <w:top w:val="single" w:sz="4" w:space="0" w:color="293F5B"/>
              <w:bottom w:val="single" w:sz="4" w:space="0" w:color="293F5B"/>
            </w:tcBorders>
            <w:shd w:val="clear" w:color="auto" w:fill="auto"/>
          </w:tcPr>
          <w:p w14:paraId="5AEFE26C" w14:textId="77777777" w:rsidR="0012790E" w:rsidRPr="001C06E6" w:rsidRDefault="0012790E">
            <w:pPr>
              <w:pStyle w:val="MeasureTableDataRightAlignedwith2ptsspacing"/>
              <w:keepNext/>
            </w:pPr>
            <w:r w:rsidRPr="001C06E6">
              <w:t>2.4</w:t>
            </w:r>
          </w:p>
        </w:tc>
        <w:tc>
          <w:tcPr>
            <w:tcW w:w="1045" w:type="dxa"/>
            <w:tcBorders>
              <w:top w:val="single" w:sz="4" w:space="0" w:color="293F5B"/>
              <w:bottom w:val="single" w:sz="4" w:space="0" w:color="293F5B"/>
            </w:tcBorders>
            <w:shd w:val="clear" w:color="auto" w:fill="auto"/>
          </w:tcPr>
          <w:p w14:paraId="3FCE3056" w14:textId="77777777" w:rsidR="0012790E" w:rsidRPr="001C06E6" w:rsidRDefault="0012790E">
            <w:pPr>
              <w:pStyle w:val="MeasureTableDataRightAlignedwith2ptsspacing"/>
              <w:keepNext/>
            </w:pPr>
            <w:r w:rsidRPr="001C06E6">
              <w:t>1.7</w:t>
            </w:r>
          </w:p>
        </w:tc>
      </w:tr>
      <w:tr w:rsidR="0012790E" w:rsidRPr="001C06E6" w14:paraId="4163277B" w14:textId="77777777">
        <w:tc>
          <w:tcPr>
            <w:tcW w:w="2497" w:type="dxa"/>
            <w:tcBorders>
              <w:top w:val="single" w:sz="4" w:space="0" w:color="293F5B"/>
              <w:bottom w:val="single" w:sz="4" w:space="0" w:color="293F5B"/>
            </w:tcBorders>
            <w:shd w:val="clear" w:color="auto" w:fill="auto"/>
          </w:tcPr>
          <w:p w14:paraId="676F5470"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350736D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0D07E85" w14:textId="77777777" w:rsidR="0012790E" w:rsidRPr="001C06E6" w:rsidRDefault="0012790E">
            <w:pPr>
              <w:pStyle w:val="MeasureTableDataRightAlignedwith2ptsspacing"/>
              <w:keepNext/>
            </w:pPr>
            <w:r w:rsidRPr="001C06E6">
              <w:t>4.1</w:t>
            </w:r>
          </w:p>
        </w:tc>
        <w:tc>
          <w:tcPr>
            <w:tcW w:w="1045" w:type="dxa"/>
            <w:tcBorders>
              <w:top w:val="single" w:sz="4" w:space="0" w:color="293F5B"/>
              <w:bottom w:val="single" w:sz="4" w:space="0" w:color="293F5B"/>
            </w:tcBorders>
            <w:shd w:val="clear" w:color="auto" w:fill="auto"/>
          </w:tcPr>
          <w:p w14:paraId="0992A40A" w14:textId="77777777" w:rsidR="0012790E" w:rsidRPr="001C06E6" w:rsidRDefault="0012790E">
            <w:pPr>
              <w:pStyle w:val="MeasureTableDataRightAlignedwith2ptsspacing"/>
              <w:keepNext/>
            </w:pPr>
            <w:r w:rsidRPr="001C06E6">
              <w:t>5.2</w:t>
            </w:r>
          </w:p>
        </w:tc>
        <w:tc>
          <w:tcPr>
            <w:tcW w:w="1045" w:type="dxa"/>
            <w:tcBorders>
              <w:top w:val="single" w:sz="4" w:space="0" w:color="293F5B"/>
              <w:bottom w:val="single" w:sz="4" w:space="0" w:color="293F5B"/>
            </w:tcBorders>
            <w:shd w:val="clear" w:color="auto" w:fill="auto"/>
          </w:tcPr>
          <w:p w14:paraId="59ABC083" w14:textId="77777777" w:rsidR="0012790E" w:rsidRPr="001C06E6" w:rsidRDefault="0012790E">
            <w:pPr>
              <w:pStyle w:val="MeasureTableDataRightAlignedwith2ptsspacing"/>
              <w:keepNext/>
            </w:pPr>
            <w:r w:rsidRPr="001C06E6">
              <w:t>5.1</w:t>
            </w:r>
          </w:p>
        </w:tc>
        <w:tc>
          <w:tcPr>
            <w:tcW w:w="1045" w:type="dxa"/>
            <w:tcBorders>
              <w:top w:val="single" w:sz="4" w:space="0" w:color="293F5B"/>
              <w:bottom w:val="single" w:sz="4" w:space="0" w:color="293F5B"/>
            </w:tcBorders>
            <w:shd w:val="clear" w:color="auto" w:fill="auto"/>
          </w:tcPr>
          <w:p w14:paraId="2D055A3A" w14:textId="77777777" w:rsidR="0012790E" w:rsidRPr="001C06E6" w:rsidRDefault="0012790E">
            <w:pPr>
              <w:pStyle w:val="MeasureTableDataRightAlignedwith2ptsspacing"/>
              <w:keepNext/>
            </w:pPr>
            <w:r w:rsidRPr="001C06E6">
              <w:t>5.3</w:t>
            </w:r>
          </w:p>
        </w:tc>
      </w:tr>
      <w:tr w:rsidR="0012790E" w:rsidRPr="001C06E6" w14:paraId="40DCE396" w14:textId="77777777">
        <w:tc>
          <w:tcPr>
            <w:tcW w:w="2497" w:type="dxa"/>
            <w:tcBorders>
              <w:top w:val="single" w:sz="4" w:space="0" w:color="293F5B"/>
              <w:bottom w:val="single" w:sz="4" w:space="0" w:color="293F5B"/>
            </w:tcBorders>
            <w:shd w:val="clear" w:color="auto" w:fill="auto"/>
          </w:tcPr>
          <w:p w14:paraId="13EE6D4E"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3CE41816" w14:textId="77777777" w:rsidR="0012790E" w:rsidRPr="001C06E6" w:rsidRDefault="0012790E">
            <w:pPr>
              <w:pStyle w:val="Totaldatarowrightaligned"/>
              <w:keepNext/>
            </w:pPr>
            <w:r w:rsidRPr="001C06E6">
              <w:t>0.9</w:t>
            </w:r>
          </w:p>
        </w:tc>
        <w:tc>
          <w:tcPr>
            <w:tcW w:w="1045" w:type="dxa"/>
            <w:tcBorders>
              <w:top w:val="single" w:sz="4" w:space="0" w:color="293F5B"/>
              <w:bottom w:val="single" w:sz="4" w:space="0" w:color="293F5B"/>
            </w:tcBorders>
            <w:shd w:val="clear" w:color="auto" w:fill="auto"/>
          </w:tcPr>
          <w:p w14:paraId="157CDA2A" w14:textId="77777777" w:rsidR="0012790E" w:rsidRPr="001C06E6" w:rsidRDefault="0012790E">
            <w:pPr>
              <w:pStyle w:val="Totaldatarowrightaligned"/>
              <w:keepNext/>
            </w:pPr>
            <w:r w:rsidRPr="001C06E6">
              <w:t>15.5</w:t>
            </w:r>
          </w:p>
        </w:tc>
        <w:tc>
          <w:tcPr>
            <w:tcW w:w="1045" w:type="dxa"/>
            <w:tcBorders>
              <w:top w:val="single" w:sz="4" w:space="0" w:color="293F5B"/>
              <w:bottom w:val="single" w:sz="4" w:space="0" w:color="293F5B"/>
            </w:tcBorders>
            <w:shd w:val="clear" w:color="auto" w:fill="auto"/>
          </w:tcPr>
          <w:p w14:paraId="71CA2C63" w14:textId="77777777" w:rsidR="0012790E" w:rsidRPr="001C06E6" w:rsidRDefault="0012790E">
            <w:pPr>
              <w:pStyle w:val="Totaldatarowrightaligned"/>
              <w:keepNext/>
            </w:pPr>
            <w:r w:rsidRPr="001C06E6">
              <w:t>10.3</w:t>
            </w:r>
          </w:p>
        </w:tc>
        <w:tc>
          <w:tcPr>
            <w:tcW w:w="1045" w:type="dxa"/>
            <w:tcBorders>
              <w:top w:val="single" w:sz="4" w:space="0" w:color="293F5B"/>
              <w:bottom w:val="single" w:sz="4" w:space="0" w:color="293F5B"/>
            </w:tcBorders>
            <w:shd w:val="clear" w:color="auto" w:fill="auto"/>
          </w:tcPr>
          <w:p w14:paraId="7415B577" w14:textId="77777777" w:rsidR="0012790E" w:rsidRPr="001C06E6" w:rsidRDefault="0012790E">
            <w:pPr>
              <w:pStyle w:val="Totaldatarowrightaligned"/>
              <w:keepNext/>
            </w:pPr>
            <w:r w:rsidRPr="001C06E6">
              <w:t>7.5</w:t>
            </w:r>
          </w:p>
        </w:tc>
        <w:tc>
          <w:tcPr>
            <w:tcW w:w="1045" w:type="dxa"/>
            <w:tcBorders>
              <w:top w:val="single" w:sz="4" w:space="0" w:color="293F5B"/>
              <w:bottom w:val="single" w:sz="4" w:space="0" w:color="293F5B"/>
            </w:tcBorders>
            <w:shd w:val="clear" w:color="auto" w:fill="auto"/>
          </w:tcPr>
          <w:p w14:paraId="7FDF9ED2" w14:textId="77777777" w:rsidR="0012790E" w:rsidRPr="001C06E6" w:rsidRDefault="0012790E">
            <w:pPr>
              <w:pStyle w:val="Totaldatarowrightaligned"/>
              <w:keepNext/>
            </w:pPr>
            <w:r w:rsidRPr="001C06E6">
              <w:t>7.0</w:t>
            </w:r>
          </w:p>
        </w:tc>
      </w:tr>
      <w:tr w:rsidR="0012790E" w:rsidRPr="001C06E6" w14:paraId="3A37AD68" w14:textId="77777777">
        <w:tc>
          <w:tcPr>
            <w:tcW w:w="2497" w:type="dxa"/>
            <w:tcBorders>
              <w:top w:val="single" w:sz="4" w:space="0" w:color="293F5B"/>
            </w:tcBorders>
            <w:shd w:val="clear" w:color="auto" w:fill="auto"/>
          </w:tcPr>
          <w:p w14:paraId="7513D0B9"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143B443E" w14:textId="77777777" w:rsidR="0012790E" w:rsidRPr="001C06E6" w:rsidRDefault="0012790E">
            <w:pPr>
              <w:pStyle w:val="AgencyName"/>
              <w:keepNext/>
            </w:pPr>
          </w:p>
        </w:tc>
        <w:tc>
          <w:tcPr>
            <w:tcW w:w="1045" w:type="dxa"/>
            <w:tcBorders>
              <w:top w:val="single" w:sz="4" w:space="0" w:color="293F5B"/>
            </w:tcBorders>
            <w:shd w:val="clear" w:color="auto" w:fill="auto"/>
          </w:tcPr>
          <w:p w14:paraId="40B5BBE4" w14:textId="77777777" w:rsidR="0012790E" w:rsidRPr="001C06E6" w:rsidRDefault="0012790E">
            <w:pPr>
              <w:pStyle w:val="AgencyName"/>
              <w:keepNext/>
            </w:pPr>
          </w:p>
        </w:tc>
        <w:tc>
          <w:tcPr>
            <w:tcW w:w="1045" w:type="dxa"/>
            <w:tcBorders>
              <w:top w:val="single" w:sz="4" w:space="0" w:color="293F5B"/>
            </w:tcBorders>
            <w:shd w:val="clear" w:color="auto" w:fill="auto"/>
          </w:tcPr>
          <w:p w14:paraId="16F5EA9B" w14:textId="77777777" w:rsidR="0012790E" w:rsidRPr="001C06E6" w:rsidRDefault="0012790E">
            <w:pPr>
              <w:pStyle w:val="AgencyName"/>
              <w:keepNext/>
            </w:pPr>
          </w:p>
        </w:tc>
        <w:tc>
          <w:tcPr>
            <w:tcW w:w="1045" w:type="dxa"/>
            <w:tcBorders>
              <w:top w:val="single" w:sz="4" w:space="0" w:color="293F5B"/>
            </w:tcBorders>
            <w:shd w:val="clear" w:color="auto" w:fill="auto"/>
          </w:tcPr>
          <w:p w14:paraId="7335E870" w14:textId="77777777" w:rsidR="0012790E" w:rsidRPr="001C06E6" w:rsidRDefault="0012790E">
            <w:pPr>
              <w:pStyle w:val="AgencyName"/>
              <w:keepNext/>
            </w:pPr>
          </w:p>
        </w:tc>
        <w:tc>
          <w:tcPr>
            <w:tcW w:w="1045" w:type="dxa"/>
            <w:tcBorders>
              <w:top w:val="single" w:sz="4" w:space="0" w:color="293F5B"/>
            </w:tcBorders>
            <w:shd w:val="clear" w:color="auto" w:fill="auto"/>
          </w:tcPr>
          <w:p w14:paraId="7623105D" w14:textId="77777777" w:rsidR="0012790E" w:rsidRPr="001C06E6" w:rsidRDefault="0012790E">
            <w:pPr>
              <w:pStyle w:val="AgencyName"/>
              <w:keepNext/>
            </w:pPr>
          </w:p>
        </w:tc>
      </w:tr>
      <w:tr w:rsidR="0012790E" w:rsidRPr="001C06E6" w14:paraId="1C273B63" w14:textId="77777777">
        <w:tc>
          <w:tcPr>
            <w:tcW w:w="2497" w:type="dxa"/>
            <w:tcBorders>
              <w:bottom w:val="single" w:sz="4" w:space="0" w:color="293F5B"/>
            </w:tcBorders>
            <w:shd w:val="clear" w:color="auto" w:fill="auto"/>
          </w:tcPr>
          <w:p w14:paraId="05043EBC" w14:textId="77777777" w:rsidR="0012790E" w:rsidRPr="001C06E6" w:rsidRDefault="0012790E">
            <w:pPr>
              <w:pStyle w:val="AgencyNamewith2ptsspacing"/>
              <w:keepNext/>
            </w:pPr>
            <w:r w:rsidRPr="001C06E6">
              <w:t>Australian Taxation Office</w:t>
            </w:r>
          </w:p>
        </w:tc>
        <w:tc>
          <w:tcPr>
            <w:tcW w:w="1045" w:type="dxa"/>
            <w:tcBorders>
              <w:bottom w:val="single" w:sz="4" w:space="0" w:color="293F5B"/>
            </w:tcBorders>
            <w:shd w:val="clear" w:color="auto" w:fill="auto"/>
          </w:tcPr>
          <w:p w14:paraId="0EE75E82"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5D215B25" w14:textId="08E8EDF7" w:rsidR="0012790E" w:rsidRPr="001C06E6" w:rsidRDefault="00025904">
            <w:pPr>
              <w:pStyle w:val="Measuretabledatarightaligneditalics"/>
              <w:keepNext/>
            </w:pPr>
            <w:r>
              <w:t>..</w:t>
            </w:r>
          </w:p>
        </w:tc>
        <w:tc>
          <w:tcPr>
            <w:tcW w:w="1045" w:type="dxa"/>
            <w:tcBorders>
              <w:bottom w:val="single" w:sz="4" w:space="0" w:color="293F5B"/>
            </w:tcBorders>
            <w:shd w:val="clear" w:color="auto" w:fill="auto"/>
          </w:tcPr>
          <w:p w14:paraId="63B283F0" w14:textId="6AFDD96C" w:rsidR="0012790E" w:rsidRPr="001C06E6" w:rsidRDefault="00025904">
            <w:pPr>
              <w:pStyle w:val="Measuretabledatarightaligneditalics"/>
              <w:keepNext/>
            </w:pPr>
            <w:r>
              <w:t>..</w:t>
            </w:r>
          </w:p>
        </w:tc>
        <w:tc>
          <w:tcPr>
            <w:tcW w:w="1045" w:type="dxa"/>
            <w:tcBorders>
              <w:bottom w:val="single" w:sz="4" w:space="0" w:color="293F5B"/>
            </w:tcBorders>
            <w:shd w:val="clear" w:color="auto" w:fill="auto"/>
          </w:tcPr>
          <w:p w14:paraId="527C84CC" w14:textId="278AE305" w:rsidR="0012790E" w:rsidRPr="001C06E6" w:rsidRDefault="00025904">
            <w:pPr>
              <w:pStyle w:val="Measuretabledatarightaligneditalics"/>
              <w:keepNext/>
            </w:pPr>
            <w:r>
              <w:t>..</w:t>
            </w:r>
          </w:p>
        </w:tc>
        <w:tc>
          <w:tcPr>
            <w:tcW w:w="1045" w:type="dxa"/>
            <w:tcBorders>
              <w:bottom w:val="single" w:sz="4" w:space="0" w:color="293F5B"/>
            </w:tcBorders>
            <w:shd w:val="clear" w:color="auto" w:fill="auto"/>
          </w:tcPr>
          <w:p w14:paraId="0DFF748F" w14:textId="1634081E" w:rsidR="0012790E" w:rsidRPr="001C06E6" w:rsidRDefault="00025904">
            <w:pPr>
              <w:pStyle w:val="Measuretabledatarightaligneditalics"/>
              <w:keepNext/>
            </w:pPr>
            <w:r>
              <w:t>..</w:t>
            </w:r>
          </w:p>
        </w:tc>
      </w:tr>
    </w:tbl>
    <w:p w14:paraId="281E099A" w14:textId="77777777" w:rsidR="0012790E" w:rsidRPr="001C06E6" w:rsidRDefault="0012790E">
      <w:pPr>
        <w:keepNext/>
        <w:widowControl w:val="0"/>
        <w:tabs>
          <w:tab w:val="right" w:pos="3536"/>
          <w:tab w:val="right" w:pos="4579"/>
          <w:tab w:val="right" w:pos="5622"/>
          <w:tab w:val="right" w:pos="6664"/>
          <w:tab w:val="right" w:pos="7707"/>
        </w:tabs>
        <w:spacing w:line="240" w:lineRule="exact"/>
        <w:rPr>
          <w:i/>
          <w:color w:val="000000"/>
          <w:sz w:val="16"/>
          <w:szCs w:val="24"/>
          <w:lang w:val="en-AU"/>
        </w:rPr>
      </w:pPr>
    </w:p>
    <w:p w14:paraId="23631B1C" w14:textId="77777777" w:rsidR="0012790E" w:rsidRDefault="0012790E">
      <w:pPr>
        <w:pStyle w:val="Normal2"/>
      </w:pPr>
      <w:r w:rsidRPr="54937204">
        <w:rPr>
          <w:lang w:val="en-US"/>
        </w:rPr>
        <w:t xml:space="preserve">The Government will provide $41.2 million over five years from 2023–24 (and $7.0 million per year ongoing from 2028–29) to extend eligibility for the existing higher rate of </w:t>
      </w:r>
      <w:r w:rsidRPr="54937204">
        <w:rPr>
          <w:i/>
          <w:iCs/>
          <w:lang w:val="en-US"/>
        </w:rPr>
        <w:t>JobSeeker</w:t>
      </w:r>
      <w:r w:rsidRPr="54937204">
        <w:rPr>
          <w:lang w:val="en-US"/>
        </w:rPr>
        <w:t xml:space="preserve"> payment to single recipients with a partial capacity to work of zero to 14 hours per week from 20 September 2024. </w:t>
      </w:r>
    </w:p>
    <w:p w14:paraId="2C13C38F" w14:textId="77777777" w:rsidR="0012790E" w:rsidRDefault="0012790E">
      <w:pPr>
        <w:pStyle w:val="Normal2"/>
      </w:pPr>
      <w:r w:rsidRPr="54937204">
        <w:rPr>
          <w:lang w:val="en-US"/>
        </w:rPr>
        <w:t xml:space="preserve">The higher </w:t>
      </w:r>
      <w:r w:rsidRPr="54937204">
        <w:rPr>
          <w:i/>
          <w:iCs/>
          <w:lang w:val="en-US"/>
        </w:rPr>
        <w:t>JobSeeker</w:t>
      </w:r>
      <w:r w:rsidRPr="54937204">
        <w:rPr>
          <w:lang w:val="en-US"/>
        </w:rPr>
        <w:t xml:space="preserve"> payment rate is currently provided to single recipients with dependent children and those aged 55 and over who have been on payment for nine continuous months or more. </w:t>
      </w:r>
    </w:p>
    <w:p w14:paraId="0D421C3E" w14:textId="77777777" w:rsidR="0012790E" w:rsidRDefault="0012790E">
      <w:pPr>
        <w:pStyle w:val="Normal2"/>
      </w:pPr>
      <w:r w:rsidRPr="54937204">
        <w:rPr>
          <w:lang w:val="en-US"/>
        </w:rPr>
        <w:t xml:space="preserve">There is expected to be a minor increase in personal income tax receipts each year as a result of this measure. </w:t>
      </w:r>
    </w:p>
    <w:p w14:paraId="3C424174" w14:textId="77777777" w:rsidR="0012790E" w:rsidRPr="001C06E6" w:rsidRDefault="0012790E">
      <w:pPr>
        <w:pStyle w:val="Normal2"/>
      </w:pPr>
      <w:r w:rsidRPr="001C06E6">
        <w:t xml:space="preserve">This measure builds on the </w:t>
      </w:r>
      <w:r>
        <w:t>2023–24 </w:t>
      </w:r>
      <w:r w:rsidRPr="001C06E6">
        <w:t xml:space="preserve">Budget measure titled </w:t>
      </w:r>
      <w:r w:rsidRPr="001C06E6">
        <w:rPr>
          <w:i/>
        </w:rPr>
        <w:t>Increase to Working Age</w:t>
      </w:r>
      <w:r>
        <w:rPr>
          <w:i/>
        </w:rPr>
        <w:t xml:space="preserve"> </w:t>
      </w:r>
      <w:r w:rsidRPr="001C06E6">
        <w:rPr>
          <w:i/>
        </w:rPr>
        <w:t>Payments.</w:t>
      </w:r>
      <w:r>
        <w:rPr>
          <w:i/>
        </w:rPr>
        <w:t xml:space="preserve"> </w:t>
      </w:r>
    </w:p>
    <w:p w14:paraId="54D5CB31" w14:textId="77777777" w:rsidR="0012790E" w:rsidRPr="001C06E6" w:rsidRDefault="0012790E">
      <w:pPr>
        <w:pStyle w:val="MeasureTitle"/>
        <w:rPr>
          <w:b w:val="0"/>
          <w:szCs w:val="24"/>
        </w:rPr>
      </w:pPr>
      <w:r w:rsidRPr="001C06E6">
        <w:rPr>
          <w:szCs w:val="24"/>
        </w:rPr>
        <w:t>A Stronger and More Diverse and Independent Community Sector</w:t>
      </w:r>
    </w:p>
    <w:p w14:paraId="28E0FEA7"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919D77C" w14:textId="77777777">
        <w:tc>
          <w:tcPr>
            <w:tcW w:w="2497" w:type="dxa"/>
            <w:tcBorders>
              <w:top w:val="single" w:sz="4" w:space="0" w:color="293F5B"/>
              <w:bottom w:val="single" w:sz="4" w:space="0" w:color="293F5B"/>
            </w:tcBorders>
            <w:shd w:val="clear" w:color="auto" w:fill="auto"/>
          </w:tcPr>
          <w:p w14:paraId="5A961D11"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BE5EB31"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E7CA4B8"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EC81298"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C7E0C55"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AAC2526" w14:textId="77777777" w:rsidR="0012790E" w:rsidRPr="001C06E6" w:rsidRDefault="0012790E">
            <w:pPr>
              <w:pStyle w:val="MeasureTableYearHeadings"/>
              <w:keepNext/>
            </w:pPr>
            <w:r w:rsidRPr="001C06E6">
              <w:t>2027</w:t>
            </w:r>
            <w:r>
              <w:noBreakHyphen/>
            </w:r>
            <w:r w:rsidRPr="001C06E6">
              <w:t>28</w:t>
            </w:r>
          </w:p>
        </w:tc>
      </w:tr>
      <w:tr w:rsidR="0012790E" w:rsidRPr="001C06E6" w14:paraId="6F29C814" w14:textId="77777777">
        <w:tc>
          <w:tcPr>
            <w:tcW w:w="2497" w:type="dxa"/>
            <w:tcBorders>
              <w:top w:val="single" w:sz="4" w:space="0" w:color="293F5B"/>
              <w:bottom w:val="single" w:sz="4" w:space="0" w:color="293F5B"/>
            </w:tcBorders>
            <w:shd w:val="clear" w:color="auto" w:fill="auto"/>
          </w:tcPr>
          <w:p w14:paraId="3F6C57C2"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3A6F91A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533AE4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AB0AD6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6F8642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22777BF" w14:textId="77777777" w:rsidR="0012790E" w:rsidRPr="001C06E6" w:rsidRDefault="0012790E">
            <w:pPr>
              <w:pStyle w:val="MeasureTableDataRightAlignedwith2ptsspacing"/>
              <w:keepNext/>
            </w:pPr>
            <w:r w:rsidRPr="001C06E6">
              <w:t>-</w:t>
            </w:r>
          </w:p>
        </w:tc>
      </w:tr>
    </w:tbl>
    <w:p w14:paraId="30EDA479"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24"/>
          <w:lang w:val="en-AU"/>
        </w:rPr>
      </w:pPr>
    </w:p>
    <w:p w14:paraId="27CB7D84" w14:textId="77777777" w:rsidR="0012790E" w:rsidRDefault="0012790E">
      <w:pPr>
        <w:pStyle w:val="Normal2"/>
      </w:pPr>
      <w:r w:rsidRPr="54937204">
        <w:rPr>
          <w:lang w:val="en-US"/>
        </w:rPr>
        <w:t xml:space="preserve">The Government will provide $2.4 million over two years from 2024–25 for the Department of Social Services to develop a community sector partnership framework, in consultation with the Community Services Advisory Group. The framework will drive administrative and cultural change across government agencies, to deliver grants that are designed to better serve the sustainability of community sector organisations and ensure better outcomes are achieved in delivering government policy. </w:t>
      </w:r>
    </w:p>
    <w:p w14:paraId="449AF656" w14:textId="77777777" w:rsidR="0012790E" w:rsidRDefault="0012790E">
      <w:pPr>
        <w:pStyle w:val="Normal2"/>
      </w:pPr>
      <w:r w:rsidRPr="54937204">
        <w:rPr>
          <w:lang w:val="en-US"/>
        </w:rPr>
        <w:t xml:space="preserve">The cost of this measure will be met from within the existing resourcing of the Department of Social Services. </w:t>
      </w:r>
    </w:p>
    <w:p w14:paraId="07E922BA" w14:textId="77777777" w:rsidR="0012790E" w:rsidRDefault="0012790E">
      <w:pPr>
        <w:pStyle w:val="Normal2"/>
      </w:pPr>
      <w:r w:rsidRPr="54937204">
        <w:rPr>
          <w:lang w:val="en-US"/>
        </w:rPr>
        <w:t xml:space="preserve">This measure builds on the 2022–23 October Budget measure titled </w:t>
      </w:r>
      <w:r w:rsidRPr="54937204">
        <w:rPr>
          <w:i/>
          <w:iCs/>
          <w:lang w:val="en-US"/>
        </w:rPr>
        <w:t>Support for Community Sector Organisations</w:t>
      </w:r>
      <w:r w:rsidRPr="54937204">
        <w:rPr>
          <w:lang w:val="en-US"/>
        </w:rPr>
        <w:t xml:space="preserve"> and the change in the 2023–24 Budget to update the methodology for determining wage cost indexation to provide greater ongoing financial support to grant recipients, including community sector organisations. </w:t>
      </w:r>
    </w:p>
    <w:p w14:paraId="15E5F91D" w14:textId="77777777" w:rsidR="0012790E" w:rsidRPr="001C06E6" w:rsidRDefault="0012790E" w:rsidP="54937204">
      <w:pPr>
        <w:pStyle w:val="MeasureTitle"/>
        <w:rPr>
          <w:b w:val="0"/>
          <w:lang w:val="en-US"/>
        </w:rPr>
      </w:pPr>
      <w:r w:rsidRPr="54937204">
        <w:rPr>
          <w:lang w:val="en-US"/>
        </w:rPr>
        <w:t>Additional Funding to Expand Jindelara Cottage Ulladulla</w:t>
      </w:r>
    </w:p>
    <w:p w14:paraId="32928236"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185E850" w14:textId="77777777">
        <w:tc>
          <w:tcPr>
            <w:tcW w:w="2497" w:type="dxa"/>
            <w:tcBorders>
              <w:top w:val="single" w:sz="4" w:space="0" w:color="293F5B"/>
              <w:bottom w:val="single" w:sz="4" w:space="0" w:color="293F5B"/>
            </w:tcBorders>
            <w:shd w:val="clear" w:color="auto" w:fill="auto"/>
          </w:tcPr>
          <w:p w14:paraId="399A1FB1"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8BEAD7A"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6121BE6"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2FC54D0D"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F29C75C"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0D1F3E1" w14:textId="77777777" w:rsidR="0012790E" w:rsidRPr="001C06E6" w:rsidRDefault="0012790E">
            <w:pPr>
              <w:pStyle w:val="MeasureTableYearHeadings"/>
              <w:keepNext/>
            </w:pPr>
            <w:r w:rsidRPr="001C06E6">
              <w:t>2027</w:t>
            </w:r>
            <w:r>
              <w:noBreakHyphen/>
            </w:r>
            <w:r w:rsidRPr="001C06E6">
              <w:t>28</w:t>
            </w:r>
          </w:p>
        </w:tc>
      </w:tr>
      <w:tr w:rsidR="0012790E" w:rsidRPr="001C06E6" w14:paraId="689C7765" w14:textId="77777777">
        <w:tc>
          <w:tcPr>
            <w:tcW w:w="2497" w:type="dxa"/>
            <w:tcBorders>
              <w:top w:val="single" w:sz="4" w:space="0" w:color="293F5B"/>
              <w:bottom w:val="single" w:sz="4" w:space="0" w:color="293F5B"/>
            </w:tcBorders>
            <w:shd w:val="clear" w:color="auto" w:fill="auto"/>
          </w:tcPr>
          <w:p w14:paraId="192E1C48"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18FFBA1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593E11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52E570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DCD085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DC70F22" w14:textId="77777777" w:rsidR="0012790E" w:rsidRPr="001C06E6" w:rsidRDefault="0012790E">
            <w:pPr>
              <w:pStyle w:val="MeasureTableDataRightAlignedwith2ptsspacing"/>
              <w:keepNext/>
            </w:pPr>
            <w:r w:rsidRPr="001C06E6">
              <w:t>-</w:t>
            </w:r>
          </w:p>
        </w:tc>
      </w:tr>
    </w:tbl>
    <w:p w14:paraId="559D5B0C"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24"/>
          <w:lang w:val="en-AU"/>
        </w:rPr>
      </w:pPr>
    </w:p>
    <w:p w14:paraId="10BAB0C8" w14:textId="77777777" w:rsidR="0012790E" w:rsidRDefault="0012790E">
      <w:pPr>
        <w:pStyle w:val="Normal2"/>
      </w:pPr>
      <w:r w:rsidRPr="54937204">
        <w:rPr>
          <w:lang w:val="en-US"/>
        </w:rPr>
        <w:t xml:space="preserve">The Government has provided $0.2 million in 2023–24 to the Lions Ulladulla District Community Foundation for the refurbishment and construction of permanent residential accommodation for people with disability at Jindelara Cottage in Ulladulla, New South Wales. </w:t>
      </w:r>
    </w:p>
    <w:p w14:paraId="651C9ED4" w14:textId="77777777" w:rsidR="0012790E" w:rsidRDefault="0012790E">
      <w:pPr>
        <w:pStyle w:val="Normal2"/>
      </w:pPr>
      <w:r w:rsidRPr="54937204">
        <w:rPr>
          <w:lang w:val="en-US"/>
        </w:rPr>
        <w:t xml:space="preserve">The cost of this measure will be met from a reprioritisation of funding from within the Social Services portfolio. </w:t>
      </w:r>
    </w:p>
    <w:p w14:paraId="1606115F" w14:textId="77777777" w:rsidR="0012790E" w:rsidRDefault="0012790E">
      <w:pPr>
        <w:pStyle w:val="Normal2"/>
      </w:pPr>
      <w:r w:rsidRPr="001C06E6">
        <w:t xml:space="preserve">This measure builds on the </w:t>
      </w:r>
      <w:r>
        <w:t>2022–23</w:t>
      </w:r>
      <w:r w:rsidRPr="001C06E6">
        <w:t xml:space="preserve"> October Budget measure titled </w:t>
      </w:r>
      <w:r w:rsidRPr="001C06E6">
        <w:rPr>
          <w:i/>
        </w:rPr>
        <w:t>Plan for the</w:t>
      </w:r>
      <w:r>
        <w:rPr>
          <w:i/>
        </w:rPr>
        <w:t xml:space="preserve"> </w:t>
      </w:r>
      <w:r w:rsidRPr="001C06E6">
        <w:rPr>
          <w:i/>
        </w:rPr>
        <w:t>National Disability Insurance Scheme</w:t>
      </w:r>
      <w:r w:rsidRPr="001C06E6">
        <w:t>.</w:t>
      </w:r>
      <w:r>
        <w:t xml:space="preserve"> </w:t>
      </w:r>
    </w:p>
    <w:p w14:paraId="01D521A3" w14:textId="77777777" w:rsidR="0012790E" w:rsidRPr="001C06E6" w:rsidRDefault="0012790E" w:rsidP="54937204">
      <w:pPr>
        <w:pStyle w:val="MeasureTitle"/>
        <w:rPr>
          <w:b w:val="0"/>
          <w:lang w:val="en-US"/>
        </w:rPr>
      </w:pPr>
      <w:r w:rsidRPr="54937204">
        <w:rPr>
          <w:lang w:val="en-US"/>
        </w:rPr>
        <w:t>Australian Orphanage Museum – additional funding</w:t>
      </w:r>
    </w:p>
    <w:p w14:paraId="68781F90"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59E5B5B" w14:textId="77777777">
        <w:tc>
          <w:tcPr>
            <w:tcW w:w="2497" w:type="dxa"/>
            <w:tcBorders>
              <w:top w:val="single" w:sz="4" w:space="0" w:color="293F5B"/>
              <w:bottom w:val="single" w:sz="4" w:space="0" w:color="293F5B"/>
            </w:tcBorders>
            <w:shd w:val="clear" w:color="auto" w:fill="auto"/>
          </w:tcPr>
          <w:p w14:paraId="635FBDB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AFEF81D"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5281656C"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491CC7DC"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02C24C7"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88BC8AC" w14:textId="77777777" w:rsidR="0012790E" w:rsidRPr="001C06E6" w:rsidRDefault="0012790E">
            <w:pPr>
              <w:pStyle w:val="MeasureTableYearHeadings"/>
              <w:keepNext/>
            </w:pPr>
            <w:r w:rsidRPr="001C06E6">
              <w:t>2027</w:t>
            </w:r>
            <w:r>
              <w:noBreakHyphen/>
            </w:r>
            <w:r w:rsidRPr="001C06E6">
              <w:t>28</w:t>
            </w:r>
          </w:p>
        </w:tc>
      </w:tr>
      <w:tr w:rsidR="0012790E" w:rsidRPr="001C06E6" w14:paraId="1491B594" w14:textId="77777777">
        <w:tc>
          <w:tcPr>
            <w:tcW w:w="2497" w:type="dxa"/>
            <w:tcBorders>
              <w:top w:val="single" w:sz="4" w:space="0" w:color="293F5B"/>
              <w:bottom w:val="single" w:sz="4" w:space="0" w:color="293F5B"/>
            </w:tcBorders>
            <w:shd w:val="clear" w:color="auto" w:fill="auto"/>
          </w:tcPr>
          <w:p w14:paraId="372388FA"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694AAD4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0E610B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51C6F2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EE2402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8C40F73" w14:textId="77777777" w:rsidR="0012790E" w:rsidRPr="001C06E6" w:rsidRDefault="0012790E">
            <w:pPr>
              <w:pStyle w:val="MeasureTableDataRightAlignedwith2ptsspacing"/>
              <w:keepNext/>
            </w:pPr>
            <w:r w:rsidRPr="001C06E6">
              <w:t>-</w:t>
            </w:r>
          </w:p>
        </w:tc>
      </w:tr>
    </w:tbl>
    <w:p w14:paraId="34EF998D"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24"/>
          <w:lang w:val="en-AU"/>
        </w:rPr>
      </w:pPr>
    </w:p>
    <w:p w14:paraId="66E28532" w14:textId="77777777" w:rsidR="0012790E" w:rsidRDefault="0012790E">
      <w:pPr>
        <w:pStyle w:val="Normal2"/>
      </w:pPr>
      <w:r w:rsidRPr="54937204">
        <w:rPr>
          <w:lang w:val="en-US"/>
        </w:rPr>
        <w:t>The Government will provide additional funding of $1.0 million over three years from 2023–24 to the Australian Orphanage Museum, including:</w:t>
      </w:r>
    </w:p>
    <w:p w14:paraId="1B1CBA3D" w14:textId="77777777" w:rsidR="0012790E" w:rsidRDefault="0012790E">
      <w:pPr>
        <w:pStyle w:val="Bullet"/>
      </w:pPr>
      <w:r w:rsidRPr="001C06E6">
        <w:t>$0.8</w:t>
      </w:r>
      <w:r>
        <w:t> </w:t>
      </w:r>
      <w:r w:rsidRPr="001C06E6">
        <w:t xml:space="preserve">million in </w:t>
      </w:r>
      <w:r>
        <w:t>2023–24</w:t>
      </w:r>
      <w:r w:rsidRPr="001C06E6">
        <w:t xml:space="preserve"> for capital works</w:t>
      </w:r>
      <w:r>
        <w:t xml:space="preserve"> </w:t>
      </w:r>
    </w:p>
    <w:p w14:paraId="38217F4A" w14:textId="77777777" w:rsidR="0012790E" w:rsidRDefault="0012790E">
      <w:pPr>
        <w:pStyle w:val="Bullet"/>
      </w:pPr>
      <w:r w:rsidRPr="001C06E6">
        <w:t>$0.3</w:t>
      </w:r>
      <w:r>
        <w:t> </w:t>
      </w:r>
      <w:r w:rsidRPr="001C06E6">
        <w:t xml:space="preserve">million over two years from </w:t>
      </w:r>
      <w:r>
        <w:t>2024–25</w:t>
      </w:r>
      <w:r w:rsidRPr="001C06E6">
        <w:t xml:space="preserve"> to cover operational costs.</w:t>
      </w:r>
      <w:r>
        <w:t xml:space="preserve"> </w:t>
      </w:r>
    </w:p>
    <w:p w14:paraId="781D1E82" w14:textId="77777777" w:rsidR="0012790E" w:rsidRDefault="0012790E">
      <w:pPr>
        <w:pStyle w:val="Normal2"/>
      </w:pPr>
      <w:r w:rsidRPr="54937204">
        <w:rPr>
          <w:lang w:val="en-US"/>
        </w:rPr>
        <w:t xml:space="preserve">The cost of this measure will be met from within the existing resourcing of the Department of Social Services. </w:t>
      </w:r>
    </w:p>
    <w:p w14:paraId="10285F42" w14:textId="77777777" w:rsidR="0012790E" w:rsidRPr="001C06E6" w:rsidRDefault="0012790E">
      <w:pPr>
        <w:pStyle w:val="MeasureTitle"/>
        <w:rPr>
          <w:b w:val="0"/>
          <w:szCs w:val="24"/>
        </w:rPr>
      </w:pPr>
      <w:r w:rsidRPr="001C06E6">
        <w:rPr>
          <w:szCs w:val="24"/>
        </w:rPr>
        <w:t>Carer Payment – increased flexibility</w:t>
      </w:r>
    </w:p>
    <w:p w14:paraId="77DB2E88"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F48B234" w14:textId="77777777">
        <w:tc>
          <w:tcPr>
            <w:tcW w:w="2497" w:type="dxa"/>
            <w:tcBorders>
              <w:top w:val="single" w:sz="4" w:space="0" w:color="293F5B"/>
              <w:bottom w:val="single" w:sz="4" w:space="0" w:color="293F5B"/>
            </w:tcBorders>
            <w:shd w:val="clear" w:color="auto" w:fill="auto"/>
          </w:tcPr>
          <w:p w14:paraId="2E950328"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5A6D0CD"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0BA515F4"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5747DE12"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B1F4DB9"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AF5B5B4" w14:textId="77777777" w:rsidR="0012790E" w:rsidRPr="001C06E6" w:rsidRDefault="0012790E">
            <w:pPr>
              <w:pStyle w:val="MeasureTableYearHeadings"/>
              <w:keepNext/>
            </w:pPr>
            <w:r w:rsidRPr="001C06E6">
              <w:t>2027</w:t>
            </w:r>
            <w:r>
              <w:noBreakHyphen/>
            </w:r>
            <w:r w:rsidRPr="001C06E6">
              <w:t>28</w:t>
            </w:r>
          </w:p>
        </w:tc>
      </w:tr>
      <w:tr w:rsidR="0012790E" w:rsidRPr="001C06E6" w14:paraId="44B57CA4" w14:textId="77777777">
        <w:tc>
          <w:tcPr>
            <w:tcW w:w="2497" w:type="dxa"/>
            <w:tcBorders>
              <w:top w:val="single" w:sz="4" w:space="0" w:color="293F5B"/>
              <w:bottom w:val="single" w:sz="4" w:space="0" w:color="293F5B"/>
            </w:tcBorders>
            <w:shd w:val="clear" w:color="auto" w:fill="auto"/>
          </w:tcPr>
          <w:p w14:paraId="62E93973"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284DD256"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4C8AF3C0" w14:textId="77777777" w:rsidR="0012790E" w:rsidRPr="001C06E6" w:rsidRDefault="0012790E">
            <w:pPr>
              <w:pStyle w:val="MeasureTableDataRightAlignedwith2ptsspacing"/>
              <w:keepNext/>
            </w:pPr>
            <w:r w:rsidRPr="001C06E6">
              <w:t>8.7</w:t>
            </w:r>
          </w:p>
        </w:tc>
        <w:tc>
          <w:tcPr>
            <w:tcW w:w="1045" w:type="dxa"/>
            <w:tcBorders>
              <w:top w:val="single" w:sz="4" w:space="0" w:color="293F5B"/>
              <w:bottom w:val="single" w:sz="4" w:space="0" w:color="293F5B"/>
            </w:tcBorders>
            <w:shd w:val="clear" w:color="auto" w:fill="auto"/>
          </w:tcPr>
          <w:p w14:paraId="09B5E3AC" w14:textId="77777777" w:rsidR="0012790E" w:rsidRPr="001C06E6" w:rsidRDefault="0012790E">
            <w:pPr>
              <w:pStyle w:val="MeasureTableDataRightAlignedwith2ptsspacing"/>
              <w:keepNext/>
            </w:pPr>
            <w:r w:rsidRPr="001C06E6">
              <w:t>1.4</w:t>
            </w:r>
          </w:p>
        </w:tc>
        <w:tc>
          <w:tcPr>
            <w:tcW w:w="1045" w:type="dxa"/>
            <w:tcBorders>
              <w:top w:val="single" w:sz="4" w:space="0" w:color="293F5B"/>
              <w:bottom w:val="single" w:sz="4" w:space="0" w:color="293F5B"/>
            </w:tcBorders>
            <w:shd w:val="clear" w:color="auto" w:fill="auto"/>
          </w:tcPr>
          <w:p w14:paraId="21EBE593" w14:textId="77777777" w:rsidR="0012790E" w:rsidRPr="001C06E6" w:rsidRDefault="0012790E">
            <w:pPr>
              <w:pStyle w:val="MeasureTableDataRightAlignedwith2ptsspacing"/>
              <w:keepNext/>
            </w:pPr>
            <w:r w:rsidRPr="001C06E6">
              <w:t>1.0</w:t>
            </w:r>
          </w:p>
        </w:tc>
        <w:tc>
          <w:tcPr>
            <w:tcW w:w="1045" w:type="dxa"/>
            <w:tcBorders>
              <w:top w:val="single" w:sz="4" w:space="0" w:color="293F5B"/>
              <w:bottom w:val="single" w:sz="4" w:space="0" w:color="293F5B"/>
            </w:tcBorders>
            <w:shd w:val="clear" w:color="auto" w:fill="auto"/>
          </w:tcPr>
          <w:p w14:paraId="71D2F2B2" w14:textId="77777777" w:rsidR="0012790E" w:rsidRPr="001C06E6" w:rsidRDefault="0012790E">
            <w:pPr>
              <w:pStyle w:val="MeasureTableDataRightAlignedwith2ptsspacing"/>
              <w:keepNext/>
            </w:pPr>
            <w:r w:rsidRPr="001C06E6">
              <w:t>1.0</w:t>
            </w:r>
          </w:p>
        </w:tc>
      </w:tr>
      <w:tr w:rsidR="0012790E" w:rsidRPr="001C06E6" w14:paraId="5E3EF41D" w14:textId="77777777">
        <w:tc>
          <w:tcPr>
            <w:tcW w:w="2497" w:type="dxa"/>
            <w:tcBorders>
              <w:top w:val="single" w:sz="4" w:space="0" w:color="293F5B"/>
              <w:bottom w:val="single" w:sz="4" w:space="0" w:color="293F5B"/>
            </w:tcBorders>
            <w:shd w:val="clear" w:color="auto" w:fill="auto"/>
          </w:tcPr>
          <w:p w14:paraId="017B81AA"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7A2A015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88160DC" w14:textId="77777777" w:rsidR="0012790E" w:rsidRPr="001C06E6" w:rsidRDefault="0012790E">
            <w:pPr>
              <w:pStyle w:val="MeasureTableDataRightAlignedwith2ptsspacing"/>
              <w:keepNext/>
            </w:pPr>
            <w:r w:rsidRPr="001C06E6">
              <w:t>0.6</w:t>
            </w:r>
          </w:p>
        </w:tc>
        <w:tc>
          <w:tcPr>
            <w:tcW w:w="1045" w:type="dxa"/>
            <w:tcBorders>
              <w:top w:val="single" w:sz="4" w:space="0" w:color="293F5B"/>
              <w:bottom w:val="single" w:sz="4" w:space="0" w:color="293F5B"/>
            </w:tcBorders>
            <w:shd w:val="clear" w:color="auto" w:fill="auto"/>
          </w:tcPr>
          <w:p w14:paraId="566DB49B" w14:textId="77777777" w:rsidR="0012790E" w:rsidRPr="001C06E6" w:rsidRDefault="0012790E">
            <w:pPr>
              <w:pStyle w:val="MeasureTableDataRightAlignedwith2ptsspacing"/>
              <w:keepNext/>
            </w:pPr>
            <w:r w:rsidRPr="001C06E6">
              <w:t>1.8</w:t>
            </w:r>
          </w:p>
        </w:tc>
        <w:tc>
          <w:tcPr>
            <w:tcW w:w="1045" w:type="dxa"/>
            <w:tcBorders>
              <w:top w:val="single" w:sz="4" w:space="0" w:color="293F5B"/>
              <w:bottom w:val="single" w:sz="4" w:space="0" w:color="293F5B"/>
            </w:tcBorders>
            <w:shd w:val="clear" w:color="auto" w:fill="auto"/>
          </w:tcPr>
          <w:p w14:paraId="49B69299" w14:textId="77777777" w:rsidR="0012790E" w:rsidRPr="001C06E6" w:rsidRDefault="0012790E">
            <w:pPr>
              <w:pStyle w:val="MeasureTableDataRightAlignedwith2ptsspacing"/>
              <w:keepNext/>
            </w:pPr>
            <w:r w:rsidRPr="001C06E6">
              <w:t>1.9</w:t>
            </w:r>
          </w:p>
        </w:tc>
        <w:tc>
          <w:tcPr>
            <w:tcW w:w="1045" w:type="dxa"/>
            <w:tcBorders>
              <w:top w:val="single" w:sz="4" w:space="0" w:color="293F5B"/>
              <w:bottom w:val="single" w:sz="4" w:space="0" w:color="293F5B"/>
            </w:tcBorders>
            <w:shd w:val="clear" w:color="auto" w:fill="auto"/>
          </w:tcPr>
          <w:p w14:paraId="7C22CDD2" w14:textId="77777777" w:rsidR="0012790E" w:rsidRPr="001C06E6" w:rsidRDefault="0012790E">
            <w:pPr>
              <w:pStyle w:val="MeasureTableDataRightAlignedwith2ptsspacing"/>
              <w:keepNext/>
            </w:pPr>
            <w:r w:rsidRPr="001C06E6">
              <w:t>2.0</w:t>
            </w:r>
          </w:p>
        </w:tc>
      </w:tr>
      <w:tr w:rsidR="0012790E" w:rsidRPr="001C06E6" w14:paraId="27EE0383" w14:textId="77777777">
        <w:tc>
          <w:tcPr>
            <w:tcW w:w="2497" w:type="dxa"/>
            <w:tcBorders>
              <w:top w:val="single" w:sz="4" w:space="0" w:color="293F5B"/>
              <w:bottom w:val="single" w:sz="4" w:space="0" w:color="293F5B"/>
            </w:tcBorders>
            <w:shd w:val="clear" w:color="auto" w:fill="auto"/>
          </w:tcPr>
          <w:p w14:paraId="3027DC12"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043268B9"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CE82DF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2373AE3"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BDAE31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747C8C5" w14:textId="77777777" w:rsidR="0012790E" w:rsidRPr="001C06E6" w:rsidRDefault="0012790E">
            <w:pPr>
              <w:pStyle w:val="MeasureTableDataRightAlignedwith2ptsspacing"/>
              <w:keepNext/>
            </w:pPr>
            <w:r>
              <w:t xml:space="preserve">.. </w:t>
            </w:r>
          </w:p>
        </w:tc>
      </w:tr>
      <w:tr w:rsidR="0012790E" w:rsidRPr="001C06E6" w14:paraId="3831984E" w14:textId="77777777">
        <w:tc>
          <w:tcPr>
            <w:tcW w:w="2497" w:type="dxa"/>
            <w:tcBorders>
              <w:top w:val="single" w:sz="4" w:space="0" w:color="293F5B"/>
              <w:bottom w:val="single" w:sz="4" w:space="0" w:color="293F5B"/>
            </w:tcBorders>
            <w:shd w:val="clear" w:color="auto" w:fill="auto"/>
          </w:tcPr>
          <w:p w14:paraId="7109792D"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137AA338" w14:textId="77777777" w:rsidR="0012790E" w:rsidRPr="001C06E6" w:rsidRDefault="0012790E">
            <w:pPr>
              <w:pStyle w:val="Totaldatarowrightaligned"/>
              <w:keepNext/>
            </w:pPr>
            <w:r w:rsidRPr="001C06E6">
              <w:t>0.1</w:t>
            </w:r>
          </w:p>
        </w:tc>
        <w:tc>
          <w:tcPr>
            <w:tcW w:w="1045" w:type="dxa"/>
            <w:tcBorders>
              <w:top w:val="single" w:sz="4" w:space="0" w:color="293F5B"/>
              <w:bottom w:val="single" w:sz="4" w:space="0" w:color="293F5B"/>
            </w:tcBorders>
            <w:shd w:val="clear" w:color="auto" w:fill="auto"/>
          </w:tcPr>
          <w:p w14:paraId="62D45629" w14:textId="77777777" w:rsidR="0012790E" w:rsidRPr="001C06E6" w:rsidRDefault="0012790E">
            <w:pPr>
              <w:pStyle w:val="Totaldatarowrightaligned"/>
              <w:keepNext/>
            </w:pPr>
            <w:r w:rsidRPr="001C06E6">
              <w:t>9.2</w:t>
            </w:r>
          </w:p>
        </w:tc>
        <w:tc>
          <w:tcPr>
            <w:tcW w:w="1045" w:type="dxa"/>
            <w:tcBorders>
              <w:top w:val="single" w:sz="4" w:space="0" w:color="293F5B"/>
              <w:bottom w:val="single" w:sz="4" w:space="0" w:color="293F5B"/>
            </w:tcBorders>
            <w:shd w:val="clear" w:color="auto" w:fill="auto"/>
          </w:tcPr>
          <w:p w14:paraId="06FA534A" w14:textId="77777777" w:rsidR="0012790E" w:rsidRPr="001C06E6" w:rsidRDefault="0012790E">
            <w:pPr>
              <w:pStyle w:val="Totaldatarowrightaligned"/>
              <w:keepNext/>
            </w:pPr>
            <w:r w:rsidRPr="001C06E6">
              <w:t>3.3</w:t>
            </w:r>
          </w:p>
        </w:tc>
        <w:tc>
          <w:tcPr>
            <w:tcW w:w="1045" w:type="dxa"/>
            <w:tcBorders>
              <w:top w:val="single" w:sz="4" w:space="0" w:color="293F5B"/>
              <w:bottom w:val="single" w:sz="4" w:space="0" w:color="293F5B"/>
            </w:tcBorders>
            <w:shd w:val="clear" w:color="auto" w:fill="auto"/>
          </w:tcPr>
          <w:p w14:paraId="4C5A030B" w14:textId="77777777" w:rsidR="0012790E" w:rsidRPr="001C06E6" w:rsidRDefault="0012790E">
            <w:pPr>
              <w:pStyle w:val="Totaldatarowrightaligned"/>
              <w:keepNext/>
            </w:pPr>
            <w:r w:rsidRPr="001C06E6">
              <w:t>3.0</w:t>
            </w:r>
          </w:p>
        </w:tc>
        <w:tc>
          <w:tcPr>
            <w:tcW w:w="1045" w:type="dxa"/>
            <w:tcBorders>
              <w:top w:val="single" w:sz="4" w:space="0" w:color="293F5B"/>
              <w:bottom w:val="single" w:sz="4" w:space="0" w:color="293F5B"/>
            </w:tcBorders>
            <w:shd w:val="clear" w:color="auto" w:fill="auto"/>
          </w:tcPr>
          <w:p w14:paraId="34338993" w14:textId="77777777" w:rsidR="0012790E" w:rsidRPr="001C06E6" w:rsidRDefault="0012790E">
            <w:pPr>
              <w:pStyle w:val="Totaldatarowrightaligned"/>
              <w:keepNext/>
            </w:pPr>
            <w:r w:rsidRPr="001C06E6">
              <w:t>3.1</w:t>
            </w:r>
          </w:p>
        </w:tc>
      </w:tr>
    </w:tbl>
    <w:p w14:paraId="61ACC240"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24"/>
          <w:lang w:val="en-AU"/>
        </w:rPr>
      </w:pPr>
    </w:p>
    <w:p w14:paraId="3BA4E9E4" w14:textId="77777777" w:rsidR="0012790E" w:rsidRDefault="0012790E">
      <w:pPr>
        <w:pStyle w:val="Normal2"/>
      </w:pPr>
      <w:r w:rsidRPr="54937204">
        <w:rPr>
          <w:lang w:val="en-US"/>
        </w:rPr>
        <w:t xml:space="preserve">The Government will provide $18.6 million over five years from 2023–24 (and $3.1 million per year ongoing) to support </w:t>
      </w:r>
      <w:r w:rsidRPr="54937204">
        <w:rPr>
          <w:i/>
          <w:iCs/>
          <w:lang w:val="en-US"/>
        </w:rPr>
        <w:t>Carer Payment</w:t>
      </w:r>
      <w:r w:rsidRPr="54937204">
        <w:rPr>
          <w:lang w:val="en-US"/>
        </w:rPr>
        <w:t xml:space="preserve"> recipients through increased flexibility to undertake work, study and volunteering activities. </w:t>
      </w:r>
    </w:p>
    <w:p w14:paraId="40ADA519" w14:textId="77777777" w:rsidR="0012790E" w:rsidRDefault="0012790E">
      <w:pPr>
        <w:pStyle w:val="Normal2"/>
      </w:pPr>
      <w:r w:rsidRPr="54937204">
        <w:rPr>
          <w:lang w:val="en-US"/>
        </w:rPr>
        <w:t xml:space="preserve">From 20 March 2025, the existing 25 hour per week participation limit for </w:t>
      </w:r>
      <w:r w:rsidRPr="54937204">
        <w:rPr>
          <w:i/>
          <w:iCs/>
          <w:lang w:val="en-US"/>
        </w:rPr>
        <w:t>Carer Payment</w:t>
      </w:r>
      <w:r w:rsidRPr="54937204">
        <w:rPr>
          <w:lang w:val="en-US"/>
        </w:rPr>
        <w:t xml:space="preserve"> recipients will be amended to 100 hours over four weeks. The participation limit will no longer capture study, volunteering activities and travel time and will only apply to employment. </w:t>
      </w:r>
    </w:p>
    <w:p w14:paraId="60A37EAE" w14:textId="77777777" w:rsidR="0012790E" w:rsidRDefault="0012790E">
      <w:pPr>
        <w:pStyle w:val="Normal2"/>
      </w:pPr>
      <w:r w:rsidRPr="54937204">
        <w:rPr>
          <w:i/>
          <w:iCs/>
          <w:lang w:val="en-US"/>
        </w:rPr>
        <w:t>Carer Payment</w:t>
      </w:r>
      <w:r w:rsidRPr="54937204">
        <w:rPr>
          <w:lang w:val="en-US"/>
        </w:rPr>
        <w:t xml:space="preserve"> recipients exceeding the participation limit or their allowable temporary cessation of care days will have their payments suspended for up to six months, rather than cancelled. Recipients will also be able to use single temporary cessation of care days where they exceed the participation limit, rather than the current seven day minimum. </w:t>
      </w:r>
    </w:p>
    <w:p w14:paraId="7B3FC7CD" w14:textId="77777777" w:rsidR="0012790E" w:rsidRPr="001C06E6" w:rsidRDefault="0012790E" w:rsidP="54937204">
      <w:pPr>
        <w:pStyle w:val="MeasureTitle"/>
        <w:rPr>
          <w:b w:val="0"/>
          <w:lang w:val="en-US"/>
        </w:rPr>
      </w:pPr>
      <w:r w:rsidRPr="54937204">
        <w:rPr>
          <w:lang w:val="en-US"/>
        </w:rPr>
        <w:t>Commonwealth Government</w:t>
      </w:r>
      <w:r>
        <w:rPr>
          <w:szCs w:val="24"/>
        </w:rPr>
        <w:noBreakHyphen/>
      </w:r>
      <w:r w:rsidRPr="54937204">
        <w:rPr>
          <w:lang w:val="en-US"/>
        </w:rPr>
        <w:t>Funded Paid Parental Leave – enhancement</w:t>
      </w:r>
    </w:p>
    <w:p w14:paraId="58E10792"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A4BBDC0" w14:textId="77777777">
        <w:tc>
          <w:tcPr>
            <w:tcW w:w="2497" w:type="dxa"/>
            <w:tcBorders>
              <w:top w:val="single" w:sz="4" w:space="0" w:color="293F5B"/>
              <w:bottom w:val="single" w:sz="4" w:space="0" w:color="293F5B"/>
            </w:tcBorders>
            <w:shd w:val="clear" w:color="auto" w:fill="auto"/>
          </w:tcPr>
          <w:p w14:paraId="4BEC4EDE"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39A8AE4"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ACF2A6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89AF954"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C5BD6AC"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A473F14" w14:textId="77777777" w:rsidR="0012790E" w:rsidRPr="001C06E6" w:rsidRDefault="0012790E">
            <w:pPr>
              <w:pStyle w:val="MeasureTableYearHeadings"/>
              <w:keepNext/>
            </w:pPr>
            <w:r w:rsidRPr="001C06E6">
              <w:t>2027</w:t>
            </w:r>
            <w:r>
              <w:noBreakHyphen/>
            </w:r>
            <w:r w:rsidRPr="001C06E6">
              <w:t>28</w:t>
            </w:r>
          </w:p>
        </w:tc>
      </w:tr>
      <w:tr w:rsidR="0012790E" w:rsidRPr="001C06E6" w14:paraId="7BAA2D13" w14:textId="77777777">
        <w:tc>
          <w:tcPr>
            <w:tcW w:w="2497" w:type="dxa"/>
            <w:tcBorders>
              <w:top w:val="single" w:sz="4" w:space="0" w:color="293F5B"/>
              <w:bottom w:val="single" w:sz="4" w:space="0" w:color="293F5B"/>
            </w:tcBorders>
            <w:shd w:val="clear" w:color="auto" w:fill="auto"/>
          </w:tcPr>
          <w:p w14:paraId="26BB66A3"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7E5D46A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B6CE496" w14:textId="77777777" w:rsidR="0012790E" w:rsidRPr="001C06E6" w:rsidRDefault="0012790E">
            <w:pPr>
              <w:pStyle w:val="MeasureTableDataRightAlignedwith2ptsspacing"/>
              <w:keepNext/>
            </w:pPr>
            <w:r w:rsidRPr="001C06E6">
              <w:t>2.5</w:t>
            </w:r>
          </w:p>
        </w:tc>
        <w:tc>
          <w:tcPr>
            <w:tcW w:w="1045" w:type="dxa"/>
            <w:tcBorders>
              <w:top w:val="single" w:sz="4" w:space="0" w:color="293F5B"/>
              <w:bottom w:val="single" w:sz="4" w:space="0" w:color="293F5B"/>
            </w:tcBorders>
            <w:shd w:val="clear" w:color="auto" w:fill="auto"/>
          </w:tcPr>
          <w:p w14:paraId="7B8A4001" w14:textId="77777777" w:rsidR="0012790E" w:rsidRPr="001C06E6" w:rsidRDefault="0012790E">
            <w:pPr>
              <w:pStyle w:val="MeasureTableDataRightAlignedwith2ptsspacing"/>
              <w:keepNext/>
            </w:pPr>
            <w:r w:rsidRPr="001C06E6">
              <w:t>16.4</w:t>
            </w:r>
          </w:p>
        </w:tc>
        <w:tc>
          <w:tcPr>
            <w:tcW w:w="1045" w:type="dxa"/>
            <w:tcBorders>
              <w:top w:val="single" w:sz="4" w:space="0" w:color="293F5B"/>
              <w:bottom w:val="single" w:sz="4" w:space="0" w:color="293F5B"/>
            </w:tcBorders>
            <w:shd w:val="clear" w:color="auto" w:fill="auto"/>
          </w:tcPr>
          <w:p w14:paraId="01C66DB0" w14:textId="77777777" w:rsidR="0012790E" w:rsidRPr="001C06E6" w:rsidRDefault="0012790E">
            <w:pPr>
              <w:pStyle w:val="MeasureTableDataRightAlignedwith2ptsspacing"/>
              <w:keepNext/>
            </w:pPr>
            <w:r w:rsidRPr="001C06E6">
              <w:t>3.2</w:t>
            </w:r>
          </w:p>
        </w:tc>
        <w:tc>
          <w:tcPr>
            <w:tcW w:w="1045" w:type="dxa"/>
            <w:tcBorders>
              <w:top w:val="single" w:sz="4" w:space="0" w:color="293F5B"/>
              <w:bottom w:val="single" w:sz="4" w:space="0" w:color="293F5B"/>
            </w:tcBorders>
            <w:shd w:val="clear" w:color="auto" w:fill="auto"/>
          </w:tcPr>
          <w:p w14:paraId="346AAE36" w14:textId="77777777" w:rsidR="0012790E" w:rsidRPr="001C06E6" w:rsidRDefault="0012790E">
            <w:pPr>
              <w:pStyle w:val="MeasureTableDataRightAlignedwith2ptsspacing"/>
              <w:keepNext/>
            </w:pPr>
            <w:r w:rsidRPr="001C06E6">
              <w:t>4.8</w:t>
            </w:r>
          </w:p>
        </w:tc>
      </w:tr>
      <w:tr w:rsidR="0012790E" w:rsidRPr="001C06E6" w14:paraId="100C9DBC" w14:textId="77777777">
        <w:tc>
          <w:tcPr>
            <w:tcW w:w="2497" w:type="dxa"/>
            <w:tcBorders>
              <w:top w:val="single" w:sz="4" w:space="0" w:color="293F5B"/>
              <w:bottom w:val="single" w:sz="4" w:space="0" w:color="293F5B"/>
            </w:tcBorders>
            <w:shd w:val="clear" w:color="auto" w:fill="auto"/>
          </w:tcPr>
          <w:p w14:paraId="4A90327B"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18ED66D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68EE48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2E1DF2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E3A4895" w14:textId="77777777" w:rsidR="0012790E" w:rsidRPr="001C06E6" w:rsidRDefault="0012790E">
            <w:pPr>
              <w:pStyle w:val="MeasureTableDataRightAlignedwith2ptsspacing"/>
              <w:keepNext/>
            </w:pPr>
            <w:r w:rsidRPr="001C06E6">
              <w:t>435.0</w:t>
            </w:r>
          </w:p>
        </w:tc>
        <w:tc>
          <w:tcPr>
            <w:tcW w:w="1045" w:type="dxa"/>
            <w:tcBorders>
              <w:top w:val="single" w:sz="4" w:space="0" w:color="293F5B"/>
              <w:bottom w:val="single" w:sz="4" w:space="0" w:color="293F5B"/>
            </w:tcBorders>
            <w:shd w:val="clear" w:color="auto" w:fill="auto"/>
          </w:tcPr>
          <w:p w14:paraId="1CFF7A89" w14:textId="77777777" w:rsidR="0012790E" w:rsidRPr="001C06E6" w:rsidRDefault="0012790E">
            <w:pPr>
              <w:pStyle w:val="MeasureTableDataRightAlignedwith2ptsspacing"/>
              <w:keepNext/>
            </w:pPr>
            <w:r w:rsidRPr="001C06E6">
              <w:t>583.1</w:t>
            </w:r>
          </w:p>
        </w:tc>
      </w:tr>
      <w:tr w:rsidR="0012790E" w:rsidRPr="001C06E6" w14:paraId="4286CFA8" w14:textId="77777777">
        <w:tc>
          <w:tcPr>
            <w:tcW w:w="2497" w:type="dxa"/>
            <w:tcBorders>
              <w:top w:val="single" w:sz="4" w:space="0" w:color="293F5B"/>
              <w:bottom w:val="single" w:sz="4" w:space="0" w:color="293F5B"/>
            </w:tcBorders>
            <w:shd w:val="clear" w:color="auto" w:fill="auto"/>
          </w:tcPr>
          <w:p w14:paraId="4F0BDF1B"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157AF64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9472271" w14:textId="77777777" w:rsidR="0012790E" w:rsidRPr="001C06E6" w:rsidRDefault="0012790E">
            <w:pPr>
              <w:pStyle w:val="MeasureTableDataRightAlignedwith2ptsspacing"/>
              <w:keepNext/>
            </w:pPr>
            <w:r w:rsidRPr="001C06E6">
              <w:t>9.9</w:t>
            </w:r>
          </w:p>
        </w:tc>
        <w:tc>
          <w:tcPr>
            <w:tcW w:w="1045" w:type="dxa"/>
            <w:tcBorders>
              <w:top w:val="single" w:sz="4" w:space="0" w:color="293F5B"/>
              <w:bottom w:val="single" w:sz="4" w:space="0" w:color="293F5B"/>
            </w:tcBorders>
            <w:shd w:val="clear" w:color="auto" w:fill="auto"/>
          </w:tcPr>
          <w:p w14:paraId="29010D50" w14:textId="77777777" w:rsidR="0012790E" w:rsidRPr="001C06E6" w:rsidRDefault="0012790E">
            <w:pPr>
              <w:pStyle w:val="MeasureTableDataRightAlignedwith2ptsspacing"/>
              <w:keepNext/>
            </w:pPr>
            <w:r w:rsidRPr="001C06E6">
              <w:t>10.4</w:t>
            </w:r>
          </w:p>
        </w:tc>
        <w:tc>
          <w:tcPr>
            <w:tcW w:w="1045" w:type="dxa"/>
            <w:tcBorders>
              <w:top w:val="single" w:sz="4" w:space="0" w:color="293F5B"/>
              <w:bottom w:val="single" w:sz="4" w:space="0" w:color="293F5B"/>
            </w:tcBorders>
            <w:shd w:val="clear" w:color="auto" w:fill="auto"/>
          </w:tcPr>
          <w:p w14:paraId="28687BBF" w14:textId="77777777" w:rsidR="0012790E" w:rsidRPr="001C06E6" w:rsidRDefault="0012790E">
            <w:pPr>
              <w:pStyle w:val="MeasureTableDataRightAlignedwith2ptsspacing"/>
              <w:keepNext/>
            </w:pPr>
            <w:r w:rsidRPr="001C06E6">
              <w:t>1.9</w:t>
            </w:r>
          </w:p>
        </w:tc>
        <w:tc>
          <w:tcPr>
            <w:tcW w:w="1045" w:type="dxa"/>
            <w:tcBorders>
              <w:top w:val="single" w:sz="4" w:space="0" w:color="293F5B"/>
              <w:bottom w:val="single" w:sz="4" w:space="0" w:color="293F5B"/>
            </w:tcBorders>
            <w:shd w:val="clear" w:color="auto" w:fill="auto"/>
          </w:tcPr>
          <w:p w14:paraId="4B602561" w14:textId="77777777" w:rsidR="0012790E" w:rsidRPr="001C06E6" w:rsidRDefault="0012790E">
            <w:pPr>
              <w:pStyle w:val="MeasureTableDataRightAlignedwith2ptsspacing"/>
              <w:keepNext/>
            </w:pPr>
            <w:r w:rsidRPr="001C06E6">
              <w:t>1.9</w:t>
            </w:r>
          </w:p>
        </w:tc>
      </w:tr>
      <w:tr w:rsidR="0012790E" w:rsidRPr="001C06E6" w14:paraId="5BD4E496" w14:textId="77777777">
        <w:tc>
          <w:tcPr>
            <w:tcW w:w="2497" w:type="dxa"/>
            <w:tcBorders>
              <w:top w:val="single" w:sz="4" w:space="0" w:color="293F5B"/>
              <w:bottom w:val="single" w:sz="4" w:space="0" w:color="293F5B"/>
            </w:tcBorders>
            <w:shd w:val="clear" w:color="auto" w:fill="auto"/>
          </w:tcPr>
          <w:p w14:paraId="48D93C91"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0F56D07"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72648406" w14:textId="77777777" w:rsidR="0012790E" w:rsidRPr="001C06E6" w:rsidRDefault="0012790E">
            <w:pPr>
              <w:pStyle w:val="Totaldatarowrightaligned"/>
              <w:keepNext/>
            </w:pPr>
            <w:r w:rsidRPr="001C06E6">
              <w:t>12.4</w:t>
            </w:r>
          </w:p>
        </w:tc>
        <w:tc>
          <w:tcPr>
            <w:tcW w:w="1045" w:type="dxa"/>
            <w:tcBorders>
              <w:top w:val="single" w:sz="4" w:space="0" w:color="293F5B"/>
              <w:bottom w:val="single" w:sz="4" w:space="0" w:color="293F5B"/>
            </w:tcBorders>
            <w:shd w:val="clear" w:color="auto" w:fill="auto"/>
          </w:tcPr>
          <w:p w14:paraId="1529DC42" w14:textId="77777777" w:rsidR="0012790E" w:rsidRPr="001C06E6" w:rsidRDefault="0012790E">
            <w:pPr>
              <w:pStyle w:val="Totaldatarowrightaligned"/>
              <w:keepNext/>
            </w:pPr>
            <w:r w:rsidRPr="001C06E6">
              <w:t>26.8</w:t>
            </w:r>
          </w:p>
        </w:tc>
        <w:tc>
          <w:tcPr>
            <w:tcW w:w="1045" w:type="dxa"/>
            <w:tcBorders>
              <w:top w:val="single" w:sz="4" w:space="0" w:color="293F5B"/>
              <w:bottom w:val="single" w:sz="4" w:space="0" w:color="293F5B"/>
            </w:tcBorders>
            <w:shd w:val="clear" w:color="auto" w:fill="auto"/>
          </w:tcPr>
          <w:p w14:paraId="01F3900B" w14:textId="77777777" w:rsidR="0012790E" w:rsidRPr="001C06E6" w:rsidRDefault="0012790E">
            <w:pPr>
              <w:pStyle w:val="Totaldatarowrightaligned"/>
              <w:keepNext/>
            </w:pPr>
            <w:r w:rsidRPr="001C06E6">
              <w:t>440.0</w:t>
            </w:r>
          </w:p>
        </w:tc>
        <w:tc>
          <w:tcPr>
            <w:tcW w:w="1045" w:type="dxa"/>
            <w:tcBorders>
              <w:top w:val="single" w:sz="4" w:space="0" w:color="293F5B"/>
              <w:bottom w:val="single" w:sz="4" w:space="0" w:color="293F5B"/>
            </w:tcBorders>
            <w:shd w:val="clear" w:color="auto" w:fill="auto"/>
          </w:tcPr>
          <w:p w14:paraId="77E9B515" w14:textId="77777777" w:rsidR="0012790E" w:rsidRPr="001C06E6" w:rsidRDefault="0012790E">
            <w:pPr>
              <w:pStyle w:val="Totaldatarowrightaligned"/>
              <w:keepNext/>
            </w:pPr>
            <w:r w:rsidRPr="001C06E6">
              <w:t>589.9</w:t>
            </w:r>
          </w:p>
        </w:tc>
      </w:tr>
      <w:tr w:rsidR="0012790E" w:rsidRPr="001C06E6" w14:paraId="6B2F039A" w14:textId="77777777">
        <w:tc>
          <w:tcPr>
            <w:tcW w:w="2497" w:type="dxa"/>
            <w:tcBorders>
              <w:top w:val="single" w:sz="4" w:space="0" w:color="293F5B"/>
            </w:tcBorders>
            <w:shd w:val="clear" w:color="auto" w:fill="auto"/>
          </w:tcPr>
          <w:p w14:paraId="115225F0"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17861AB1" w14:textId="77777777" w:rsidR="0012790E" w:rsidRPr="001C06E6" w:rsidRDefault="0012790E">
            <w:pPr>
              <w:pStyle w:val="AgencyName"/>
              <w:keepNext/>
            </w:pPr>
          </w:p>
        </w:tc>
        <w:tc>
          <w:tcPr>
            <w:tcW w:w="1045" w:type="dxa"/>
            <w:tcBorders>
              <w:top w:val="single" w:sz="4" w:space="0" w:color="293F5B"/>
            </w:tcBorders>
            <w:shd w:val="clear" w:color="auto" w:fill="auto"/>
          </w:tcPr>
          <w:p w14:paraId="0EBABC1D" w14:textId="77777777" w:rsidR="0012790E" w:rsidRPr="001C06E6" w:rsidRDefault="0012790E">
            <w:pPr>
              <w:pStyle w:val="AgencyName"/>
              <w:keepNext/>
            </w:pPr>
          </w:p>
        </w:tc>
        <w:tc>
          <w:tcPr>
            <w:tcW w:w="1045" w:type="dxa"/>
            <w:tcBorders>
              <w:top w:val="single" w:sz="4" w:space="0" w:color="293F5B"/>
            </w:tcBorders>
            <w:shd w:val="clear" w:color="auto" w:fill="auto"/>
          </w:tcPr>
          <w:p w14:paraId="2CCF66C6" w14:textId="77777777" w:rsidR="0012790E" w:rsidRPr="001C06E6" w:rsidRDefault="0012790E">
            <w:pPr>
              <w:pStyle w:val="AgencyName"/>
              <w:keepNext/>
            </w:pPr>
          </w:p>
        </w:tc>
        <w:tc>
          <w:tcPr>
            <w:tcW w:w="1045" w:type="dxa"/>
            <w:tcBorders>
              <w:top w:val="single" w:sz="4" w:space="0" w:color="293F5B"/>
            </w:tcBorders>
            <w:shd w:val="clear" w:color="auto" w:fill="auto"/>
          </w:tcPr>
          <w:p w14:paraId="2BA68349" w14:textId="77777777" w:rsidR="0012790E" w:rsidRPr="001C06E6" w:rsidRDefault="0012790E">
            <w:pPr>
              <w:pStyle w:val="AgencyName"/>
              <w:keepNext/>
            </w:pPr>
          </w:p>
        </w:tc>
        <w:tc>
          <w:tcPr>
            <w:tcW w:w="1045" w:type="dxa"/>
            <w:tcBorders>
              <w:top w:val="single" w:sz="4" w:space="0" w:color="293F5B"/>
            </w:tcBorders>
            <w:shd w:val="clear" w:color="auto" w:fill="auto"/>
          </w:tcPr>
          <w:p w14:paraId="2E075AB1" w14:textId="77777777" w:rsidR="0012790E" w:rsidRPr="001C06E6" w:rsidRDefault="0012790E">
            <w:pPr>
              <w:pStyle w:val="AgencyName"/>
              <w:keepNext/>
            </w:pPr>
          </w:p>
        </w:tc>
      </w:tr>
      <w:tr w:rsidR="0012790E" w:rsidRPr="001C06E6" w14:paraId="1F84BB47" w14:textId="77777777">
        <w:tc>
          <w:tcPr>
            <w:tcW w:w="2497" w:type="dxa"/>
            <w:tcBorders>
              <w:bottom w:val="single" w:sz="4" w:space="0" w:color="293F5B"/>
            </w:tcBorders>
            <w:shd w:val="clear" w:color="auto" w:fill="auto"/>
          </w:tcPr>
          <w:p w14:paraId="05AA19D8" w14:textId="77777777" w:rsidR="0012790E" w:rsidRPr="001C06E6" w:rsidRDefault="0012790E">
            <w:pPr>
              <w:pStyle w:val="AgencyNamewith2ptsspacing"/>
              <w:keepNext/>
            </w:pPr>
            <w:r w:rsidRPr="001C06E6">
              <w:t>Australian Taxation Office</w:t>
            </w:r>
          </w:p>
        </w:tc>
        <w:tc>
          <w:tcPr>
            <w:tcW w:w="1045" w:type="dxa"/>
            <w:tcBorders>
              <w:bottom w:val="single" w:sz="4" w:space="0" w:color="293F5B"/>
            </w:tcBorders>
            <w:shd w:val="clear" w:color="auto" w:fill="auto"/>
          </w:tcPr>
          <w:p w14:paraId="69AE2059"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581BEEF7"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42AB6481"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443B7C7C" w14:textId="77777777" w:rsidR="0012790E" w:rsidRPr="001C06E6" w:rsidRDefault="0012790E">
            <w:pPr>
              <w:pStyle w:val="Measuretabledatarightaligneditalics"/>
              <w:keepNext/>
            </w:pPr>
            <w:r w:rsidRPr="001C06E6">
              <w:t>65.0</w:t>
            </w:r>
          </w:p>
        </w:tc>
        <w:tc>
          <w:tcPr>
            <w:tcW w:w="1045" w:type="dxa"/>
            <w:tcBorders>
              <w:bottom w:val="single" w:sz="4" w:space="0" w:color="293F5B"/>
            </w:tcBorders>
            <w:shd w:val="clear" w:color="auto" w:fill="auto"/>
          </w:tcPr>
          <w:p w14:paraId="39236FCC" w14:textId="77777777" w:rsidR="0012790E" w:rsidRPr="001C06E6" w:rsidRDefault="0012790E">
            <w:pPr>
              <w:pStyle w:val="Measuretabledatarightaligneditalics"/>
              <w:keepNext/>
            </w:pPr>
            <w:r w:rsidRPr="001C06E6">
              <w:t>90.0</w:t>
            </w:r>
          </w:p>
        </w:tc>
      </w:tr>
    </w:tbl>
    <w:p w14:paraId="42116849" w14:textId="77777777" w:rsidR="0012790E" w:rsidRPr="001C06E6" w:rsidRDefault="0012790E">
      <w:pPr>
        <w:keepNext/>
        <w:widowControl w:val="0"/>
        <w:tabs>
          <w:tab w:val="right" w:pos="3536"/>
          <w:tab w:val="right" w:pos="4579"/>
          <w:tab w:val="right" w:pos="5622"/>
          <w:tab w:val="right" w:pos="6664"/>
          <w:tab w:val="right" w:pos="7707"/>
        </w:tabs>
        <w:spacing w:line="240" w:lineRule="exact"/>
        <w:rPr>
          <w:i/>
          <w:color w:val="000000"/>
          <w:sz w:val="16"/>
          <w:szCs w:val="24"/>
          <w:lang w:val="en-AU"/>
        </w:rPr>
      </w:pPr>
    </w:p>
    <w:p w14:paraId="30DA9C07" w14:textId="7DBF694D" w:rsidR="0012790E" w:rsidRDefault="0012790E">
      <w:pPr>
        <w:pStyle w:val="Normal2"/>
      </w:pPr>
      <w:r w:rsidRPr="54937204">
        <w:rPr>
          <w:lang w:val="en-US"/>
        </w:rPr>
        <w:t>The Government will provide $1.1 billion over five years from 2023–24 (and $0.6 billion per</w:t>
      </w:r>
      <w:r w:rsidR="009C5042">
        <w:rPr>
          <w:lang w:val="en-US"/>
        </w:rPr>
        <w:t> </w:t>
      </w:r>
      <w:r w:rsidRPr="54937204">
        <w:rPr>
          <w:lang w:val="en-US"/>
        </w:rPr>
        <w:t>year ongoing) to strengthen Australia’s government</w:t>
      </w:r>
      <w:r>
        <w:noBreakHyphen/>
      </w:r>
      <w:r w:rsidRPr="54937204">
        <w:rPr>
          <w:lang w:val="en-US"/>
        </w:rPr>
        <w:t>funded Paid Parental Leave (PPL) scheme and improve women’s retirement outcomes. Funding includes:</w:t>
      </w:r>
    </w:p>
    <w:p w14:paraId="4DA07469" w14:textId="77777777" w:rsidR="0012790E" w:rsidRDefault="0012790E">
      <w:pPr>
        <w:pStyle w:val="Bullet"/>
      </w:pPr>
      <w:r w:rsidRPr="001C06E6">
        <w:t xml:space="preserve">$1.1 billion over four years from </w:t>
      </w:r>
      <w:r>
        <w:t>2024–25</w:t>
      </w:r>
      <w:r w:rsidRPr="001C06E6">
        <w:t xml:space="preserve"> (and $0.6 billion per year ongoing) to pay superannuation on Commonwealth government</w:t>
      </w:r>
      <w:r>
        <w:noBreakHyphen/>
      </w:r>
      <w:r w:rsidRPr="001C06E6">
        <w:t>funded PPL for births and adoptions on or after 1</w:t>
      </w:r>
      <w:r>
        <w:t> </w:t>
      </w:r>
      <w:r w:rsidRPr="001C06E6">
        <w:t>July</w:t>
      </w:r>
      <w:r>
        <w:t> </w:t>
      </w:r>
      <w:r w:rsidRPr="001C06E6">
        <w:t>2025. Eligible parents will receive an additional payment based on the Superannuation Guarantee (12 per cent of their PPL payments), as a contribution to their superannuation fund</w:t>
      </w:r>
      <w:r>
        <w:t xml:space="preserve"> </w:t>
      </w:r>
    </w:p>
    <w:p w14:paraId="1F9EBF02" w14:textId="77777777" w:rsidR="0012790E" w:rsidRDefault="0012790E">
      <w:pPr>
        <w:pStyle w:val="Bullet"/>
      </w:pPr>
      <w:r w:rsidRPr="001C06E6">
        <w:t>$10.0</w:t>
      </w:r>
      <w:r>
        <w:t> </w:t>
      </w:r>
      <w:r w:rsidRPr="001C06E6">
        <w:t xml:space="preserve">million over two years from </w:t>
      </w:r>
      <w:r>
        <w:t>2024–25</w:t>
      </w:r>
      <w:r w:rsidRPr="001C06E6">
        <w:t xml:space="preserve"> to provide additional support for small business employers in administering PPL</w:t>
      </w:r>
      <w:r>
        <w:t xml:space="preserve"> </w:t>
      </w:r>
    </w:p>
    <w:p w14:paraId="2812618E" w14:textId="77777777" w:rsidR="0012790E" w:rsidRDefault="0012790E">
      <w:pPr>
        <w:pStyle w:val="Bullet"/>
      </w:pPr>
      <w:r w:rsidRPr="001C06E6">
        <w:t>$1.4</w:t>
      </w:r>
      <w:r>
        <w:t> </w:t>
      </w:r>
      <w:r w:rsidRPr="001C06E6">
        <w:t xml:space="preserve">million over two years from </w:t>
      </w:r>
      <w:r>
        <w:t>2023–24</w:t>
      </w:r>
      <w:r w:rsidRPr="001C06E6">
        <w:t xml:space="preserve"> to update communication products and documents for potential PPL recipients.</w:t>
      </w:r>
      <w:r>
        <w:t xml:space="preserve"> </w:t>
      </w:r>
    </w:p>
    <w:p w14:paraId="64355668" w14:textId="68E997C9" w:rsidR="0012790E" w:rsidRDefault="0012790E">
      <w:pPr>
        <w:pStyle w:val="Normal2"/>
      </w:pPr>
      <w:r w:rsidRPr="001C06E6">
        <w:t>This measure is expected to increase tax receipts by $155.0</w:t>
      </w:r>
      <w:r>
        <w:t> </w:t>
      </w:r>
      <w:r w:rsidRPr="001C06E6">
        <w:t>million over two years</w:t>
      </w:r>
      <w:r>
        <w:t xml:space="preserve"> </w:t>
      </w:r>
      <w:r w:rsidRPr="001C06E6">
        <w:t xml:space="preserve">from </w:t>
      </w:r>
      <w:r>
        <w:t>2026–27</w:t>
      </w:r>
      <w:r w:rsidRPr="001C06E6">
        <w:t>.</w:t>
      </w:r>
      <w:r>
        <w:t xml:space="preserve"> </w:t>
      </w:r>
    </w:p>
    <w:p w14:paraId="6D40BB1B" w14:textId="77777777" w:rsidR="0012790E" w:rsidRDefault="0012790E">
      <w:pPr>
        <w:pStyle w:val="Normal2"/>
      </w:pPr>
      <w:r w:rsidRPr="54937204">
        <w:rPr>
          <w:lang w:val="en-US"/>
        </w:rPr>
        <w:t xml:space="preserve">The cost of this measure will be partially met from within the existing resourcing of the Department of Social Services. </w:t>
      </w:r>
    </w:p>
    <w:p w14:paraId="6756E727" w14:textId="77777777" w:rsidR="0012790E" w:rsidRDefault="0012790E">
      <w:pPr>
        <w:pStyle w:val="Normal2"/>
      </w:pPr>
      <w:r w:rsidRPr="54937204">
        <w:rPr>
          <w:lang w:val="en-US"/>
        </w:rPr>
        <w:t xml:space="preserve">This measure builds on the October 2022–23 Budget measure titled </w:t>
      </w:r>
      <w:r w:rsidRPr="54937204">
        <w:rPr>
          <w:i/>
          <w:iCs/>
          <w:lang w:val="en-US"/>
        </w:rPr>
        <w:t>Boosting Parental Leave to Enhance Economic Security, Support and Flexibility for Australia’s Families</w:t>
      </w:r>
      <w:r w:rsidRPr="54937204">
        <w:rPr>
          <w:lang w:val="en-US"/>
        </w:rPr>
        <w:t xml:space="preserve"> and 2023–24 MYEFO </w:t>
      </w:r>
      <w:r w:rsidRPr="00182B1A">
        <w:rPr>
          <w:spacing w:val="-2"/>
          <w:lang w:val="en-US"/>
        </w:rPr>
        <w:t xml:space="preserve">measure titled </w:t>
      </w:r>
      <w:r w:rsidRPr="00182B1A">
        <w:rPr>
          <w:i/>
          <w:spacing w:val="-2"/>
          <w:lang w:val="en-US"/>
        </w:rPr>
        <w:t>Paid Parental Leave Scheme – expansion</w:t>
      </w:r>
      <w:r w:rsidRPr="00182B1A">
        <w:rPr>
          <w:spacing w:val="-2"/>
          <w:lang w:val="en-US"/>
        </w:rPr>
        <w:t xml:space="preserve"> and is consistent with the Government’s</w:t>
      </w:r>
      <w:r w:rsidRPr="54937204">
        <w:rPr>
          <w:lang w:val="en-US"/>
        </w:rPr>
        <w:t xml:space="preserve"> proposed objective of superannuation to deliver income for a dignified retirement, alongside government support, in an equitable and sustainable way. This measure will help normalise parental leave as a workplace entitlement, like annual and sick leave, and reduce the impact of parental leave on retirement incomes. </w:t>
      </w:r>
    </w:p>
    <w:p w14:paraId="0BEEB630" w14:textId="77777777" w:rsidR="0012790E" w:rsidRPr="001C06E6" w:rsidRDefault="0012790E" w:rsidP="54937204">
      <w:pPr>
        <w:pStyle w:val="MeasureTitle"/>
        <w:rPr>
          <w:b w:val="0"/>
          <w:lang w:val="en-US"/>
        </w:rPr>
      </w:pPr>
      <w:r w:rsidRPr="54937204">
        <w:rPr>
          <w:lang w:val="en-US"/>
        </w:rPr>
        <w:t>Commonwealth Rent Assistance – increase the maximum rates</w:t>
      </w:r>
    </w:p>
    <w:p w14:paraId="5FCFFBF1"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1134CEC1" w14:textId="77777777">
        <w:tc>
          <w:tcPr>
            <w:tcW w:w="2497" w:type="dxa"/>
            <w:tcBorders>
              <w:top w:val="single" w:sz="4" w:space="0" w:color="293F5B"/>
              <w:bottom w:val="single" w:sz="4" w:space="0" w:color="293F5B"/>
            </w:tcBorders>
            <w:shd w:val="clear" w:color="auto" w:fill="auto"/>
          </w:tcPr>
          <w:p w14:paraId="490148B5"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14F20C5"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3A8F750"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424986B"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AF83156"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E89A2BB" w14:textId="77777777" w:rsidR="0012790E" w:rsidRPr="001C06E6" w:rsidRDefault="0012790E">
            <w:pPr>
              <w:pStyle w:val="MeasureTableYearHeadings"/>
              <w:keepNext/>
            </w:pPr>
            <w:r w:rsidRPr="001C06E6">
              <w:t>2027</w:t>
            </w:r>
            <w:r>
              <w:noBreakHyphen/>
            </w:r>
            <w:r w:rsidRPr="001C06E6">
              <w:t>28</w:t>
            </w:r>
          </w:p>
        </w:tc>
      </w:tr>
      <w:tr w:rsidR="0012790E" w:rsidRPr="001C06E6" w14:paraId="3ABCA71E" w14:textId="77777777">
        <w:tc>
          <w:tcPr>
            <w:tcW w:w="2497" w:type="dxa"/>
            <w:tcBorders>
              <w:top w:val="single" w:sz="4" w:space="0" w:color="293F5B"/>
              <w:bottom w:val="single" w:sz="4" w:space="0" w:color="293F5B"/>
            </w:tcBorders>
            <w:shd w:val="clear" w:color="auto" w:fill="auto"/>
          </w:tcPr>
          <w:p w14:paraId="31EC8E64"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5B1F68B8" w14:textId="77777777" w:rsidR="0012790E" w:rsidRPr="001C06E6" w:rsidRDefault="0012790E">
            <w:pPr>
              <w:pStyle w:val="MeasureTableDataRightAlignedwith2ptsspacing"/>
              <w:keepNext/>
            </w:pPr>
            <w:r w:rsidRPr="001C06E6">
              <w:t>6.2</w:t>
            </w:r>
          </w:p>
        </w:tc>
        <w:tc>
          <w:tcPr>
            <w:tcW w:w="1045" w:type="dxa"/>
            <w:tcBorders>
              <w:top w:val="single" w:sz="4" w:space="0" w:color="293F5B"/>
              <w:bottom w:val="single" w:sz="4" w:space="0" w:color="293F5B"/>
            </w:tcBorders>
            <w:shd w:val="clear" w:color="auto" w:fill="auto"/>
          </w:tcPr>
          <w:p w14:paraId="5F01453E" w14:textId="77777777" w:rsidR="0012790E" w:rsidRPr="001C06E6" w:rsidRDefault="0012790E">
            <w:pPr>
              <w:pStyle w:val="MeasureTableDataRightAlignedwith2ptsspacing"/>
              <w:keepNext/>
            </w:pPr>
            <w:r w:rsidRPr="001C06E6">
              <w:t>11.4</w:t>
            </w:r>
          </w:p>
        </w:tc>
        <w:tc>
          <w:tcPr>
            <w:tcW w:w="1045" w:type="dxa"/>
            <w:tcBorders>
              <w:top w:val="single" w:sz="4" w:space="0" w:color="293F5B"/>
              <w:bottom w:val="single" w:sz="4" w:space="0" w:color="293F5B"/>
            </w:tcBorders>
            <w:shd w:val="clear" w:color="auto" w:fill="auto"/>
          </w:tcPr>
          <w:p w14:paraId="4ECA32AA" w14:textId="77777777" w:rsidR="0012790E" w:rsidRPr="001C06E6" w:rsidRDefault="0012790E">
            <w:pPr>
              <w:pStyle w:val="MeasureTableDataRightAlignedwith2ptsspacing"/>
              <w:keepNext/>
            </w:pPr>
            <w:r w:rsidRPr="001C06E6">
              <w:t>0.4</w:t>
            </w:r>
          </w:p>
        </w:tc>
        <w:tc>
          <w:tcPr>
            <w:tcW w:w="1045" w:type="dxa"/>
            <w:tcBorders>
              <w:top w:val="single" w:sz="4" w:space="0" w:color="293F5B"/>
              <w:bottom w:val="single" w:sz="4" w:space="0" w:color="293F5B"/>
            </w:tcBorders>
            <w:shd w:val="clear" w:color="auto" w:fill="auto"/>
          </w:tcPr>
          <w:p w14:paraId="3E06871D" w14:textId="77777777" w:rsidR="0012790E" w:rsidRPr="001C06E6" w:rsidRDefault="0012790E">
            <w:pPr>
              <w:pStyle w:val="MeasureTableDataRightAlignedwith2ptsspacing"/>
              <w:keepNext/>
            </w:pPr>
            <w:r w:rsidRPr="001C06E6">
              <w:t>0.3</w:t>
            </w:r>
          </w:p>
        </w:tc>
        <w:tc>
          <w:tcPr>
            <w:tcW w:w="1045" w:type="dxa"/>
            <w:tcBorders>
              <w:top w:val="single" w:sz="4" w:space="0" w:color="293F5B"/>
              <w:bottom w:val="single" w:sz="4" w:space="0" w:color="293F5B"/>
            </w:tcBorders>
            <w:shd w:val="clear" w:color="auto" w:fill="auto"/>
          </w:tcPr>
          <w:p w14:paraId="1B7A37D5" w14:textId="77777777" w:rsidR="0012790E" w:rsidRPr="001C06E6" w:rsidRDefault="0012790E">
            <w:pPr>
              <w:pStyle w:val="MeasureTableDataRightAlignedwith2ptsspacing"/>
              <w:keepNext/>
            </w:pPr>
            <w:r w:rsidRPr="001C06E6">
              <w:t>-</w:t>
            </w:r>
          </w:p>
        </w:tc>
      </w:tr>
      <w:tr w:rsidR="0012790E" w:rsidRPr="001C06E6" w14:paraId="71B58DA6" w14:textId="77777777">
        <w:tc>
          <w:tcPr>
            <w:tcW w:w="2497" w:type="dxa"/>
            <w:tcBorders>
              <w:top w:val="single" w:sz="4" w:space="0" w:color="293F5B"/>
              <w:bottom w:val="single" w:sz="4" w:space="0" w:color="293F5B"/>
            </w:tcBorders>
            <w:shd w:val="clear" w:color="auto" w:fill="auto"/>
          </w:tcPr>
          <w:p w14:paraId="72640156"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01943F7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F53C8EB" w14:textId="77777777" w:rsidR="0012790E" w:rsidRPr="001C06E6" w:rsidRDefault="0012790E">
            <w:pPr>
              <w:pStyle w:val="MeasureTableDataRightAlignedwith2ptsspacing"/>
              <w:keepNext/>
            </w:pPr>
            <w:r w:rsidRPr="001C06E6">
              <w:t>370.8</w:t>
            </w:r>
          </w:p>
        </w:tc>
        <w:tc>
          <w:tcPr>
            <w:tcW w:w="1045" w:type="dxa"/>
            <w:tcBorders>
              <w:top w:val="single" w:sz="4" w:space="0" w:color="293F5B"/>
              <w:bottom w:val="single" w:sz="4" w:space="0" w:color="293F5B"/>
            </w:tcBorders>
            <w:shd w:val="clear" w:color="auto" w:fill="auto"/>
          </w:tcPr>
          <w:p w14:paraId="3C4FAF8C" w14:textId="77777777" w:rsidR="0012790E" w:rsidRPr="001C06E6" w:rsidRDefault="0012790E">
            <w:pPr>
              <w:pStyle w:val="MeasureTableDataRightAlignedwith2ptsspacing"/>
              <w:keepNext/>
            </w:pPr>
            <w:r w:rsidRPr="001C06E6">
              <w:t>490.1</w:t>
            </w:r>
          </w:p>
        </w:tc>
        <w:tc>
          <w:tcPr>
            <w:tcW w:w="1045" w:type="dxa"/>
            <w:tcBorders>
              <w:top w:val="single" w:sz="4" w:space="0" w:color="293F5B"/>
              <w:bottom w:val="single" w:sz="4" w:space="0" w:color="293F5B"/>
            </w:tcBorders>
            <w:shd w:val="clear" w:color="auto" w:fill="auto"/>
          </w:tcPr>
          <w:p w14:paraId="580E5A79" w14:textId="77777777" w:rsidR="0012790E" w:rsidRPr="001C06E6" w:rsidRDefault="0012790E">
            <w:pPr>
              <w:pStyle w:val="MeasureTableDataRightAlignedwith2ptsspacing"/>
              <w:keepNext/>
            </w:pPr>
            <w:r w:rsidRPr="001C06E6">
              <w:t>499.8</w:t>
            </w:r>
          </w:p>
        </w:tc>
        <w:tc>
          <w:tcPr>
            <w:tcW w:w="1045" w:type="dxa"/>
            <w:tcBorders>
              <w:top w:val="single" w:sz="4" w:space="0" w:color="293F5B"/>
              <w:bottom w:val="single" w:sz="4" w:space="0" w:color="293F5B"/>
            </w:tcBorders>
            <w:shd w:val="clear" w:color="auto" w:fill="auto"/>
          </w:tcPr>
          <w:p w14:paraId="39B1B690" w14:textId="77777777" w:rsidR="0012790E" w:rsidRPr="001C06E6" w:rsidRDefault="0012790E">
            <w:pPr>
              <w:pStyle w:val="MeasureTableDataRightAlignedwith2ptsspacing"/>
              <w:keepNext/>
            </w:pPr>
            <w:r w:rsidRPr="001C06E6">
              <w:t>514.8</w:t>
            </w:r>
          </w:p>
        </w:tc>
      </w:tr>
      <w:tr w:rsidR="0012790E" w:rsidRPr="001C06E6" w14:paraId="62E127C5" w14:textId="77777777">
        <w:tc>
          <w:tcPr>
            <w:tcW w:w="2497" w:type="dxa"/>
            <w:tcBorders>
              <w:top w:val="single" w:sz="4" w:space="0" w:color="293F5B"/>
              <w:bottom w:val="single" w:sz="4" w:space="0" w:color="293F5B"/>
            </w:tcBorders>
            <w:shd w:val="clear" w:color="auto" w:fill="auto"/>
          </w:tcPr>
          <w:p w14:paraId="5D080340" w14:textId="77777777" w:rsidR="0012790E" w:rsidRPr="001C06E6" w:rsidRDefault="0012790E">
            <w:pPr>
              <w:pStyle w:val="MeasureTableHeadingleftalignedwith2ptsspacing"/>
              <w:keepNext/>
            </w:pPr>
            <w:r w:rsidRPr="001C06E6">
              <w:t>Department of Veterans' Affairs</w:t>
            </w:r>
          </w:p>
        </w:tc>
        <w:tc>
          <w:tcPr>
            <w:tcW w:w="1045" w:type="dxa"/>
            <w:tcBorders>
              <w:top w:val="single" w:sz="4" w:space="0" w:color="293F5B"/>
              <w:bottom w:val="single" w:sz="4" w:space="0" w:color="293F5B"/>
            </w:tcBorders>
            <w:shd w:val="clear" w:color="auto" w:fill="auto"/>
          </w:tcPr>
          <w:p w14:paraId="1771A87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E587428" w14:textId="77777777" w:rsidR="0012790E" w:rsidRPr="001C06E6" w:rsidRDefault="0012790E">
            <w:pPr>
              <w:pStyle w:val="MeasureTableDataRightAlignedwith2ptsspacing"/>
              <w:keepNext/>
            </w:pPr>
            <w:r w:rsidRPr="001C06E6">
              <w:t>1.8</w:t>
            </w:r>
          </w:p>
        </w:tc>
        <w:tc>
          <w:tcPr>
            <w:tcW w:w="1045" w:type="dxa"/>
            <w:tcBorders>
              <w:top w:val="single" w:sz="4" w:space="0" w:color="293F5B"/>
              <w:bottom w:val="single" w:sz="4" w:space="0" w:color="293F5B"/>
            </w:tcBorders>
            <w:shd w:val="clear" w:color="auto" w:fill="auto"/>
          </w:tcPr>
          <w:p w14:paraId="226D12B3" w14:textId="77777777" w:rsidR="0012790E" w:rsidRPr="001C06E6" w:rsidRDefault="0012790E">
            <w:pPr>
              <w:pStyle w:val="MeasureTableDataRightAlignedwith2ptsspacing"/>
              <w:keepNext/>
            </w:pPr>
            <w:r w:rsidRPr="001C06E6">
              <w:t>2.3</w:t>
            </w:r>
          </w:p>
        </w:tc>
        <w:tc>
          <w:tcPr>
            <w:tcW w:w="1045" w:type="dxa"/>
            <w:tcBorders>
              <w:top w:val="single" w:sz="4" w:space="0" w:color="293F5B"/>
              <w:bottom w:val="single" w:sz="4" w:space="0" w:color="293F5B"/>
            </w:tcBorders>
            <w:shd w:val="clear" w:color="auto" w:fill="auto"/>
          </w:tcPr>
          <w:p w14:paraId="4D7333B8" w14:textId="77777777" w:rsidR="0012790E" w:rsidRPr="001C06E6" w:rsidRDefault="0012790E">
            <w:pPr>
              <w:pStyle w:val="MeasureTableDataRightAlignedwith2ptsspacing"/>
              <w:keepNext/>
            </w:pPr>
            <w:r w:rsidRPr="001C06E6">
              <w:t>2.2</w:t>
            </w:r>
          </w:p>
        </w:tc>
        <w:tc>
          <w:tcPr>
            <w:tcW w:w="1045" w:type="dxa"/>
            <w:tcBorders>
              <w:top w:val="single" w:sz="4" w:space="0" w:color="293F5B"/>
              <w:bottom w:val="single" w:sz="4" w:space="0" w:color="293F5B"/>
            </w:tcBorders>
            <w:shd w:val="clear" w:color="auto" w:fill="auto"/>
          </w:tcPr>
          <w:p w14:paraId="5793F9C0" w14:textId="77777777" w:rsidR="0012790E" w:rsidRPr="001C06E6" w:rsidRDefault="0012790E">
            <w:pPr>
              <w:pStyle w:val="MeasureTableDataRightAlignedwith2ptsspacing"/>
              <w:keepNext/>
            </w:pPr>
            <w:r w:rsidRPr="001C06E6">
              <w:t>2.2</w:t>
            </w:r>
          </w:p>
        </w:tc>
      </w:tr>
      <w:tr w:rsidR="0012790E" w:rsidRPr="001C06E6" w14:paraId="7C8F3A79" w14:textId="77777777">
        <w:tc>
          <w:tcPr>
            <w:tcW w:w="2497" w:type="dxa"/>
            <w:tcBorders>
              <w:top w:val="single" w:sz="4" w:space="0" w:color="293F5B"/>
              <w:bottom w:val="single" w:sz="4" w:space="0" w:color="293F5B"/>
            </w:tcBorders>
            <w:shd w:val="clear" w:color="auto" w:fill="auto"/>
          </w:tcPr>
          <w:p w14:paraId="72BF956B"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3AD41671"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56DCE88" w14:textId="77777777" w:rsidR="0012790E" w:rsidRPr="001C06E6" w:rsidRDefault="0012790E">
            <w:pPr>
              <w:pStyle w:val="MeasureTableDataRightAlignedwith2ptsspacing"/>
              <w:keepNext/>
            </w:pPr>
            <w:r>
              <w:t xml:space="preserve">0.2 </w:t>
            </w:r>
          </w:p>
        </w:tc>
        <w:tc>
          <w:tcPr>
            <w:tcW w:w="1045" w:type="dxa"/>
            <w:tcBorders>
              <w:top w:val="single" w:sz="4" w:space="0" w:color="293F5B"/>
              <w:bottom w:val="single" w:sz="4" w:space="0" w:color="293F5B"/>
            </w:tcBorders>
            <w:shd w:val="clear" w:color="auto" w:fill="auto"/>
          </w:tcPr>
          <w:p w14:paraId="10991D50" w14:textId="77777777" w:rsidR="0012790E" w:rsidRPr="001C06E6" w:rsidRDefault="0012790E">
            <w:pPr>
              <w:pStyle w:val="MeasureTableDataRightAlignedwith2ptsspacing"/>
              <w:keepNext/>
            </w:pPr>
            <w:r>
              <w:t xml:space="preserve">0.5 </w:t>
            </w:r>
          </w:p>
        </w:tc>
        <w:tc>
          <w:tcPr>
            <w:tcW w:w="1045" w:type="dxa"/>
            <w:tcBorders>
              <w:top w:val="single" w:sz="4" w:space="0" w:color="293F5B"/>
              <w:bottom w:val="single" w:sz="4" w:space="0" w:color="293F5B"/>
            </w:tcBorders>
            <w:shd w:val="clear" w:color="auto" w:fill="auto"/>
          </w:tcPr>
          <w:p w14:paraId="5D063ABC" w14:textId="77777777" w:rsidR="0012790E" w:rsidRPr="001C06E6" w:rsidRDefault="0012790E">
            <w:pPr>
              <w:pStyle w:val="MeasureTableDataRightAlignedwith2ptsspacing"/>
              <w:keepNext/>
            </w:pPr>
            <w:r>
              <w:t xml:space="preserve">0.7 </w:t>
            </w:r>
          </w:p>
        </w:tc>
        <w:tc>
          <w:tcPr>
            <w:tcW w:w="1045" w:type="dxa"/>
            <w:tcBorders>
              <w:top w:val="single" w:sz="4" w:space="0" w:color="293F5B"/>
              <w:bottom w:val="single" w:sz="4" w:space="0" w:color="293F5B"/>
            </w:tcBorders>
            <w:shd w:val="clear" w:color="auto" w:fill="auto"/>
          </w:tcPr>
          <w:p w14:paraId="530832BC" w14:textId="77777777" w:rsidR="0012790E" w:rsidRPr="001C06E6" w:rsidRDefault="0012790E">
            <w:pPr>
              <w:pStyle w:val="MeasureTableDataRightAlignedwith2ptsspacing"/>
              <w:keepNext/>
            </w:pPr>
            <w:r>
              <w:t xml:space="preserve">0.7 </w:t>
            </w:r>
          </w:p>
        </w:tc>
      </w:tr>
      <w:tr w:rsidR="0012790E" w:rsidRPr="001C06E6" w14:paraId="647D24BD" w14:textId="77777777">
        <w:tc>
          <w:tcPr>
            <w:tcW w:w="2497" w:type="dxa"/>
            <w:tcBorders>
              <w:top w:val="single" w:sz="4" w:space="0" w:color="293F5B"/>
              <w:bottom w:val="single" w:sz="4" w:space="0" w:color="293F5B"/>
            </w:tcBorders>
            <w:shd w:val="clear" w:color="auto" w:fill="auto"/>
          </w:tcPr>
          <w:p w14:paraId="1DC32E8B"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63DD4444"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A90C044" w14:textId="77777777" w:rsidR="0012790E" w:rsidRPr="001C06E6" w:rsidRDefault="0012790E">
            <w:pPr>
              <w:pStyle w:val="MeasureTableDataRightAlignedwith2ptsspacing"/>
              <w:keepNext/>
            </w:pPr>
            <w:r>
              <w:t xml:space="preserve">0.1 </w:t>
            </w:r>
          </w:p>
        </w:tc>
        <w:tc>
          <w:tcPr>
            <w:tcW w:w="1045" w:type="dxa"/>
            <w:tcBorders>
              <w:top w:val="single" w:sz="4" w:space="0" w:color="293F5B"/>
              <w:bottom w:val="single" w:sz="4" w:space="0" w:color="293F5B"/>
            </w:tcBorders>
            <w:shd w:val="clear" w:color="auto" w:fill="auto"/>
          </w:tcPr>
          <w:p w14:paraId="5E2CC931" w14:textId="77777777" w:rsidR="0012790E" w:rsidRPr="001C06E6" w:rsidRDefault="0012790E">
            <w:pPr>
              <w:pStyle w:val="MeasureTableDataRightAlignedwith2ptsspacing"/>
              <w:keepNext/>
            </w:pPr>
            <w:r>
              <w:t xml:space="preserve">0.2 </w:t>
            </w:r>
          </w:p>
        </w:tc>
        <w:tc>
          <w:tcPr>
            <w:tcW w:w="1045" w:type="dxa"/>
            <w:tcBorders>
              <w:top w:val="single" w:sz="4" w:space="0" w:color="293F5B"/>
              <w:bottom w:val="single" w:sz="4" w:space="0" w:color="293F5B"/>
            </w:tcBorders>
            <w:shd w:val="clear" w:color="auto" w:fill="auto"/>
          </w:tcPr>
          <w:p w14:paraId="772F4A7E" w14:textId="77777777" w:rsidR="0012790E" w:rsidRPr="001C06E6" w:rsidRDefault="0012790E">
            <w:pPr>
              <w:pStyle w:val="MeasureTableDataRightAlignedwith2ptsspacing"/>
              <w:keepNext/>
            </w:pPr>
            <w:r>
              <w:t xml:space="preserve">0.2 </w:t>
            </w:r>
          </w:p>
        </w:tc>
        <w:tc>
          <w:tcPr>
            <w:tcW w:w="1045" w:type="dxa"/>
            <w:tcBorders>
              <w:top w:val="single" w:sz="4" w:space="0" w:color="293F5B"/>
              <w:bottom w:val="single" w:sz="4" w:space="0" w:color="293F5B"/>
            </w:tcBorders>
            <w:shd w:val="clear" w:color="auto" w:fill="auto"/>
          </w:tcPr>
          <w:p w14:paraId="6C49C0FA" w14:textId="77777777" w:rsidR="0012790E" w:rsidRPr="001C06E6" w:rsidRDefault="0012790E">
            <w:pPr>
              <w:pStyle w:val="MeasureTableDataRightAlignedwith2ptsspacing"/>
              <w:keepNext/>
            </w:pPr>
            <w:r>
              <w:t xml:space="preserve">0.3 </w:t>
            </w:r>
          </w:p>
        </w:tc>
      </w:tr>
      <w:tr w:rsidR="0012790E" w:rsidRPr="001C06E6" w14:paraId="255479D1" w14:textId="77777777">
        <w:tc>
          <w:tcPr>
            <w:tcW w:w="2497" w:type="dxa"/>
            <w:tcBorders>
              <w:top w:val="single" w:sz="4" w:space="0" w:color="293F5B"/>
              <w:bottom w:val="single" w:sz="4" w:space="0" w:color="293F5B"/>
            </w:tcBorders>
            <w:shd w:val="clear" w:color="auto" w:fill="auto"/>
          </w:tcPr>
          <w:p w14:paraId="2FF7527C"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3E242122" w14:textId="77777777" w:rsidR="0012790E" w:rsidRPr="001C06E6" w:rsidRDefault="0012790E">
            <w:pPr>
              <w:pStyle w:val="Totaldatarowrightaligned"/>
              <w:keepNext/>
            </w:pPr>
            <w:r w:rsidRPr="001C06E6">
              <w:t>6.2</w:t>
            </w:r>
          </w:p>
        </w:tc>
        <w:tc>
          <w:tcPr>
            <w:tcW w:w="1045" w:type="dxa"/>
            <w:tcBorders>
              <w:top w:val="single" w:sz="4" w:space="0" w:color="293F5B"/>
              <w:bottom w:val="single" w:sz="4" w:space="0" w:color="293F5B"/>
            </w:tcBorders>
            <w:shd w:val="clear" w:color="auto" w:fill="auto"/>
          </w:tcPr>
          <w:p w14:paraId="0B17F723" w14:textId="77777777" w:rsidR="0012790E" w:rsidRPr="001C06E6" w:rsidRDefault="0012790E">
            <w:pPr>
              <w:pStyle w:val="Totaldatarowrightaligned"/>
              <w:keepNext/>
            </w:pPr>
            <w:r w:rsidRPr="001C06E6">
              <w:t>384.3</w:t>
            </w:r>
          </w:p>
        </w:tc>
        <w:tc>
          <w:tcPr>
            <w:tcW w:w="1045" w:type="dxa"/>
            <w:tcBorders>
              <w:top w:val="single" w:sz="4" w:space="0" w:color="293F5B"/>
              <w:bottom w:val="single" w:sz="4" w:space="0" w:color="293F5B"/>
            </w:tcBorders>
            <w:shd w:val="clear" w:color="auto" w:fill="auto"/>
          </w:tcPr>
          <w:p w14:paraId="3170AEC4" w14:textId="77777777" w:rsidR="0012790E" w:rsidRPr="001C06E6" w:rsidRDefault="0012790E">
            <w:pPr>
              <w:pStyle w:val="Totaldatarowrightaligned"/>
              <w:keepNext/>
            </w:pPr>
            <w:r w:rsidRPr="001C06E6">
              <w:t>493.5</w:t>
            </w:r>
          </w:p>
        </w:tc>
        <w:tc>
          <w:tcPr>
            <w:tcW w:w="1045" w:type="dxa"/>
            <w:tcBorders>
              <w:top w:val="single" w:sz="4" w:space="0" w:color="293F5B"/>
              <w:bottom w:val="single" w:sz="4" w:space="0" w:color="293F5B"/>
            </w:tcBorders>
            <w:shd w:val="clear" w:color="auto" w:fill="auto"/>
          </w:tcPr>
          <w:p w14:paraId="4AED5FC2" w14:textId="77777777" w:rsidR="0012790E" w:rsidRPr="001C06E6" w:rsidRDefault="0012790E">
            <w:pPr>
              <w:pStyle w:val="Totaldatarowrightaligned"/>
              <w:keepNext/>
            </w:pPr>
            <w:r w:rsidRPr="001C06E6">
              <w:t>503.2</w:t>
            </w:r>
          </w:p>
        </w:tc>
        <w:tc>
          <w:tcPr>
            <w:tcW w:w="1045" w:type="dxa"/>
            <w:tcBorders>
              <w:top w:val="single" w:sz="4" w:space="0" w:color="293F5B"/>
              <w:bottom w:val="single" w:sz="4" w:space="0" w:color="293F5B"/>
            </w:tcBorders>
            <w:shd w:val="clear" w:color="auto" w:fill="auto"/>
          </w:tcPr>
          <w:p w14:paraId="0F7F650E" w14:textId="77777777" w:rsidR="0012790E" w:rsidRPr="001C06E6" w:rsidRDefault="0012790E">
            <w:pPr>
              <w:pStyle w:val="Totaldatarowrightaligned"/>
              <w:keepNext/>
            </w:pPr>
            <w:r w:rsidRPr="001C06E6">
              <w:t>518.0</w:t>
            </w:r>
          </w:p>
        </w:tc>
      </w:tr>
    </w:tbl>
    <w:p w14:paraId="34D21574"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24"/>
          <w:lang w:val="en-AU"/>
        </w:rPr>
      </w:pPr>
    </w:p>
    <w:p w14:paraId="7A8DC466" w14:textId="77777777" w:rsidR="0012790E" w:rsidRDefault="0012790E">
      <w:pPr>
        <w:pStyle w:val="Normal2"/>
      </w:pPr>
      <w:r w:rsidRPr="54937204">
        <w:rPr>
          <w:lang w:val="en-US"/>
        </w:rPr>
        <w:t xml:space="preserve">The Government will provide $1.9 billion over five years from 2023–24 (and $0.5 billion per year ongoing from 2028–29) to increase all </w:t>
      </w:r>
      <w:r w:rsidRPr="54937204">
        <w:rPr>
          <w:i/>
          <w:iCs/>
          <w:lang w:val="en-US"/>
        </w:rPr>
        <w:t xml:space="preserve">Commonwealth Rent Assistance </w:t>
      </w:r>
      <w:r w:rsidRPr="54937204">
        <w:rPr>
          <w:lang w:val="en-US"/>
        </w:rPr>
        <w:t xml:space="preserve">maximum rates by 10 per cent from 20 September 2024 to help address rental affordability challenges for recipients. </w:t>
      </w:r>
    </w:p>
    <w:p w14:paraId="2BB48547" w14:textId="10DDBCDD" w:rsidR="0012790E" w:rsidRPr="001C06E6" w:rsidRDefault="0012790E">
      <w:pPr>
        <w:pStyle w:val="Normal2"/>
      </w:pPr>
      <w:r w:rsidRPr="001C06E6">
        <w:t xml:space="preserve">This measure builds on the </w:t>
      </w:r>
      <w:r>
        <w:t>2023–24 </w:t>
      </w:r>
      <w:r w:rsidRPr="001C06E6">
        <w:t xml:space="preserve">Budget measure titled </w:t>
      </w:r>
      <w:r w:rsidRPr="001C06E6">
        <w:rPr>
          <w:i/>
        </w:rPr>
        <w:t>Increased Support for</w:t>
      </w:r>
      <w:r>
        <w:rPr>
          <w:i/>
        </w:rPr>
        <w:t xml:space="preserve"> </w:t>
      </w:r>
      <w:r w:rsidRPr="001C06E6">
        <w:rPr>
          <w:i/>
        </w:rPr>
        <w:t>Commonwealth Rent Assistance Recipients.</w:t>
      </w:r>
      <w:r>
        <w:rPr>
          <w:i/>
        </w:rPr>
        <w:t xml:space="preserve"> </w:t>
      </w:r>
    </w:p>
    <w:p w14:paraId="4769B0F6" w14:textId="77777777" w:rsidR="0012790E" w:rsidRPr="001C06E6" w:rsidRDefault="0012790E">
      <w:pPr>
        <w:pStyle w:val="MeasureTitle"/>
        <w:rPr>
          <w:b w:val="0"/>
          <w:szCs w:val="24"/>
        </w:rPr>
      </w:pPr>
      <w:r w:rsidRPr="001C06E6">
        <w:rPr>
          <w:szCs w:val="24"/>
        </w:rPr>
        <w:t>Disability Employment Services Reform</w:t>
      </w:r>
    </w:p>
    <w:p w14:paraId="3CB6A1BD"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28CF05D" w14:textId="77777777">
        <w:tc>
          <w:tcPr>
            <w:tcW w:w="2497" w:type="dxa"/>
            <w:tcBorders>
              <w:top w:val="single" w:sz="4" w:space="0" w:color="293F5B"/>
              <w:bottom w:val="single" w:sz="4" w:space="0" w:color="293F5B"/>
            </w:tcBorders>
            <w:shd w:val="clear" w:color="auto" w:fill="auto"/>
          </w:tcPr>
          <w:p w14:paraId="4567975E"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3226C478"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44C08D6"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43FBBA08"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B1C98E7"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322A126" w14:textId="77777777" w:rsidR="0012790E" w:rsidRPr="001C06E6" w:rsidRDefault="0012790E">
            <w:pPr>
              <w:pStyle w:val="MeasureTableYearHeadings"/>
              <w:keepNext/>
            </w:pPr>
            <w:r w:rsidRPr="001C06E6">
              <w:t>2027</w:t>
            </w:r>
            <w:r>
              <w:noBreakHyphen/>
            </w:r>
            <w:r w:rsidRPr="001C06E6">
              <w:t>28</w:t>
            </w:r>
          </w:p>
        </w:tc>
      </w:tr>
      <w:tr w:rsidR="0012790E" w:rsidRPr="001C06E6" w14:paraId="0AC47F57" w14:textId="77777777">
        <w:tc>
          <w:tcPr>
            <w:tcW w:w="2497" w:type="dxa"/>
            <w:tcBorders>
              <w:top w:val="single" w:sz="4" w:space="0" w:color="293F5B"/>
              <w:bottom w:val="single" w:sz="4" w:space="0" w:color="293F5B"/>
            </w:tcBorders>
            <w:shd w:val="clear" w:color="auto" w:fill="auto"/>
          </w:tcPr>
          <w:p w14:paraId="53EE1D84"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70EF39DA" w14:textId="77777777" w:rsidR="0012790E" w:rsidRPr="001C06E6" w:rsidRDefault="0012790E">
            <w:pPr>
              <w:pStyle w:val="MeasureTableDataRightAlignedwith2ptsspacing"/>
              <w:keepNext/>
            </w:pPr>
            <w:r w:rsidRPr="001C06E6">
              <w:t>0.5</w:t>
            </w:r>
          </w:p>
        </w:tc>
        <w:tc>
          <w:tcPr>
            <w:tcW w:w="1045" w:type="dxa"/>
            <w:tcBorders>
              <w:top w:val="single" w:sz="4" w:space="0" w:color="293F5B"/>
              <w:bottom w:val="single" w:sz="4" w:space="0" w:color="293F5B"/>
            </w:tcBorders>
            <w:shd w:val="clear" w:color="auto" w:fill="auto"/>
          </w:tcPr>
          <w:p w14:paraId="248B456D" w14:textId="77777777" w:rsidR="0012790E" w:rsidRPr="001C06E6" w:rsidRDefault="0012790E">
            <w:pPr>
              <w:pStyle w:val="MeasureTableDataRightAlignedwith2ptsspacing"/>
              <w:keepNext/>
            </w:pPr>
            <w:r w:rsidRPr="001C06E6">
              <w:t>16.7</w:t>
            </w:r>
          </w:p>
        </w:tc>
        <w:tc>
          <w:tcPr>
            <w:tcW w:w="1045" w:type="dxa"/>
            <w:tcBorders>
              <w:top w:val="single" w:sz="4" w:space="0" w:color="293F5B"/>
              <w:bottom w:val="single" w:sz="4" w:space="0" w:color="293F5B"/>
            </w:tcBorders>
            <w:shd w:val="clear" w:color="auto" w:fill="auto"/>
          </w:tcPr>
          <w:p w14:paraId="0DF3295D" w14:textId="77777777" w:rsidR="0012790E" w:rsidRPr="001C06E6" w:rsidRDefault="0012790E">
            <w:pPr>
              <w:pStyle w:val="MeasureTableDataRightAlignedwith2ptsspacing"/>
              <w:keepNext/>
            </w:pPr>
            <w:r w:rsidRPr="001C06E6">
              <w:t>35.4</w:t>
            </w:r>
          </w:p>
        </w:tc>
        <w:tc>
          <w:tcPr>
            <w:tcW w:w="1045" w:type="dxa"/>
            <w:tcBorders>
              <w:top w:val="single" w:sz="4" w:space="0" w:color="293F5B"/>
              <w:bottom w:val="single" w:sz="4" w:space="0" w:color="293F5B"/>
            </w:tcBorders>
            <w:shd w:val="clear" w:color="auto" w:fill="auto"/>
          </w:tcPr>
          <w:p w14:paraId="44868231" w14:textId="77777777" w:rsidR="0012790E" w:rsidRPr="001C06E6" w:rsidRDefault="0012790E">
            <w:pPr>
              <w:pStyle w:val="MeasureTableDataRightAlignedwith2ptsspacing"/>
              <w:keepNext/>
            </w:pPr>
            <w:r w:rsidRPr="001C06E6">
              <w:t>24.7</w:t>
            </w:r>
          </w:p>
        </w:tc>
        <w:tc>
          <w:tcPr>
            <w:tcW w:w="1045" w:type="dxa"/>
            <w:tcBorders>
              <w:top w:val="single" w:sz="4" w:space="0" w:color="293F5B"/>
              <w:bottom w:val="single" w:sz="4" w:space="0" w:color="293F5B"/>
            </w:tcBorders>
            <w:shd w:val="clear" w:color="auto" w:fill="auto"/>
          </w:tcPr>
          <w:p w14:paraId="773D6E7C" w14:textId="77777777" w:rsidR="0012790E" w:rsidRPr="001C06E6" w:rsidRDefault="0012790E">
            <w:pPr>
              <w:pStyle w:val="MeasureTableDataRightAlignedwith2ptsspacing"/>
              <w:keepNext/>
            </w:pPr>
            <w:r w:rsidRPr="001C06E6">
              <w:t>9.1</w:t>
            </w:r>
          </w:p>
        </w:tc>
      </w:tr>
      <w:tr w:rsidR="0012790E" w:rsidRPr="001C06E6" w14:paraId="244BF2E2" w14:textId="77777777">
        <w:tc>
          <w:tcPr>
            <w:tcW w:w="2497" w:type="dxa"/>
            <w:tcBorders>
              <w:top w:val="single" w:sz="4" w:space="0" w:color="293F5B"/>
              <w:bottom w:val="single" w:sz="4" w:space="0" w:color="293F5B"/>
            </w:tcBorders>
            <w:shd w:val="clear" w:color="auto" w:fill="auto"/>
          </w:tcPr>
          <w:p w14:paraId="2F55DC7C"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0BF85D83" w14:textId="77777777" w:rsidR="0012790E" w:rsidRPr="001C06E6" w:rsidRDefault="0012790E">
            <w:pPr>
              <w:pStyle w:val="MeasureTableDataRightAlignedwith2ptsspacing"/>
              <w:keepNext/>
            </w:pPr>
            <w:r>
              <w:t xml:space="preserve">0.2 </w:t>
            </w:r>
          </w:p>
        </w:tc>
        <w:tc>
          <w:tcPr>
            <w:tcW w:w="1045" w:type="dxa"/>
            <w:tcBorders>
              <w:top w:val="single" w:sz="4" w:space="0" w:color="293F5B"/>
              <w:bottom w:val="single" w:sz="4" w:space="0" w:color="293F5B"/>
            </w:tcBorders>
            <w:shd w:val="clear" w:color="auto" w:fill="auto"/>
          </w:tcPr>
          <w:p w14:paraId="5228239C" w14:textId="77777777" w:rsidR="0012790E" w:rsidRPr="001C06E6" w:rsidRDefault="0012790E">
            <w:pPr>
              <w:pStyle w:val="MeasureTableDataRightAlignedwith2ptsspacing"/>
              <w:keepNext/>
            </w:pPr>
            <w:r>
              <w:t xml:space="preserve">35.0 </w:t>
            </w:r>
          </w:p>
        </w:tc>
        <w:tc>
          <w:tcPr>
            <w:tcW w:w="1045" w:type="dxa"/>
            <w:tcBorders>
              <w:top w:val="single" w:sz="4" w:space="0" w:color="293F5B"/>
              <w:bottom w:val="single" w:sz="4" w:space="0" w:color="293F5B"/>
            </w:tcBorders>
            <w:shd w:val="clear" w:color="auto" w:fill="auto"/>
          </w:tcPr>
          <w:p w14:paraId="68EAFA46" w14:textId="77777777" w:rsidR="0012790E" w:rsidRPr="001C06E6" w:rsidRDefault="0012790E">
            <w:pPr>
              <w:pStyle w:val="MeasureTableDataRightAlignedwith2ptsspacing"/>
              <w:keepNext/>
            </w:pPr>
            <w:r>
              <w:t xml:space="preserve">28.5 </w:t>
            </w:r>
          </w:p>
        </w:tc>
        <w:tc>
          <w:tcPr>
            <w:tcW w:w="1045" w:type="dxa"/>
            <w:tcBorders>
              <w:top w:val="single" w:sz="4" w:space="0" w:color="293F5B"/>
              <w:bottom w:val="single" w:sz="4" w:space="0" w:color="293F5B"/>
            </w:tcBorders>
            <w:shd w:val="clear" w:color="auto" w:fill="auto"/>
          </w:tcPr>
          <w:p w14:paraId="19905122" w14:textId="77777777" w:rsidR="0012790E" w:rsidRPr="001C06E6" w:rsidRDefault="0012790E">
            <w:pPr>
              <w:pStyle w:val="MeasureTableDataRightAlignedwith2ptsspacing"/>
              <w:keepNext/>
            </w:pPr>
            <w:r>
              <w:t xml:space="preserve">10.7 </w:t>
            </w:r>
          </w:p>
        </w:tc>
        <w:tc>
          <w:tcPr>
            <w:tcW w:w="1045" w:type="dxa"/>
            <w:tcBorders>
              <w:top w:val="single" w:sz="4" w:space="0" w:color="293F5B"/>
              <w:bottom w:val="single" w:sz="4" w:space="0" w:color="293F5B"/>
            </w:tcBorders>
            <w:shd w:val="clear" w:color="auto" w:fill="auto"/>
          </w:tcPr>
          <w:p w14:paraId="508548F0" w14:textId="77777777" w:rsidR="0012790E" w:rsidRPr="001C06E6" w:rsidRDefault="0012790E">
            <w:pPr>
              <w:pStyle w:val="MeasureTableDataRightAlignedwith2ptsspacing"/>
              <w:keepNext/>
            </w:pPr>
            <w:r>
              <w:t xml:space="preserve">1.1 </w:t>
            </w:r>
          </w:p>
        </w:tc>
      </w:tr>
      <w:tr w:rsidR="0012790E" w:rsidRPr="001C06E6" w14:paraId="4BC5D890" w14:textId="77777777">
        <w:tc>
          <w:tcPr>
            <w:tcW w:w="2497" w:type="dxa"/>
            <w:tcBorders>
              <w:top w:val="single" w:sz="4" w:space="0" w:color="293F5B"/>
              <w:bottom w:val="single" w:sz="4" w:space="0" w:color="293F5B"/>
            </w:tcBorders>
            <w:shd w:val="clear" w:color="auto" w:fill="auto"/>
          </w:tcPr>
          <w:p w14:paraId="10B19DD3"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0900535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C89E01C" w14:textId="77777777" w:rsidR="0012790E" w:rsidRPr="001C06E6" w:rsidRDefault="0012790E">
            <w:pPr>
              <w:pStyle w:val="MeasureTableDataRightAlignedwith2ptsspacing"/>
              <w:keepNext/>
            </w:pPr>
            <w:r w:rsidRPr="001C06E6">
              <w:t>39.4</w:t>
            </w:r>
          </w:p>
        </w:tc>
        <w:tc>
          <w:tcPr>
            <w:tcW w:w="1045" w:type="dxa"/>
            <w:tcBorders>
              <w:top w:val="single" w:sz="4" w:space="0" w:color="293F5B"/>
              <w:bottom w:val="single" w:sz="4" w:space="0" w:color="293F5B"/>
            </w:tcBorders>
            <w:shd w:val="clear" w:color="auto" w:fill="auto"/>
          </w:tcPr>
          <w:p w14:paraId="00677229" w14:textId="77777777" w:rsidR="0012790E" w:rsidRPr="001C06E6" w:rsidRDefault="0012790E">
            <w:pPr>
              <w:pStyle w:val="MeasureTableDataRightAlignedwith2ptsspacing"/>
              <w:keepNext/>
            </w:pPr>
            <w:r w:rsidRPr="001C06E6">
              <w:t>-23.4</w:t>
            </w:r>
          </w:p>
        </w:tc>
        <w:tc>
          <w:tcPr>
            <w:tcW w:w="1045" w:type="dxa"/>
            <w:tcBorders>
              <w:top w:val="single" w:sz="4" w:space="0" w:color="293F5B"/>
              <w:bottom w:val="single" w:sz="4" w:space="0" w:color="293F5B"/>
            </w:tcBorders>
            <w:shd w:val="clear" w:color="auto" w:fill="auto"/>
          </w:tcPr>
          <w:p w14:paraId="1B93363C" w14:textId="77777777" w:rsidR="0012790E" w:rsidRPr="001C06E6" w:rsidRDefault="0012790E">
            <w:pPr>
              <w:pStyle w:val="MeasureTableDataRightAlignedwith2ptsspacing"/>
              <w:keepNext/>
            </w:pPr>
            <w:r w:rsidRPr="001C06E6">
              <w:t>21.9</w:t>
            </w:r>
          </w:p>
        </w:tc>
        <w:tc>
          <w:tcPr>
            <w:tcW w:w="1045" w:type="dxa"/>
            <w:tcBorders>
              <w:top w:val="single" w:sz="4" w:space="0" w:color="293F5B"/>
              <w:bottom w:val="single" w:sz="4" w:space="0" w:color="293F5B"/>
            </w:tcBorders>
            <w:shd w:val="clear" w:color="auto" w:fill="auto"/>
          </w:tcPr>
          <w:p w14:paraId="79945D22" w14:textId="77777777" w:rsidR="0012790E" w:rsidRPr="001C06E6" w:rsidRDefault="0012790E">
            <w:pPr>
              <w:pStyle w:val="MeasureTableDataRightAlignedwith2ptsspacing"/>
              <w:keepNext/>
            </w:pPr>
            <w:r w:rsidRPr="001C06E6">
              <w:t>53.9</w:t>
            </w:r>
          </w:p>
        </w:tc>
      </w:tr>
      <w:tr w:rsidR="0012790E" w:rsidRPr="001C06E6" w14:paraId="4AC33657" w14:textId="77777777">
        <w:tc>
          <w:tcPr>
            <w:tcW w:w="2497" w:type="dxa"/>
            <w:tcBorders>
              <w:top w:val="single" w:sz="4" w:space="0" w:color="293F5B"/>
              <w:bottom w:val="single" w:sz="4" w:space="0" w:color="293F5B"/>
            </w:tcBorders>
            <w:shd w:val="clear" w:color="auto" w:fill="auto"/>
          </w:tcPr>
          <w:p w14:paraId="0011E5DB"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49ABB85B" w14:textId="77777777" w:rsidR="0012790E" w:rsidRPr="001C06E6" w:rsidRDefault="0012790E">
            <w:pPr>
              <w:pStyle w:val="Totaldatarowrightaligned"/>
              <w:keepNext/>
            </w:pPr>
            <w:r w:rsidRPr="001C06E6">
              <w:t>0.6</w:t>
            </w:r>
          </w:p>
        </w:tc>
        <w:tc>
          <w:tcPr>
            <w:tcW w:w="1045" w:type="dxa"/>
            <w:tcBorders>
              <w:top w:val="single" w:sz="4" w:space="0" w:color="293F5B"/>
              <w:bottom w:val="single" w:sz="4" w:space="0" w:color="293F5B"/>
            </w:tcBorders>
            <w:shd w:val="clear" w:color="auto" w:fill="auto"/>
          </w:tcPr>
          <w:p w14:paraId="5BCC64EF" w14:textId="77777777" w:rsidR="0012790E" w:rsidRPr="001C06E6" w:rsidRDefault="0012790E">
            <w:pPr>
              <w:pStyle w:val="Totaldatarowrightaligned"/>
              <w:keepNext/>
            </w:pPr>
            <w:r w:rsidRPr="001C06E6">
              <w:t>91.1</w:t>
            </w:r>
          </w:p>
        </w:tc>
        <w:tc>
          <w:tcPr>
            <w:tcW w:w="1045" w:type="dxa"/>
            <w:tcBorders>
              <w:top w:val="single" w:sz="4" w:space="0" w:color="293F5B"/>
              <w:bottom w:val="single" w:sz="4" w:space="0" w:color="293F5B"/>
            </w:tcBorders>
            <w:shd w:val="clear" w:color="auto" w:fill="auto"/>
          </w:tcPr>
          <w:p w14:paraId="4B48FF30" w14:textId="77777777" w:rsidR="0012790E" w:rsidRPr="001C06E6" w:rsidRDefault="0012790E">
            <w:pPr>
              <w:pStyle w:val="Totaldatarowrightaligned"/>
              <w:keepNext/>
            </w:pPr>
            <w:r w:rsidRPr="001C06E6">
              <w:t>40.4</w:t>
            </w:r>
          </w:p>
        </w:tc>
        <w:tc>
          <w:tcPr>
            <w:tcW w:w="1045" w:type="dxa"/>
            <w:tcBorders>
              <w:top w:val="single" w:sz="4" w:space="0" w:color="293F5B"/>
              <w:bottom w:val="single" w:sz="4" w:space="0" w:color="293F5B"/>
            </w:tcBorders>
            <w:shd w:val="clear" w:color="auto" w:fill="auto"/>
          </w:tcPr>
          <w:p w14:paraId="4A72B086" w14:textId="77777777" w:rsidR="0012790E" w:rsidRPr="001C06E6" w:rsidRDefault="0012790E">
            <w:pPr>
              <w:pStyle w:val="Totaldatarowrightaligned"/>
              <w:keepNext/>
            </w:pPr>
            <w:r w:rsidRPr="001C06E6">
              <w:t>57.3</w:t>
            </w:r>
          </w:p>
        </w:tc>
        <w:tc>
          <w:tcPr>
            <w:tcW w:w="1045" w:type="dxa"/>
            <w:tcBorders>
              <w:top w:val="single" w:sz="4" w:space="0" w:color="293F5B"/>
              <w:bottom w:val="single" w:sz="4" w:space="0" w:color="293F5B"/>
            </w:tcBorders>
            <w:shd w:val="clear" w:color="auto" w:fill="auto"/>
          </w:tcPr>
          <w:p w14:paraId="2CEAE796" w14:textId="77777777" w:rsidR="0012790E" w:rsidRPr="001C06E6" w:rsidRDefault="0012790E">
            <w:pPr>
              <w:pStyle w:val="Totaldatarowrightaligned"/>
              <w:keepNext/>
            </w:pPr>
            <w:r w:rsidRPr="001C06E6">
              <w:t>64.1</w:t>
            </w:r>
          </w:p>
        </w:tc>
      </w:tr>
    </w:tbl>
    <w:p w14:paraId="3E088112"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24"/>
          <w:lang w:val="en-AU"/>
        </w:rPr>
      </w:pPr>
    </w:p>
    <w:p w14:paraId="674C64BB" w14:textId="77777777" w:rsidR="0012790E" w:rsidRDefault="0012790E">
      <w:pPr>
        <w:pStyle w:val="Normal2"/>
      </w:pPr>
      <w:r w:rsidRPr="54937204">
        <w:rPr>
          <w:lang w:val="en-US"/>
        </w:rPr>
        <w:t>The Government will provide $253.6 million over five years from 2023–24 (and $19.0 million per year ongoing) to reform employment services and supports for people with disability. Funding includes:</w:t>
      </w:r>
    </w:p>
    <w:p w14:paraId="78C147ED" w14:textId="77777777" w:rsidR="0012790E" w:rsidRDefault="0012790E">
      <w:pPr>
        <w:pStyle w:val="Bullet"/>
      </w:pPr>
      <w:r w:rsidRPr="001C06E6">
        <w:t>$227.6</w:t>
      </w:r>
      <w:r>
        <w:t> </w:t>
      </w:r>
      <w:r w:rsidRPr="001C06E6">
        <w:t xml:space="preserve">million over five years from </w:t>
      </w:r>
      <w:r>
        <w:t>2023–24</w:t>
      </w:r>
      <w:r w:rsidRPr="001C06E6">
        <w:t xml:space="preserve"> (and $11.4</w:t>
      </w:r>
      <w:r>
        <w:t> </w:t>
      </w:r>
      <w:r w:rsidRPr="001C06E6">
        <w:t>million per year ongoing) to implement a new specialist disability employment program to replace the existing Disability Employment Services program by 1</w:t>
      </w:r>
      <w:r>
        <w:t> </w:t>
      </w:r>
      <w:r w:rsidRPr="001C06E6">
        <w:t>July</w:t>
      </w:r>
      <w:r>
        <w:t> </w:t>
      </w:r>
      <w:r w:rsidRPr="001C06E6">
        <w:t>2025</w:t>
      </w:r>
      <w:r>
        <w:t xml:space="preserve"> </w:t>
      </w:r>
    </w:p>
    <w:p w14:paraId="29F141D1" w14:textId="77777777" w:rsidR="0012790E" w:rsidRDefault="0012790E">
      <w:pPr>
        <w:pStyle w:val="Bullet"/>
      </w:pPr>
      <w:r w:rsidRPr="001C06E6">
        <w:t>$23.3</w:t>
      </w:r>
      <w:r>
        <w:t> </w:t>
      </w:r>
      <w:r w:rsidRPr="001C06E6">
        <w:t xml:space="preserve">million over four years from </w:t>
      </w:r>
      <w:r>
        <w:t>2024–25</w:t>
      </w:r>
      <w:r w:rsidRPr="001C06E6">
        <w:t xml:space="preserve"> (and $7.6</w:t>
      </w:r>
      <w:r>
        <w:t> </w:t>
      </w:r>
      <w:r w:rsidRPr="001C06E6">
        <w:t>million per year ongoing) to establish a Disability Employment Centre of Excellence</w:t>
      </w:r>
      <w:r>
        <w:t xml:space="preserve"> </w:t>
      </w:r>
    </w:p>
    <w:p w14:paraId="2776A600" w14:textId="1234757F" w:rsidR="0012790E" w:rsidRDefault="0012790E">
      <w:pPr>
        <w:pStyle w:val="Bullet"/>
      </w:pPr>
      <w:r w:rsidRPr="001C06E6">
        <w:t>$2.6</w:t>
      </w:r>
      <w:r>
        <w:t> </w:t>
      </w:r>
      <w:r w:rsidRPr="001C06E6">
        <w:t xml:space="preserve">million over three years from </w:t>
      </w:r>
      <w:r>
        <w:t>2024–25</w:t>
      </w:r>
      <w:r w:rsidRPr="001C06E6">
        <w:t xml:space="preserve"> to extend the National Disability Abuse and</w:t>
      </w:r>
      <w:r w:rsidR="00C03E24">
        <w:t> </w:t>
      </w:r>
      <w:r w:rsidRPr="001C06E6">
        <w:t>Neglect Hotline and the Complaints Resolution and Referral Service.</w:t>
      </w:r>
      <w:r>
        <w:t xml:space="preserve"> </w:t>
      </w:r>
    </w:p>
    <w:p w14:paraId="0DCB14E3" w14:textId="77777777" w:rsidR="0012790E" w:rsidRDefault="0012790E">
      <w:pPr>
        <w:pStyle w:val="Normal2"/>
      </w:pPr>
      <w:r w:rsidRPr="001C06E6">
        <w:t>These reforms progress the Government’s principles for employment services reforms</w:t>
      </w:r>
      <w:r>
        <w:t xml:space="preserve"> </w:t>
      </w:r>
      <w:r w:rsidRPr="001C06E6">
        <w:t>outlined in the Employment White Paper.</w:t>
      </w:r>
      <w:r>
        <w:t xml:space="preserve"> </w:t>
      </w:r>
    </w:p>
    <w:p w14:paraId="42ECF57F" w14:textId="2D848C48" w:rsidR="0012790E" w:rsidRDefault="0012790E">
      <w:pPr>
        <w:pStyle w:val="Normal2"/>
      </w:pPr>
      <w:r w:rsidRPr="001C06E6">
        <w:t xml:space="preserve">This measure builds on the </w:t>
      </w:r>
      <w:r>
        <w:t>2022–23</w:t>
      </w:r>
      <w:r w:rsidRPr="001C06E6">
        <w:t xml:space="preserve"> October Budget measure </w:t>
      </w:r>
      <w:r w:rsidRPr="001C06E6">
        <w:rPr>
          <w:i/>
        </w:rPr>
        <w:t>Future Arrangements</w:t>
      </w:r>
      <w:r>
        <w:rPr>
          <w:i/>
        </w:rPr>
        <w:t xml:space="preserve"> </w:t>
      </w:r>
      <w:r w:rsidRPr="001C06E6">
        <w:rPr>
          <w:i/>
        </w:rPr>
        <w:t>for</w:t>
      </w:r>
      <w:r w:rsidR="00C03E24">
        <w:rPr>
          <w:i/>
        </w:rPr>
        <w:t> </w:t>
      </w:r>
      <w:r w:rsidRPr="001C06E6">
        <w:rPr>
          <w:i/>
        </w:rPr>
        <w:t>the</w:t>
      </w:r>
      <w:r w:rsidR="00C03E24">
        <w:rPr>
          <w:i/>
        </w:rPr>
        <w:t> </w:t>
      </w:r>
      <w:r w:rsidRPr="001C06E6">
        <w:rPr>
          <w:i/>
        </w:rPr>
        <w:t>Disability Employment Services Program</w:t>
      </w:r>
      <w:r w:rsidRPr="001C06E6">
        <w:t xml:space="preserve">, and the </w:t>
      </w:r>
      <w:r>
        <w:t>2023–24 </w:t>
      </w:r>
      <w:r w:rsidRPr="001C06E6">
        <w:t>Budget measure</w:t>
      </w:r>
      <w:r>
        <w:t xml:space="preserve"> </w:t>
      </w:r>
      <w:r w:rsidRPr="001C06E6">
        <w:rPr>
          <w:i/>
        </w:rPr>
        <w:t>Supported</w:t>
      </w:r>
      <w:r w:rsidR="00C03E24">
        <w:rPr>
          <w:i/>
        </w:rPr>
        <w:t> </w:t>
      </w:r>
      <w:r w:rsidRPr="001C06E6">
        <w:rPr>
          <w:i/>
        </w:rPr>
        <w:t>Employment</w:t>
      </w:r>
      <w:r w:rsidRPr="001C06E6">
        <w:t>.</w:t>
      </w:r>
      <w:r>
        <w:t xml:space="preserve"> </w:t>
      </w:r>
    </w:p>
    <w:p w14:paraId="1792E959" w14:textId="77777777" w:rsidR="0012790E" w:rsidRPr="001C06E6" w:rsidRDefault="0012790E">
      <w:pPr>
        <w:pStyle w:val="MeasureTitle"/>
        <w:rPr>
          <w:b w:val="0"/>
          <w:szCs w:val="24"/>
        </w:rPr>
      </w:pPr>
      <w:r w:rsidRPr="001C06E6">
        <w:rPr>
          <w:szCs w:val="24"/>
        </w:rPr>
        <w:t>Early Years Strategy – aligning investment</w:t>
      </w:r>
    </w:p>
    <w:p w14:paraId="7A0EB77F"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C5C5092" w14:textId="77777777">
        <w:tc>
          <w:tcPr>
            <w:tcW w:w="2497" w:type="dxa"/>
            <w:tcBorders>
              <w:top w:val="single" w:sz="4" w:space="0" w:color="293F5B"/>
              <w:bottom w:val="single" w:sz="4" w:space="0" w:color="293F5B"/>
            </w:tcBorders>
            <w:shd w:val="clear" w:color="auto" w:fill="auto"/>
          </w:tcPr>
          <w:p w14:paraId="21A27DDF"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1C39BDE"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83F74E7"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574B96E"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59FA8002"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A0DBEC4" w14:textId="77777777" w:rsidR="0012790E" w:rsidRPr="001C06E6" w:rsidRDefault="0012790E">
            <w:pPr>
              <w:pStyle w:val="MeasureTableYearHeadings"/>
              <w:keepNext/>
            </w:pPr>
            <w:r w:rsidRPr="001C06E6">
              <w:t>2027</w:t>
            </w:r>
            <w:r>
              <w:noBreakHyphen/>
            </w:r>
            <w:r w:rsidRPr="001C06E6">
              <w:t>28</w:t>
            </w:r>
          </w:p>
        </w:tc>
      </w:tr>
      <w:tr w:rsidR="0012790E" w:rsidRPr="001C06E6" w14:paraId="33E5A8BF" w14:textId="77777777">
        <w:tc>
          <w:tcPr>
            <w:tcW w:w="2497" w:type="dxa"/>
            <w:tcBorders>
              <w:top w:val="single" w:sz="4" w:space="0" w:color="293F5B"/>
              <w:bottom w:val="single" w:sz="4" w:space="0" w:color="293F5B"/>
            </w:tcBorders>
            <w:shd w:val="clear" w:color="auto" w:fill="auto"/>
          </w:tcPr>
          <w:p w14:paraId="7C8BFC7A"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2161D5E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156A819" w14:textId="77777777" w:rsidR="0012790E" w:rsidRPr="001C06E6" w:rsidRDefault="0012790E">
            <w:pPr>
              <w:pStyle w:val="MeasureTableDataRightAlignedwith2ptsspacing"/>
              <w:keepNext/>
            </w:pPr>
            <w:r w:rsidRPr="001C06E6">
              <w:t>6.4</w:t>
            </w:r>
          </w:p>
        </w:tc>
        <w:tc>
          <w:tcPr>
            <w:tcW w:w="1045" w:type="dxa"/>
            <w:tcBorders>
              <w:top w:val="single" w:sz="4" w:space="0" w:color="293F5B"/>
              <w:bottom w:val="single" w:sz="4" w:space="0" w:color="293F5B"/>
            </w:tcBorders>
            <w:shd w:val="clear" w:color="auto" w:fill="auto"/>
          </w:tcPr>
          <w:p w14:paraId="347BA9FD" w14:textId="77777777" w:rsidR="0012790E" w:rsidRPr="001C06E6" w:rsidRDefault="0012790E">
            <w:pPr>
              <w:pStyle w:val="MeasureTableDataRightAlignedwith2ptsspacing"/>
              <w:keepNext/>
            </w:pPr>
            <w:r w:rsidRPr="001C06E6">
              <w:t>7.5</w:t>
            </w:r>
          </w:p>
        </w:tc>
        <w:tc>
          <w:tcPr>
            <w:tcW w:w="1045" w:type="dxa"/>
            <w:tcBorders>
              <w:top w:val="single" w:sz="4" w:space="0" w:color="293F5B"/>
              <w:bottom w:val="single" w:sz="4" w:space="0" w:color="293F5B"/>
            </w:tcBorders>
            <w:shd w:val="clear" w:color="auto" w:fill="auto"/>
          </w:tcPr>
          <w:p w14:paraId="07351FC3"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C102EF2" w14:textId="77777777" w:rsidR="0012790E" w:rsidRPr="001C06E6" w:rsidRDefault="0012790E">
            <w:pPr>
              <w:pStyle w:val="MeasureTableDataRightAlignedwith2ptsspacing"/>
              <w:keepNext/>
            </w:pPr>
            <w:r w:rsidRPr="001C06E6">
              <w:t>-</w:t>
            </w:r>
          </w:p>
        </w:tc>
      </w:tr>
    </w:tbl>
    <w:p w14:paraId="0C876F06"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24"/>
          <w:lang w:val="en-AU"/>
        </w:rPr>
      </w:pPr>
    </w:p>
    <w:p w14:paraId="42BADF2B" w14:textId="5D3DCC2F" w:rsidR="0012790E" w:rsidRDefault="0012790E">
      <w:pPr>
        <w:pStyle w:val="Normal2"/>
      </w:pPr>
      <w:r w:rsidRPr="001C06E6">
        <w:t>The Government will provide $1</w:t>
      </w:r>
      <w:r w:rsidR="00306775">
        <w:t>4.3</w:t>
      </w:r>
      <w:r>
        <w:t> </w:t>
      </w:r>
      <w:r w:rsidRPr="001C06E6">
        <w:t xml:space="preserve">million over five years from </w:t>
      </w:r>
      <w:r>
        <w:t>2024–25</w:t>
      </w:r>
      <w:r w:rsidRPr="001C06E6">
        <w:t xml:space="preserve"> to extend and</w:t>
      </w:r>
      <w:r>
        <w:t xml:space="preserve"> </w:t>
      </w:r>
      <w:r w:rsidRPr="001C06E6">
        <w:t>expand existing community support for parents and caregivers to improve child</w:t>
      </w:r>
      <w:r>
        <w:t xml:space="preserve"> </w:t>
      </w:r>
      <w:r w:rsidRPr="001C06E6">
        <w:t>outcomes in line with the Early Years Strategy. Funding includes:</w:t>
      </w:r>
    </w:p>
    <w:p w14:paraId="161051FC" w14:textId="77777777" w:rsidR="0012790E" w:rsidRDefault="0012790E">
      <w:pPr>
        <w:pStyle w:val="Bullet"/>
      </w:pPr>
      <w:r w:rsidRPr="001C06E6">
        <w:t>$4.8</w:t>
      </w:r>
      <w:r>
        <w:t> </w:t>
      </w:r>
      <w:r w:rsidRPr="001C06E6">
        <w:t xml:space="preserve">million over two years from </w:t>
      </w:r>
      <w:r>
        <w:t>2024–25</w:t>
      </w:r>
      <w:r w:rsidRPr="001C06E6">
        <w:t xml:space="preserve"> for The Fathering Project</w:t>
      </w:r>
      <w:r>
        <w:t xml:space="preserve"> </w:t>
      </w:r>
    </w:p>
    <w:p w14:paraId="0B25F077" w14:textId="77777777" w:rsidR="0012790E" w:rsidRDefault="0012790E">
      <w:pPr>
        <w:pStyle w:val="Bullet"/>
      </w:pPr>
      <w:r w:rsidRPr="001C06E6">
        <w:t>$4.6</w:t>
      </w:r>
      <w:r>
        <w:t> </w:t>
      </w:r>
      <w:r w:rsidRPr="001C06E6">
        <w:t xml:space="preserve">million over two years from </w:t>
      </w:r>
      <w:r>
        <w:t>2024–25</w:t>
      </w:r>
      <w:r w:rsidRPr="001C06E6">
        <w:t xml:space="preserve"> for the Raising Children Network</w:t>
      </w:r>
      <w:r>
        <w:t xml:space="preserve"> </w:t>
      </w:r>
    </w:p>
    <w:p w14:paraId="4986B662" w14:textId="77777777" w:rsidR="0012790E" w:rsidRDefault="0012790E">
      <w:pPr>
        <w:pStyle w:val="Bullet"/>
      </w:pPr>
      <w:r w:rsidRPr="001C06E6">
        <w:t>$4.3</w:t>
      </w:r>
      <w:r>
        <w:t> </w:t>
      </w:r>
      <w:r w:rsidRPr="001C06E6">
        <w:t xml:space="preserve">million over two years from </w:t>
      </w:r>
      <w:r>
        <w:t>2024–25</w:t>
      </w:r>
      <w:r w:rsidRPr="001C06E6">
        <w:t xml:space="preserve"> for the Supporting Expecting and Parenting Teens Program administered by the Brave Foundation</w:t>
      </w:r>
      <w:r>
        <w:t xml:space="preserve"> </w:t>
      </w:r>
    </w:p>
    <w:p w14:paraId="500FAD6F" w14:textId="07C859C2" w:rsidR="0012790E" w:rsidRDefault="0012790E">
      <w:pPr>
        <w:pStyle w:val="Bullet"/>
      </w:pPr>
      <w:r w:rsidRPr="001C06E6">
        <w:t>$0.4</w:t>
      </w:r>
      <w:r>
        <w:t> </w:t>
      </w:r>
      <w:r w:rsidRPr="001C06E6">
        <w:t xml:space="preserve">million over five years from </w:t>
      </w:r>
      <w:r>
        <w:t>2024–25</w:t>
      </w:r>
      <w:r w:rsidRPr="001C06E6">
        <w:t xml:space="preserve"> to establish a Parents and Carers Reference</w:t>
      </w:r>
      <w:r w:rsidR="00C03E24">
        <w:t> </w:t>
      </w:r>
      <w:r w:rsidRPr="001C06E6">
        <w:t>Group.</w:t>
      </w:r>
      <w:r>
        <w:t xml:space="preserve"> </w:t>
      </w:r>
    </w:p>
    <w:p w14:paraId="047D6161" w14:textId="260728E6" w:rsidR="0012790E" w:rsidRDefault="0012790E">
      <w:pPr>
        <w:pStyle w:val="Normal2"/>
      </w:pPr>
      <w:r w:rsidRPr="001C06E6">
        <w:t>The activities will provide information and support for parents and caregivers of young</w:t>
      </w:r>
      <w:r w:rsidR="00C03E24">
        <w:t> </w:t>
      </w:r>
      <w:r w:rsidRPr="001C06E6">
        <w:t>children.</w:t>
      </w:r>
      <w:r>
        <w:t xml:space="preserve"> </w:t>
      </w:r>
    </w:p>
    <w:p w14:paraId="590D88D9" w14:textId="77777777" w:rsidR="0012790E" w:rsidRDefault="0012790E">
      <w:pPr>
        <w:pStyle w:val="Normal2"/>
      </w:pPr>
      <w:r w:rsidRPr="54937204">
        <w:rPr>
          <w:lang w:val="en-US"/>
        </w:rPr>
        <w:t xml:space="preserve">The costs of this measure will be partially met from within the existing resources of the Department of Social Services. </w:t>
      </w:r>
    </w:p>
    <w:p w14:paraId="7747D907" w14:textId="77777777" w:rsidR="0012790E" w:rsidRPr="001C06E6" w:rsidRDefault="0012790E">
      <w:pPr>
        <w:pStyle w:val="MeasureTitle"/>
        <w:rPr>
          <w:b w:val="0"/>
          <w:szCs w:val="24"/>
        </w:rPr>
      </w:pPr>
      <w:r w:rsidRPr="001C06E6">
        <w:rPr>
          <w:szCs w:val="24"/>
        </w:rPr>
        <w:t>Endorsement of the Social Security Agreement between Australia and the</w:t>
      </w:r>
      <w:r>
        <w:rPr>
          <w:szCs w:val="24"/>
        </w:rPr>
        <w:t xml:space="preserve"> </w:t>
      </w:r>
      <w:r w:rsidRPr="001C06E6">
        <w:rPr>
          <w:szCs w:val="24"/>
        </w:rPr>
        <w:t>Oriental Republic of Uruguay</w:t>
      </w:r>
    </w:p>
    <w:p w14:paraId="1A5DC679"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3989A39" w14:textId="77777777">
        <w:tc>
          <w:tcPr>
            <w:tcW w:w="2497" w:type="dxa"/>
            <w:tcBorders>
              <w:top w:val="single" w:sz="4" w:space="0" w:color="293F5B"/>
              <w:bottom w:val="single" w:sz="4" w:space="0" w:color="293F5B"/>
            </w:tcBorders>
            <w:shd w:val="clear" w:color="auto" w:fill="auto"/>
          </w:tcPr>
          <w:p w14:paraId="1A93DD36"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359A1E82"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4913C69"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2C78A86"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C19EC41"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9894E96" w14:textId="77777777" w:rsidR="0012790E" w:rsidRPr="001C06E6" w:rsidRDefault="0012790E">
            <w:pPr>
              <w:pStyle w:val="MeasureTableYearHeadings"/>
              <w:keepNext/>
            </w:pPr>
            <w:r w:rsidRPr="001C06E6">
              <w:t>2027</w:t>
            </w:r>
            <w:r>
              <w:noBreakHyphen/>
            </w:r>
            <w:r w:rsidRPr="001C06E6">
              <w:t>28</w:t>
            </w:r>
          </w:p>
        </w:tc>
      </w:tr>
      <w:tr w:rsidR="0012790E" w:rsidRPr="001C06E6" w14:paraId="68984DD7" w14:textId="77777777">
        <w:tc>
          <w:tcPr>
            <w:tcW w:w="2497" w:type="dxa"/>
            <w:tcBorders>
              <w:top w:val="single" w:sz="4" w:space="0" w:color="293F5B"/>
              <w:bottom w:val="single" w:sz="4" w:space="0" w:color="293F5B"/>
            </w:tcBorders>
            <w:shd w:val="clear" w:color="auto" w:fill="auto"/>
          </w:tcPr>
          <w:p w14:paraId="00614C5C"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2FBB1C1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8329BAB" w14:textId="77777777" w:rsidR="0012790E" w:rsidRPr="001C06E6" w:rsidRDefault="0012790E">
            <w:pPr>
              <w:pStyle w:val="MeasureTableDataRightAlignedwith2ptsspacing"/>
              <w:keepNext/>
            </w:pPr>
            <w:r w:rsidRPr="001C06E6">
              <w:t>0.4</w:t>
            </w:r>
          </w:p>
        </w:tc>
        <w:tc>
          <w:tcPr>
            <w:tcW w:w="1045" w:type="dxa"/>
            <w:tcBorders>
              <w:top w:val="single" w:sz="4" w:space="0" w:color="293F5B"/>
              <w:bottom w:val="single" w:sz="4" w:space="0" w:color="293F5B"/>
            </w:tcBorders>
            <w:shd w:val="clear" w:color="auto" w:fill="auto"/>
          </w:tcPr>
          <w:p w14:paraId="088ABF26" w14:textId="77777777" w:rsidR="0012790E" w:rsidRPr="001C06E6" w:rsidRDefault="0012790E">
            <w:pPr>
              <w:pStyle w:val="MeasureTableDataRightAlignedwith2ptsspacing"/>
              <w:keepNext/>
            </w:pPr>
            <w:r w:rsidRPr="001C06E6">
              <w:t>11.5</w:t>
            </w:r>
          </w:p>
        </w:tc>
        <w:tc>
          <w:tcPr>
            <w:tcW w:w="1045" w:type="dxa"/>
            <w:tcBorders>
              <w:top w:val="single" w:sz="4" w:space="0" w:color="293F5B"/>
              <w:bottom w:val="single" w:sz="4" w:space="0" w:color="293F5B"/>
            </w:tcBorders>
            <w:shd w:val="clear" w:color="auto" w:fill="auto"/>
          </w:tcPr>
          <w:p w14:paraId="4DD3C7FB" w14:textId="77777777" w:rsidR="0012790E" w:rsidRPr="001C06E6" w:rsidRDefault="0012790E">
            <w:pPr>
              <w:pStyle w:val="MeasureTableDataRightAlignedwith2ptsspacing"/>
              <w:keepNext/>
            </w:pPr>
            <w:r w:rsidRPr="001C06E6">
              <w:t>1.6</w:t>
            </w:r>
          </w:p>
        </w:tc>
        <w:tc>
          <w:tcPr>
            <w:tcW w:w="1045" w:type="dxa"/>
            <w:tcBorders>
              <w:top w:val="single" w:sz="4" w:space="0" w:color="293F5B"/>
              <w:bottom w:val="single" w:sz="4" w:space="0" w:color="293F5B"/>
            </w:tcBorders>
            <w:shd w:val="clear" w:color="auto" w:fill="auto"/>
          </w:tcPr>
          <w:p w14:paraId="50ABC458" w14:textId="77777777" w:rsidR="0012790E" w:rsidRPr="001C06E6" w:rsidRDefault="0012790E">
            <w:pPr>
              <w:pStyle w:val="MeasureTableDataRightAlignedwith2ptsspacing"/>
              <w:keepNext/>
            </w:pPr>
            <w:r w:rsidRPr="001C06E6">
              <w:t>1.6</w:t>
            </w:r>
          </w:p>
        </w:tc>
      </w:tr>
      <w:tr w:rsidR="0012790E" w:rsidRPr="001C06E6" w14:paraId="371AADEE" w14:textId="77777777">
        <w:tc>
          <w:tcPr>
            <w:tcW w:w="2497" w:type="dxa"/>
            <w:tcBorders>
              <w:top w:val="single" w:sz="4" w:space="0" w:color="293F5B"/>
              <w:bottom w:val="single" w:sz="4" w:space="0" w:color="293F5B"/>
            </w:tcBorders>
            <w:shd w:val="clear" w:color="auto" w:fill="auto"/>
          </w:tcPr>
          <w:p w14:paraId="35EF2432"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324C6C0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8D8340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95116A8" w14:textId="77777777" w:rsidR="0012790E" w:rsidRPr="001C06E6" w:rsidRDefault="0012790E">
            <w:pPr>
              <w:pStyle w:val="MeasureTableDataRightAlignedwith2ptsspacing"/>
              <w:keepNext/>
            </w:pPr>
            <w:r w:rsidRPr="001C06E6">
              <w:t>1.2</w:t>
            </w:r>
          </w:p>
        </w:tc>
        <w:tc>
          <w:tcPr>
            <w:tcW w:w="1045" w:type="dxa"/>
            <w:tcBorders>
              <w:top w:val="single" w:sz="4" w:space="0" w:color="293F5B"/>
              <w:bottom w:val="single" w:sz="4" w:space="0" w:color="293F5B"/>
            </w:tcBorders>
            <w:shd w:val="clear" w:color="auto" w:fill="auto"/>
          </w:tcPr>
          <w:p w14:paraId="16DF1F9F" w14:textId="77777777" w:rsidR="0012790E" w:rsidRPr="001C06E6" w:rsidRDefault="0012790E">
            <w:pPr>
              <w:pStyle w:val="MeasureTableDataRightAlignedwith2ptsspacing"/>
              <w:keepNext/>
            </w:pPr>
            <w:r w:rsidRPr="001C06E6">
              <w:t>3.2</w:t>
            </w:r>
          </w:p>
        </w:tc>
        <w:tc>
          <w:tcPr>
            <w:tcW w:w="1045" w:type="dxa"/>
            <w:tcBorders>
              <w:top w:val="single" w:sz="4" w:space="0" w:color="293F5B"/>
              <w:bottom w:val="single" w:sz="4" w:space="0" w:color="293F5B"/>
            </w:tcBorders>
            <w:shd w:val="clear" w:color="auto" w:fill="auto"/>
          </w:tcPr>
          <w:p w14:paraId="08CCE285" w14:textId="77777777" w:rsidR="0012790E" w:rsidRPr="001C06E6" w:rsidRDefault="0012790E">
            <w:pPr>
              <w:pStyle w:val="MeasureTableDataRightAlignedwith2ptsspacing"/>
              <w:keepNext/>
            </w:pPr>
            <w:r w:rsidRPr="001C06E6">
              <w:t>3.6</w:t>
            </w:r>
          </w:p>
        </w:tc>
      </w:tr>
      <w:tr w:rsidR="0012790E" w:rsidRPr="001C06E6" w14:paraId="49442328" w14:textId="77777777">
        <w:tc>
          <w:tcPr>
            <w:tcW w:w="2497" w:type="dxa"/>
            <w:tcBorders>
              <w:top w:val="single" w:sz="4" w:space="0" w:color="293F5B"/>
              <w:bottom w:val="single" w:sz="4" w:space="0" w:color="293F5B"/>
            </w:tcBorders>
            <w:shd w:val="clear" w:color="auto" w:fill="auto"/>
          </w:tcPr>
          <w:p w14:paraId="158F6459"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3909587D"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694890E" w14:textId="77777777" w:rsidR="0012790E" w:rsidRPr="001C06E6" w:rsidRDefault="0012790E">
            <w:pPr>
              <w:pStyle w:val="Totaldatarowrightaligned"/>
              <w:keepNext/>
            </w:pPr>
            <w:r w:rsidRPr="001C06E6">
              <w:t>0.4</w:t>
            </w:r>
          </w:p>
        </w:tc>
        <w:tc>
          <w:tcPr>
            <w:tcW w:w="1045" w:type="dxa"/>
            <w:tcBorders>
              <w:top w:val="single" w:sz="4" w:space="0" w:color="293F5B"/>
              <w:bottom w:val="single" w:sz="4" w:space="0" w:color="293F5B"/>
            </w:tcBorders>
            <w:shd w:val="clear" w:color="auto" w:fill="auto"/>
          </w:tcPr>
          <w:p w14:paraId="7B5AA929" w14:textId="77777777" w:rsidR="0012790E" w:rsidRPr="001C06E6" w:rsidRDefault="0012790E">
            <w:pPr>
              <w:pStyle w:val="Totaldatarowrightaligned"/>
              <w:keepNext/>
            </w:pPr>
            <w:r w:rsidRPr="001C06E6">
              <w:t>12.7</w:t>
            </w:r>
          </w:p>
        </w:tc>
        <w:tc>
          <w:tcPr>
            <w:tcW w:w="1045" w:type="dxa"/>
            <w:tcBorders>
              <w:top w:val="single" w:sz="4" w:space="0" w:color="293F5B"/>
              <w:bottom w:val="single" w:sz="4" w:space="0" w:color="293F5B"/>
            </w:tcBorders>
            <w:shd w:val="clear" w:color="auto" w:fill="auto"/>
          </w:tcPr>
          <w:p w14:paraId="60188A3F" w14:textId="77777777" w:rsidR="0012790E" w:rsidRPr="001C06E6" w:rsidRDefault="0012790E">
            <w:pPr>
              <w:pStyle w:val="Totaldatarowrightaligned"/>
              <w:keepNext/>
            </w:pPr>
            <w:r w:rsidRPr="001C06E6">
              <w:t>4.8</w:t>
            </w:r>
          </w:p>
        </w:tc>
        <w:tc>
          <w:tcPr>
            <w:tcW w:w="1045" w:type="dxa"/>
            <w:tcBorders>
              <w:top w:val="single" w:sz="4" w:space="0" w:color="293F5B"/>
              <w:bottom w:val="single" w:sz="4" w:space="0" w:color="293F5B"/>
            </w:tcBorders>
            <w:shd w:val="clear" w:color="auto" w:fill="auto"/>
          </w:tcPr>
          <w:p w14:paraId="287C7292" w14:textId="77777777" w:rsidR="0012790E" w:rsidRPr="001C06E6" w:rsidRDefault="0012790E">
            <w:pPr>
              <w:pStyle w:val="Totaldatarowrightaligned"/>
              <w:keepNext/>
            </w:pPr>
            <w:r w:rsidRPr="001C06E6">
              <w:t>5.2</w:t>
            </w:r>
          </w:p>
        </w:tc>
      </w:tr>
      <w:tr w:rsidR="0012790E" w:rsidRPr="001C06E6" w14:paraId="1F0019C9" w14:textId="77777777">
        <w:tc>
          <w:tcPr>
            <w:tcW w:w="2497" w:type="dxa"/>
            <w:tcBorders>
              <w:top w:val="single" w:sz="4" w:space="0" w:color="293F5B"/>
            </w:tcBorders>
            <w:shd w:val="clear" w:color="auto" w:fill="auto"/>
          </w:tcPr>
          <w:p w14:paraId="56058062"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2C1B1B0D" w14:textId="77777777" w:rsidR="0012790E" w:rsidRPr="001C06E6" w:rsidRDefault="0012790E">
            <w:pPr>
              <w:pStyle w:val="AgencyName"/>
              <w:keepNext/>
            </w:pPr>
          </w:p>
        </w:tc>
        <w:tc>
          <w:tcPr>
            <w:tcW w:w="1045" w:type="dxa"/>
            <w:tcBorders>
              <w:top w:val="single" w:sz="4" w:space="0" w:color="293F5B"/>
            </w:tcBorders>
            <w:shd w:val="clear" w:color="auto" w:fill="auto"/>
          </w:tcPr>
          <w:p w14:paraId="26E98755" w14:textId="77777777" w:rsidR="0012790E" w:rsidRPr="001C06E6" w:rsidRDefault="0012790E">
            <w:pPr>
              <w:pStyle w:val="AgencyName"/>
              <w:keepNext/>
            </w:pPr>
          </w:p>
        </w:tc>
        <w:tc>
          <w:tcPr>
            <w:tcW w:w="1045" w:type="dxa"/>
            <w:tcBorders>
              <w:top w:val="single" w:sz="4" w:space="0" w:color="293F5B"/>
            </w:tcBorders>
            <w:shd w:val="clear" w:color="auto" w:fill="auto"/>
          </w:tcPr>
          <w:p w14:paraId="67F997E6" w14:textId="18BEDD40" w:rsidR="0012790E" w:rsidRPr="001C06E6" w:rsidRDefault="0012790E">
            <w:pPr>
              <w:pStyle w:val="AgencyName"/>
              <w:keepNext/>
            </w:pPr>
          </w:p>
        </w:tc>
        <w:tc>
          <w:tcPr>
            <w:tcW w:w="1045" w:type="dxa"/>
            <w:tcBorders>
              <w:top w:val="single" w:sz="4" w:space="0" w:color="293F5B"/>
            </w:tcBorders>
            <w:shd w:val="clear" w:color="auto" w:fill="auto"/>
          </w:tcPr>
          <w:p w14:paraId="6D455274" w14:textId="77777777" w:rsidR="0012790E" w:rsidRPr="001C06E6" w:rsidRDefault="0012790E">
            <w:pPr>
              <w:pStyle w:val="AgencyName"/>
              <w:keepNext/>
            </w:pPr>
          </w:p>
        </w:tc>
        <w:tc>
          <w:tcPr>
            <w:tcW w:w="1045" w:type="dxa"/>
            <w:tcBorders>
              <w:top w:val="single" w:sz="4" w:space="0" w:color="293F5B"/>
            </w:tcBorders>
            <w:shd w:val="clear" w:color="auto" w:fill="auto"/>
          </w:tcPr>
          <w:p w14:paraId="17792EAB" w14:textId="77777777" w:rsidR="0012790E" w:rsidRPr="001C06E6" w:rsidRDefault="0012790E">
            <w:pPr>
              <w:pStyle w:val="AgencyName"/>
              <w:keepNext/>
            </w:pPr>
          </w:p>
        </w:tc>
      </w:tr>
      <w:tr w:rsidR="0012790E" w:rsidRPr="001C06E6" w14:paraId="0AA1155A" w14:textId="77777777">
        <w:tc>
          <w:tcPr>
            <w:tcW w:w="2497" w:type="dxa"/>
            <w:tcBorders>
              <w:bottom w:val="single" w:sz="4" w:space="0" w:color="293F5B"/>
            </w:tcBorders>
            <w:shd w:val="clear" w:color="auto" w:fill="auto"/>
          </w:tcPr>
          <w:p w14:paraId="61E9E851" w14:textId="77777777" w:rsidR="0012790E" w:rsidRPr="001C06E6" w:rsidRDefault="0012790E">
            <w:pPr>
              <w:pStyle w:val="AgencyNamewith2ptsspacing"/>
              <w:keepNext/>
            </w:pPr>
            <w:r w:rsidRPr="001C06E6">
              <w:t>Australian Taxation Office</w:t>
            </w:r>
          </w:p>
        </w:tc>
        <w:tc>
          <w:tcPr>
            <w:tcW w:w="1045" w:type="dxa"/>
            <w:tcBorders>
              <w:bottom w:val="single" w:sz="4" w:space="0" w:color="293F5B"/>
            </w:tcBorders>
            <w:shd w:val="clear" w:color="auto" w:fill="auto"/>
          </w:tcPr>
          <w:p w14:paraId="65826362"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562B9F63"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628E6B4F" w14:textId="6470F533" w:rsidR="0012790E" w:rsidRPr="001C06E6" w:rsidRDefault="009760D0">
            <w:pPr>
              <w:pStyle w:val="Measuretabledatarightaligneditalics"/>
              <w:keepNext/>
            </w:pPr>
            <w:r>
              <w:t>..</w:t>
            </w:r>
          </w:p>
        </w:tc>
        <w:tc>
          <w:tcPr>
            <w:tcW w:w="1045" w:type="dxa"/>
            <w:tcBorders>
              <w:bottom w:val="single" w:sz="4" w:space="0" w:color="293F5B"/>
            </w:tcBorders>
            <w:shd w:val="clear" w:color="auto" w:fill="auto"/>
          </w:tcPr>
          <w:p w14:paraId="0CB7A772" w14:textId="5C7B970B" w:rsidR="0012790E" w:rsidRPr="001C06E6" w:rsidRDefault="009760D0">
            <w:pPr>
              <w:pStyle w:val="Measuretabledatarightaligneditalics"/>
              <w:keepNext/>
            </w:pPr>
            <w:r>
              <w:t>..</w:t>
            </w:r>
          </w:p>
        </w:tc>
        <w:tc>
          <w:tcPr>
            <w:tcW w:w="1045" w:type="dxa"/>
            <w:tcBorders>
              <w:bottom w:val="single" w:sz="4" w:space="0" w:color="293F5B"/>
            </w:tcBorders>
            <w:shd w:val="clear" w:color="auto" w:fill="auto"/>
          </w:tcPr>
          <w:p w14:paraId="7C9F698C" w14:textId="0C5E61F5" w:rsidR="0012790E" w:rsidRPr="001C06E6" w:rsidRDefault="009760D0">
            <w:pPr>
              <w:pStyle w:val="Measuretabledatarightaligneditalics"/>
              <w:keepNext/>
            </w:pPr>
            <w:r>
              <w:t>..</w:t>
            </w:r>
          </w:p>
        </w:tc>
      </w:tr>
    </w:tbl>
    <w:p w14:paraId="60BCC9FA" w14:textId="77777777" w:rsidR="0012790E" w:rsidRPr="001C06E6" w:rsidRDefault="0012790E">
      <w:pPr>
        <w:keepNext/>
        <w:widowControl w:val="0"/>
        <w:tabs>
          <w:tab w:val="right" w:pos="3536"/>
          <w:tab w:val="right" w:pos="4579"/>
          <w:tab w:val="right" w:pos="5622"/>
          <w:tab w:val="right" w:pos="6664"/>
          <w:tab w:val="right" w:pos="7707"/>
        </w:tabs>
        <w:spacing w:line="240" w:lineRule="exact"/>
        <w:rPr>
          <w:i/>
          <w:color w:val="000000"/>
          <w:sz w:val="16"/>
          <w:szCs w:val="24"/>
          <w:lang w:val="en-AU"/>
        </w:rPr>
      </w:pPr>
    </w:p>
    <w:p w14:paraId="459D6312" w14:textId="77777777" w:rsidR="0012790E" w:rsidRDefault="0012790E">
      <w:pPr>
        <w:pStyle w:val="Normal2"/>
      </w:pPr>
      <w:r w:rsidRPr="001C06E6">
        <w:t>The Government will provide $23.1</w:t>
      </w:r>
      <w:r>
        <w:t> </w:t>
      </w:r>
      <w:r w:rsidRPr="001C06E6">
        <w:t xml:space="preserve">million over four years from </w:t>
      </w:r>
      <w:r>
        <w:t>2024–25</w:t>
      </w:r>
      <w:r w:rsidRPr="001C06E6">
        <w:t xml:space="preserve"> (and $5.6</w:t>
      </w:r>
      <w:r>
        <w:t> </w:t>
      </w:r>
      <w:r w:rsidRPr="001C06E6">
        <w:t>million per year ongoing) to enter into a bilateral social security agreement with the</w:t>
      </w:r>
      <w:r>
        <w:t xml:space="preserve"> </w:t>
      </w:r>
      <w:r w:rsidRPr="001C06E6">
        <w:t>Oriental Republic of Uruguay.</w:t>
      </w:r>
      <w:r>
        <w:t xml:space="preserve"> </w:t>
      </w:r>
    </w:p>
    <w:p w14:paraId="41EE8EEB" w14:textId="77777777" w:rsidR="0012790E" w:rsidRDefault="0012790E">
      <w:pPr>
        <w:pStyle w:val="Normal2"/>
      </w:pPr>
      <w:r w:rsidRPr="54937204">
        <w:rPr>
          <w:lang w:val="en-US"/>
        </w:rPr>
        <w:t xml:space="preserve">Social security agreements enable Australia and the agreement countries to share the costs of providing retirement income support to those who have split their working life between countries. This agreement will be similar to Australia’s other 32 social security agreements currently in operation. </w:t>
      </w:r>
    </w:p>
    <w:p w14:paraId="77ED9DFE" w14:textId="77777777" w:rsidR="0012790E" w:rsidRPr="001C06E6" w:rsidRDefault="0012790E" w:rsidP="54937204">
      <w:pPr>
        <w:pStyle w:val="MeasureTitle"/>
        <w:rPr>
          <w:b w:val="0"/>
          <w:lang w:val="en-US"/>
        </w:rPr>
      </w:pPr>
      <w:r w:rsidRPr="54937204">
        <w:rPr>
          <w:lang w:val="en-US"/>
        </w:rPr>
        <w:t>Financial Wellbeing and Capability Activity – additional funding</w:t>
      </w:r>
    </w:p>
    <w:p w14:paraId="71D30432"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87E6114" w14:textId="77777777">
        <w:tc>
          <w:tcPr>
            <w:tcW w:w="2497" w:type="dxa"/>
            <w:tcBorders>
              <w:top w:val="single" w:sz="4" w:space="0" w:color="293F5B"/>
              <w:bottom w:val="single" w:sz="4" w:space="0" w:color="293F5B"/>
            </w:tcBorders>
            <w:shd w:val="clear" w:color="auto" w:fill="auto"/>
          </w:tcPr>
          <w:p w14:paraId="4754D3CC"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C4E06AA"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8625B28"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704FFE98"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7E7112B"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68A7385" w14:textId="77777777" w:rsidR="0012790E" w:rsidRPr="001C06E6" w:rsidRDefault="0012790E">
            <w:pPr>
              <w:pStyle w:val="MeasureTableYearHeadings"/>
              <w:keepNext/>
            </w:pPr>
            <w:r w:rsidRPr="001C06E6">
              <w:t>2027</w:t>
            </w:r>
            <w:r>
              <w:noBreakHyphen/>
            </w:r>
            <w:r w:rsidRPr="001C06E6">
              <w:t>28</w:t>
            </w:r>
          </w:p>
        </w:tc>
      </w:tr>
      <w:tr w:rsidR="0012790E" w:rsidRPr="001C06E6" w14:paraId="511886B7" w14:textId="77777777">
        <w:tc>
          <w:tcPr>
            <w:tcW w:w="2497" w:type="dxa"/>
            <w:tcBorders>
              <w:top w:val="single" w:sz="4" w:space="0" w:color="293F5B"/>
              <w:bottom w:val="single" w:sz="4" w:space="0" w:color="293F5B"/>
            </w:tcBorders>
            <w:shd w:val="clear" w:color="auto" w:fill="auto"/>
          </w:tcPr>
          <w:p w14:paraId="735EF2BC"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1C931886" w14:textId="77777777" w:rsidR="0012790E" w:rsidRPr="001C06E6" w:rsidRDefault="0012790E">
            <w:pPr>
              <w:pStyle w:val="MeasureTableDataRightAlignedwith2ptsspacing"/>
              <w:keepNext/>
            </w:pPr>
            <w:r w:rsidRPr="001C06E6">
              <w:t>7.8</w:t>
            </w:r>
          </w:p>
        </w:tc>
        <w:tc>
          <w:tcPr>
            <w:tcW w:w="1045" w:type="dxa"/>
            <w:tcBorders>
              <w:top w:val="single" w:sz="4" w:space="0" w:color="293F5B"/>
              <w:bottom w:val="single" w:sz="4" w:space="0" w:color="293F5B"/>
            </w:tcBorders>
            <w:shd w:val="clear" w:color="auto" w:fill="auto"/>
          </w:tcPr>
          <w:p w14:paraId="52209AD4" w14:textId="77777777" w:rsidR="0012790E" w:rsidRPr="001C06E6" w:rsidRDefault="0012790E">
            <w:pPr>
              <w:pStyle w:val="MeasureTableDataRightAlignedwith2ptsspacing"/>
              <w:keepNext/>
            </w:pPr>
            <w:r w:rsidRPr="001C06E6">
              <w:t>26.3</w:t>
            </w:r>
          </w:p>
        </w:tc>
        <w:tc>
          <w:tcPr>
            <w:tcW w:w="1045" w:type="dxa"/>
            <w:tcBorders>
              <w:top w:val="single" w:sz="4" w:space="0" w:color="293F5B"/>
              <w:bottom w:val="single" w:sz="4" w:space="0" w:color="293F5B"/>
            </w:tcBorders>
            <w:shd w:val="clear" w:color="auto" w:fill="auto"/>
          </w:tcPr>
          <w:p w14:paraId="47E0A22A" w14:textId="77777777" w:rsidR="0012790E" w:rsidRPr="001C06E6" w:rsidRDefault="0012790E">
            <w:pPr>
              <w:pStyle w:val="MeasureTableDataRightAlignedwith2ptsspacing"/>
              <w:keepNext/>
            </w:pPr>
            <w:r w:rsidRPr="001C06E6">
              <w:t>32.3</w:t>
            </w:r>
          </w:p>
        </w:tc>
        <w:tc>
          <w:tcPr>
            <w:tcW w:w="1045" w:type="dxa"/>
            <w:tcBorders>
              <w:top w:val="single" w:sz="4" w:space="0" w:color="293F5B"/>
              <w:bottom w:val="single" w:sz="4" w:space="0" w:color="293F5B"/>
            </w:tcBorders>
            <w:shd w:val="clear" w:color="auto" w:fill="auto"/>
          </w:tcPr>
          <w:p w14:paraId="0FB9F55C" w14:textId="77777777" w:rsidR="0012790E" w:rsidRPr="001C06E6" w:rsidRDefault="0012790E">
            <w:pPr>
              <w:pStyle w:val="MeasureTableDataRightAlignedwith2ptsspacing"/>
              <w:keepNext/>
            </w:pPr>
            <w:r w:rsidRPr="001C06E6">
              <w:t>33.1</w:t>
            </w:r>
          </w:p>
        </w:tc>
        <w:tc>
          <w:tcPr>
            <w:tcW w:w="1045" w:type="dxa"/>
            <w:tcBorders>
              <w:top w:val="single" w:sz="4" w:space="0" w:color="293F5B"/>
              <w:bottom w:val="single" w:sz="4" w:space="0" w:color="293F5B"/>
            </w:tcBorders>
            <w:shd w:val="clear" w:color="auto" w:fill="auto"/>
          </w:tcPr>
          <w:p w14:paraId="6C068490" w14:textId="77777777" w:rsidR="0012790E" w:rsidRPr="001C06E6" w:rsidRDefault="0012790E">
            <w:pPr>
              <w:pStyle w:val="MeasureTableDataRightAlignedwith2ptsspacing"/>
              <w:keepNext/>
            </w:pPr>
            <w:r w:rsidRPr="001C06E6">
              <w:t>33.8</w:t>
            </w:r>
          </w:p>
        </w:tc>
      </w:tr>
    </w:tbl>
    <w:p w14:paraId="34F504CE"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24"/>
          <w:lang w:val="en-AU"/>
        </w:rPr>
      </w:pPr>
    </w:p>
    <w:p w14:paraId="36C62303" w14:textId="77777777" w:rsidR="0012790E" w:rsidRDefault="0012790E">
      <w:pPr>
        <w:pStyle w:val="Normal2"/>
      </w:pPr>
      <w:r w:rsidRPr="54937204">
        <w:rPr>
          <w:lang w:val="en-US"/>
        </w:rPr>
        <w:t>The Government will provide $138.0 million over five years from 2023–24 (and $35.4 million per year ongoing) to boost support for Australians in financial distress or experiencing financial hardship and to build financial resilience, through additional funding to the Financial Wellbeing and Capability Activity. The activity will also be restructured to operate under two streams of support: Financial Capability and Resilience and Financial Crisis Response and Recovery. Funding includes:</w:t>
      </w:r>
    </w:p>
    <w:p w14:paraId="6A39EB33" w14:textId="77777777" w:rsidR="0012790E" w:rsidRDefault="0012790E">
      <w:pPr>
        <w:pStyle w:val="Bullet"/>
      </w:pPr>
      <w:r w:rsidRPr="001C06E6">
        <w:t>$114.8</w:t>
      </w:r>
      <w:r>
        <w:t> </w:t>
      </w:r>
      <w:r w:rsidRPr="001C06E6">
        <w:t xml:space="preserve">million over five years from </w:t>
      </w:r>
      <w:r>
        <w:t>2023–24</w:t>
      </w:r>
      <w:r w:rsidRPr="001C06E6">
        <w:t xml:space="preserve"> (and $27.7</w:t>
      </w:r>
      <w:r>
        <w:t> </w:t>
      </w:r>
      <w:r w:rsidRPr="001C06E6">
        <w:t>million per year ongoing) to support individuals and families experiencing financial distress in times of crisis and natural disasters</w:t>
      </w:r>
      <w:r>
        <w:t xml:space="preserve"> </w:t>
      </w:r>
    </w:p>
    <w:p w14:paraId="4B00FDCF" w14:textId="77777777" w:rsidR="0012790E" w:rsidRDefault="0012790E">
      <w:pPr>
        <w:pStyle w:val="Bullet"/>
      </w:pPr>
      <w:r w:rsidRPr="001C06E6">
        <w:t>$11.2</w:t>
      </w:r>
      <w:r>
        <w:t> </w:t>
      </w:r>
      <w:r w:rsidRPr="001C06E6">
        <w:t xml:space="preserve">million over three years from </w:t>
      </w:r>
      <w:r>
        <w:t>2025–26</w:t>
      </w:r>
      <w:r w:rsidRPr="001C06E6">
        <w:t xml:space="preserve"> (and $3.9</w:t>
      </w:r>
      <w:r>
        <w:t> </w:t>
      </w:r>
      <w:r w:rsidRPr="001C06E6">
        <w:t xml:space="preserve">million per year ongoing) for the expansion of the </w:t>
      </w:r>
      <w:r w:rsidRPr="001C06E6">
        <w:rPr>
          <w:i/>
        </w:rPr>
        <w:t>Saver Plus</w:t>
      </w:r>
      <w:r w:rsidRPr="001C06E6">
        <w:t xml:space="preserve"> program to enable participants to build financial skills, capabilities and resilience</w:t>
      </w:r>
      <w:r>
        <w:t xml:space="preserve"> </w:t>
      </w:r>
    </w:p>
    <w:p w14:paraId="0015D8D4" w14:textId="77777777" w:rsidR="0012790E" w:rsidRDefault="0012790E">
      <w:pPr>
        <w:pStyle w:val="Bullet"/>
      </w:pPr>
      <w:r w:rsidRPr="001C06E6">
        <w:t>$6.3</w:t>
      </w:r>
      <w:r>
        <w:t> </w:t>
      </w:r>
      <w:r w:rsidRPr="001C06E6">
        <w:t xml:space="preserve">million over three years from </w:t>
      </w:r>
      <w:r>
        <w:t>2025–26</w:t>
      </w:r>
      <w:r w:rsidRPr="001C06E6">
        <w:t xml:space="preserve"> (and $2.2</w:t>
      </w:r>
      <w:r>
        <w:t> </w:t>
      </w:r>
      <w:r w:rsidRPr="001C06E6">
        <w:t xml:space="preserve">million per year ongoing) for the </w:t>
      </w:r>
      <w:r w:rsidRPr="001C06E6">
        <w:rPr>
          <w:i/>
        </w:rPr>
        <w:t>No Interest Loan Scheme for Vehicles</w:t>
      </w:r>
      <w:r w:rsidRPr="001C06E6">
        <w:t xml:space="preserve"> for vulnerable people needing to</w:t>
      </w:r>
      <w:r>
        <w:t xml:space="preserve"> </w:t>
      </w:r>
      <w:r w:rsidRPr="001C06E6">
        <w:t>purchase vehicles for essential use</w:t>
      </w:r>
      <w:r>
        <w:t xml:space="preserve"> </w:t>
      </w:r>
    </w:p>
    <w:p w14:paraId="612BDC55" w14:textId="77777777" w:rsidR="0012790E" w:rsidRDefault="0012790E">
      <w:pPr>
        <w:pStyle w:val="Bullet"/>
      </w:pPr>
      <w:r w:rsidRPr="001C06E6">
        <w:t>$4.7</w:t>
      </w:r>
      <w:r>
        <w:t> </w:t>
      </w:r>
      <w:r w:rsidRPr="001C06E6">
        <w:t xml:space="preserve">million over three years from </w:t>
      </w:r>
      <w:r>
        <w:t>2025–26</w:t>
      </w:r>
      <w:r w:rsidRPr="001C06E6">
        <w:t xml:space="preserve"> (and $1.6</w:t>
      </w:r>
      <w:r>
        <w:t> </w:t>
      </w:r>
      <w:r w:rsidRPr="001C06E6">
        <w:t>million per year ongoing) to enable better accessibility to financial counselling services through the National Debt Helpline, including an appointment booking system and live webchat function to support individuals with personal financial difficulty.</w:t>
      </w:r>
      <w:r>
        <w:t xml:space="preserve"> </w:t>
      </w:r>
    </w:p>
    <w:p w14:paraId="6AB0A63C" w14:textId="77777777" w:rsidR="0012790E" w:rsidRDefault="0012790E">
      <w:pPr>
        <w:pStyle w:val="Normal2"/>
      </w:pPr>
      <w:r w:rsidRPr="54937204">
        <w:rPr>
          <w:lang w:val="en-US"/>
        </w:rPr>
        <w:t>In addition, the Government will reprioritise existing resourcing to:</w:t>
      </w:r>
    </w:p>
    <w:p w14:paraId="15E62EDB" w14:textId="77777777" w:rsidR="0012790E" w:rsidRDefault="0012790E">
      <w:pPr>
        <w:pStyle w:val="Bullet"/>
      </w:pPr>
      <w:r w:rsidRPr="001C06E6">
        <w:t xml:space="preserve">expand the </w:t>
      </w:r>
      <w:r w:rsidRPr="001C06E6">
        <w:rPr>
          <w:i/>
        </w:rPr>
        <w:t>Money Support Hub</w:t>
      </w:r>
      <w:r w:rsidRPr="001C06E6">
        <w:t xml:space="preserve"> program to focus on early intervention supports</w:t>
      </w:r>
      <w:r>
        <w:t xml:space="preserve"> </w:t>
      </w:r>
    </w:p>
    <w:p w14:paraId="3AA03FFB" w14:textId="77777777" w:rsidR="0012790E" w:rsidRDefault="0012790E">
      <w:pPr>
        <w:pStyle w:val="Bullet"/>
      </w:pPr>
      <w:r w:rsidRPr="001C06E6">
        <w:t xml:space="preserve">continue the </w:t>
      </w:r>
      <w:r w:rsidRPr="001C06E6">
        <w:rPr>
          <w:i/>
        </w:rPr>
        <w:t xml:space="preserve">STEPS Students Financial Counselling </w:t>
      </w:r>
      <w:r w:rsidRPr="001C06E6">
        <w:t>program</w:t>
      </w:r>
      <w:r>
        <w:t xml:space="preserve"> </w:t>
      </w:r>
    </w:p>
    <w:p w14:paraId="30C35168" w14:textId="77777777" w:rsidR="0012790E" w:rsidRDefault="0012790E">
      <w:pPr>
        <w:pStyle w:val="Bullet"/>
      </w:pPr>
      <w:r w:rsidRPr="001C06E6">
        <w:t>support Financial Counselling Australia to increase capacity and capability supports for the financial counselling sector</w:t>
      </w:r>
      <w:r>
        <w:t xml:space="preserve"> </w:t>
      </w:r>
    </w:p>
    <w:p w14:paraId="5016D8B9" w14:textId="77777777" w:rsidR="0012790E" w:rsidRDefault="0012790E">
      <w:pPr>
        <w:pStyle w:val="Bullet"/>
      </w:pPr>
      <w:r w:rsidRPr="001C06E6">
        <w:t xml:space="preserve">expand types of material aid supported under the </w:t>
      </w:r>
      <w:r w:rsidRPr="001C06E6">
        <w:rPr>
          <w:i/>
        </w:rPr>
        <w:t xml:space="preserve">Financial Crisis and Material Aid </w:t>
      </w:r>
      <w:r w:rsidRPr="001C06E6">
        <w:t>program</w:t>
      </w:r>
      <w:r>
        <w:t xml:space="preserve"> </w:t>
      </w:r>
    </w:p>
    <w:p w14:paraId="17851829" w14:textId="77777777" w:rsidR="0012790E" w:rsidRDefault="0012790E">
      <w:pPr>
        <w:pStyle w:val="Bullet"/>
      </w:pPr>
      <w:r w:rsidRPr="001C06E6">
        <w:t>data and evaluation activities to support the implementation of new initiatives and ensure services continue to support vulnerable cohorts.</w:t>
      </w:r>
      <w:r>
        <w:t xml:space="preserve"> </w:t>
      </w:r>
    </w:p>
    <w:p w14:paraId="67FCA666" w14:textId="77777777" w:rsidR="0012790E" w:rsidRDefault="0012790E">
      <w:pPr>
        <w:pStyle w:val="Normal2"/>
      </w:pPr>
      <w:r w:rsidRPr="54937204">
        <w:rPr>
          <w:lang w:val="en-US"/>
        </w:rPr>
        <w:t xml:space="preserve">The cost of this measure will be partially met from within the existing resourcing of the Financial Wellbeing and Capability Activity, and from savings identified in the Department of Social Services. </w:t>
      </w:r>
    </w:p>
    <w:p w14:paraId="62887829" w14:textId="77777777" w:rsidR="0012790E" w:rsidRPr="001C06E6" w:rsidRDefault="0012790E">
      <w:pPr>
        <w:pStyle w:val="MeasureTitle"/>
        <w:rPr>
          <w:b w:val="0"/>
          <w:szCs w:val="24"/>
        </w:rPr>
      </w:pPr>
      <w:r w:rsidRPr="001C06E6">
        <w:rPr>
          <w:szCs w:val="24"/>
        </w:rPr>
        <w:t>Freeze Social Security Deeming Rates</w:t>
      </w:r>
    </w:p>
    <w:p w14:paraId="2876A652"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43452250" w14:textId="77777777">
        <w:tc>
          <w:tcPr>
            <w:tcW w:w="2497" w:type="dxa"/>
            <w:tcBorders>
              <w:top w:val="single" w:sz="4" w:space="0" w:color="293F5B"/>
              <w:bottom w:val="single" w:sz="4" w:space="0" w:color="293F5B"/>
            </w:tcBorders>
            <w:shd w:val="clear" w:color="auto" w:fill="auto"/>
          </w:tcPr>
          <w:p w14:paraId="6AD76111"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3B3BBBD"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01363787"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7FCDECF"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5AFC577B"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DB4FC70" w14:textId="77777777" w:rsidR="0012790E" w:rsidRPr="001C06E6" w:rsidRDefault="0012790E">
            <w:pPr>
              <w:pStyle w:val="MeasureTableYearHeadings"/>
              <w:keepNext/>
            </w:pPr>
            <w:r w:rsidRPr="001C06E6">
              <w:t>2027</w:t>
            </w:r>
            <w:r>
              <w:noBreakHyphen/>
            </w:r>
            <w:r w:rsidRPr="001C06E6">
              <w:t>28</w:t>
            </w:r>
          </w:p>
        </w:tc>
      </w:tr>
      <w:tr w:rsidR="0012790E" w:rsidRPr="001C06E6" w14:paraId="4F7D8D03" w14:textId="77777777">
        <w:tc>
          <w:tcPr>
            <w:tcW w:w="2497" w:type="dxa"/>
            <w:tcBorders>
              <w:top w:val="single" w:sz="4" w:space="0" w:color="293F5B"/>
              <w:bottom w:val="single" w:sz="4" w:space="0" w:color="293F5B"/>
            </w:tcBorders>
            <w:shd w:val="clear" w:color="auto" w:fill="auto"/>
          </w:tcPr>
          <w:p w14:paraId="4E4237CB"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5D6353B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68E8B30"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57E7AC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038923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54EEA40" w14:textId="77777777" w:rsidR="0012790E" w:rsidRPr="001C06E6" w:rsidRDefault="0012790E">
            <w:pPr>
              <w:pStyle w:val="MeasureTableDataRightAlignedwith2ptsspacing"/>
              <w:keepNext/>
            </w:pPr>
            <w:r w:rsidRPr="001C06E6">
              <w:t>-</w:t>
            </w:r>
          </w:p>
        </w:tc>
      </w:tr>
    </w:tbl>
    <w:p w14:paraId="1E979E48"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24"/>
          <w:lang w:val="en-AU"/>
        </w:rPr>
      </w:pPr>
    </w:p>
    <w:p w14:paraId="39A0031A" w14:textId="77777777" w:rsidR="0012790E" w:rsidRDefault="0012790E">
      <w:pPr>
        <w:pStyle w:val="Normal2"/>
      </w:pPr>
      <w:r w:rsidRPr="54937204">
        <w:rPr>
          <w:lang w:val="en-US"/>
        </w:rPr>
        <w:t xml:space="preserve">The Government will freeze social security deeming rates at their current levels for a further 12 months until 30 June 2025, to support Age Pensioners and other income support recipients who rely on income from deemed financial investments, as well as their payment, to manage cost of living pressures. </w:t>
      </w:r>
    </w:p>
    <w:p w14:paraId="4AA3D935" w14:textId="77777777" w:rsidR="0012790E" w:rsidRDefault="0012790E">
      <w:pPr>
        <w:pStyle w:val="Normal2"/>
      </w:pPr>
      <w:r w:rsidRPr="001C06E6">
        <w:t xml:space="preserve">This measure builds on the </w:t>
      </w:r>
      <w:r>
        <w:t>2022–23</w:t>
      </w:r>
      <w:r w:rsidRPr="001C06E6">
        <w:t xml:space="preserve"> October Budget measure titled </w:t>
      </w:r>
      <w:r w:rsidRPr="001C06E6">
        <w:rPr>
          <w:i/>
        </w:rPr>
        <w:t>Lifting the Income</w:t>
      </w:r>
      <w:r>
        <w:rPr>
          <w:i/>
        </w:rPr>
        <w:t xml:space="preserve"> </w:t>
      </w:r>
      <w:r w:rsidRPr="001C06E6">
        <w:rPr>
          <w:i/>
        </w:rPr>
        <w:t>Threshold for the Commonwealth Seniors Health Card</w:t>
      </w:r>
      <w:r w:rsidRPr="001C06E6">
        <w:t>.</w:t>
      </w:r>
      <w:r>
        <w:t xml:space="preserve"> </w:t>
      </w:r>
    </w:p>
    <w:p w14:paraId="0AD09B27" w14:textId="77777777" w:rsidR="0012790E" w:rsidRPr="001C06E6" w:rsidRDefault="0012790E">
      <w:pPr>
        <w:pStyle w:val="MeasureTitle"/>
        <w:rPr>
          <w:b w:val="0"/>
          <w:szCs w:val="24"/>
        </w:rPr>
      </w:pPr>
      <w:r w:rsidRPr="001C06E6">
        <w:rPr>
          <w:szCs w:val="24"/>
        </w:rPr>
        <w:t>Impact of the Douglas Decision on Social Security Means Testing</w:t>
      </w:r>
    </w:p>
    <w:p w14:paraId="7FDCD2EC"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416521A9" w14:textId="77777777">
        <w:tc>
          <w:tcPr>
            <w:tcW w:w="2497" w:type="dxa"/>
            <w:tcBorders>
              <w:top w:val="single" w:sz="4" w:space="0" w:color="293F5B"/>
              <w:bottom w:val="single" w:sz="4" w:space="0" w:color="293F5B"/>
            </w:tcBorders>
            <w:shd w:val="clear" w:color="auto" w:fill="auto"/>
          </w:tcPr>
          <w:p w14:paraId="5594AAEF"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36E6EC3"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E9C03CE"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424AF54A"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50B0F0AC"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F0DD9B1" w14:textId="77777777" w:rsidR="0012790E" w:rsidRPr="001C06E6" w:rsidRDefault="0012790E">
            <w:pPr>
              <w:pStyle w:val="MeasureTableYearHeadings"/>
              <w:keepNext/>
            </w:pPr>
            <w:r w:rsidRPr="001C06E6">
              <w:t>2027</w:t>
            </w:r>
            <w:r>
              <w:noBreakHyphen/>
            </w:r>
            <w:r w:rsidRPr="001C06E6">
              <w:t>28</w:t>
            </w:r>
          </w:p>
        </w:tc>
      </w:tr>
      <w:tr w:rsidR="0012790E" w:rsidRPr="001C06E6" w14:paraId="0CB8056E" w14:textId="77777777">
        <w:tc>
          <w:tcPr>
            <w:tcW w:w="2497" w:type="dxa"/>
            <w:tcBorders>
              <w:top w:val="single" w:sz="4" w:space="0" w:color="293F5B"/>
              <w:bottom w:val="single" w:sz="4" w:space="0" w:color="293F5B"/>
            </w:tcBorders>
            <w:shd w:val="clear" w:color="auto" w:fill="auto"/>
          </w:tcPr>
          <w:p w14:paraId="5FC91960"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40DF4E91" w14:textId="77777777" w:rsidR="0012790E" w:rsidRPr="001C06E6" w:rsidRDefault="0012790E">
            <w:pPr>
              <w:pStyle w:val="MeasureTableDataRightAlignedwith2ptsspacing"/>
              <w:keepNext/>
            </w:pPr>
            <w:r w:rsidRPr="001C06E6">
              <w:t>2.1</w:t>
            </w:r>
          </w:p>
        </w:tc>
        <w:tc>
          <w:tcPr>
            <w:tcW w:w="1045" w:type="dxa"/>
            <w:tcBorders>
              <w:top w:val="single" w:sz="4" w:space="0" w:color="293F5B"/>
              <w:bottom w:val="single" w:sz="4" w:space="0" w:color="293F5B"/>
            </w:tcBorders>
            <w:shd w:val="clear" w:color="auto" w:fill="auto"/>
          </w:tcPr>
          <w:p w14:paraId="51D5F095" w14:textId="77777777" w:rsidR="0012790E" w:rsidRPr="001C06E6" w:rsidRDefault="0012790E">
            <w:pPr>
              <w:pStyle w:val="MeasureTableDataRightAlignedwith2ptsspacing"/>
              <w:keepNext/>
            </w:pPr>
            <w:r w:rsidRPr="001C06E6">
              <w:t>7.2</w:t>
            </w:r>
          </w:p>
        </w:tc>
        <w:tc>
          <w:tcPr>
            <w:tcW w:w="1045" w:type="dxa"/>
            <w:tcBorders>
              <w:top w:val="single" w:sz="4" w:space="0" w:color="293F5B"/>
              <w:bottom w:val="single" w:sz="4" w:space="0" w:color="293F5B"/>
            </w:tcBorders>
            <w:shd w:val="clear" w:color="auto" w:fill="auto"/>
          </w:tcPr>
          <w:p w14:paraId="177B7127" w14:textId="77777777" w:rsidR="0012790E" w:rsidRPr="001C06E6" w:rsidRDefault="0012790E">
            <w:pPr>
              <w:pStyle w:val="MeasureTableDataRightAlignedwith2ptsspacing"/>
              <w:keepNext/>
            </w:pPr>
            <w:r w:rsidRPr="001C06E6">
              <w:t>0.9</w:t>
            </w:r>
          </w:p>
        </w:tc>
        <w:tc>
          <w:tcPr>
            <w:tcW w:w="1045" w:type="dxa"/>
            <w:tcBorders>
              <w:top w:val="single" w:sz="4" w:space="0" w:color="293F5B"/>
              <w:bottom w:val="single" w:sz="4" w:space="0" w:color="293F5B"/>
            </w:tcBorders>
            <w:shd w:val="clear" w:color="auto" w:fill="auto"/>
          </w:tcPr>
          <w:p w14:paraId="75B0A3A8" w14:textId="77777777" w:rsidR="0012790E" w:rsidRPr="001C06E6" w:rsidRDefault="0012790E">
            <w:pPr>
              <w:pStyle w:val="MeasureTableDataRightAlignedwith2ptsspacing"/>
              <w:keepNext/>
            </w:pPr>
            <w:r w:rsidRPr="001C06E6">
              <w:t>0.9</w:t>
            </w:r>
          </w:p>
        </w:tc>
        <w:tc>
          <w:tcPr>
            <w:tcW w:w="1045" w:type="dxa"/>
            <w:tcBorders>
              <w:top w:val="single" w:sz="4" w:space="0" w:color="293F5B"/>
              <w:bottom w:val="single" w:sz="4" w:space="0" w:color="293F5B"/>
            </w:tcBorders>
            <w:shd w:val="clear" w:color="auto" w:fill="auto"/>
          </w:tcPr>
          <w:p w14:paraId="1483509B" w14:textId="77777777" w:rsidR="0012790E" w:rsidRPr="001C06E6" w:rsidRDefault="0012790E">
            <w:pPr>
              <w:pStyle w:val="MeasureTableDataRightAlignedwith2ptsspacing"/>
              <w:keepNext/>
            </w:pPr>
            <w:r w:rsidRPr="001C06E6">
              <w:t>0.9</w:t>
            </w:r>
          </w:p>
        </w:tc>
      </w:tr>
    </w:tbl>
    <w:p w14:paraId="0AB50C81"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24"/>
          <w:lang w:val="en-AU"/>
        </w:rPr>
      </w:pPr>
    </w:p>
    <w:p w14:paraId="5EAD6589" w14:textId="77109D94" w:rsidR="0012790E" w:rsidRDefault="0012790E">
      <w:pPr>
        <w:pStyle w:val="Normal2"/>
      </w:pPr>
      <w:r w:rsidRPr="001C06E6">
        <w:t>The Government will provide $11.9</w:t>
      </w:r>
      <w:r>
        <w:t> </w:t>
      </w:r>
      <w:r w:rsidRPr="001C06E6">
        <w:t xml:space="preserve">million over five years from </w:t>
      </w:r>
      <w:r>
        <w:t>2023–24</w:t>
      </w:r>
      <w:r w:rsidRPr="001C06E6">
        <w:t xml:space="preserve"> (and $0.9</w:t>
      </w:r>
      <w:r>
        <w:t> </w:t>
      </w:r>
      <w:r w:rsidRPr="001C06E6">
        <w:t>million per year ongoing) to implement a social security means test treatment for the</w:t>
      </w:r>
      <w:r>
        <w:t xml:space="preserve"> </w:t>
      </w:r>
      <w:r w:rsidRPr="001C06E6">
        <w:t xml:space="preserve">military invalidity payments affected by the Federal Court’s decision in </w:t>
      </w:r>
      <w:r w:rsidRPr="001C06E6">
        <w:rPr>
          <w:i/>
        </w:rPr>
        <w:t>Commissioner</w:t>
      </w:r>
      <w:r>
        <w:rPr>
          <w:i/>
        </w:rPr>
        <w:t xml:space="preserve"> </w:t>
      </w:r>
      <w:r w:rsidRPr="001C06E6">
        <w:rPr>
          <w:i/>
        </w:rPr>
        <w:t>of Taxation v</w:t>
      </w:r>
      <w:r w:rsidR="00F30B84">
        <w:rPr>
          <w:i/>
        </w:rPr>
        <w:t> </w:t>
      </w:r>
      <w:r w:rsidRPr="001C06E6">
        <w:rPr>
          <w:i/>
        </w:rPr>
        <w:t>Douglas</w:t>
      </w:r>
      <w:r w:rsidRPr="001C06E6">
        <w:t xml:space="preserve"> [2020] FCAFC 220.</w:t>
      </w:r>
      <w:r>
        <w:t xml:space="preserve"> </w:t>
      </w:r>
    </w:p>
    <w:p w14:paraId="3D1D2D35" w14:textId="77777777" w:rsidR="0012790E" w:rsidRDefault="0012790E">
      <w:pPr>
        <w:pStyle w:val="Normal2"/>
      </w:pPr>
      <w:r w:rsidRPr="54937204">
        <w:rPr>
          <w:lang w:val="en-US"/>
        </w:rPr>
        <w:t xml:space="preserve">This approach ensures the </w:t>
      </w:r>
      <w:r w:rsidRPr="54937204">
        <w:rPr>
          <w:i/>
          <w:iCs/>
          <w:lang w:val="en-US"/>
        </w:rPr>
        <w:t>Douglas</w:t>
      </w:r>
      <w:r w:rsidRPr="54937204">
        <w:rPr>
          <w:lang w:val="en-US"/>
        </w:rPr>
        <w:t xml:space="preserve"> decision does not affect income support payment rates for veterans who receive an invalidity payment from the </w:t>
      </w:r>
      <w:r w:rsidRPr="54937204">
        <w:rPr>
          <w:i/>
          <w:iCs/>
          <w:lang w:val="en-US"/>
        </w:rPr>
        <w:t xml:space="preserve">Military Superannuation and Benefits Scheme </w:t>
      </w:r>
      <w:r w:rsidRPr="54937204">
        <w:rPr>
          <w:lang w:val="en-US"/>
        </w:rPr>
        <w:t xml:space="preserve">and the </w:t>
      </w:r>
      <w:r w:rsidRPr="54937204">
        <w:rPr>
          <w:i/>
          <w:iCs/>
          <w:lang w:val="en-US"/>
        </w:rPr>
        <w:t xml:space="preserve">Defence Force Retirement and Death Benefits Scheme, </w:t>
      </w:r>
      <w:r w:rsidRPr="54937204">
        <w:rPr>
          <w:lang w:val="en-US"/>
        </w:rPr>
        <w:t>compared to the pre</w:t>
      </w:r>
      <w:r>
        <w:noBreakHyphen/>
      </w:r>
      <w:r w:rsidRPr="54937204">
        <w:rPr>
          <w:i/>
          <w:iCs/>
          <w:lang w:val="en-US"/>
        </w:rPr>
        <w:t>Douglas</w:t>
      </w:r>
      <w:r w:rsidRPr="54937204">
        <w:rPr>
          <w:lang w:val="en-US"/>
        </w:rPr>
        <w:t xml:space="preserve"> arrangements. </w:t>
      </w:r>
    </w:p>
    <w:p w14:paraId="235C2E6F" w14:textId="77777777" w:rsidR="0012790E" w:rsidRPr="001C06E6" w:rsidRDefault="0012790E">
      <w:pPr>
        <w:pStyle w:val="MeasureTitle"/>
        <w:rPr>
          <w:b w:val="0"/>
          <w:szCs w:val="24"/>
        </w:rPr>
      </w:pPr>
      <w:r w:rsidRPr="001C06E6">
        <w:rPr>
          <w:szCs w:val="24"/>
        </w:rPr>
        <w:t>National Commissioner for Aboriginal and Torres Strait Islander Children and</w:t>
      </w:r>
      <w:r>
        <w:rPr>
          <w:szCs w:val="24"/>
        </w:rPr>
        <w:t xml:space="preserve"> </w:t>
      </w:r>
      <w:r w:rsidRPr="001C06E6">
        <w:rPr>
          <w:szCs w:val="24"/>
        </w:rPr>
        <w:t>Young People</w:t>
      </w:r>
    </w:p>
    <w:p w14:paraId="226E2C8C"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9AEFA02" w14:textId="77777777">
        <w:tc>
          <w:tcPr>
            <w:tcW w:w="2497" w:type="dxa"/>
            <w:tcBorders>
              <w:top w:val="single" w:sz="4" w:space="0" w:color="293F5B"/>
              <w:bottom w:val="single" w:sz="4" w:space="0" w:color="293F5B"/>
            </w:tcBorders>
            <w:shd w:val="clear" w:color="auto" w:fill="auto"/>
          </w:tcPr>
          <w:p w14:paraId="77AFB0A0"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A17EC0D"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72C7875C"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BA0D00D"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35A77D7"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0B422FD" w14:textId="77777777" w:rsidR="0012790E" w:rsidRPr="001C06E6" w:rsidRDefault="0012790E">
            <w:pPr>
              <w:pStyle w:val="MeasureTableYearHeadings"/>
              <w:keepNext/>
            </w:pPr>
            <w:r w:rsidRPr="001C06E6">
              <w:t>2027</w:t>
            </w:r>
            <w:r>
              <w:noBreakHyphen/>
            </w:r>
            <w:r w:rsidRPr="001C06E6">
              <w:t>28</w:t>
            </w:r>
          </w:p>
        </w:tc>
      </w:tr>
      <w:tr w:rsidR="0012790E" w:rsidRPr="001C06E6" w14:paraId="5346A9D6" w14:textId="77777777">
        <w:tc>
          <w:tcPr>
            <w:tcW w:w="2497" w:type="dxa"/>
            <w:tcBorders>
              <w:top w:val="single" w:sz="4" w:space="0" w:color="293F5B"/>
              <w:bottom w:val="single" w:sz="4" w:space="0" w:color="293F5B"/>
            </w:tcBorders>
            <w:shd w:val="clear" w:color="auto" w:fill="auto"/>
          </w:tcPr>
          <w:p w14:paraId="78B9FE1B"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12565AC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5E55FA2" w14:textId="77777777" w:rsidR="0012790E" w:rsidRPr="001C06E6" w:rsidRDefault="0012790E">
            <w:pPr>
              <w:pStyle w:val="MeasureTableDataRightAlignedwith2ptsspacing"/>
              <w:keepNext/>
            </w:pPr>
            <w:r w:rsidRPr="001C06E6">
              <w:t>2.0</w:t>
            </w:r>
          </w:p>
        </w:tc>
        <w:tc>
          <w:tcPr>
            <w:tcW w:w="1045" w:type="dxa"/>
            <w:tcBorders>
              <w:top w:val="single" w:sz="4" w:space="0" w:color="293F5B"/>
              <w:bottom w:val="single" w:sz="4" w:space="0" w:color="293F5B"/>
            </w:tcBorders>
            <w:shd w:val="clear" w:color="auto" w:fill="auto"/>
          </w:tcPr>
          <w:p w14:paraId="1B928D70" w14:textId="77777777" w:rsidR="0012790E" w:rsidRPr="001C06E6" w:rsidRDefault="0012790E">
            <w:pPr>
              <w:pStyle w:val="MeasureTableDataRightAlignedwith2ptsspacing"/>
              <w:keepNext/>
            </w:pPr>
            <w:r w:rsidRPr="001C06E6">
              <w:t>0.9</w:t>
            </w:r>
          </w:p>
        </w:tc>
        <w:tc>
          <w:tcPr>
            <w:tcW w:w="1045" w:type="dxa"/>
            <w:tcBorders>
              <w:top w:val="single" w:sz="4" w:space="0" w:color="293F5B"/>
              <w:bottom w:val="single" w:sz="4" w:space="0" w:color="293F5B"/>
            </w:tcBorders>
            <w:shd w:val="clear" w:color="auto" w:fill="auto"/>
          </w:tcPr>
          <w:p w14:paraId="6048D56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52EE651" w14:textId="77777777" w:rsidR="0012790E" w:rsidRPr="001C06E6" w:rsidRDefault="0012790E">
            <w:pPr>
              <w:pStyle w:val="MeasureTableDataRightAlignedwith2ptsspacing"/>
              <w:keepNext/>
            </w:pPr>
            <w:r w:rsidRPr="001C06E6">
              <w:t>-</w:t>
            </w:r>
          </w:p>
        </w:tc>
      </w:tr>
      <w:tr w:rsidR="0012790E" w:rsidRPr="001C06E6" w14:paraId="1AB4EE5B" w14:textId="77777777">
        <w:tc>
          <w:tcPr>
            <w:tcW w:w="2497" w:type="dxa"/>
            <w:tcBorders>
              <w:top w:val="single" w:sz="4" w:space="0" w:color="293F5B"/>
              <w:bottom w:val="single" w:sz="4" w:space="0" w:color="293F5B"/>
            </w:tcBorders>
            <w:shd w:val="clear" w:color="auto" w:fill="auto"/>
          </w:tcPr>
          <w:p w14:paraId="58EE4C9C" w14:textId="77777777" w:rsidR="0012790E" w:rsidRPr="001C06E6" w:rsidRDefault="0012790E">
            <w:pPr>
              <w:pStyle w:val="MeasureTableHeadingleftalignedwith2ptsspacing"/>
              <w:keepNext/>
            </w:pPr>
            <w:r>
              <w:t xml:space="preserve">National Indigenous Australians Agency </w:t>
            </w:r>
          </w:p>
        </w:tc>
        <w:tc>
          <w:tcPr>
            <w:tcW w:w="1045" w:type="dxa"/>
            <w:tcBorders>
              <w:top w:val="single" w:sz="4" w:space="0" w:color="293F5B"/>
              <w:bottom w:val="single" w:sz="4" w:space="0" w:color="293F5B"/>
            </w:tcBorders>
            <w:shd w:val="clear" w:color="auto" w:fill="auto"/>
          </w:tcPr>
          <w:p w14:paraId="48FDDCA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E06E6A8" w14:textId="77777777" w:rsidR="0012790E" w:rsidRPr="001C06E6" w:rsidRDefault="0012790E">
            <w:pPr>
              <w:pStyle w:val="MeasureTableDataRightAlignedwith2ptsspacing"/>
              <w:keepNext/>
            </w:pPr>
            <w:r>
              <w:t xml:space="preserve">-2.0 </w:t>
            </w:r>
          </w:p>
        </w:tc>
        <w:tc>
          <w:tcPr>
            <w:tcW w:w="1045" w:type="dxa"/>
            <w:tcBorders>
              <w:top w:val="single" w:sz="4" w:space="0" w:color="293F5B"/>
              <w:bottom w:val="single" w:sz="4" w:space="0" w:color="293F5B"/>
            </w:tcBorders>
            <w:shd w:val="clear" w:color="auto" w:fill="auto"/>
          </w:tcPr>
          <w:p w14:paraId="79CB9BC3" w14:textId="77777777" w:rsidR="0012790E" w:rsidRPr="001C06E6" w:rsidRDefault="0012790E">
            <w:pPr>
              <w:pStyle w:val="MeasureTableDataRightAlignedwith2ptsspacing"/>
              <w:keepNext/>
            </w:pPr>
            <w:r>
              <w:t xml:space="preserve">-0.9 </w:t>
            </w:r>
          </w:p>
        </w:tc>
        <w:tc>
          <w:tcPr>
            <w:tcW w:w="1045" w:type="dxa"/>
            <w:tcBorders>
              <w:top w:val="single" w:sz="4" w:space="0" w:color="293F5B"/>
              <w:bottom w:val="single" w:sz="4" w:space="0" w:color="293F5B"/>
            </w:tcBorders>
            <w:shd w:val="clear" w:color="auto" w:fill="auto"/>
          </w:tcPr>
          <w:p w14:paraId="132374C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244210E" w14:textId="77777777" w:rsidR="0012790E" w:rsidRPr="001C06E6" w:rsidRDefault="0012790E">
            <w:pPr>
              <w:pStyle w:val="MeasureTableDataRightAlignedwith2ptsspacing"/>
              <w:keepNext/>
            </w:pPr>
            <w:r>
              <w:t xml:space="preserve">- </w:t>
            </w:r>
          </w:p>
        </w:tc>
      </w:tr>
      <w:tr w:rsidR="0012790E" w:rsidRPr="001C06E6" w14:paraId="27551FAB" w14:textId="77777777">
        <w:tc>
          <w:tcPr>
            <w:tcW w:w="2497" w:type="dxa"/>
            <w:tcBorders>
              <w:top w:val="single" w:sz="4" w:space="0" w:color="293F5B"/>
              <w:bottom w:val="single" w:sz="4" w:space="0" w:color="293F5B"/>
            </w:tcBorders>
            <w:shd w:val="clear" w:color="auto" w:fill="auto"/>
          </w:tcPr>
          <w:p w14:paraId="2A28CB7D"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7A133740"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4E3B7EF8"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B82DF83"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46C58240"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2222AD0A" w14:textId="77777777" w:rsidR="0012790E" w:rsidRPr="001C06E6" w:rsidRDefault="0012790E">
            <w:pPr>
              <w:pStyle w:val="Totaldatarowrightaligned"/>
              <w:keepNext/>
            </w:pPr>
            <w:r w:rsidRPr="001C06E6">
              <w:t>-</w:t>
            </w:r>
          </w:p>
        </w:tc>
      </w:tr>
    </w:tbl>
    <w:p w14:paraId="07AC9E18"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24"/>
          <w:lang w:val="en-AU"/>
        </w:rPr>
      </w:pPr>
    </w:p>
    <w:p w14:paraId="0439B053" w14:textId="76FF669D" w:rsidR="0012790E" w:rsidRDefault="0012790E">
      <w:pPr>
        <w:pStyle w:val="Normal2"/>
      </w:pPr>
      <w:r w:rsidRPr="54937204">
        <w:rPr>
          <w:lang w:val="en-US"/>
        </w:rPr>
        <w:t>The Government will provide funding of $5.9 million over two years from 2024–25 to establish interim arrangements for the National Commissioner for Aboriginal and Torres</w:t>
      </w:r>
      <w:r w:rsidR="006B7A83">
        <w:rPr>
          <w:lang w:val="en-US"/>
        </w:rPr>
        <w:t> </w:t>
      </w:r>
      <w:r w:rsidRPr="54937204">
        <w:rPr>
          <w:lang w:val="en-US"/>
        </w:rPr>
        <w:t>Strait Islander Children and Young People (National Commissioner). From mid</w:t>
      </w:r>
      <w:r>
        <w:noBreakHyphen/>
      </w:r>
      <w:r w:rsidRPr="54937204">
        <w:rPr>
          <w:lang w:val="en-US"/>
        </w:rPr>
        <w:t xml:space="preserve">2024, the interim National Commissioner will lead the establishment of an Office of the National Commissioner to act to protect and promote the rights, interests and wellbeing of Aboriginal and Torres Strait Islander children and young people. </w:t>
      </w:r>
    </w:p>
    <w:p w14:paraId="342E1D12" w14:textId="77777777" w:rsidR="0012790E" w:rsidRDefault="0012790E">
      <w:pPr>
        <w:pStyle w:val="Normal2"/>
      </w:pPr>
      <w:r w:rsidRPr="54937204">
        <w:rPr>
          <w:lang w:val="en-US"/>
        </w:rPr>
        <w:t xml:space="preserve">The interim National Commissioner will consult with First Nations stakeholders to inform the full suite of functions for the ongoing statutory role of the National Commissioner and the Office of the National Commissioner which will be established under legislation. </w:t>
      </w:r>
    </w:p>
    <w:p w14:paraId="681E08DD" w14:textId="77777777" w:rsidR="0012790E" w:rsidRDefault="0012790E">
      <w:pPr>
        <w:pStyle w:val="Normal2"/>
      </w:pPr>
      <w:r w:rsidRPr="001C06E6">
        <w:t>The cost of this measure will be met from within the existing resourcing of the</w:t>
      </w:r>
      <w:r>
        <w:t xml:space="preserve"> </w:t>
      </w:r>
      <w:r w:rsidRPr="001C06E6">
        <w:t>Department of Social Services and the National Indigenous Australians Agency.</w:t>
      </w:r>
      <w:r>
        <w:t xml:space="preserve"> </w:t>
      </w:r>
    </w:p>
    <w:p w14:paraId="6346F181" w14:textId="77777777" w:rsidR="0012790E" w:rsidRPr="001C06E6" w:rsidRDefault="0012790E">
      <w:pPr>
        <w:pStyle w:val="MeasureTitle"/>
        <w:rPr>
          <w:b w:val="0"/>
          <w:szCs w:val="24"/>
        </w:rPr>
      </w:pPr>
      <w:r w:rsidRPr="001C06E6">
        <w:rPr>
          <w:szCs w:val="24"/>
        </w:rPr>
        <w:t>National Disability Insurance Scheme</w:t>
      </w:r>
      <w:r>
        <w:rPr>
          <w:szCs w:val="24"/>
        </w:rPr>
        <w:t xml:space="preserve"> – </w:t>
      </w:r>
      <w:r w:rsidRPr="001C06E6">
        <w:rPr>
          <w:szCs w:val="24"/>
        </w:rPr>
        <w:t>getting the NDIS back on track</w:t>
      </w:r>
    </w:p>
    <w:p w14:paraId="33ABDF4B"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A08F9A6" w14:textId="77777777">
        <w:tc>
          <w:tcPr>
            <w:tcW w:w="2497" w:type="dxa"/>
            <w:tcBorders>
              <w:top w:val="single" w:sz="4" w:space="0" w:color="293F5B"/>
              <w:bottom w:val="single" w:sz="4" w:space="0" w:color="293F5B"/>
            </w:tcBorders>
            <w:shd w:val="clear" w:color="auto" w:fill="auto"/>
          </w:tcPr>
          <w:p w14:paraId="63A21CA1"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D314B44"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721566E"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4FD94EC"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F470F34"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41F2632" w14:textId="77777777" w:rsidR="0012790E" w:rsidRPr="001C06E6" w:rsidRDefault="0012790E">
            <w:pPr>
              <w:pStyle w:val="MeasureTableYearHeadings"/>
              <w:keepNext/>
            </w:pPr>
            <w:r w:rsidRPr="001C06E6">
              <w:t>2027</w:t>
            </w:r>
            <w:r>
              <w:noBreakHyphen/>
            </w:r>
            <w:r w:rsidRPr="001C06E6">
              <w:t>28</w:t>
            </w:r>
          </w:p>
        </w:tc>
      </w:tr>
      <w:tr w:rsidR="00B1714F" w:rsidRPr="001C06E6" w14:paraId="02F121E8" w14:textId="77777777">
        <w:tc>
          <w:tcPr>
            <w:tcW w:w="2497" w:type="dxa"/>
            <w:tcBorders>
              <w:top w:val="single" w:sz="4" w:space="0" w:color="293F5B"/>
              <w:bottom w:val="single" w:sz="4" w:space="0" w:color="293F5B"/>
            </w:tcBorders>
            <w:shd w:val="clear" w:color="auto" w:fill="auto"/>
          </w:tcPr>
          <w:p w14:paraId="155E1299" w14:textId="77777777" w:rsidR="00B1714F" w:rsidRPr="001C06E6" w:rsidRDefault="00B1714F" w:rsidP="00B1714F">
            <w:pPr>
              <w:pStyle w:val="MeasureTableHeadingleftalignedwith2ptsspacing"/>
              <w:keepNext/>
            </w:pPr>
            <w:r>
              <w:t xml:space="preserve">National Disability Insurance Agency </w:t>
            </w:r>
          </w:p>
        </w:tc>
        <w:tc>
          <w:tcPr>
            <w:tcW w:w="1045" w:type="dxa"/>
            <w:tcBorders>
              <w:top w:val="single" w:sz="4" w:space="0" w:color="293F5B"/>
              <w:bottom w:val="single" w:sz="4" w:space="0" w:color="293F5B"/>
            </w:tcBorders>
            <w:shd w:val="clear" w:color="auto" w:fill="auto"/>
          </w:tcPr>
          <w:p w14:paraId="54FC4163" w14:textId="26CF2149" w:rsidR="00B1714F" w:rsidRPr="001C06E6" w:rsidRDefault="00B1714F" w:rsidP="00B1714F">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C654994" w14:textId="733CAACF" w:rsidR="00B1714F" w:rsidRPr="001C06E6" w:rsidRDefault="00B1714F" w:rsidP="00B1714F">
            <w:pPr>
              <w:pStyle w:val="MeasureTableDataRightAlignedwith2ptsspacing"/>
              <w:keepNext/>
            </w:pPr>
            <w:r>
              <w:t xml:space="preserve">-1,964.6 </w:t>
            </w:r>
          </w:p>
        </w:tc>
        <w:tc>
          <w:tcPr>
            <w:tcW w:w="1045" w:type="dxa"/>
            <w:tcBorders>
              <w:top w:val="single" w:sz="4" w:space="0" w:color="293F5B"/>
              <w:bottom w:val="single" w:sz="4" w:space="0" w:color="293F5B"/>
            </w:tcBorders>
            <w:shd w:val="clear" w:color="auto" w:fill="auto"/>
          </w:tcPr>
          <w:p w14:paraId="04C4B213" w14:textId="77777777" w:rsidR="00B1714F" w:rsidRPr="001C06E6" w:rsidRDefault="00B1714F" w:rsidP="00B1714F">
            <w:pPr>
              <w:pStyle w:val="MeasureTableDataRightAlignedwith2ptsspacing"/>
              <w:keepNext/>
            </w:pPr>
            <w:r>
              <w:t xml:space="preserve">-3,808.7 </w:t>
            </w:r>
          </w:p>
        </w:tc>
        <w:tc>
          <w:tcPr>
            <w:tcW w:w="1045" w:type="dxa"/>
            <w:tcBorders>
              <w:top w:val="single" w:sz="4" w:space="0" w:color="293F5B"/>
              <w:bottom w:val="single" w:sz="4" w:space="0" w:color="293F5B"/>
            </w:tcBorders>
            <w:shd w:val="clear" w:color="auto" w:fill="auto"/>
          </w:tcPr>
          <w:p w14:paraId="08F02765" w14:textId="77777777" w:rsidR="00B1714F" w:rsidRPr="001C06E6" w:rsidRDefault="00B1714F" w:rsidP="00B1714F">
            <w:pPr>
              <w:pStyle w:val="MeasureTableDataRightAlignedwith2ptsspacing"/>
              <w:keepNext/>
            </w:pPr>
            <w:r>
              <w:t xml:space="preserve">-4,121.5 </w:t>
            </w:r>
          </w:p>
        </w:tc>
        <w:tc>
          <w:tcPr>
            <w:tcW w:w="1045" w:type="dxa"/>
            <w:tcBorders>
              <w:top w:val="single" w:sz="4" w:space="0" w:color="293F5B"/>
              <w:bottom w:val="single" w:sz="4" w:space="0" w:color="293F5B"/>
            </w:tcBorders>
            <w:shd w:val="clear" w:color="auto" w:fill="auto"/>
          </w:tcPr>
          <w:p w14:paraId="002412C8" w14:textId="77777777" w:rsidR="00B1714F" w:rsidRPr="001C06E6" w:rsidRDefault="00B1714F" w:rsidP="00B1714F">
            <w:pPr>
              <w:pStyle w:val="MeasureTableDataRightAlignedwith2ptsspacing"/>
              <w:keepNext/>
            </w:pPr>
            <w:r>
              <w:t xml:space="preserve">-4,451.3 </w:t>
            </w:r>
          </w:p>
        </w:tc>
      </w:tr>
      <w:tr w:rsidR="00B1714F" w:rsidRPr="001C06E6" w14:paraId="7EBA8886" w14:textId="77777777">
        <w:tc>
          <w:tcPr>
            <w:tcW w:w="2497" w:type="dxa"/>
            <w:tcBorders>
              <w:top w:val="single" w:sz="4" w:space="0" w:color="293F5B"/>
              <w:bottom w:val="single" w:sz="4" w:space="0" w:color="293F5B"/>
            </w:tcBorders>
            <w:shd w:val="clear" w:color="auto" w:fill="auto"/>
          </w:tcPr>
          <w:p w14:paraId="77AE6AF1" w14:textId="77777777" w:rsidR="00B1714F" w:rsidRPr="001C06E6" w:rsidRDefault="00B1714F" w:rsidP="00B1714F">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79498776" w14:textId="7971B75D" w:rsidR="00B1714F" w:rsidRPr="001C06E6" w:rsidRDefault="00B1714F" w:rsidP="00B1714F">
            <w:pPr>
              <w:pStyle w:val="MeasureTableDataRightAlignedwith2ptsspacing"/>
              <w:keepNext/>
            </w:pPr>
            <w:r>
              <w:t>-0.5</w:t>
            </w:r>
          </w:p>
        </w:tc>
        <w:tc>
          <w:tcPr>
            <w:tcW w:w="1045" w:type="dxa"/>
            <w:tcBorders>
              <w:top w:val="single" w:sz="4" w:space="0" w:color="293F5B"/>
              <w:bottom w:val="single" w:sz="4" w:space="0" w:color="293F5B"/>
            </w:tcBorders>
            <w:shd w:val="clear" w:color="auto" w:fill="auto"/>
          </w:tcPr>
          <w:p w14:paraId="14DEB7D3" w14:textId="1A9467D8" w:rsidR="00B1714F" w:rsidRPr="001C06E6" w:rsidRDefault="00B1714F" w:rsidP="00B1714F">
            <w:pPr>
              <w:pStyle w:val="MeasureTableDataRightAlignedwith2ptsspacing"/>
              <w:keepNext/>
            </w:pPr>
            <w:r>
              <w:t>7.9</w:t>
            </w:r>
          </w:p>
        </w:tc>
        <w:tc>
          <w:tcPr>
            <w:tcW w:w="1045" w:type="dxa"/>
            <w:tcBorders>
              <w:top w:val="single" w:sz="4" w:space="0" w:color="293F5B"/>
              <w:bottom w:val="single" w:sz="4" w:space="0" w:color="293F5B"/>
            </w:tcBorders>
            <w:shd w:val="clear" w:color="auto" w:fill="auto"/>
          </w:tcPr>
          <w:p w14:paraId="3F3EDA2A" w14:textId="77777777" w:rsidR="00B1714F" w:rsidRPr="001C06E6" w:rsidRDefault="00B1714F" w:rsidP="00B1714F">
            <w:pPr>
              <w:pStyle w:val="MeasureTableDataRightAlignedwith2ptsspacing"/>
              <w:keepNext/>
            </w:pPr>
            <w:r w:rsidRPr="001C06E6">
              <w:t>13.7</w:t>
            </w:r>
          </w:p>
        </w:tc>
        <w:tc>
          <w:tcPr>
            <w:tcW w:w="1045" w:type="dxa"/>
            <w:tcBorders>
              <w:top w:val="single" w:sz="4" w:space="0" w:color="293F5B"/>
              <w:bottom w:val="single" w:sz="4" w:space="0" w:color="293F5B"/>
            </w:tcBorders>
            <w:shd w:val="clear" w:color="auto" w:fill="auto"/>
          </w:tcPr>
          <w:p w14:paraId="69446628" w14:textId="77777777" w:rsidR="00B1714F" w:rsidRPr="001C06E6" w:rsidRDefault="00B1714F" w:rsidP="00B1714F">
            <w:pPr>
              <w:pStyle w:val="MeasureTableDataRightAlignedwith2ptsspacing"/>
              <w:keepNext/>
            </w:pPr>
            <w:r w:rsidRPr="001C06E6">
              <w:t>12.9</w:t>
            </w:r>
          </w:p>
        </w:tc>
        <w:tc>
          <w:tcPr>
            <w:tcW w:w="1045" w:type="dxa"/>
            <w:tcBorders>
              <w:top w:val="single" w:sz="4" w:space="0" w:color="293F5B"/>
              <w:bottom w:val="single" w:sz="4" w:space="0" w:color="293F5B"/>
            </w:tcBorders>
            <w:shd w:val="clear" w:color="auto" w:fill="auto"/>
          </w:tcPr>
          <w:p w14:paraId="000FF1C3" w14:textId="77777777" w:rsidR="00B1714F" w:rsidRPr="001C06E6" w:rsidRDefault="00B1714F" w:rsidP="00B1714F">
            <w:pPr>
              <w:pStyle w:val="MeasureTableDataRightAlignedwith2ptsspacing"/>
              <w:keepNext/>
            </w:pPr>
            <w:r w:rsidRPr="001C06E6">
              <w:t>13.3</w:t>
            </w:r>
          </w:p>
        </w:tc>
      </w:tr>
      <w:tr w:rsidR="00B1714F" w:rsidRPr="001C06E6" w14:paraId="32B41365" w14:textId="77777777">
        <w:tc>
          <w:tcPr>
            <w:tcW w:w="2497" w:type="dxa"/>
            <w:tcBorders>
              <w:top w:val="single" w:sz="4" w:space="0" w:color="293F5B"/>
              <w:bottom w:val="single" w:sz="4" w:space="0" w:color="293F5B"/>
            </w:tcBorders>
            <w:shd w:val="clear" w:color="auto" w:fill="auto"/>
          </w:tcPr>
          <w:p w14:paraId="55146FD8" w14:textId="77777777" w:rsidR="00B1714F" w:rsidRPr="001C06E6" w:rsidRDefault="00B1714F" w:rsidP="00B1714F">
            <w:pPr>
              <w:pStyle w:val="MeasureTableHeadingleftalignedwith2ptsspacing"/>
              <w:keepNext/>
            </w:pPr>
            <w:r>
              <w:t xml:space="preserve">NDIS Quality and Safeguards Commission </w:t>
            </w:r>
          </w:p>
        </w:tc>
        <w:tc>
          <w:tcPr>
            <w:tcW w:w="1045" w:type="dxa"/>
            <w:tcBorders>
              <w:top w:val="single" w:sz="4" w:space="0" w:color="293F5B"/>
              <w:bottom w:val="single" w:sz="4" w:space="0" w:color="293F5B"/>
            </w:tcBorders>
            <w:shd w:val="clear" w:color="auto" w:fill="auto"/>
          </w:tcPr>
          <w:p w14:paraId="0C139FFE" w14:textId="4A608317" w:rsidR="00B1714F" w:rsidRPr="001C06E6" w:rsidRDefault="00B1714F" w:rsidP="00B1714F">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7ED83AD" w14:textId="7391D6FA" w:rsidR="00B1714F" w:rsidRPr="001C06E6" w:rsidRDefault="00B1714F" w:rsidP="00B1714F">
            <w:pPr>
              <w:pStyle w:val="MeasureTableDataRightAlignedwith2ptsspacing"/>
              <w:keepNext/>
            </w:pPr>
            <w:r>
              <w:t xml:space="preserve">37.2 </w:t>
            </w:r>
          </w:p>
        </w:tc>
        <w:tc>
          <w:tcPr>
            <w:tcW w:w="1045" w:type="dxa"/>
            <w:tcBorders>
              <w:top w:val="single" w:sz="4" w:space="0" w:color="293F5B"/>
              <w:bottom w:val="single" w:sz="4" w:space="0" w:color="293F5B"/>
            </w:tcBorders>
            <w:shd w:val="clear" w:color="auto" w:fill="auto"/>
          </w:tcPr>
          <w:p w14:paraId="1DE16ABA" w14:textId="77777777" w:rsidR="00B1714F" w:rsidRPr="001C06E6" w:rsidRDefault="00B1714F" w:rsidP="00B1714F">
            <w:pPr>
              <w:pStyle w:val="MeasureTableDataRightAlignedwith2ptsspacing"/>
              <w:keepNext/>
            </w:pPr>
            <w:r>
              <w:t xml:space="preserve">53.4 </w:t>
            </w:r>
          </w:p>
        </w:tc>
        <w:tc>
          <w:tcPr>
            <w:tcW w:w="1045" w:type="dxa"/>
            <w:tcBorders>
              <w:top w:val="single" w:sz="4" w:space="0" w:color="293F5B"/>
              <w:bottom w:val="single" w:sz="4" w:space="0" w:color="293F5B"/>
            </w:tcBorders>
            <w:shd w:val="clear" w:color="auto" w:fill="auto"/>
          </w:tcPr>
          <w:p w14:paraId="6BC8241B" w14:textId="77777777" w:rsidR="00B1714F" w:rsidRPr="001C06E6" w:rsidRDefault="00B1714F" w:rsidP="00B1714F">
            <w:pPr>
              <w:pStyle w:val="MeasureTableDataRightAlignedwith2ptsspacing"/>
              <w:keepNext/>
            </w:pPr>
            <w:r>
              <w:t xml:space="preserve">47.6 </w:t>
            </w:r>
          </w:p>
        </w:tc>
        <w:tc>
          <w:tcPr>
            <w:tcW w:w="1045" w:type="dxa"/>
            <w:tcBorders>
              <w:top w:val="single" w:sz="4" w:space="0" w:color="293F5B"/>
              <w:bottom w:val="single" w:sz="4" w:space="0" w:color="293F5B"/>
            </w:tcBorders>
            <w:shd w:val="clear" w:color="auto" w:fill="auto"/>
          </w:tcPr>
          <w:p w14:paraId="781E0509" w14:textId="77777777" w:rsidR="00B1714F" w:rsidRPr="001C06E6" w:rsidRDefault="00B1714F" w:rsidP="00B1714F">
            <w:pPr>
              <w:pStyle w:val="MeasureTableDataRightAlignedwith2ptsspacing"/>
              <w:keepNext/>
            </w:pPr>
            <w:r>
              <w:t xml:space="preserve">24.6 </w:t>
            </w:r>
          </w:p>
        </w:tc>
      </w:tr>
      <w:tr w:rsidR="0012790E" w:rsidRPr="001C06E6" w14:paraId="658E940A" w14:textId="77777777">
        <w:tc>
          <w:tcPr>
            <w:tcW w:w="2497" w:type="dxa"/>
            <w:tcBorders>
              <w:top w:val="single" w:sz="4" w:space="0" w:color="293F5B"/>
              <w:bottom w:val="single" w:sz="4" w:space="0" w:color="293F5B"/>
            </w:tcBorders>
            <w:shd w:val="clear" w:color="auto" w:fill="auto"/>
          </w:tcPr>
          <w:p w14:paraId="4158DD89" w14:textId="77777777" w:rsidR="0012790E" w:rsidRPr="001C06E6" w:rsidRDefault="0012790E">
            <w:pPr>
              <w:pStyle w:val="MeasureTableHeadingleftalignedwith2ptsspacing"/>
              <w:keepNext/>
            </w:pPr>
            <w:r>
              <w:t xml:space="preserve">Department of Health and Aged Care </w:t>
            </w:r>
          </w:p>
        </w:tc>
        <w:tc>
          <w:tcPr>
            <w:tcW w:w="1045" w:type="dxa"/>
            <w:tcBorders>
              <w:top w:val="single" w:sz="4" w:space="0" w:color="293F5B"/>
              <w:bottom w:val="single" w:sz="4" w:space="0" w:color="293F5B"/>
            </w:tcBorders>
            <w:shd w:val="clear" w:color="auto" w:fill="auto"/>
          </w:tcPr>
          <w:p w14:paraId="0937B46E" w14:textId="77777777" w:rsidR="0012790E" w:rsidRPr="001C06E6" w:rsidRDefault="0012790E">
            <w:pPr>
              <w:pStyle w:val="MeasureTableDataRightAlignedwith2ptsspacing"/>
              <w:keepNext/>
            </w:pPr>
            <w:r>
              <w:t xml:space="preserve">0.5 </w:t>
            </w:r>
          </w:p>
        </w:tc>
        <w:tc>
          <w:tcPr>
            <w:tcW w:w="1045" w:type="dxa"/>
            <w:tcBorders>
              <w:top w:val="single" w:sz="4" w:space="0" w:color="293F5B"/>
              <w:bottom w:val="single" w:sz="4" w:space="0" w:color="293F5B"/>
            </w:tcBorders>
            <w:shd w:val="clear" w:color="auto" w:fill="auto"/>
          </w:tcPr>
          <w:p w14:paraId="39118367" w14:textId="77777777" w:rsidR="0012790E" w:rsidRPr="001C06E6" w:rsidRDefault="0012790E">
            <w:pPr>
              <w:pStyle w:val="MeasureTableDataRightAlignedwith2ptsspacing"/>
              <w:keepNext/>
            </w:pPr>
            <w:r>
              <w:t xml:space="preserve">4.7 </w:t>
            </w:r>
          </w:p>
        </w:tc>
        <w:tc>
          <w:tcPr>
            <w:tcW w:w="1045" w:type="dxa"/>
            <w:tcBorders>
              <w:top w:val="single" w:sz="4" w:space="0" w:color="293F5B"/>
              <w:bottom w:val="single" w:sz="4" w:space="0" w:color="293F5B"/>
            </w:tcBorders>
            <w:shd w:val="clear" w:color="auto" w:fill="auto"/>
          </w:tcPr>
          <w:p w14:paraId="6FEADD08" w14:textId="77777777" w:rsidR="0012790E" w:rsidRPr="001C06E6" w:rsidRDefault="0012790E">
            <w:pPr>
              <w:pStyle w:val="MeasureTableDataRightAlignedwith2ptsspacing"/>
              <w:keepNext/>
            </w:pPr>
            <w:r>
              <w:t xml:space="preserve">0.3 </w:t>
            </w:r>
          </w:p>
        </w:tc>
        <w:tc>
          <w:tcPr>
            <w:tcW w:w="1045" w:type="dxa"/>
            <w:tcBorders>
              <w:top w:val="single" w:sz="4" w:space="0" w:color="293F5B"/>
              <w:bottom w:val="single" w:sz="4" w:space="0" w:color="293F5B"/>
            </w:tcBorders>
            <w:shd w:val="clear" w:color="auto" w:fill="auto"/>
          </w:tcPr>
          <w:p w14:paraId="202E7B36"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2399179" w14:textId="77777777" w:rsidR="0012790E" w:rsidRPr="001C06E6" w:rsidRDefault="0012790E">
            <w:pPr>
              <w:pStyle w:val="MeasureTableDataRightAlignedwith2ptsspacing"/>
              <w:keepNext/>
            </w:pPr>
            <w:r>
              <w:t xml:space="preserve">- </w:t>
            </w:r>
          </w:p>
        </w:tc>
      </w:tr>
      <w:tr w:rsidR="0012790E" w:rsidRPr="001C06E6" w14:paraId="12112EA5" w14:textId="77777777">
        <w:tc>
          <w:tcPr>
            <w:tcW w:w="2497" w:type="dxa"/>
            <w:tcBorders>
              <w:top w:val="single" w:sz="4" w:space="0" w:color="293F5B"/>
              <w:bottom w:val="single" w:sz="4" w:space="0" w:color="293F5B"/>
            </w:tcBorders>
            <w:shd w:val="clear" w:color="auto" w:fill="auto"/>
          </w:tcPr>
          <w:p w14:paraId="29D22F9B"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7F791D5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4671F6B" w14:textId="77777777" w:rsidR="0012790E" w:rsidRPr="001C06E6" w:rsidRDefault="0012790E">
            <w:pPr>
              <w:pStyle w:val="MeasureTableDataRightAlignedwith2ptsspacing"/>
              <w:keepNext/>
            </w:pPr>
            <w:r w:rsidRPr="001C06E6">
              <w:t>11.7</w:t>
            </w:r>
          </w:p>
        </w:tc>
        <w:tc>
          <w:tcPr>
            <w:tcW w:w="1045" w:type="dxa"/>
            <w:tcBorders>
              <w:top w:val="single" w:sz="4" w:space="0" w:color="293F5B"/>
              <w:bottom w:val="single" w:sz="4" w:space="0" w:color="293F5B"/>
            </w:tcBorders>
            <w:shd w:val="clear" w:color="auto" w:fill="auto"/>
          </w:tcPr>
          <w:p w14:paraId="632D281B" w14:textId="77777777" w:rsidR="0012790E" w:rsidRPr="001C06E6" w:rsidRDefault="0012790E">
            <w:pPr>
              <w:pStyle w:val="MeasureTableDataRightAlignedwith2ptsspacing"/>
              <w:keepNext/>
            </w:pPr>
            <w:r w:rsidRPr="001C06E6">
              <w:t>11.8</w:t>
            </w:r>
          </w:p>
        </w:tc>
        <w:tc>
          <w:tcPr>
            <w:tcW w:w="1045" w:type="dxa"/>
            <w:tcBorders>
              <w:top w:val="single" w:sz="4" w:space="0" w:color="293F5B"/>
              <w:bottom w:val="single" w:sz="4" w:space="0" w:color="293F5B"/>
            </w:tcBorders>
            <w:shd w:val="clear" w:color="auto" w:fill="auto"/>
          </w:tcPr>
          <w:p w14:paraId="566884A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2B5C347" w14:textId="77777777" w:rsidR="0012790E" w:rsidRPr="001C06E6" w:rsidRDefault="0012790E">
            <w:pPr>
              <w:pStyle w:val="MeasureTableDataRightAlignedwith2ptsspacing"/>
              <w:keepNext/>
            </w:pPr>
            <w:r w:rsidRPr="001C06E6">
              <w:t>-</w:t>
            </w:r>
          </w:p>
        </w:tc>
      </w:tr>
      <w:tr w:rsidR="0056551F" w:rsidRPr="001C06E6" w14:paraId="1C10E0F6" w14:textId="77777777">
        <w:tc>
          <w:tcPr>
            <w:tcW w:w="2497" w:type="dxa"/>
            <w:tcBorders>
              <w:top w:val="single" w:sz="4" w:space="0" w:color="293F5B"/>
              <w:bottom w:val="single" w:sz="4" w:space="0" w:color="293F5B"/>
            </w:tcBorders>
            <w:shd w:val="clear" w:color="auto" w:fill="auto"/>
          </w:tcPr>
          <w:p w14:paraId="38373E18" w14:textId="77777777" w:rsidR="0056551F" w:rsidRPr="001C06E6" w:rsidRDefault="0056551F" w:rsidP="0056551F">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3A55FA82" w14:textId="77777777" w:rsidR="0056551F" w:rsidRPr="001C06E6" w:rsidRDefault="0056551F" w:rsidP="0056551F">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F781443" w14:textId="3CF13BEB" w:rsidR="0056551F" w:rsidRPr="001C06E6" w:rsidRDefault="0056551F" w:rsidP="0056551F">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0CAE0950" w14:textId="77777777" w:rsidR="0056551F" w:rsidRPr="001C06E6" w:rsidRDefault="0056551F" w:rsidP="0056551F">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BA7F3AB" w14:textId="77777777" w:rsidR="0056551F" w:rsidRPr="001C06E6" w:rsidRDefault="0056551F" w:rsidP="0056551F">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53BA40A" w14:textId="77777777" w:rsidR="0056551F" w:rsidRPr="001C06E6" w:rsidRDefault="0056551F" w:rsidP="0056551F">
            <w:pPr>
              <w:pStyle w:val="MeasureTableDataRightAlignedwith2ptsspacing"/>
              <w:keepNext/>
            </w:pPr>
            <w:r w:rsidRPr="001C06E6">
              <w:t>-</w:t>
            </w:r>
          </w:p>
        </w:tc>
      </w:tr>
      <w:tr w:rsidR="0056551F" w:rsidRPr="001C06E6" w14:paraId="0A2E8161" w14:textId="77777777">
        <w:tc>
          <w:tcPr>
            <w:tcW w:w="2497" w:type="dxa"/>
            <w:tcBorders>
              <w:top w:val="single" w:sz="4" w:space="0" w:color="293F5B"/>
              <w:bottom w:val="single" w:sz="4" w:space="0" w:color="293F5B"/>
            </w:tcBorders>
            <w:shd w:val="clear" w:color="auto" w:fill="auto"/>
          </w:tcPr>
          <w:p w14:paraId="4E93023A" w14:textId="77777777" w:rsidR="0056551F" w:rsidRPr="001C06E6" w:rsidRDefault="0056551F" w:rsidP="0056551F">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78C94222" w14:textId="77777777" w:rsidR="0056551F" w:rsidRPr="001C06E6" w:rsidRDefault="0056551F" w:rsidP="0056551F">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BFB151A" w14:textId="12278A66" w:rsidR="0056551F" w:rsidRPr="001C06E6" w:rsidRDefault="0056551F" w:rsidP="0056551F">
            <w:pPr>
              <w:pStyle w:val="MeasureTableDataRightAlignedwith2ptsspacing"/>
              <w:keepNext/>
            </w:pPr>
            <w:r>
              <w:t>0.2</w:t>
            </w:r>
          </w:p>
        </w:tc>
        <w:tc>
          <w:tcPr>
            <w:tcW w:w="1045" w:type="dxa"/>
            <w:tcBorders>
              <w:top w:val="single" w:sz="4" w:space="0" w:color="293F5B"/>
              <w:bottom w:val="single" w:sz="4" w:space="0" w:color="293F5B"/>
            </w:tcBorders>
            <w:shd w:val="clear" w:color="auto" w:fill="auto"/>
          </w:tcPr>
          <w:p w14:paraId="4A655EEF" w14:textId="77777777" w:rsidR="0056551F" w:rsidRPr="001C06E6" w:rsidRDefault="0056551F" w:rsidP="0056551F">
            <w:pPr>
              <w:pStyle w:val="MeasureTableDataRightAlignedwith2ptsspacing"/>
              <w:keepNext/>
            </w:pPr>
            <w:r w:rsidRPr="001C06E6">
              <w:t>0.2</w:t>
            </w:r>
          </w:p>
        </w:tc>
        <w:tc>
          <w:tcPr>
            <w:tcW w:w="1045" w:type="dxa"/>
            <w:tcBorders>
              <w:top w:val="single" w:sz="4" w:space="0" w:color="293F5B"/>
              <w:bottom w:val="single" w:sz="4" w:space="0" w:color="293F5B"/>
            </w:tcBorders>
            <w:shd w:val="clear" w:color="auto" w:fill="auto"/>
          </w:tcPr>
          <w:p w14:paraId="2DF7E485" w14:textId="77777777" w:rsidR="0056551F" w:rsidRPr="001C06E6" w:rsidRDefault="0056551F" w:rsidP="0056551F">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1A069929" w14:textId="77777777" w:rsidR="0056551F" w:rsidRPr="001C06E6" w:rsidRDefault="0056551F" w:rsidP="0056551F">
            <w:pPr>
              <w:pStyle w:val="MeasureTableDataRightAlignedwith2ptsspacing"/>
              <w:keepNext/>
            </w:pPr>
            <w:r w:rsidRPr="001C06E6">
              <w:t>-</w:t>
            </w:r>
          </w:p>
        </w:tc>
      </w:tr>
      <w:tr w:rsidR="0012790E" w:rsidRPr="001C06E6" w14:paraId="12C51282" w14:textId="77777777">
        <w:tc>
          <w:tcPr>
            <w:tcW w:w="2497" w:type="dxa"/>
            <w:tcBorders>
              <w:top w:val="single" w:sz="4" w:space="0" w:color="293F5B"/>
              <w:bottom w:val="single" w:sz="4" w:space="0" w:color="293F5B"/>
            </w:tcBorders>
            <w:shd w:val="clear" w:color="auto" w:fill="auto"/>
          </w:tcPr>
          <w:p w14:paraId="743EA0C7"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21AAF9C4"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373C9744" w14:textId="77777777" w:rsidR="0012790E" w:rsidRPr="001C06E6" w:rsidRDefault="0012790E">
            <w:pPr>
              <w:pStyle w:val="Totaldatarowrightaligned"/>
              <w:keepNext/>
            </w:pPr>
            <w:r w:rsidRPr="001C06E6">
              <w:t>-1,902.9</w:t>
            </w:r>
          </w:p>
        </w:tc>
        <w:tc>
          <w:tcPr>
            <w:tcW w:w="1045" w:type="dxa"/>
            <w:tcBorders>
              <w:top w:val="single" w:sz="4" w:space="0" w:color="293F5B"/>
              <w:bottom w:val="single" w:sz="4" w:space="0" w:color="293F5B"/>
            </w:tcBorders>
            <w:shd w:val="clear" w:color="auto" w:fill="auto"/>
          </w:tcPr>
          <w:p w14:paraId="2A83D4FC" w14:textId="77777777" w:rsidR="0012790E" w:rsidRPr="001C06E6" w:rsidRDefault="0012790E">
            <w:pPr>
              <w:pStyle w:val="Totaldatarowrightaligned"/>
              <w:keepNext/>
            </w:pPr>
            <w:r w:rsidRPr="001C06E6">
              <w:t>-3,729.3</w:t>
            </w:r>
          </w:p>
        </w:tc>
        <w:tc>
          <w:tcPr>
            <w:tcW w:w="1045" w:type="dxa"/>
            <w:tcBorders>
              <w:top w:val="single" w:sz="4" w:space="0" w:color="293F5B"/>
              <w:bottom w:val="single" w:sz="4" w:space="0" w:color="293F5B"/>
            </w:tcBorders>
            <w:shd w:val="clear" w:color="auto" w:fill="auto"/>
          </w:tcPr>
          <w:p w14:paraId="1E8E93C0" w14:textId="77777777" w:rsidR="0012790E" w:rsidRPr="001C06E6" w:rsidRDefault="0012790E">
            <w:pPr>
              <w:pStyle w:val="Totaldatarowrightaligned"/>
              <w:keepNext/>
            </w:pPr>
            <w:r w:rsidRPr="001C06E6">
              <w:t>-4,061.0</w:t>
            </w:r>
          </w:p>
        </w:tc>
        <w:tc>
          <w:tcPr>
            <w:tcW w:w="1045" w:type="dxa"/>
            <w:tcBorders>
              <w:top w:val="single" w:sz="4" w:space="0" w:color="293F5B"/>
              <w:bottom w:val="single" w:sz="4" w:space="0" w:color="293F5B"/>
            </w:tcBorders>
            <w:shd w:val="clear" w:color="auto" w:fill="auto"/>
          </w:tcPr>
          <w:p w14:paraId="5EC6FC2C" w14:textId="77777777" w:rsidR="0012790E" w:rsidRPr="001C06E6" w:rsidRDefault="0012790E">
            <w:pPr>
              <w:pStyle w:val="Totaldatarowrightaligned"/>
              <w:keepNext/>
            </w:pPr>
            <w:r w:rsidRPr="001C06E6">
              <w:t>-4,413.4</w:t>
            </w:r>
          </w:p>
        </w:tc>
      </w:tr>
      <w:tr w:rsidR="0056551F" w:rsidRPr="001C06E6" w14:paraId="5FAB654D" w14:textId="77777777">
        <w:tc>
          <w:tcPr>
            <w:tcW w:w="2497" w:type="dxa"/>
            <w:tcBorders>
              <w:top w:val="single" w:sz="4" w:space="0" w:color="293F5B"/>
              <w:bottom w:val="single" w:sz="4" w:space="0" w:color="293F5B"/>
            </w:tcBorders>
            <w:shd w:val="clear" w:color="auto" w:fill="auto"/>
          </w:tcPr>
          <w:p w14:paraId="1DFD770F" w14:textId="77777777" w:rsidR="0056551F" w:rsidRPr="001C06E6" w:rsidRDefault="0056551F">
            <w:pPr>
              <w:pStyle w:val="Totalrowleftaligned"/>
              <w:keepNext/>
            </w:pPr>
          </w:p>
        </w:tc>
        <w:tc>
          <w:tcPr>
            <w:tcW w:w="1045" w:type="dxa"/>
            <w:tcBorders>
              <w:top w:val="single" w:sz="4" w:space="0" w:color="293F5B"/>
              <w:bottom w:val="single" w:sz="4" w:space="0" w:color="293F5B"/>
            </w:tcBorders>
            <w:shd w:val="clear" w:color="auto" w:fill="auto"/>
          </w:tcPr>
          <w:p w14:paraId="1FCD3558" w14:textId="77777777" w:rsidR="0056551F" w:rsidRPr="001C06E6" w:rsidRDefault="0056551F">
            <w:pPr>
              <w:pStyle w:val="Totaldatarowrightaligned"/>
              <w:keepNext/>
            </w:pPr>
          </w:p>
        </w:tc>
        <w:tc>
          <w:tcPr>
            <w:tcW w:w="1045" w:type="dxa"/>
            <w:tcBorders>
              <w:top w:val="single" w:sz="4" w:space="0" w:color="293F5B"/>
              <w:bottom w:val="single" w:sz="4" w:space="0" w:color="293F5B"/>
            </w:tcBorders>
            <w:shd w:val="clear" w:color="auto" w:fill="auto"/>
          </w:tcPr>
          <w:p w14:paraId="1E8441F8" w14:textId="77777777" w:rsidR="0056551F" w:rsidRPr="001C06E6" w:rsidRDefault="0056551F">
            <w:pPr>
              <w:pStyle w:val="Totaldatarowrightaligned"/>
              <w:keepNext/>
            </w:pPr>
          </w:p>
        </w:tc>
        <w:tc>
          <w:tcPr>
            <w:tcW w:w="1045" w:type="dxa"/>
            <w:tcBorders>
              <w:top w:val="single" w:sz="4" w:space="0" w:color="293F5B"/>
              <w:bottom w:val="single" w:sz="4" w:space="0" w:color="293F5B"/>
            </w:tcBorders>
            <w:shd w:val="clear" w:color="auto" w:fill="auto"/>
          </w:tcPr>
          <w:p w14:paraId="52E38821" w14:textId="77777777" w:rsidR="0056551F" w:rsidRPr="001C06E6" w:rsidRDefault="0056551F">
            <w:pPr>
              <w:pStyle w:val="Totaldatarowrightaligned"/>
              <w:keepNext/>
            </w:pPr>
          </w:p>
        </w:tc>
        <w:tc>
          <w:tcPr>
            <w:tcW w:w="1045" w:type="dxa"/>
            <w:tcBorders>
              <w:top w:val="single" w:sz="4" w:space="0" w:color="293F5B"/>
              <w:bottom w:val="single" w:sz="4" w:space="0" w:color="293F5B"/>
            </w:tcBorders>
            <w:shd w:val="clear" w:color="auto" w:fill="auto"/>
          </w:tcPr>
          <w:p w14:paraId="7DEA4D4D" w14:textId="77777777" w:rsidR="0056551F" w:rsidRPr="001C06E6" w:rsidRDefault="0056551F">
            <w:pPr>
              <w:pStyle w:val="Totaldatarowrightaligned"/>
              <w:keepNext/>
            </w:pPr>
          </w:p>
        </w:tc>
        <w:tc>
          <w:tcPr>
            <w:tcW w:w="1045" w:type="dxa"/>
            <w:tcBorders>
              <w:top w:val="single" w:sz="4" w:space="0" w:color="293F5B"/>
              <w:bottom w:val="single" w:sz="4" w:space="0" w:color="293F5B"/>
            </w:tcBorders>
            <w:shd w:val="clear" w:color="auto" w:fill="auto"/>
          </w:tcPr>
          <w:p w14:paraId="20A471B8" w14:textId="77777777" w:rsidR="0056551F" w:rsidRPr="001C06E6" w:rsidRDefault="0056551F">
            <w:pPr>
              <w:pStyle w:val="Totaldatarowrightaligned"/>
              <w:keepNext/>
            </w:pPr>
          </w:p>
        </w:tc>
      </w:tr>
      <w:tr w:rsidR="001E3CD1" w:rsidRPr="001C06E6" w14:paraId="3EB256C0" w14:textId="77777777" w:rsidTr="00B263E3">
        <w:tc>
          <w:tcPr>
            <w:tcW w:w="2497" w:type="dxa"/>
            <w:tcBorders>
              <w:top w:val="single" w:sz="4" w:space="0" w:color="293F5B"/>
              <w:bottom w:val="single" w:sz="4" w:space="0" w:color="293F5B"/>
            </w:tcBorders>
            <w:shd w:val="clear" w:color="auto" w:fill="auto"/>
          </w:tcPr>
          <w:p w14:paraId="7290C367" w14:textId="7255E9AA" w:rsidR="001E3CD1" w:rsidRPr="00322A54" w:rsidRDefault="001E3CD1" w:rsidP="00FE606B">
            <w:pPr>
              <w:pStyle w:val="Totalrowleftaligned"/>
              <w:keepNext/>
              <w:rPr>
                <w:i/>
                <w:iCs/>
              </w:rPr>
            </w:pPr>
            <w:r w:rsidRPr="00322A54">
              <w:rPr>
                <w:i/>
                <w:iCs/>
              </w:rPr>
              <w:t>Related payments variations</w:t>
            </w:r>
            <w:r>
              <w:rPr>
                <w:i/>
                <w:iCs/>
              </w:rPr>
              <w:t xml:space="preserve"> ($m)</w:t>
            </w:r>
          </w:p>
        </w:tc>
        <w:tc>
          <w:tcPr>
            <w:tcW w:w="1045" w:type="dxa"/>
            <w:tcBorders>
              <w:top w:val="single" w:sz="4" w:space="0" w:color="293F5B"/>
              <w:bottom w:val="single" w:sz="4" w:space="0" w:color="293F5B"/>
            </w:tcBorders>
            <w:shd w:val="clear" w:color="auto" w:fill="auto"/>
            <w:vAlign w:val="bottom"/>
          </w:tcPr>
          <w:p w14:paraId="36A541E7" w14:textId="77777777" w:rsidR="001E3CD1" w:rsidRPr="00322A54" w:rsidRDefault="001E3CD1" w:rsidP="00B263E3">
            <w:pPr>
              <w:pStyle w:val="Totaldatarowrightaligned"/>
              <w:keepNext/>
              <w:rPr>
                <w:i/>
                <w:iCs/>
              </w:rPr>
            </w:pPr>
          </w:p>
        </w:tc>
        <w:tc>
          <w:tcPr>
            <w:tcW w:w="1045" w:type="dxa"/>
            <w:tcBorders>
              <w:top w:val="single" w:sz="4" w:space="0" w:color="293F5B"/>
              <w:bottom w:val="single" w:sz="4" w:space="0" w:color="293F5B"/>
            </w:tcBorders>
            <w:shd w:val="clear" w:color="auto" w:fill="auto"/>
            <w:vAlign w:val="bottom"/>
          </w:tcPr>
          <w:p w14:paraId="7CDDFB94" w14:textId="77777777" w:rsidR="001E3CD1" w:rsidRPr="00322A54" w:rsidRDefault="001E3CD1" w:rsidP="00B263E3">
            <w:pPr>
              <w:pStyle w:val="Totaldatarowrightaligned"/>
              <w:keepNext/>
              <w:rPr>
                <w:i/>
                <w:iCs/>
              </w:rPr>
            </w:pPr>
          </w:p>
        </w:tc>
        <w:tc>
          <w:tcPr>
            <w:tcW w:w="1045" w:type="dxa"/>
            <w:tcBorders>
              <w:top w:val="single" w:sz="4" w:space="0" w:color="293F5B"/>
              <w:bottom w:val="single" w:sz="4" w:space="0" w:color="293F5B"/>
            </w:tcBorders>
            <w:shd w:val="clear" w:color="auto" w:fill="auto"/>
            <w:vAlign w:val="bottom"/>
          </w:tcPr>
          <w:p w14:paraId="6B095399" w14:textId="77777777" w:rsidR="001E3CD1" w:rsidRPr="00322A54" w:rsidRDefault="001E3CD1" w:rsidP="00B263E3">
            <w:pPr>
              <w:pStyle w:val="Totaldatarowrightaligned"/>
              <w:keepNext/>
              <w:rPr>
                <w:i/>
                <w:iCs/>
              </w:rPr>
            </w:pPr>
          </w:p>
        </w:tc>
        <w:tc>
          <w:tcPr>
            <w:tcW w:w="1045" w:type="dxa"/>
            <w:tcBorders>
              <w:top w:val="single" w:sz="4" w:space="0" w:color="293F5B"/>
              <w:bottom w:val="single" w:sz="4" w:space="0" w:color="293F5B"/>
            </w:tcBorders>
            <w:shd w:val="clear" w:color="auto" w:fill="auto"/>
            <w:vAlign w:val="bottom"/>
          </w:tcPr>
          <w:p w14:paraId="5FD91814" w14:textId="77777777" w:rsidR="001E3CD1" w:rsidRPr="00322A54" w:rsidRDefault="001E3CD1" w:rsidP="00B263E3">
            <w:pPr>
              <w:pStyle w:val="Totaldatarowrightaligned"/>
              <w:keepNext/>
              <w:rPr>
                <w:i/>
                <w:iCs/>
              </w:rPr>
            </w:pPr>
          </w:p>
        </w:tc>
        <w:tc>
          <w:tcPr>
            <w:tcW w:w="1045" w:type="dxa"/>
            <w:tcBorders>
              <w:top w:val="single" w:sz="4" w:space="0" w:color="293F5B"/>
              <w:bottom w:val="single" w:sz="4" w:space="0" w:color="293F5B"/>
            </w:tcBorders>
            <w:shd w:val="clear" w:color="auto" w:fill="auto"/>
            <w:vAlign w:val="bottom"/>
          </w:tcPr>
          <w:p w14:paraId="267DAF14" w14:textId="77777777" w:rsidR="001E3CD1" w:rsidRPr="00322A54" w:rsidRDefault="001E3CD1" w:rsidP="00B263E3">
            <w:pPr>
              <w:pStyle w:val="Totaldatarowrightaligned"/>
              <w:keepNext/>
              <w:rPr>
                <w:i/>
                <w:iCs/>
              </w:rPr>
            </w:pPr>
          </w:p>
        </w:tc>
      </w:tr>
      <w:tr w:rsidR="00FE606B" w:rsidRPr="001C06E6" w14:paraId="29A2BC03" w14:textId="77777777" w:rsidTr="00AC2FA9">
        <w:tc>
          <w:tcPr>
            <w:tcW w:w="2497" w:type="dxa"/>
            <w:tcBorders>
              <w:top w:val="single" w:sz="4" w:space="0" w:color="293F5B"/>
              <w:bottom w:val="single" w:sz="4" w:space="0" w:color="293F5B"/>
            </w:tcBorders>
            <w:shd w:val="clear" w:color="auto" w:fill="auto"/>
          </w:tcPr>
          <w:p w14:paraId="59E64A20" w14:textId="4108DC9E" w:rsidR="00FE606B" w:rsidRPr="001C06E6" w:rsidRDefault="00FE606B" w:rsidP="00FE606B">
            <w:pPr>
              <w:pStyle w:val="Totalrowleftaligned"/>
              <w:keepNext/>
            </w:pPr>
            <w:r w:rsidRPr="00322A54">
              <w:rPr>
                <w:i/>
                <w:iCs/>
              </w:rPr>
              <w:t>National Disability Insurance Agenc</w:t>
            </w:r>
            <w:r>
              <w:rPr>
                <w:i/>
                <w:iCs/>
              </w:rPr>
              <w:t>y</w:t>
            </w:r>
          </w:p>
        </w:tc>
        <w:tc>
          <w:tcPr>
            <w:tcW w:w="1045" w:type="dxa"/>
            <w:tcBorders>
              <w:top w:val="single" w:sz="4" w:space="0" w:color="293F5B"/>
              <w:bottom w:val="single" w:sz="4" w:space="0" w:color="293F5B"/>
            </w:tcBorders>
            <w:shd w:val="clear" w:color="auto" w:fill="auto"/>
          </w:tcPr>
          <w:p w14:paraId="72B69134" w14:textId="13FE1F94" w:rsidR="00FE606B" w:rsidRPr="001C06E6" w:rsidRDefault="00E329B0" w:rsidP="008C5669">
            <w:pPr>
              <w:pStyle w:val="Totaldatarowrightaligned"/>
              <w:keepNext/>
            </w:pPr>
            <w:r>
              <w:rPr>
                <w:i/>
                <w:iCs/>
              </w:rPr>
              <w:t>1,001.4</w:t>
            </w:r>
          </w:p>
        </w:tc>
        <w:tc>
          <w:tcPr>
            <w:tcW w:w="1045" w:type="dxa"/>
            <w:tcBorders>
              <w:top w:val="single" w:sz="4" w:space="0" w:color="293F5B"/>
              <w:bottom w:val="single" w:sz="4" w:space="0" w:color="293F5B"/>
            </w:tcBorders>
            <w:shd w:val="clear" w:color="auto" w:fill="auto"/>
          </w:tcPr>
          <w:p w14:paraId="60ED6117" w14:textId="471DD962" w:rsidR="00FE606B" w:rsidRPr="001C06E6" w:rsidRDefault="005C70F5" w:rsidP="008C5669">
            <w:pPr>
              <w:pStyle w:val="Totaldatarowrightaligned"/>
              <w:keepNext/>
            </w:pPr>
            <w:r>
              <w:rPr>
                <w:i/>
                <w:iCs/>
              </w:rPr>
              <w:t>1,972.6</w:t>
            </w:r>
          </w:p>
        </w:tc>
        <w:tc>
          <w:tcPr>
            <w:tcW w:w="1045" w:type="dxa"/>
            <w:tcBorders>
              <w:top w:val="single" w:sz="4" w:space="0" w:color="293F5B"/>
              <w:bottom w:val="single" w:sz="4" w:space="0" w:color="293F5B"/>
            </w:tcBorders>
            <w:shd w:val="clear" w:color="auto" w:fill="auto"/>
          </w:tcPr>
          <w:p w14:paraId="0DB28A19" w14:textId="4311AF24" w:rsidR="00FE606B" w:rsidRPr="001C06E6" w:rsidRDefault="003A22BB" w:rsidP="008C5669">
            <w:pPr>
              <w:pStyle w:val="Totaldatarowrightaligned"/>
              <w:keepNext/>
            </w:pPr>
            <w:r>
              <w:rPr>
                <w:i/>
                <w:iCs/>
              </w:rPr>
              <w:t>3,816.2</w:t>
            </w:r>
          </w:p>
        </w:tc>
        <w:tc>
          <w:tcPr>
            <w:tcW w:w="1045" w:type="dxa"/>
            <w:tcBorders>
              <w:top w:val="single" w:sz="4" w:space="0" w:color="293F5B"/>
              <w:bottom w:val="single" w:sz="4" w:space="0" w:color="293F5B"/>
            </w:tcBorders>
            <w:shd w:val="clear" w:color="auto" w:fill="auto"/>
          </w:tcPr>
          <w:p w14:paraId="15689349" w14:textId="2D8FF8A0" w:rsidR="00FE606B" w:rsidRPr="001C06E6" w:rsidRDefault="003A22BB" w:rsidP="008C5669">
            <w:pPr>
              <w:pStyle w:val="Totaldatarowrightaligned"/>
              <w:keepNext/>
            </w:pPr>
            <w:r>
              <w:rPr>
                <w:i/>
                <w:iCs/>
              </w:rPr>
              <w:t>4,121.5</w:t>
            </w:r>
          </w:p>
        </w:tc>
        <w:tc>
          <w:tcPr>
            <w:tcW w:w="1045" w:type="dxa"/>
            <w:tcBorders>
              <w:top w:val="single" w:sz="4" w:space="0" w:color="293F5B"/>
              <w:bottom w:val="single" w:sz="4" w:space="0" w:color="293F5B"/>
            </w:tcBorders>
            <w:shd w:val="clear" w:color="auto" w:fill="auto"/>
          </w:tcPr>
          <w:p w14:paraId="67E725D1" w14:textId="64006FE5" w:rsidR="00FE606B" w:rsidRPr="001C06E6" w:rsidRDefault="003A22BB" w:rsidP="008C5669">
            <w:pPr>
              <w:pStyle w:val="Totaldatarowrightaligned"/>
              <w:keepNext/>
            </w:pPr>
            <w:r>
              <w:rPr>
                <w:i/>
                <w:iCs/>
              </w:rPr>
              <w:t>4,451.3</w:t>
            </w:r>
          </w:p>
        </w:tc>
      </w:tr>
      <w:tr w:rsidR="00FE606B" w:rsidRPr="001C06E6" w14:paraId="0E2A5038" w14:textId="77777777">
        <w:tc>
          <w:tcPr>
            <w:tcW w:w="2497" w:type="dxa"/>
            <w:tcBorders>
              <w:top w:val="single" w:sz="4" w:space="0" w:color="293F5B"/>
              <w:bottom w:val="single" w:sz="4" w:space="0" w:color="293F5B"/>
            </w:tcBorders>
            <w:shd w:val="clear" w:color="auto" w:fill="auto"/>
          </w:tcPr>
          <w:p w14:paraId="6E32E9DB" w14:textId="4C171301" w:rsidR="00FE606B" w:rsidRPr="001C06E6" w:rsidRDefault="00FE606B" w:rsidP="00FE606B">
            <w:pPr>
              <w:pStyle w:val="Totalrowleftaligned"/>
              <w:keepNext/>
            </w:pPr>
            <w:r w:rsidRPr="00322A54">
              <w:rPr>
                <w:i/>
                <w:iCs/>
              </w:rPr>
              <w:t>Net impact - payments</w:t>
            </w:r>
          </w:p>
        </w:tc>
        <w:tc>
          <w:tcPr>
            <w:tcW w:w="1045" w:type="dxa"/>
            <w:tcBorders>
              <w:top w:val="single" w:sz="4" w:space="0" w:color="293F5B"/>
              <w:bottom w:val="single" w:sz="4" w:space="0" w:color="293F5B"/>
            </w:tcBorders>
            <w:shd w:val="clear" w:color="auto" w:fill="auto"/>
          </w:tcPr>
          <w:p w14:paraId="32426F7E" w14:textId="2D84A4EA" w:rsidR="00FE606B" w:rsidRPr="001C06E6" w:rsidRDefault="005C70F5" w:rsidP="00FE606B">
            <w:pPr>
              <w:pStyle w:val="Totaldatarowrightaligned"/>
              <w:keepNext/>
            </w:pPr>
            <w:r>
              <w:rPr>
                <w:i/>
                <w:iCs/>
              </w:rPr>
              <w:t>1,001.4</w:t>
            </w:r>
          </w:p>
        </w:tc>
        <w:tc>
          <w:tcPr>
            <w:tcW w:w="1045" w:type="dxa"/>
            <w:tcBorders>
              <w:top w:val="single" w:sz="4" w:space="0" w:color="293F5B"/>
              <w:bottom w:val="single" w:sz="4" w:space="0" w:color="293F5B"/>
            </w:tcBorders>
            <w:shd w:val="clear" w:color="auto" w:fill="auto"/>
          </w:tcPr>
          <w:p w14:paraId="39BC1535" w14:textId="573FD093" w:rsidR="00FE606B" w:rsidRPr="001C06E6" w:rsidRDefault="003A22BB" w:rsidP="00FE606B">
            <w:pPr>
              <w:pStyle w:val="Totaldatarowrightaligned"/>
              <w:keepNext/>
            </w:pPr>
            <w:r>
              <w:rPr>
                <w:i/>
                <w:iCs/>
              </w:rPr>
              <w:t>69.7</w:t>
            </w:r>
          </w:p>
        </w:tc>
        <w:tc>
          <w:tcPr>
            <w:tcW w:w="1045" w:type="dxa"/>
            <w:tcBorders>
              <w:top w:val="single" w:sz="4" w:space="0" w:color="293F5B"/>
              <w:bottom w:val="single" w:sz="4" w:space="0" w:color="293F5B"/>
            </w:tcBorders>
            <w:shd w:val="clear" w:color="auto" w:fill="auto"/>
          </w:tcPr>
          <w:p w14:paraId="7F866353" w14:textId="706B719D" w:rsidR="00FE606B" w:rsidRPr="001C06E6" w:rsidRDefault="003A22BB" w:rsidP="00FE606B">
            <w:pPr>
              <w:pStyle w:val="Totaldatarowrightaligned"/>
              <w:keepNext/>
            </w:pPr>
            <w:r>
              <w:rPr>
                <w:i/>
                <w:iCs/>
              </w:rPr>
              <w:t>86.9</w:t>
            </w:r>
          </w:p>
        </w:tc>
        <w:tc>
          <w:tcPr>
            <w:tcW w:w="1045" w:type="dxa"/>
            <w:tcBorders>
              <w:top w:val="single" w:sz="4" w:space="0" w:color="293F5B"/>
              <w:bottom w:val="single" w:sz="4" w:space="0" w:color="293F5B"/>
            </w:tcBorders>
            <w:shd w:val="clear" w:color="auto" w:fill="auto"/>
          </w:tcPr>
          <w:p w14:paraId="619D5585" w14:textId="144D0E0D" w:rsidR="00FE606B" w:rsidRPr="001C06E6" w:rsidRDefault="003A22BB" w:rsidP="00FE606B">
            <w:pPr>
              <w:pStyle w:val="Totaldatarowrightaligned"/>
              <w:keepNext/>
            </w:pPr>
            <w:r>
              <w:rPr>
                <w:i/>
                <w:iCs/>
              </w:rPr>
              <w:t>60.5</w:t>
            </w:r>
          </w:p>
        </w:tc>
        <w:tc>
          <w:tcPr>
            <w:tcW w:w="1045" w:type="dxa"/>
            <w:tcBorders>
              <w:top w:val="single" w:sz="4" w:space="0" w:color="293F5B"/>
              <w:bottom w:val="single" w:sz="4" w:space="0" w:color="293F5B"/>
            </w:tcBorders>
            <w:shd w:val="clear" w:color="auto" w:fill="auto"/>
          </w:tcPr>
          <w:p w14:paraId="6BE6BE95" w14:textId="7F138A7F" w:rsidR="00FE606B" w:rsidRPr="001C06E6" w:rsidRDefault="003A22BB" w:rsidP="00FE606B">
            <w:pPr>
              <w:pStyle w:val="Totaldatarowrightaligned"/>
              <w:keepNext/>
            </w:pPr>
            <w:r>
              <w:rPr>
                <w:i/>
                <w:iCs/>
              </w:rPr>
              <w:t>37.9</w:t>
            </w:r>
          </w:p>
        </w:tc>
      </w:tr>
    </w:tbl>
    <w:p w14:paraId="2D63B5A2"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24"/>
          <w:lang w:val="en-AU"/>
        </w:rPr>
      </w:pPr>
    </w:p>
    <w:p w14:paraId="653BC85D" w14:textId="77777777" w:rsidR="0012790E" w:rsidRDefault="0012790E">
      <w:pPr>
        <w:pStyle w:val="Normal2"/>
      </w:pPr>
      <w:r w:rsidRPr="001C06E6">
        <w:t>The Government is committed to improving outcomes for National Disability Insurance</w:t>
      </w:r>
      <w:r>
        <w:t xml:space="preserve"> </w:t>
      </w:r>
      <w:r w:rsidRPr="001C06E6">
        <w:t>Scheme (NDIS) participants and ensuring every dollar of NDIS funding goes to those</w:t>
      </w:r>
      <w:r>
        <w:t xml:space="preserve"> </w:t>
      </w:r>
      <w:r w:rsidRPr="001C06E6">
        <w:t>who need it most. The Government will provide $468.7</w:t>
      </w:r>
      <w:r>
        <w:t> </w:t>
      </w:r>
      <w:r w:rsidRPr="001C06E6">
        <w:t>million over five years from</w:t>
      </w:r>
      <w:r>
        <w:t xml:space="preserve"> 2023–24</w:t>
      </w:r>
      <w:r w:rsidRPr="001C06E6">
        <w:t xml:space="preserve"> (and $37.9</w:t>
      </w:r>
      <w:r>
        <w:t> </w:t>
      </w:r>
      <w:r w:rsidRPr="001C06E6">
        <w:t>million per year ongoing) to support people with disability and get</w:t>
      </w:r>
      <w:r>
        <w:t xml:space="preserve"> </w:t>
      </w:r>
      <w:r w:rsidRPr="001C06E6">
        <w:t>the NDIS back on track. Funding includes:</w:t>
      </w:r>
    </w:p>
    <w:p w14:paraId="418280AF" w14:textId="5D7A3A63" w:rsidR="0012790E" w:rsidRDefault="0012790E">
      <w:pPr>
        <w:pStyle w:val="Bullet"/>
      </w:pPr>
      <w:r w:rsidRPr="001C06E6">
        <w:t>$160.7</w:t>
      </w:r>
      <w:r>
        <w:t> </w:t>
      </w:r>
      <w:r w:rsidRPr="001C06E6">
        <w:t xml:space="preserve">million over four years from </w:t>
      </w:r>
      <w:r>
        <w:t>2024–25</w:t>
      </w:r>
      <w:r w:rsidRPr="001C06E6">
        <w:t xml:space="preserve"> (and $24.6</w:t>
      </w:r>
      <w:r>
        <w:t> </w:t>
      </w:r>
      <w:r w:rsidRPr="001C06E6">
        <w:t>million per year ongoing) to upgrade the NDIS Quality and Safeguards Commission’s information technology systems, to better protect the safety of NDIS participants, reduce regulatory burden on</w:t>
      </w:r>
      <w:r w:rsidR="00F30B84">
        <w:t> </w:t>
      </w:r>
      <w:r w:rsidRPr="001C06E6">
        <w:t>NDIS providers, and improve cyber security</w:t>
      </w:r>
      <w:r>
        <w:t xml:space="preserve"> </w:t>
      </w:r>
    </w:p>
    <w:p w14:paraId="468F9ECD" w14:textId="77777777" w:rsidR="0012790E" w:rsidRDefault="0012790E">
      <w:pPr>
        <w:pStyle w:val="Bullet"/>
      </w:pPr>
      <w:r w:rsidRPr="001C06E6">
        <w:t>$129.8</w:t>
      </w:r>
      <w:r>
        <w:t> </w:t>
      </w:r>
      <w:r w:rsidRPr="001C06E6">
        <w:t xml:space="preserve">million over two years from </w:t>
      </w:r>
      <w:r>
        <w:t>2023–24</w:t>
      </w:r>
      <w:r w:rsidRPr="001C06E6">
        <w:t xml:space="preserve"> for design and consultation work to respond to the findings of the Independent NDIS Review</w:t>
      </w:r>
      <w:r>
        <w:t xml:space="preserve"> </w:t>
      </w:r>
    </w:p>
    <w:p w14:paraId="0ECC0787" w14:textId="77777777" w:rsidR="0012790E" w:rsidRDefault="0012790E">
      <w:pPr>
        <w:pStyle w:val="Bullet"/>
      </w:pPr>
      <w:r w:rsidRPr="001C06E6">
        <w:t>$83.9</w:t>
      </w:r>
      <w:r>
        <w:t> </w:t>
      </w:r>
      <w:r w:rsidRPr="001C06E6">
        <w:t xml:space="preserve">million over two years from </w:t>
      </w:r>
      <w:r>
        <w:t>2023–24</w:t>
      </w:r>
      <w:r w:rsidRPr="001C06E6">
        <w:t xml:space="preserve"> to boost fraud detecting information technology systems at the National Disability Insurance Agency (NDIA), to further safeguard the integrity of the NDIS</w:t>
      </w:r>
      <w:r>
        <w:t xml:space="preserve"> </w:t>
      </w:r>
    </w:p>
    <w:p w14:paraId="44496C7B" w14:textId="4DACC417" w:rsidR="0012790E" w:rsidRDefault="0012790E">
      <w:pPr>
        <w:pStyle w:val="Bullet"/>
      </w:pPr>
      <w:r w:rsidRPr="001C06E6">
        <w:t>$45.5</w:t>
      </w:r>
      <w:r>
        <w:t> </w:t>
      </w:r>
      <w:r w:rsidRPr="001C06E6">
        <w:t xml:space="preserve">million over four years from </w:t>
      </w:r>
      <w:r>
        <w:t>2024–25</w:t>
      </w:r>
      <w:r w:rsidRPr="001C06E6">
        <w:t xml:space="preserve"> (and $13.3</w:t>
      </w:r>
      <w:r>
        <w:t> </w:t>
      </w:r>
      <w:r w:rsidRPr="001C06E6">
        <w:t>million per year ongoing) to</w:t>
      </w:r>
      <w:r w:rsidR="00F30B84">
        <w:t> </w:t>
      </w:r>
      <w:r w:rsidRPr="001C06E6">
        <w:t>establish a NDIS Evidence Advisory Committee, to provide independent and transparent advice to Government on the efficacy and cost</w:t>
      </w:r>
      <w:r>
        <w:noBreakHyphen/>
      </w:r>
      <w:r w:rsidRPr="001C06E6">
        <w:t>benefits of types of supports</w:t>
      </w:r>
      <w:r w:rsidR="00F30B84">
        <w:t> </w:t>
      </w:r>
      <w:r w:rsidRPr="001C06E6">
        <w:t>funded by the NDIS</w:t>
      </w:r>
      <w:r>
        <w:t xml:space="preserve"> </w:t>
      </w:r>
    </w:p>
    <w:p w14:paraId="4FD38B7E" w14:textId="77777777" w:rsidR="0012790E" w:rsidRDefault="0012790E">
      <w:pPr>
        <w:pStyle w:val="Bullet"/>
      </w:pPr>
      <w:r w:rsidRPr="001C06E6">
        <w:t>$23.5</w:t>
      </w:r>
      <w:r>
        <w:t> </w:t>
      </w:r>
      <w:r w:rsidRPr="001C06E6">
        <w:t xml:space="preserve">million over two years from </w:t>
      </w:r>
      <w:r>
        <w:t>2024–25</w:t>
      </w:r>
      <w:r w:rsidRPr="001C06E6">
        <w:t xml:space="preserve"> for Services Australia to continue fraud investigation and response activities as part of the Fraud Fusion Taskforce</w:t>
      </w:r>
      <w:r>
        <w:t xml:space="preserve"> </w:t>
      </w:r>
    </w:p>
    <w:p w14:paraId="019B2E54" w14:textId="77777777" w:rsidR="0012790E" w:rsidRDefault="0012790E">
      <w:pPr>
        <w:pStyle w:val="Bullet"/>
      </w:pPr>
      <w:r w:rsidRPr="001C06E6">
        <w:t>$20.0</w:t>
      </w:r>
      <w:r>
        <w:t> </w:t>
      </w:r>
      <w:r w:rsidRPr="001C06E6">
        <w:t xml:space="preserve">million over two years from </w:t>
      </w:r>
      <w:r>
        <w:t>2024–25</w:t>
      </w:r>
      <w:r w:rsidRPr="001C06E6">
        <w:t xml:space="preserve"> for initial design and consultation work on reforms to help participants and people with disability navigate services</w:t>
      </w:r>
      <w:r>
        <w:t xml:space="preserve"> </w:t>
      </w:r>
    </w:p>
    <w:p w14:paraId="394CFFEB" w14:textId="73AA82DD" w:rsidR="0012790E" w:rsidRDefault="0012790E">
      <w:pPr>
        <w:pStyle w:val="Bullet"/>
      </w:pPr>
      <w:r w:rsidRPr="001C06E6">
        <w:t>$5.3</w:t>
      </w:r>
      <w:r>
        <w:t> </w:t>
      </w:r>
      <w:r w:rsidRPr="001C06E6">
        <w:t xml:space="preserve">million in </w:t>
      </w:r>
      <w:r>
        <w:t>2024–25</w:t>
      </w:r>
      <w:r w:rsidRPr="001C06E6">
        <w:t xml:space="preserve"> for the Independent Health and Aged Care Pricing Authority to work with the Department of Social Services and the NDIA to undertake initial work to</w:t>
      </w:r>
      <w:r w:rsidR="00F30B84">
        <w:t> </w:t>
      </w:r>
      <w:r w:rsidRPr="001C06E6">
        <w:t>reform NDIS pricing arrangements, including reviewing existing pricing approaches and developing a pricing data strategy.</w:t>
      </w:r>
      <w:r>
        <w:t xml:space="preserve"> </w:t>
      </w:r>
    </w:p>
    <w:p w14:paraId="5A02A513" w14:textId="5C5BD9A2" w:rsidR="0012790E" w:rsidRDefault="0012790E">
      <w:pPr>
        <w:pStyle w:val="Normal2"/>
      </w:pPr>
      <w:r w:rsidRPr="54937204">
        <w:rPr>
          <w:lang w:val="en-US"/>
        </w:rPr>
        <w:t>The Government will also establish a NDIS Implementation Advisory Committee and a</w:t>
      </w:r>
      <w:r w:rsidR="00F30B84">
        <w:rPr>
          <w:lang w:val="en-US"/>
        </w:rPr>
        <w:t> </w:t>
      </w:r>
      <w:r w:rsidRPr="54937204">
        <w:rPr>
          <w:lang w:val="en-US"/>
        </w:rPr>
        <w:t xml:space="preserve">NDIS Implementation Working Group, to oversee implementation of reforms recommended by the Independent NDIS Review and agreed by Government. </w:t>
      </w:r>
    </w:p>
    <w:p w14:paraId="3283B2E1" w14:textId="09C83C94" w:rsidR="0012790E" w:rsidRDefault="0012790E">
      <w:pPr>
        <w:pStyle w:val="Normal2"/>
      </w:pPr>
      <w:r w:rsidRPr="54937204">
        <w:rPr>
          <w:lang w:val="en-US"/>
        </w:rPr>
        <w:t>As an initial response to the Independent NDIS Review, on 6 December 2023 National Cabinet agreed to work together to implement legislative and other changes to the NDIS to</w:t>
      </w:r>
      <w:r w:rsidR="00F30B84">
        <w:rPr>
          <w:lang w:val="en-US"/>
        </w:rPr>
        <w:t> </w:t>
      </w:r>
      <w:r w:rsidRPr="54937204">
        <w:rPr>
          <w:lang w:val="en-US"/>
        </w:rPr>
        <w:t xml:space="preserve">improve the experience of participants and restore the original intent of the Scheme to support people with permanent and significant disability, within a broader ecosystem of supports. </w:t>
      </w:r>
    </w:p>
    <w:p w14:paraId="01722793" w14:textId="3257302E" w:rsidR="0012790E" w:rsidRDefault="0012790E">
      <w:pPr>
        <w:pStyle w:val="Normal2"/>
      </w:pPr>
      <w:r w:rsidRPr="54937204">
        <w:rPr>
          <w:lang w:val="en-US"/>
        </w:rPr>
        <w:t>On 27 March 2024 the Government introduced the National Disability Insurance Scheme Amendment (Getting the NDIS Back on Track) Bill 2024 No. 1 (the Bill) to Parliament. Changes in the Bill are aimed at securing the future of the NDIS and progressing key Independent NDIS Review recommendations. The Bill will help the NDIS get back on track by determining NDIS participant plan budgets more consistently based on participant need, supporting participants to spend in accordance with their plans, clarifying the information that participants need to provide to support plan reassessments, and clarifying what types of supports can be funded. The Bill also provides more flexibility on how the</w:t>
      </w:r>
      <w:r w:rsidR="00F30B84">
        <w:rPr>
          <w:lang w:val="en-US"/>
        </w:rPr>
        <w:t> </w:t>
      </w:r>
      <w:r w:rsidRPr="54937204">
        <w:rPr>
          <w:lang w:val="en-US"/>
        </w:rPr>
        <w:t>NDIS Commissioner can take action to protect NDIS participants from abuse, harm and</w:t>
      </w:r>
      <w:r w:rsidR="00F30B84">
        <w:rPr>
          <w:lang w:val="en-US"/>
        </w:rPr>
        <w:t> </w:t>
      </w:r>
      <w:r w:rsidRPr="54937204">
        <w:rPr>
          <w:lang w:val="en-US"/>
        </w:rPr>
        <w:t xml:space="preserve">neglect. </w:t>
      </w:r>
    </w:p>
    <w:p w14:paraId="1364F0F8" w14:textId="32C58BC3" w:rsidR="0012790E" w:rsidRDefault="0012790E">
      <w:pPr>
        <w:pStyle w:val="Normal2"/>
      </w:pPr>
      <w:r w:rsidRPr="54937204">
        <w:rPr>
          <w:lang w:val="en-US"/>
        </w:rPr>
        <w:t>Based on data up to December 2023, the NDIS Actuary projected that without further action, NDIS payments would increase by $14.4 billion over four years from 2024–25. The</w:t>
      </w:r>
      <w:r w:rsidR="00F30B84">
        <w:rPr>
          <w:lang w:val="en-US"/>
        </w:rPr>
        <w:t> </w:t>
      </w:r>
      <w:r w:rsidRPr="54937204">
        <w:rPr>
          <w:lang w:val="en-US"/>
        </w:rPr>
        <w:t xml:space="preserve">NDIS reforms being undertaken by the Government are expected to moderate this additional growth to that projected at the 2023–24 MYEFO, and ensure the NDIS remains on track to achieve the NDIS Sustainability Framework agreed by National Cabinet from 1 July 2026. </w:t>
      </w:r>
    </w:p>
    <w:p w14:paraId="227D2746" w14:textId="77777777" w:rsidR="0012790E" w:rsidRDefault="0012790E">
      <w:pPr>
        <w:pStyle w:val="Normal2"/>
      </w:pPr>
      <w:r w:rsidRPr="54937204">
        <w:rPr>
          <w:lang w:val="en-US"/>
        </w:rPr>
        <w:t xml:space="preserve">The Government has already provided partial funding for this measure. Additional costs will be partially met from within the existing resourcing of the Department of Social Services, the NDIA, and the Independent Health and Aged Care Pricing Authority. </w:t>
      </w:r>
    </w:p>
    <w:p w14:paraId="36586ADB" w14:textId="77777777" w:rsidR="0012790E" w:rsidRDefault="0012790E">
      <w:pPr>
        <w:pStyle w:val="Normal2"/>
      </w:pPr>
      <w:r w:rsidRPr="001C06E6">
        <w:t xml:space="preserve">This measure builds on the </w:t>
      </w:r>
      <w:r>
        <w:t>2022–23</w:t>
      </w:r>
      <w:r w:rsidRPr="001C06E6">
        <w:t xml:space="preserve"> October Budget measure titled </w:t>
      </w:r>
      <w:r w:rsidRPr="001C06E6">
        <w:rPr>
          <w:i/>
        </w:rPr>
        <w:t>Fraud Fusion</w:t>
      </w:r>
      <w:r>
        <w:rPr>
          <w:i/>
        </w:rPr>
        <w:t xml:space="preserve"> </w:t>
      </w:r>
      <w:r w:rsidRPr="001C06E6">
        <w:rPr>
          <w:i/>
        </w:rPr>
        <w:t>Taskforce</w:t>
      </w:r>
      <w:r w:rsidRPr="001C06E6">
        <w:t xml:space="preserve">, the </w:t>
      </w:r>
      <w:r>
        <w:t>2023–24 </w:t>
      </w:r>
      <w:r w:rsidRPr="001C06E6">
        <w:t xml:space="preserve">Budget measure titled </w:t>
      </w:r>
      <w:r w:rsidRPr="001C06E6">
        <w:rPr>
          <w:i/>
        </w:rPr>
        <w:t>Improving the Effectiveness and</w:t>
      </w:r>
      <w:r>
        <w:rPr>
          <w:i/>
        </w:rPr>
        <w:t xml:space="preserve"> </w:t>
      </w:r>
      <w:r w:rsidRPr="001C06E6">
        <w:rPr>
          <w:i/>
        </w:rPr>
        <w:t>Sustainability of the National Disability Insurance Scheme</w:t>
      </w:r>
      <w:r w:rsidRPr="001C06E6">
        <w:t xml:space="preserve">, and the </w:t>
      </w:r>
      <w:r>
        <w:t>2023–24 </w:t>
      </w:r>
      <w:r w:rsidRPr="001C06E6">
        <w:t>MYEFO</w:t>
      </w:r>
      <w:r>
        <w:t xml:space="preserve"> </w:t>
      </w:r>
      <w:r w:rsidRPr="001C06E6">
        <w:t xml:space="preserve">measure titled </w:t>
      </w:r>
      <w:r w:rsidRPr="001C06E6">
        <w:rPr>
          <w:i/>
        </w:rPr>
        <w:t>Support for the National Disability Insurance Scheme</w:t>
      </w:r>
      <w:r w:rsidRPr="001C06E6">
        <w:t>.</w:t>
      </w:r>
      <w:r>
        <w:t xml:space="preserve"> </w:t>
      </w:r>
    </w:p>
    <w:p w14:paraId="79081B26" w14:textId="77777777" w:rsidR="0012790E" w:rsidRPr="001C06E6" w:rsidRDefault="0012790E">
      <w:pPr>
        <w:pStyle w:val="MeasureTitle"/>
        <w:rPr>
          <w:b w:val="0"/>
          <w:szCs w:val="24"/>
        </w:rPr>
      </w:pPr>
      <w:r w:rsidRPr="001C06E6">
        <w:rPr>
          <w:szCs w:val="24"/>
        </w:rPr>
        <w:t>National Redress Scheme – further support</w:t>
      </w:r>
    </w:p>
    <w:p w14:paraId="4706832E"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030EF758" w14:textId="77777777">
        <w:tc>
          <w:tcPr>
            <w:tcW w:w="2497" w:type="dxa"/>
            <w:tcBorders>
              <w:top w:val="single" w:sz="4" w:space="0" w:color="293F5B"/>
              <w:bottom w:val="single" w:sz="4" w:space="0" w:color="293F5B"/>
            </w:tcBorders>
            <w:shd w:val="clear" w:color="auto" w:fill="auto"/>
          </w:tcPr>
          <w:p w14:paraId="5FE357A5"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2FA65046"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A626686"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4C03D508"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A107025"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3AB05EB" w14:textId="77777777" w:rsidR="0012790E" w:rsidRPr="001C06E6" w:rsidRDefault="0012790E">
            <w:pPr>
              <w:pStyle w:val="MeasureTableYearHeadings"/>
              <w:keepNext/>
            </w:pPr>
            <w:r w:rsidRPr="001C06E6">
              <w:t>2027</w:t>
            </w:r>
            <w:r>
              <w:noBreakHyphen/>
            </w:r>
            <w:r w:rsidRPr="001C06E6">
              <w:t>28</w:t>
            </w:r>
          </w:p>
        </w:tc>
      </w:tr>
      <w:tr w:rsidR="0012790E" w:rsidRPr="001C06E6" w14:paraId="16D3BFF5" w14:textId="77777777">
        <w:tc>
          <w:tcPr>
            <w:tcW w:w="2497" w:type="dxa"/>
            <w:tcBorders>
              <w:top w:val="single" w:sz="4" w:space="0" w:color="293F5B"/>
              <w:bottom w:val="single" w:sz="4" w:space="0" w:color="293F5B"/>
            </w:tcBorders>
            <w:shd w:val="clear" w:color="auto" w:fill="auto"/>
          </w:tcPr>
          <w:p w14:paraId="70339EE4" w14:textId="77777777" w:rsidR="0012790E" w:rsidRPr="001C06E6" w:rsidRDefault="0012790E">
            <w:pPr>
              <w:pStyle w:val="MeasureTableHeadingleftalignedwith2ptsspacing"/>
              <w:keepNext/>
            </w:pPr>
            <w:r w:rsidRPr="001C06E6">
              <w:t>Attorney</w:t>
            </w:r>
            <w:r>
              <w:noBreakHyphen/>
            </w:r>
            <w:r w:rsidRPr="001C06E6">
              <w:t>General's Department</w:t>
            </w:r>
          </w:p>
        </w:tc>
        <w:tc>
          <w:tcPr>
            <w:tcW w:w="1045" w:type="dxa"/>
            <w:tcBorders>
              <w:top w:val="single" w:sz="4" w:space="0" w:color="293F5B"/>
              <w:bottom w:val="single" w:sz="4" w:space="0" w:color="293F5B"/>
            </w:tcBorders>
            <w:shd w:val="clear" w:color="auto" w:fill="auto"/>
          </w:tcPr>
          <w:p w14:paraId="07638C5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10AB0CF" w14:textId="77777777" w:rsidR="0012790E" w:rsidRPr="001C06E6" w:rsidRDefault="0012790E">
            <w:pPr>
              <w:pStyle w:val="MeasureTableDataRightAlignedwith2ptsspacing"/>
              <w:keepNext/>
            </w:pPr>
            <w:r w:rsidRPr="001C06E6">
              <w:t>7.2</w:t>
            </w:r>
          </w:p>
        </w:tc>
        <w:tc>
          <w:tcPr>
            <w:tcW w:w="1045" w:type="dxa"/>
            <w:tcBorders>
              <w:top w:val="single" w:sz="4" w:space="0" w:color="293F5B"/>
              <w:bottom w:val="single" w:sz="4" w:space="0" w:color="293F5B"/>
            </w:tcBorders>
            <w:shd w:val="clear" w:color="auto" w:fill="auto"/>
          </w:tcPr>
          <w:p w14:paraId="622D9D36"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AF4FA4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3336C6E" w14:textId="77777777" w:rsidR="0012790E" w:rsidRPr="001C06E6" w:rsidRDefault="0012790E">
            <w:pPr>
              <w:pStyle w:val="MeasureTableDataRightAlignedwith2ptsspacing"/>
              <w:keepNext/>
            </w:pPr>
            <w:r w:rsidRPr="001C06E6">
              <w:t>-</w:t>
            </w:r>
          </w:p>
        </w:tc>
      </w:tr>
      <w:tr w:rsidR="0012790E" w:rsidRPr="001C06E6" w14:paraId="57963F02" w14:textId="77777777">
        <w:tc>
          <w:tcPr>
            <w:tcW w:w="2497" w:type="dxa"/>
            <w:tcBorders>
              <w:top w:val="single" w:sz="4" w:space="0" w:color="293F5B"/>
              <w:bottom w:val="single" w:sz="4" w:space="0" w:color="293F5B"/>
            </w:tcBorders>
            <w:shd w:val="clear" w:color="auto" w:fill="auto"/>
          </w:tcPr>
          <w:p w14:paraId="5477E78E"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16FB0C5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815A366" w14:textId="77777777" w:rsidR="0012790E" w:rsidRPr="001C06E6" w:rsidRDefault="0012790E">
            <w:pPr>
              <w:pStyle w:val="MeasureTableDataRightAlignedwith2ptsspacing"/>
              <w:keepNext/>
            </w:pPr>
            <w:r w:rsidRPr="001C06E6">
              <w:t>3.5</w:t>
            </w:r>
          </w:p>
        </w:tc>
        <w:tc>
          <w:tcPr>
            <w:tcW w:w="1045" w:type="dxa"/>
            <w:tcBorders>
              <w:top w:val="single" w:sz="4" w:space="0" w:color="293F5B"/>
              <w:bottom w:val="single" w:sz="4" w:space="0" w:color="293F5B"/>
            </w:tcBorders>
            <w:shd w:val="clear" w:color="auto" w:fill="auto"/>
          </w:tcPr>
          <w:p w14:paraId="312A5D91" w14:textId="77777777" w:rsidR="0012790E" w:rsidRPr="001C06E6" w:rsidRDefault="0012790E">
            <w:pPr>
              <w:pStyle w:val="MeasureTableDataRightAlignedwith2ptsspacing"/>
              <w:keepNext/>
            </w:pPr>
            <w:r w:rsidRPr="001C06E6">
              <w:t>8.6</w:t>
            </w:r>
          </w:p>
        </w:tc>
        <w:tc>
          <w:tcPr>
            <w:tcW w:w="1045" w:type="dxa"/>
            <w:tcBorders>
              <w:top w:val="single" w:sz="4" w:space="0" w:color="293F5B"/>
              <w:bottom w:val="single" w:sz="4" w:space="0" w:color="293F5B"/>
            </w:tcBorders>
            <w:shd w:val="clear" w:color="auto" w:fill="auto"/>
          </w:tcPr>
          <w:p w14:paraId="41545187" w14:textId="77777777" w:rsidR="0012790E" w:rsidRPr="001C06E6" w:rsidRDefault="0012790E">
            <w:pPr>
              <w:pStyle w:val="MeasureTableDataRightAlignedwith2ptsspacing"/>
              <w:keepNext/>
            </w:pPr>
            <w:r w:rsidRPr="001C06E6">
              <w:t>8.8</w:t>
            </w:r>
          </w:p>
        </w:tc>
        <w:tc>
          <w:tcPr>
            <w:tcW w:w="1045" w:type="dxa"/>
            <w:tcBorders>
              <w:top w:val="single" w:sz="4" w:space="0" w:color="293F5B"/>
              <w:bottom w:val="single" w:sz="4" w:space="0" w:color="293F5B"/>
            </w:tcBorders>
            <w:shd w:val="clear" w:color="auto" w:fill="auto"/>
          </w:tcPr>
          <w:p w14:paraId="5AC87751" w14:textId="77777777" w:rsidR="0012790E" w:rsidRPr="001C06E6" w:rsidRDefault="0012790E">
            <w:pPr>
              <w:pStyle w:val="MeasureTableDataRightAlignedwith2ptsspacing"/>
              <w:keepNext/>
            </w:pPr>
            <w:r w:rsidRPr="001C06E6">
              <w:t>5.2</w:t>
            </w:r>
          </w:p>
        </w:tc>
      </w:tr>
      <w:tr w:rsidR="0012790E" w:rsidRPr="001C06E6" w14:paraId="4E229210" w14:textId="77777777">
        <w:tc>
          <w:tcPr>
            <w:tcW w:w="2497" w:type="dxa"/>
            <w:tcBorders>
              <w:top w:val="single" w:sz="4" w:space="0" w:color="293F5B"/>
              <w:bottom w:val="single" w:sz="4" w:space="0" w:color="293F5B"/>
            </w:tcBorders>
            <w:shd w:val="clear" w:color="auto" w:fill="auto"/>
          </w:tcPr>
          <w:p w14:paraId="39FC0EBD"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15CE286D"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20F1A72E" w14:textId="77777777" w:rsidR="0012790E" w:rsidRPr="001C06E6" w:rsidRDefault="0012790E">
            <w:pPr>
              <w:pStyle w:val="Totaldatarowrightaligned"/>
              <w:keepNext/>
            </w:pPr>
            <w:r w:rsidRPr="001C06E6">
              <w:t>10.7</w:t>
            </w:r>
          </w:p>
        </w:tc>
        <w:tc>
          <w:tcPr>
            <w:tcW w:w="1045" w:type="dxa"/>
            <w:tcBorders>
              <w:top w:val="single" w:sz="4" w:space="0" w:color="293F5B"/>
              <w:bottom w:val="single" w:sz="4" w:space="0" w:color="293F5B"/>
            </w:tcBorders>
            <w:shd w:val="clear" w:color="auto" w:fill="auto"/>
          </w:tcPr>
          <w:p w14:paraId="71A7516C" w14:textId="77777777" w:rsidR="0012790E" w:rsidRPr="001C06E6" w:rsidRDefault="0012790E">
            <w:pPr>
              <w:pStyle w:val="Totaldatarowrightaligned"/>
              <w:keepNext/>
            </w:pPr>
            <w:r w:rsidRPr="001C06E6">
              <w:t>8.6</w:t>
            </w:r>
          </w:p>
        </w:tc>
        <w:tc>
          <w:tcPr>
            <w:tcW w:w="1045" w:type="dxa"/>
            <w:tcBorders>
              <w:top w:val="single" w:sz="4" w:space="0" w:color="293F5B"/>
              <w:bottom w:val="single" w:sz="4" w:space="0" w:color="293F5B"/>
            </w:tcBorders>
            <w:shd w:val="clear" w:color="auto" w:fill="auto"/>
          </w:tcPr>
          <w:p w14:paraId="3AEB818A" w14:textId="77777777" w:rsidR="0012790E" w:rsidRPr="001C06E6" w:rsidRDefault="0012790E">
            <w:pPr>
              <w:pStyle w:val="Totaldatarowrightaligned"/>
              <w:keepNext/>
            </w:pPr>
            <w:r w:rsidRPr="001C06E6">
              <w:t>8.8</w:t>
            </w:r>
          </w:p>
        </w:tc>
        <w:tc>
          <w:tcPr>
            <w:tcW w:w="1045" w:type="dxa"/>
            <w:tcBorders>
              <w:top w:val="single" w:sz="4" w:space="0" w:color="293F5B"/>
              <w:bottom w:val="single" w:sz="4" w:space="0" w:color="293F5B"/>
            </w:tcBorders>
            <w:shd w:val="clear" w:color="auto" w:fill="auto"/>
          </w:tcPr>
          <w:p w14:paraId="77D554C9" w14:textId="77777777" w:rsidR="0012790E" w:rsidRPr="001C06E6" w:rsidRDefault="0012790E">
            <w:pPr>
              <w:pStyle w:val="Totaldatarowrightaligned"/>
              <w:keepNext/>
            </w:pPr>
            <w:r w:rsidRPr="001C06E6">
              <w:t>5.2</w:t>
            </w:r>
          </w:p>
        </w:tc>
      </w:tr>
    </w:tbl>
    <w:p w14:paraId="1F4A5126"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24"/>
          <w:lang w:val="en-AU"/>
        </w:rPr>
      </w:pPr>
    </w:p>
    <w:p w14:paraId="0117D069" w14:textId="5A5843F1" w:rsidR="0012790E" w:rsidRDefault="0012790E">
      <w:pPr>
        <w:pStyle w:val="Normal2"/>
      </w:pPr>
      <w:r w:rsidRPr="3EF73987">
        <w:rPr>
          <w:lang w:val="en-US"/>
        </w:rPr>
        <w:t>The Government will provide $33.3 million over four years from 2024–25 to establish a demand</w:t>
      </w:r>
      <w:r>
        <w:noBreakHyphen/>
      </w:r>
      <w:r w:rsidRPr="3EF73987">
        <w:rPr>
          <w:lang w:val="en-US"/>
        </w:rPr>
        <w:t xml:space="preserve">driven service to support applicants of the </w:t>
      </w:r>
      <w:r w:rsidRPr="3EF73987">
        <w:rPr>
          <w:i/>
          <w:iCs/>
          <w:lang w:val="en-US"/>
        </w:rPr>
        <w:t>National Redress Scheme</w:t>
      </w:r>
      <w:r w:rsidRPr="3EF73987">
        <w:rPr>
          <w:lang w:val="en-US"/>
        </w:rPr>
        <w:t xml:space="preserve"> (the Scheme) who submit incomplete applications to improve the efficiency of the Scheme and to better</w:t>
      </w:r>
      <w:r w:rsidR="00F30B84">
        <w:rPr>
          <w:lang w:val="en-US"/>
        </w:rPr>
        <w:t> </w:t>
      </w:r>
      <w:r w:rsidRPr="3EF73987">
        <w:rPr>
          <w:lang w:val="en-US"/>
        </w:rPr>
        <w:t>support survivors of institutional sex abuse through the application process. Funding</w:t>
      </w:r>
      <w:r w:rsidR="00F30B84">
        <w:rPr>
          <w:lang w:val="en-US"/>
        </w:rPr>
        <w:t> </w:t>
      </w:r>
      <w:r w:rsidRPr="3EF73987">
        <w:rPr>
          <w:lang w:val="en-US"/>
        </w:rPr>
        <w:t>includes:</w:t>
      </w:r>
    </w:p>
    <w:p w14:paraId="09A30911" w14:textId="77777777" w:rsidR="0012790E" w:rsidRDefault="0012790E">
      <w:pPr>
        <w:pStyle w:val="Bullet"/>
      </w:pPr>
      <w:r w:rsidRPr="001C06E6">
        <w:t>$26.1</w:t>
      </w:r>
      <w:r>
        <w:t> </w:t>
      </w:r>
      <w:r w:rsidRPr="001C06E6">
        <w:t xml:space="preserve">million over four years from </w:t>
      </w:r>
      <w:r>
        <w:t>2024–25</w:t>
      </w:r>
      <w:r w:rsidRPr="001C06E6">
        <w:t xml:space="preserve"> for Redress Support Services</w:t>
      </w:r>
      <w:r>
        <w:t xml:space="preserve"> </w:t>
      </w:r>
    </w:p>
    <w:p w14:paraId="4E9F7824" w14:textId="77777777" w:rsidR="0012790E" w:rsidRDefault="0012790E">
      <w:pPr>
        <w:pStyle w:val="Bullet"/>
      </w:pPr>
      <w:r w:rsidRPr="001C06E6">
        <w:t>$7.2</w:t>
      </w:r>
      <w:r>
        <w:t> </w:t>
      </w:r>
      <w:r w:rsidRPr="001C06E6">
        <w:t xml:space="preserve">million in </w:t>
      </w:r>
      <w:r>
        <w:t>2024–25</w:t>
      </w:r>
      <w:r w:rsidRPr="001C06E6">
        <w:t xml:space="preserve"> for knowmore legal service.</w:t>
      </w:r>
      <w:r>
        <w:t xml:space="preserve"> </w:t>
      </w:r>
    </w:p>
    <w:p w14:paraId="56D0CD70" w14:textId="77777777" w:rsidR="0012790E" w:rsidRDefault="0012790E">
      <w:pPr>
        <w:pStyle w:val="Normal2"/>
      </w:pPr>
      <w:r w:rsidRPr="001C06E6">
        <w:t xml:space="preserve">This measure builds on the </w:t>
      </w:r>
      <w:r>
        <w:t>2023–24 </w:t>
      </w:r>
      <w:r w:rsidRPr="001C06E6">
        <w:t xml:space="preserve">Budget measure titled </w:t>
      </w:r>
      <w:r w:rsidRPr="001C06E6">
        <w:rPr>
          <w:i/>
        </w:rPr>
        <w:t>Future National Redress</w:t>
      </w:r>
      <w:r>
        <w:rPr>
          <w:i/>
        </w:rPr>
        <w:t xml:space="preserve"> </w:t>
      </w:r>
      <w:r w:rsidRPr="001C06E6">
        <w:rPr>
          <w:i/>
        </w:rPr>
        <w:t xml:space="preserve">Scheme Funding </w:t>
      </w:r>
      <w:r w:rsidRPr="001C06E6">
        <w:t xml:space="preserve">and </w:t>
      </w:r>
      <w:r>
        <w:t>2022–23</w:t>
      </w:r>
      <w:r w:rsidRPr="001C06E6">
        <w:t xml:space="preserve"> October Budget measure titled </w:t>
      </w:r>
      <w:r w:rsidRPr="001C06E6">
        <w:rPr>
          <w:i/>
        </w:rPr>
        <w:t>National Redress</w:t>
      </w:r>
      <w:r>
        <w:rPr>
          <w:i/>
        </w:rPr>
        <w:t xml:space="preserve"> </w:t>
      </w:r>
      <w:r w:rsidRPr="001C06E6">
        <w:rPr>
          <w:i/>
        </w:rPr>
        <w:t>Scheme</w:t>
      </w:r>
      <w:r w:rsidRPr="001C06E6">
        <w:t>.</w:t>
      </w:r>
      <w:r>
        <w:t xml:space="preserve"> </w:t>
      </w:r>
    </w:p>
    <w:p w14:paraId="23662771" w14:textId="77777777" w:rsidR="0012790E" w:rsidRPr="001C06E6" w:rsidRDefault="0012790E">
      <w:pPr>
        <w:pStyle w:val="MeasureTitle"/>
        <w:rPr>
          <w:b w:val="0"/>
          <w:szCs w:val="24"/>
        </w:rPr>
      </w:pPr>
      <w:r w:rsidRPr="001C06E6">
        <w:rPr>
          <w:szCs w:val="24"/>
        </w:rPr>
        <w:t>Outcomes Fund</w:t>
      </w:r>
    </w:p>
    <w:p w14:paraId="2103E727"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51DB62E" w14:textId="77777777">
        <w:tc>
          <w:tcPr>
            <w:tcW w:w="2497" w:type="dxa"/>
            <w:tcBorders>
              <w:top w:val="single" w:sz="4" w:space="0" w:color="293F5B"/>
              <w:bottom w:val="single" w:sz="4" w:space="0" w:color="293F5B"/>
            </w:tcBorders>
            <w:shd w:val="clear" w:color="auto" w:fill="auto"/>
          </w:tcPr>
          <w:p w14:paraId="2DC7997D"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5D580D7A"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609DC96"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360231D"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6A2FC0FC"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50B7F41" w14:textId="77777777" w:rsidR="0012790E" w:rsidRPr="001C06E6" w:rsidRDefault="0012790E">
            <w:pPr>
              <w:pStyle w:val="MeasureTableYearHeadings"/>
              <w:keepNext/>
            </w:pPr>
            <w:r w:rsidRPr="001C06E6">
              <w:t>2027</w:t>
            </w:r>
            <w:r>
              <w:noBreakHyphen/>
            </w:r>
            <w:r w:rsidRPr="001C06E6">
              <w:t>28</w:t>
            </w:r>
          </w:p>
        </w:tc>
      </w:tr>
      <w:tr w:rsidR="0012790E" w:rsidRPr="001C06E6" w14:paraId="5AFF7E66" w14:textId="77777777">
        <w:tc>
          <w:tcPr>
            <w:tcW w:w="2497" w:type="dxa"/>
            <w:tcBorders>
              <w:top w:val="single" w:sz="4" w:space="0" w:color="293F5B"/>
              <w:bottom w:val="single" w:sz="4" w:space="0" w:color="293F5B"/>
            </w:tcBorders>
            <w:shd w:val="clear" w:color="auto" w:fill="auto"/>
          </w:tcPr>
          <w:p w14:paraId="3FE2ED2F"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7FB2022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B0AA44E" w14:textId="77777777" w:rsidR="0012790E" w:rsidRPr="001C06E6" w:rsidRDefault="0012790E">
            <w:pPr>
              <w:pStyle w:val="MeasureTableDataRightAlignedwith2ptsspacing"/>
              <w:keepNext/>
            </w:pPr>
            <w:r w:rsidRPr="001C06E6">
              <w:t>1.1</w:t>
            </w:r>
          </w:p>
        </w:tc>
        <w:tc>
          <w:tcPr>
            <w:tcW w:w="1045" w:type="dxa"/>
            <w:tcBorders>
              <w:top w:val="single" w:sz="4" w:space="0" w:color="293F5B"/>
              <w:bottom w:val="single" w:sz="4" w:space="0" w:color="293F5B"/>
            </w:tcBorders>
            <w:shd w:val="clear" w:color="auto" w:fill="auto"/>
          </w:tcPr>
          <w:p w14:paraId="124E3F72" w14:textId="77777777" w:rsidR="0012790E" w:rsidRPr="001C06E6" w:rsidRDefault="0012790E">
            <w:pPr>
              <w:pStyle w:val="MeasureTableDataRightAlignedwith2ptsspacing"/>
              <w:keepNext/>
            </w:pPr>
            <w:r w:rsidRPr="001C06E6">
              <w:t>1.8</w:t>
            </w:r>
          </w:p>
        </w:tc>
        <w:tc>
          <w:tcPr>
            <w:tcW w:w="1045" w:type="dxa"/>
            <w:tcBorders>
              <w:top w:val="single" w:sz="4" w:space="0" w:color="293F5B"/>
              <w:bottom w:val="single" w:sz="4" w:space="0" w:color="293F5B"/>
            </w:tcBorders>
            <w:shd w:val="clear" w:color="auto" w:fill="auto"/>
          </w:tcPr>
          <w:p w14:paraId="5EE4BCAC" w14:textId="77777777" w:rsidR="0012790E" w:rsidRPr="001C06E6" w:rsidRDefault="0012790E">
            <w:pPr>
              <w:pStyle w:val="MeasureTableDataRightAlignedwith2ptsspacing"/>
              <w:keepNext/>
            </w:pPr>
            <w:r w:rsidRPr="001C06E6">
              <w:t>1.8</w:t>
            </w:r>
          </w:p>
        </w:tc>
        <w:tc>
          <w:tcPr>
            <w:tcW w:w="1045" w:type="dxa"/>
            <w:tcBorders>
              <w:top w:val="single" w:sz="4" w:space="0" w:color="293F5B"/>
              <w:bottom w:val="single" w:sz="4" w:space="0" w:color="293F5B"/>
            </w:tcBorders>
            <w:shd w:val="clear" w:color="auto" w:fill="auto"/>
          </w:tcPr>
          <w:p w14:paraId="0826FE89" w14:textId="77777777" w:rsidR="0012790E" w:rsidRPr="001C06E6" w:rsidRDefault="0012790E">
            <w:pPr>
              <w:pStyle w:val="MeasureTableDataRightAlignedwith2ptsspacing"/>
              <w:keepNext/>
            </w:pPr>
            <w:r w:rsidRPr="001C06E6">
              <w:t>-</w:t>
            </w:r>
          </w:p>
        </w:tc>
      </w:tr>
    </w:tbl>
    <w:p w14:paraId="16A0E47A"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24"/>
          <w:lang w:val="en-AU"/>
        </w:rPr>
      </w:pPr>
    </w:p>
    <w:p w14:paraId="3569D27F" w14:textId="77777777" w:rsidR="0012790E" w:rsidRDefault="0012790E">
      <w:pPr>
        <w:pStyle w:val="Normal2"/>
      </w:pPr>
      <w:r w:rsidRPr="3EF73987">
        <w:rPr>
          <w:lang w:val="en-US"/>
        </w:rPr>
        <w:t>The Government will provide $4.7 million over three years from 2024–25 (and an additional $0.8 million from 2028–29 to 2033–34) to establish, manage, and evaluate the Outcomes Fund. The fund will focus on outcomes for families and children to prevent cycles of intergenerational and community disadvantage, barriers to employment and inclusive employment models, and housing needs of vulnerable and homeless Australians and moving beyond short</w:t>
      </w:r>
      <w:r>
        <w:noBreakHyphen/>
      </w:r>
      <w:r w:rsidRPr="3EF73987">
        <w:rPr>
          <w:lang w:val="en-US"/>
        </w:rPr>
        <w:t xml:space="preserve">term crisis care. </w:t>
      </w:r>
    </w:p>
    <w:p w14:paraId="37BD1220" w14:textId="48BE64E4" w:rsidR="0012790E" w:rsidRPr="001C06E6" w:rsidRDefault="0012790E">
      <w:pPr>
        <w:pStyle w:val="Normal2"/>
      </w:pPr>
      <w:r w:rsidRPr="001C06E6">
        <w:t xml:space="preserve">This measure builds on the </w:t>
      </w:r>
      <w:r>
        <w:t>2023–24 </w:t>
      </w:r>
      <w:r w:rsidRPr="001C06E6">
        <w:t xml:space="preserve">Budget measure titled </w:t>
      </w:r>
      <w:r w:rsidRPr="001C06E6">
        <w:rPr>
          <w:i/>
        </w:rPr>
        <w:t>Targeting Entrenched</w:t>
      </w:r>
      <w:r>
        <w:rPr>
          <w:i/>
        </w:rPr>
        <w:t xml:space="preserve"> </w:t>
      </w:r>
      <w:r w:rsidRPr="001C06E6">
        <w:rPr>
          <w:i/>
        </w:rPr>
        <w:t>Community</w:t>
      </w:r>
      <w:r w:rsidR="00F30B84">
        <w:rPr>
          <w:i/>
        </w:rPr>
        <w:t> </w:t>
      </w:r>
      <w:r w:rsidRPr="001C06E6">
        <w:rPr>
          <w:i/>
        </w:rPr>
        <w:t>Disadvantage.</w:t>
      </w:r>
      <w:r>
        <w:rPr>
          <w:i/>
        </w:rPr>
        <w:t xml:space="preserve"> </w:t>
      </w:r>
    </w:p>
    <w:p w14:paraId="6B6D341B" w14:textId="77777777" w:rsidR="0012790E" w:rsidRPr="001C06E6" w:rsidRDefault="0012790E" w:rsidP="54937204">
      <w:pPr>
        <w:pStyle w:val="MeasureTitle"/>
        <w:rPr>
          <w:b w:val="0"/>
          <w:lang w:val="en-US"/>
        </w:rPr>
      </w:pPr>
      <w:r w:rsidRPr="54937204">
        <w:rPr>
          <w:lang w:val="en-US"/>
        </w:rPr>
        <w:t>Services Australia – additional resourcing</w:t>
      </w:r>
    </w:p>
    <w:p w14:paraId="5774F1E2"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DA0C4BB" w14:textId="77777777">
        <w:tc>
          <w:tcPr>
            <w:tcW w:w="2497" w:type="dxa"/>
            <w:tcBorders>
              <w:top w:val="single" w:sz="4" w:space="0" w:color="293F5B"/>
              <w:bottom w:val="single" w:sz="4" w:space="0" w:color="293F5B"/>
            </w:tcBorders>
            <w:shd w:val="clear" w:color="auto" w:fill="auto"/>
          </w:tcPr>
          <w:p w14:paraId="3C705187"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3BF48D7F"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2FE518B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2F27E60"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BE6E472"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3D6AC67" w14:textId="77777777" w:rsidR="0012790E" w:rsidRPr="001C06E6" w:rsidRDefault="0012790E">
            <w:pPr>
              <w:pStyle w:val="MeasureTableYearHeadings"/>
              <w:keepNext/>
            </w:pPr>
            <w:r w:rsidRPr="001C06E6">
              <w:t>2027</w:t>
            </w:r>
            <w:r>
              <w:noBreakHyphen/>
            </w:r>
            <w:r w:rsidRPr="001C06E6">
              <w:t>28</w:t>
            </w:r>
          </w:p>
        </w:tc>
      </w:tr>
      <w:tr w:rsidR="0012790E" w:rsidRPr="001C06E6" w14:paraId="62F84243" w14:textId="77777777">
        <w:tc>
          <w:tcPr>
            <w:tcW w:w="2497" w:type="dxa"/>
            <w:tcBorders>
              <w:top w:val="single" w:sz="4" w:space="0" w:color="293F5B"/>
              <w:bottom w:val="single" w:sz="4" w:space="0" w:color="293F5B"/>
            </w:tcBorders>
            <w:shd w:val="clear" w:color="auto" w:fill="auto"/>
          </w:tcPr>
          <w:p w14:paraId="4BA8278E"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0D02428A" w14:textId="77777777" w:rsidR="0012790E" w:rsidRPr="001C06E6" w:rsidRDefault="0012790E">
            <w:pPr>
              <w:pStyle w:val="MeasureTableDataRightAlignedwith2ptsspacing"/>
              <w:keepNext/>
            </w:pPr>
            <w:r w:rsidRPr="001C06E6">
              <w:t>105.0</w:t>
            </w:r>
          </w:p>
        </w:tc>
        <w:tc>
          <w:tcPr>
            <w:tcW w:w="1045" w:type="dxa"/>
            <w:tcBorders>
              <w:top w:val="single" w:sz="4" w:space="0" w:color="293F5B"/>
              <w:bottom w:val="single" w:sz="4" w:space="0" w:color="293F5B"/>
            </w:tcBorders>
            <w:shd w:val="clear" w:color="auto" w:fill="auto"/>
          </w:tcPr>
          <w:p w14:paraId="2ABF5458" w14:textId="77777777" w:rsidR="0012790E" w:rsidRPr="001C06E6" w:rsidRDefault="0012790E">
            <w:pPr>
              <w:pStyle w:val="MeasureTableDataRightAlignedwith2ptsspacing"/>
              <w:keepNext/>
            </w:pPr>
            <w:r w:rsidRPr="001C06E6">
              <w:t>1,199.5</w:t>
            </w:r>
          </w:p>
        </w:tc>
        <w:tc>
          <w:tcPr>
            <w:tcW w:w="1045" w:type="dxa"/>
            <w:tcBorders>
              <w:top w:val="single" w:sz="4" w:space="0" w:color="293F5B"/>
              <w:bottom w:val="single" w:sz="4" w:space="0" w:color="293F5B"/>
            </w:tcBorders>
            <w:shd w:val="clear" w:color="auto" w:fill="auto"/>
          </w:tcPr>
          <w:p w14:paraId="09136DE4" w14:textId="77777777" w:rsidR="0012790E" w:rsidRPr="001C06E6" w:rsidRDefault="0012790E">
            <w:pPr>
              <w:pStyle w:val="MeasureTableDataRightAlignedwith2ptsspacing"/>
              <w:keepNext/>
            </w:pPr>
            <w:r w:rsidRPr="001C06E6">
              <w:t>1,146.4</w:t>
            </w:r>
          </w:p>
        </w:tc>
        <w:tc>
          <w:tcPr>
            <w:tcW w:w="1045" w:type="dxa"/>
            <w:tcBorders>
              <w:top w:val="single" w:sz="4" w:space="0" w:color="293F5B"/>
              <w:bottom w:val="single" w:sz="4" w:space="0" w:color="293F5B"/>
            </w:tcBorders>
            <w:shd w:val="clear" w:color="auto" w:fill="auto"/>
          </w:tcPr>
          <w:p w14:paraId="496B86F7" w14:textId="77777777" w:rsidR="0012790E" w:rsidRPr="001C06E6" w:rsidRDefault="0012790E">
            <w:pPr>
              <w:pStyle w:val="MeasureTableDataRightAlignedwith2ptsspacing"/>
              <w:keepNext/>
            </w:pPr>
            <w:r w:rsidRPr="001C06E6">
              <w:t>152.5</w:t>
            </w:r>
          </w:p>
        </w:tc>
        <w:tc>
          <w:tcPr>
            <w:tcW w:w="1045" w:type="dxa"/>
            <w:tcBorders>
              <w:top w:val="single" w:sz="4" w:space="0" w:color="293F5B"/>
              <w:bottom w:val="single" w:sz="4" w:space="0" w:color="293F5B"/>
            </w:tcBorders>
            <w:shd w:val="clear" w:color="auto" w:fill="auto"/>
          </w:tcPr>
          <w:p w14:paraId="3D2581FB" w14:textId="77777777" w:rsidR="0012790E" w:rsidRPr="001C06E6" w:rsidRDefault="0012790E">
            <w:pPr>
              <w:pStyle w:val="MeasureTableDataRightAlignedwith2ptsspacing"/>
              <w:keepNext/>
            </w:pPr>
            <w:r w:rsidRPr="001C06E6">
              <w:t>153.5</w:t>
            </w:r>
          </w:p>
        </w:tc>
      </w:tr>
      <w:tr w:rsidR="0012790E" w:rsidRPr="001C06E6" w14:paraId="15B9D520" w14:textId="77777777">
        <w:tc>
          <w:tcPr>
            <w:tcW w:w="2497" w:type="dxa"/>
            <w:tcBorders>
              <w:top w:val="single" w:sz="4" w:space="0" w:color="293F5B"/>
              <w:bottom w:val="single" w:sz="4" w:space="0" w:color="293F5B"/>
            </w:tcBorders>
            <w:shd w:val="clear" w:color="auto" w:fill="auto"/>
          </w:tcPr>
          <w:p w14:paraId="6912FA80" w14:textId="77777777" w:rsidR="0012790E" w:rsidRPr="001C06E6" w:rsidRDefault="0012790E">
            <w:pPr>
              <w:pStyle w:val="MeasureTableHeadingleftalignedwith2ptsspacing"/>
              <w:keepNext/>
            </w:pPr>
            <w:r>
              <w:t xml:space="preserve">Department of Employment and Workplace Relations </w:t>
            </w:r>
          </w:p>
        </w:tc>
        <w:tc>
          <w:tcPr>
            <w:tcW w:w="1045" w:type="dxa"/>
            <w:tcBorders>
              <w:top w:val="single" w:sz="4" w:space="0" w:color="293F5B"/>
              <w:bottom w:val="single" w:sz="4" w:space="0" w:color="293F5B"/>
            </w:tcBorders>
            <w:shd w:val="clear" w:color="auto" w:fill="auto"/>
          </w:tcPr>
          <w:p w14:paraId="1820EB8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1F74FA9" w14:textId="77777777" w:rsidR="0012790E" w:rsidRPr="001C06E6" w:rsidRDefault="0012790E">
            <w:pPr>
              <w:pStyle w:val="MeasureTableDataRightAlignedwith2ptsspacing"/>
              <w:keepNext/>
            </w:pPr>
            <w:r>
              <w:t xml:space="preserve">0.4 </w:t>
            </w:r>
          </w:p>
        </w:tc>
        <w:tc>
          <w:tcPr>
            <w:tcW w:w="1045" w:type="dxa"/>
            <w:tcBorders>
              <w:top w:val="single" w:sz="4" w:space="0" w:color="293F5B"/>
              <w:bottom w:val="single" w:sz="4" w:space="0" w:color="293F5B"/>
            </w:tcBorders>
            <w:shd w:val="clear" w:color="auto" w:fill="auto"/>
          </w:tcPr>
          <w:p w14:paraId="47B7EF2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65E35B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740383A" w14:textId="77777777" w:rsidR="0012790E" w:rsidRPr="001C06E6" w:rsidRDefault="0012790E">
            <w:pPr>
              <w:pStyle w:val="MeasureTableDataRightAlignedwith2ptsspacing"/>
              <w:keepNext/>
            </w:pPr>
            <w:r>
              <w:t xml:space="preserve">- </w:t>
            </w:r>
          </w:p>
        </w:tc>
      </w:tr>
      <w:tr w:rsidR="0012790E" w:rsidRPr="001C06E6" w14:paraId="517167AB" w14:textId="77777777">
        <w:tc>
          <w:tcPr>
            <w:tcW w:w="2497" w:type="dxa"/>
            <w:tcBorders>
              <w:top w:val="single" w:sz="4" w:space="0" w:color="293F5B"/>
              <w:bottom w:val="single" w:sz="4" w:space="0" w:color="293F5B"/>
            </w:tcBorders>
            <w:shd w:val="clear" w:color="auto" w:fill="auto"/>
          </w:tcPr>
          <w:p w14:paraId="1531EE1E" w14:textId="77777777" w:rsidR="0012790E" w:rsidRPr="001C06E6" w:rsidRDefault="0012790E">
            <w:pPr>
              <w:pStyle w:val="MeasureTableHeadingleftalignedwith2ptsspacing"/>
              <w:keepNext/>
            </w:pPr>
            <w:r w:rsidRPr="001C06E6">
              <w:t>Attorney</w:t>
            </w:r>
            <w:r>
              <w:noBreakHyphen/>
            </w:r>
            <w:r w:rsidRPr="001C06E6">
              <w:t>General's Department</w:t>
            </w:r>
          </w:p>
        </w:tc>
        <w:tc>
          <w:tcPr>
            <w:tcW w:w="1045" w:type="dxa"/>
            <w:tcBorders>
              <w:top w:val="single" w:sz="4" w:space="0" w:color="293F5B"/>
              <w:bottom w:val="single" w:sz="4" w:space="0" w:color="293F5B"/>
            </w:tcBorders>
            <w:shd w:val="clear" w:color="auto" w:fill="auto"/>
          </w:tcPr>
          <w:p w14:paraId="37889EE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F460CD8" w14:textId="77777777" w:rsidR="0012790E" w:rsidRPr="001C06E6" w:rsidRDefault="0012790E">
            <w:pPr>
              <w:pStyle w:val="MeasureTableDataRightAlignedwith2ptsspacing"/>
              <w:keepNext/>
            </w:pPr>
            <w:r w:rsidRPr="001C06E6">
              <w:t>0.3</w:t>
            </w:r>
          </w:p>
        </w:tc>
        <w:tc>
          <w:tcPr>
            <w:tcW w:w="1045" w:type="dxa"/>
            <w:tcBorders>
              <w:top w:val="single" w:sz="4" w:space="0" w:color="293F5B"/>
              <w:bottom w:val="single" w:sz="4" w:space="0" w:color="293F5B"/>
            </w:tcBorders>
            <w:shd w:val="clear" w:color="auto" w:fill="auto"/>
          </w:tcPr>
          <w:p w14:paraId="0D67820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6F40BE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B7A6494" w14:textId="77777777" w:rsidR="0012790E" w:rsidRPr="001C06E6" w:rsidRDefault="0012790E">
            <w:pPr>
              <w:pStyle w:val="MeasureTableDataRightAlignedwith2ptsspacing"/>
              <w:keepNext/>
            </w:pPr>
            <w:r w:rsidRPr="001C06E6">
              <w:t>-</w:t>
            </w:r>
          </w:p>
        </w:tc>
      </w:tr>
      <w:tr w:rsidR="0012790E" w:rsidRPr="001C06E6" w14:paraId="58DD46BD" w14:textId="77777777">
        <w:tc>
          <w:tcPr>
            <w:tcW w:w="2497" w:type="dxa"/>
            <w:tcBorders>
              <w:top w:val="single" w:sz="4" w:space="0" w:color="293F5B"/>
              <w:bottom w:val="single" w:sz="4" w:space="0" w:color="293F5B"/>
            </w:tcBorders>
            <w:shd w:val="clear" w:color="auto" w:fill="auto"/>
          </w:tcPr>
          <w:p w14:paraId="06A2E62A"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326480F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4B48E46"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2DC2E7A7"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293DAB70"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3DE6C340" w14:textId="77777777" w:rsidR="0012790E" w:rsidRPr="001C06E6" w:rsidRDefault="0012790E">
            <w:pPr>
              <w:pStyle w:val="MeasureTableDataRightAlignedwith2ptsspacing"/>
              <w:keepNext/>
            </w:pPr>
            <w:r w:rsidRPr="001C06E6">
              <w:t>0.1</w:t>
            </w:r>
          </w:p>
        </w:tc>
      </w:tr>
      <w:tr w:rsidR="0012790E" w:rsidRPr="001C06E6" w14:paraId="675A67D2" w14:textId="77777777">
        <w:tc>
          <w:tcPr>
            <w:tcW w:w="2497" w:type="dxa"/>
            <w:tcBorders>
              <w:top w:val="single" w:sz="4" w:space="0" w:color="293F5B"/>
              <w:bottom w:val="single" w:sz="4" w:space="0" w:color="293F5B"/>
            </w:tcBorders>
            <w:shd w:val="clear" w:color="auto" w:fill="auto"/>
          </w:tcPr>
          <w:p w14:paraId="3BEFAE5B"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7500AFE6" w14:textId="77777777" w:rsidR="0012790E" w:rsidRPr="001C06E6" w:rsidRDefault="0012790E">
            <w:pPr>
              <w:pStyle w:val="Totaldatarowrightaligned"/>
              <w:keepNext/>
            </w:pPr>
            <w:r w:rsidRPr="001C06E6">
              <w:t>105.0</w:t>
            </w:r>
          </w:p>
        </w:tc>
        <w:tc>
          <w:tcPr>
            <w:tcW w:w="1045" w:type="dxa"/>
            <w:tcBorders>
              <w:top w:val="single" w:sz="4" w:space="0" w:color="293F5B"/>
              <w:bottom w:val="single" w:sz="4" w:space="0" w:color="293F5B"/>
            </w:tcBorders>
            <w:shd w:val="clear" w:color="auto" w:fill="auto"/>
          </w:tcPr>
          <w:p w14:paraId="3668F867" w14:textId="77777777" w:rsidR="0012790E" w:rsidRPr="001C06E6" w:rsidRDefault="0012790E">
            <w:pPr>
              <w:pStyle w:val="Totaldatarowrightaligned"/>
              <w:keepNext/>
            </w:pPr>
            <w:r w:rsidRPr="001C06E6">
              <w:t>1,200.3</w:t>
            </w:r>
          </w:p>
        </w:tc>
        <w:tc>
          <w:tcPr>
            <w:tcW w:w="1045" w:type="dxa"/>
            <w:tcBorders>
              <w:top w:val="single" w:sz="4" w:space="0" w:color="293F5B"/>
              <w:bottom w:val="single" w:sz="4" w:space="0" w:color="293F5B"/>
            </w:tcBorders>
            <w:shd w:val="clear" w:color="auto" w:fill="auto"/>
          </w:tcPr>
          <w:p w14:paraId="740E45FB" w14:textId="77777777" w:rsidR="0012790E" w:rsidRPr="001C06E6" w:rsidRDefault="0012790E">
            <w:pPr>
              <w:pStyle w:val="Totaldatarowrightaligned"/>
              <w:keepNext/>
            </w:pPr>
            <w:r w:rsidRPr="001C06E6">
              <w:t>1,146.5</w:t>
            </w:r>
          </w:p>
        </w:tc>
        <w:tc>
          <w:tcPr>
            <w:tcW w:w="1045" w:type="dxa"/>
            <w:tcBorders>
              <w:top w:val="single" w:sz="4" w:space="0" w:color="293F5B"/>
              <w:bottom w:val="single" w:sz="4" w:space="0" w:color="293F5B"/>
            </w:tcBorders>
            <w:shd w:val="clear" w:color="auto" w:fill="auto"/>
          </w:tcPr>
          <w:p w14:paraId="629FA1B9" w14:textId="77777777" w:rsidR="0012790E" w:rsidRPr="001C06E6" w:rsidRDefault="0012790E">
            <w:pPr>
              <w:pStyle w:val="Totaldatarowrightaligned"/>
              <w:keepNext/>
            </w:pPr>
            <w:r w:rsidRPr="001C06E6">
              <w:t>152.6</w:t>
            </w:r>
          </w:p>
        </w:tc>
        <w:tc>
          <w:tcPr>
            <w:tcW w:w="1045" w:type="dxa"/>
            <w:tcBorders>
              <w:top w:val="single" w:sz="4" w:space="0" w:color="293F5B"/>
              <w:bottom w:val="single" w:sz="4" w:space="0" w:color="293F5B"/>
            </w:tcBorders>
            <w:shd w:val="clear" w:color="auto" w:fill="auto"/>
          </w:tcPr>
          <w:p w14:paraId="210C13A5" w14:textId="77777777" w:rsidR="0012790E" w:rsidRPr="001C06E6" w:rsidRDefault="0012790E">
            <w:pPr>
              <w:pStyle w:val="Totaldatarowrightaligned"/>
              <w:keepNext/>
            </w:pPr>
            <w:r w:rsidRPr="001C06E6">
              <w:t>153.6</w:t>
            </w:r>
          </w:p>
        </w:tc>
      </w:tr>
    </w:tbl>
    <w:p w14:paraId="124DDD0D"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24"/>
          <w:lang w:val="en-AU"/>
        </w:rPr>
      </w:pPr>
    </w:p>
    <w:p w14:paraId="5025F591" w14:textId="77777777" w:rsidR="0012790E" w:rsidRDefault="0012790E">
      <w:pPr>
        <w:pStyle w:val="Normal2"/>
      </w:pPr>
      <w:r w:rsidRPr="54937204">
        <w:rPr>
          <w:lang w:val="en-US"/>
        </w:rPr>
        <w:t>The Government will provide $2.8 billion over five years from 2023–24 (and $144.7 million per year ongoing) to improve the way Services Australia delivers services to the Australian community. Funding includes:</w:t>
      </w:r>
    </w:p>
    <w:p w14:paraId="5B4A9E35" w14:textId="77777777" w:rsidR="0012790E" w:rsidRDefault="0012790E">
      <w:pPr>
        <w:pStyle w:val="Bullet"/>
      </w:pPr>
      <w:r w:rsidRPr="001C06E6">
        <w:t xml:space="preserve">$1.8 billion over three years from </w:t>
      </w:r>
      <w:r>
        <w:t>2023–24</w:t>
      </w:r>
      <w:r w:rsidRPr="001C06E6">
        <w:t xml:space="preserve"> for additional frontline staff to help stabilise Services Australia claims backlogs and service standards, to continue emergency response capability and improve the cyber security environment</w:t>
      </w:r>
      <w:r>
        <w:t xml:space="preserve"> </w:t>
      </w:r>
    </w:p>
    <w:p w14:paraId="58A42B9F" w14:textId="77777777" w:rsidR="0012790E" w:rsidRDefault="0012790E">
      <w:pPr>
        <w:pStyle w:val="Bullet"/>
      </w:pPr>
      <w:r w:rsidRPr="001C06E6">
        <w:t>$580.3</w:t>
      </w:r>
      <w:r>
        <w:t> </w:t>
      </w:r>
      <w:r w:rsidRPr="001C06E6">
        <w:t xml:space="preserve">million over four years from </w:t>
      </w:r>
      <w:r>
        <w:t>2024–25</w:t>
      </w:r>
      <w:r w:rsidRPr="001C06E6">
        <w:t xml:space="preserve"> (and $139.6</w:t>
      </w:r>
      <w:r>
        <w:t> </w:t>
      </w:r>
      <w:r w:rsidRPr="001C06E6">
        <w:t>million per year</w:t>
      </w:r>
      <w:r>
        <w:t xml:space="preserve"> </w:t>
      </w:r>
      <w:r w:rsidRPr="001C06E6">
        <w:t xml:space="preserve">ongoing) to sustain the myGov platform and ensure the continued development of its capability, including continuing an independent advisory board to provide guidance and advice to Government on potential myGov enhancements until </w:t>
      </w:r>
      <w:r>
        <w:t xml:space="preserve">2027–28 </w:t>
      </w:r>
    </w:p>
    <w:p w14:paraId="2D2A60D5" w14:textId="77777777" w:rsidR="0012790E" w:rsidRDefault="0012790E">
      <w:pPr>
        <w:pStyle w:val="Bullet"/>
      </w:pPr>
      <w:r w:rsidRPr="001C06E6">
        <w:t>$50.0</w:t>
      </w:r>
      <w:r>
        <w:t> </w:t>
      </w:r>
      <w:r w:rsidRPr="001C06E6">
        <w:t xml:space="preserve">million over four years from </w:t>
      </w:r>
      <w:r>
        <w:t>2024–25</w:t>
      </w:r>
      <w:r w:rsidRPr="001C06E6">
        <w:t xml:space="preserve"> (and $5.2</w:t>
      </w:r>
      <w:r>
        <w:t> </w:t>
      </w:r>
      <w:r w:rsidRPr="001C06E6">
        <w:t xml:space="preserve">million per year ongoing) for enhancements to the myGov platform to continue to respond to the findings of the </w:t>
      </w:r>
      <w:r w:rsidRPr="001C06E6">
        <w:rPr>
          <w:i/>
        </w:rPr>
        <w:t>Critical National Infrastructure myGov User Audit</w:t>
      </w:r>
      <w:r w:rsidRPr="001C06E6">
        <w:t xml:space="preserve"> and advice from the independent advisory board, including enhancements to the myGov support tool, strengthening myGov fraud detection capabilities, improving the myGov inbox and other communication tools and supporting users to better secure their myGov accounts</w:t>
      </w:r>
      <w:r>
        <w:t xml:space="preserve"> </w:t>
      </w:r>
    </w:p>
    <w:p w14:paraId="4DD19EB3" w14:textId="7BD22829" w:rsidR="0012790E" w:rsidRDefault="0012790E">
      <w:pPr>
        <w:pStyle w:val="Bullet"/>
      </w:pPr>
      <w:r w:rsidRPr="001C06E6">
        <w:t>$314.1</w:t>
      </w:r>
      <w:r>
        <w:t> </w:t>
      </w:r>
      <w:r w:rsidRPr="001C06E6">
        <w:t xml:space="preserve">million over two years from </w:t>
      </w:r>
      <w:r>
        <w:t>2024–25</w:t>
      </w:r>
      <w:r w:rsidRPr="001C06E6">
        <w:t xml:space="preserve"> to continue to enhance safety and security at</w:t>
      </w:r>
      <w:r w:rsidR="00F30B84">
        <w:t> </w:t>
      </w:r>
      <w:r w:rsidRPr="001C06E6">
        <w:t xml:space="preserve">Services Australia centres and respond to the recommendations of the </w:t>
      </w:r>
      <w:r w:rsidRPr="001C06E6">
        <w:rPr>
          <w:i/>
        </w:rPr>
        <w:t>Security Risk Management Review for Services Australia</w:t>
      </w:r>
      <w:r w:rsidRPr="001C06E6">
        <w:t>, including an increased security presence, enhancements to service centre design, incident management systems and security monitoring, staff training and the progression of legislative changes to support Commonwealth frontline staff.</w:t>
      </w:r>
      <w:r>
        <w:t xml:space="preserve"> </w:t>
      </w:r>
    </w:p>
    <w:p w14:paraId="7DC21243" w14:textId="77777777" w:rsidR="0012790E" w:rsidRDefault="0012790E">
      <w:pPr>
        <w:pStyle w:val="Normal2"/>
      </w:pPr>
      <w:r w:rsidRPr="54937204">
        <w:rPr>
          <w:lang w:val="en-US"/>
        </w:rPr>
        <w:t xml:space="preserve">Future staffing needs for Services Australia will be evaluated alongside ongoing improvements to myGov service delivery. </w:t>
      </w:r>
    </w:p>
    <w:p w14:paraId="1943A15C" w14:textId="627DE967" w:rsidR="0012790E" w:rsidRDefault="0012790E">
      <w:pPr>
        <w:pStyle w:val="Normal2"/>
      </w:pPr>
      <w:r w:rsidRPr="54937204">
        <w:rPr>
          <w:lang w:val="en-US"/>
        </w:rPr>
        <w:t xml:space="preserve">Additionally, funding from the 2021–22 Budget measure titled </w:t>
      </w:r>
      <w:r w:rsidRPr="54937204">
        <w:rPr>
          <w:i/>
          <w:iCs/>
          <w:lang w:val="en-US"/>
        </w:rPr>
        <w:t>GovERP – Common Corporate Australian Public Service System</w:t>
      </w:r>
      <w:r w:rsidRPr="54937204">
        <w:rPr>
          <w:lang w:val="en-US"/>
        </w:rPr>
        <w:t>, will be reprioritised to support the sustainment of the Enterprise Resource Planning Program including ongoing licencing and platform hosting</w:t>
      </w:r>
      <w:r w:rsidR="00F30B84">
        <w:rPr>
          <w:lang w:val="en-US"/>
        </w:rPr>
        <w:t> </w:t>
      </w:r>
      <w:r w:rsidRPr="54937204">
        <w:rPr>
          <w:lang w:val="en-US"/>
        </w:rPr>
        <w:t xml:space="preserve">costs. </w:t>
      </w:r>
    </w:p>
    <w:p w14:paraId="5291F434" w14:textId="302DDC64" w:rsidR="0012790E" w:rsidRPr="001C06E6" w:rsidRDefault="0012790E">
      <w:pPr>
        <w:pStyle w:val="Normal2"/>
      </w:pPr>
      <w:r w:rsidRPr="54937204">
        <w:rPr>
          <w:lang w:val="en-US"/>
        </w:rPr>
        <w:t xml:space="preserve">This measure builds on the 2023–24 Budget measure titled </w:t>
      </w:r>
      <w:r w:rsidRPr="54937204">
        <w:rPr>
          <w:i/>
          <w:iCs/>
          <w:lang w:val="en-US"/>
        </w:rPr>
        <w:t>Sustain myGov</w:t>
      </w:r>
      <w:r w:rsidRPr="54937204">
        <w:rPr>
          <w:lang w:val="en-US"/>
        </w:rPr>
        <w:t xml:space="preserve"> and the </w:t>
      </w:r>
      <w:r w:rsidR="00242D55">
        <w:rPr>
          <w:lang w:val="en-US"/>
        </w:rPr>
        <w:br/>
      </w:r>
      <w:r w:rsidRPr="54937204">
        <w:rPr>
          <w:lang w:val="en-US"/>
        </w:rPr>
        <w:t xml:space="preserve">2023–24 MYEFO measures titled </w:t>
      </w:r>
      <w:r w:rsidRPr="54937204">
        <w:rPr>
          <w:i/>
          <w:iCs/>
          <w:lang w:val="en-US"/>
        </w:rPr>
        <w:t>Services Australia – additional resourcing, Modernising myGov</w:t>
      </w:r>
      <w:r w:rsidR="00242D55">
        <w:rPr>
          <w:i/>
          <w:iCs/>
          <w:lang w:val="en-US"/>
        </w:rPr>
        <w:t> </w:t>
      </w:r>
      <w:r w:rsidRPr="54937204">
        <w:rPr>
          <w:lang w:val="en-US"/>
        </w:rPr>
        <w:t>and</w:t>
      </w:r>
      <w:r w:rsidRPr="54937204">
        <w:rPr>
          <w:i/>
          <w:iCs/>
          <w:lang w:val="en-US"/>
        </w:rPr>
        <w:t xml:space="preserve"> Services Australia’s Improved Safety for Staff and Customers. </w:t>
      </w:r>
    </w:p>
    <w:p w14:paraId="4452480E" w14:textId="77777777" w:rsidR="0012790E" w:rsidRPr="001C06E6" w:rsidRDefault="0012790E" w:rsidP="54937204">
      <w:pPr>
        <w:pStyle w:val="MeasureTitle"/>
        <w:rPr>
          <w:b w:val="0"/>
          <w:lang w:val="en-US"/>
        </w:rPr>
      </w:pPr>
      <w:r w:rsidRPr="54937204">
        <w:rPr>
          <w:lang w:val="en-US"/>
        </w:rPr>
        <w:t>The Leaving Violence Program – financial support for victim</w:t>
      </w:r>
      <w:r>
        <w:rPr>
          <w:szCs w:val="24"/>
        </w:rPr>
        <w:noBreakHyphen/>
      </w:r>
      <w:r w:rsidRPr="54937204">
        <w:rPr>
          <w:lang w:val="en-US"/>
        </w:rPr>
        <w:t>survivors of intimate partner violence</w:t>
      </w:r>
    </w:p>
    <w:p w14:paraId="23A320C5"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5E735D9" w14:textId="77777777">
        <w:tc>
          <w:tcPr>
            <w:tcW w:w="2497" w:type="dxa"/>
            <w:tcBorders>
              <w:top w:val="single" w:sz="4" w:space="0" w:color="293F5B"/>
              <w:bottom w:val="single" w:sz="4" w:space="0" w:color="293F5B"/>
            </w:tcBorders>
            <w:shd w:val="clear" w:color="auto" w:fill="auto"/>
          </w:tcPr>
          <w:p w14:paraId="442CFDAF"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D0CED6E"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43FD5A0B"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697443F7"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C60511E"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0614C571" w14:textId="77777777" w:rsidR="0012790E" w:rsidRPr="001C06E6" w:rsidRDefault="0012790E">
            <w:pPr>
              <w:pStyle w:val="MeasureTableYearHeadings"/>
              <w:keepNext/>
            </w:pPr>
            <w:r w:rsidRPr="001C06E6">
              <w:t>2027</w:t>
            </w:r>
            <w:r>
              <w:noBreakHyphen/>
            </w:r>
            <w:r w:rsidRPr="001C06E6">
              <w:t>28</w:t>
            </w:r>
          </w:p>
        </w:tc>
      </w:tr>
      <w:tr w:rsidR="0012790E" w:rsidRPr="001C06E6" w14:paraId="0B80684E" w14:textId="77777777">
        <w:tc>
          <w:tcPr>
            <w:tcW w:w="2497" w:type="dxa"/>
            <w:tcBorders>
              <w:top w:val="single" w:sz="4" w:space="0" w:color="293F5B"/>
              <w:bottom w:val="single" w:sz="4" w:space="0" w:color="293F5B"/>
            </w:tcBorders>
            <w:shd w:val="clear" w:color="auto" w:fill="auto"/>
          </w:tcPr>
          <w:p w14:paraId="7209AFB4" w14:textId="77777777" w:rsidR="0012790E" w:rsidRPr="001C06E6" w:rsidRDefault="0012790E">
            <w:pPr>
              <w:pStyle w:val="MeasureTableHeadingleftalignedwith2ptsspacing"/>
              <w:keepNext/>
            </w:pPr>
            <w:r w:rsidRPr="001C06E6">
              <w:t>Department of Social Services</w:t>
            </w:r>
          </w:p>
        </w:tc>
        <w:tc>
          <w:tcPr>
            <w:tcW w:w="1045" w:type="dxa"/>
            <w:tcBorders>
              <w:top w:val="single" w:sz="4" w:space="0" w:color="293F5B"/>
              <w:bottom w:val="single" w:sz="4" w:space="0" w:color="293F5B"/>
            </w:tcBorders>
            <w:shd w:val="clear" w:color="auto" w:fill="auto"/>
          </w:tcPr>
          <w:p w14:paraId="78A67F7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6756B86" w14:textId="77777777" w:rsidR="0012790E" w:rsidRPr="001C06E6" w:rsidRDefault="0012790E">
            <w:pPr>
              <w:pStyle w:val="MeasureTableDataRightAlignedwith2ptsspacing"/>
              <w:keepNext/>
            </w:pPr>
            <w:r w:rsidRPr="001C06E6">
              <w:t>198.6</w:t>
            </w:r>
          </w:p>
        </w:tc>
        <w:tc>
          <w:tcPr>
            <w:tcW w:w="1045" w:type="dxa"/>
            <w:tcBorders>
              <w:top w:val="single" w:sz="4" w:space="0" w:color="293F5B"/>
              <w:bottom w:val="single" w:sz="4" w:space="0" w:color="293F5B"/>
            </w:tcBorders>
            <w:shd w:val="clear" w:color="auto" w:fill="auto"/>
          </w:tcPr>
          <w:p w14:paraId="01AAC56E" w14:textId="77777777" w:rsidR="0012790E" w:rsidRPr="001C06E6" w:rsidRDefault="0012790E">
            <w:pPr>
              <w:pStyle w:val="MeasureTableDataRightAlignedwith2ptsspacing"/>
              <w:keepNext/>
            </w:pPr>
            <w:r w:rsidRPr="001C06E6">
              <w:t>185.2</w:t>
            </w:r>
          </w:p>
        </w:tc>
        <w:tc>
          <w:tcPr>
            <w:tcW w:w="1045" w:type="dxa"/>
            <w:tcBorders>
              <w:top w:val="single" w:sz="4" w:space="0" w:color="293F5B"/>
              <w:bottom w:val="single" w:sz="4" w:space="0" w:color="293F5B"/>
            </w:tcBorders>
            <w:shd w:val="clear" w:color="auto" w:fill="auto"/>
          </w:tcPr>
          <w:p w14:paraId="0F64C6F5" w14:textId="77777777" w:rsidR="0012790E" w:rsidRPr="001C06E6" w:rsidRDefault="0012790E">
            <w:pPr>
              <w:pStyle w:val="MeasureTableDataRightAlignedwith2ptsspacing"/>
              <w:keepNext/>
            </w:pPr>
            <w:r w:rsidRPr="001C06E6">
              <w:t>251.4</w:t>
            </w:r>
          </w:p>
        </w:tc>
        <w:tc>
          <w:tcPr>
            <w:tcW w:w="1045" w:type="dxa"/>
            <w:tcBorders>
              <w:top w:val="single" w:sz="4" w:space="0" w:color="293F5B"/>
              <w:bottom w:val="single" w:sz="4" w:space="0" w:color="293F5B"/>
            </w:tcBorders>
            <w:shd w:val="clear" w:color="auto" w:fill="auto"/>
          </w:tcPr>
          <w:p w14:paraId="28316F1D" w14:textId="77777777" w:rsidR="0012790E" w:rsidRPr="001C06E6" w:rsidRDefault="0012790E">
            <w:pPr>
              <w:pStyle w:val="MeasureTableDataRightAlignedwith2ptsspacing"/>
              <w:keepNext/>
            </w:pPr>
            <w:r w:rsidRPr="001C06E6">
              <w:t>257.5</w:t>
            </w:r>
          </w:p>
        </w:tc>
      </w:tr>
      <w:tr w:rsidR="0012790E" w:rsidRPr="001C06E6" w14:paraId="75B1131F" w14:textId="77777777">
        <w:tc>
          <w:tcPr>
            <w:tcW w:w="2497" w:type="dxa"/>
            <w:tcBorders>
              <w:top w:val="single" w:sz="4" w:space="0" w:color="293F5B"/>
              <w:bottom w:val="single" w:sz="4" w:space="0" w:color="293F5B"/>
            </w:tcBorders>
            <w:shd w:val="clear" w:color="auto" w:fill="auto"/>
          </w:tcPr>
          <w:p w14:paraId="582E37B9" w14:textId="77777777" w:rsidR="0012790E" w:rsidRPr="001C06E6" w:rsidRDefault="0012790E">
            <w:pPr>
              <w:pStyle w:val="MeasureTableHeadingleftalignedwith2ptsspacing"/>
              <w:keepNext/>
            </w:pPr>
            <w:r w:rsidRPr="001C06E6">
              <w:t>Department of Home Affairs</w:t>
            </w:r>
          </w:p>
        </w:tc>
        <w:tc>
          <w:tcPr>
            <w:tcW w:w="1045" w:type="dxa"/>
            <w:tcBorders>
              <w:top w:val="single" w:sz="4" w:space="0" w:color="293F5B"/>
              <w:bottom w:val="single" w:sz="4" w:space="0" w:color="293F5B"/>
            </w:tcBorders>
            <w:shd w:val="clear" w:color="auto" w:fill="auto"/>
          </w:tcPr>
          <w:p w14:paraId="001CA7A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65947CD" w14:textId="77777777" w:rsidR="0012790E" w:rsidRPr="001C06E6" w:rsidRDefault="0012790E">
            <w:pPr>
              <w:pStyle w:val="MeasureTableDataRightAlignedwith2ptsspacing"/>
              <w:keepNext/>
            </w:pPr>
            <w:r w:rsidRPr="001C06E6">
              <w:t>1.5</w:t>
            </w:r>
          </w:p>
        </w:tc>
        <w:tc>
          <w:tcPr>
            <w:tcW w:w="1045" w:type="dxa"/>
            <w:tcBorders>
              <w:top w:val="single" w:sz="4" w:space="0" w:color="293F5B"/>
              <w:bottom w:val="single" w:sz="4" w:space="0" w:color="293F5B"/>
            </w:tcBorders>
            <w:shd w:val="clear" w:color="auto" w:fill="auto"/>
          </w:tcPr>
          <w:p w14:paraId="0A2466E8" w14:textId="77777777" w:rsidR="0012790E" w:rsidRPr="001C06E6" w:rsidRDefault="0012790E">
            <w:pPr>
              <w:pStyle w:val="MeasureTableDataRightAlignedwith2ptsspacing"/>
              <w:keepNext/>
            </w:pPr>
            <w:r w:rsidRPr="001C06E6">
              <w:t>1.5</w:t>
            </w:r>
          </w:p>
        </w:tc>
        <w:tc>
          <w:tcPr>
            <w:tcW w:w="1045" w:type="dxa"/>
            <w:tcBorders>
              <w:top w:val="single" w:sz="4" w:space="0" w:color="293F5B"/>
              <w:bottom w:val="single" w:sz="4" w:space="0" w:color="293F5B"/>
            </w:tcBorders>
            <w:shd w:val="clear" w:color="auto" w:fill="auto"/>
          </w:tcPr>
          <w:p w14:paraId="318C9591" w14:textId="77777777" w:rsidR="0012790E" w:rsidRPr="001C06E6" w:rsidRDefault="0012790E">
            <w:pPr>
              <w:pStyle w:val="MeasureTableDataRightAlignedwith2ptsspacing"/>
              <w:keepNext/>
            </w:pPr>
            <w:r w:rsidRPr="001C06E6">
              <w:t>1.5</w:t>
            </w:r>
          </w:p>
        </w:tc>
        <w:tc>
          <w:tcPr>
            <w:tcW w:w="1045" w:type="dxa"/>
            <w:tcBorders>
              <w:top w:val="single" w:sz="4" w:space="0" w:color="293F5B"/>
              <w:bottom w:val="single" w:sz="4" w:space="0" w:color="293F5B"/>
            </w:tcBorders>
            <w:shd w:val="clear" w:color="auto" w:fill="auto"/>
          </w:tcPr>
          <w:p w14:paraId="7952B9DC" w14:textId="77777777" w:rsidR="0012790E" w:rsidRPr="001C06E6" w:rsidRDefault="0012790E">
            <w:pPr>
              <w:pStyle w:val="MeasureTableDataRightAlignedwith2ptsspacing"/>
              <w:keepNext/>
            </w:pPr>
            <w:r w:rsidRPr="001C06E6">
              <w:t>1.6</w:t>
            </w:r>
          </w:p>
        </w:tc>
      </w:tr>
      <w:tr w:rsidR="0012790E" w:rsidRPr="001C06E6" w14:paraId="688C9F9E" w14:textId="77777777">
        <w:tc>
          <w:tcPr>
            <w:tcW w:w="2497" w:type="dxa"/>
            <w:tcBorders>
              <w:top w:val="single" w:sz="4" w:space="0" w:color="293F5B"/>
              <w:bottom w:val="single" w:sz="4" w:space="0" w:color="293F5B"/>
            </w:tcBorders>
            <w:shd w:val="clear" w:color="auto" w:fill="auto"/>
          </w:tcPr>
          <w:p w14:paraId="2537832D"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DB01303"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46D646BC" w14:textId="77777777" w:rsidR="0012790E" w:rsidRPr="001C06E6" w:rsidRDefault="0012790E">
            <w:pPr>
              <w:pStyle w:val="Totaldatarowrightaligned"/>
              <w:keepNext/>
            </w:pPr>
            <w:r w:rsidRPr="001C06E6">
              <w:t>200.1</w:t>
            </w:r>
          </w:p>
        </w:tc>
        <w:tc>
          <w:tcPr>
            <w:tcW w:w="1045" w:type="dxa"/>
            <w:tcBorders>
              <w:top w:val="single" w:sz="4" w:space="0" w:color="293F5B"/>
              <w:bottom w:val="single" w:sz="4" w:space="0" w:color="293F5B"/>
            </w:tcBorders>
            <w:shd w:val="clear" w:color="auto" w:fill="auto"/>
          </w:tcPr>
          <w:p w14:paraId="256482AD" w14:textId="77777777" w:rsidR="0012790E" w:rsidRPr="001C06E6" w:rsidRDefault="0012790E">
            <w:pPr>
              <w:pStyle w:val="Totaldatarowrightaligned"/>
              <w:keepNext/>
            </w:pPr>
            <w:r w:rsidRPr="001C06E6">
              <w:t>186.7</w:t>
            </w:r>
          </w:p>
        </w:tc>
        <w:tc>
          <w:tcPr>
            <w:tcW w:w="1045" w:type="dxa"/>
            <w:tcBorders>
              <w:top w:val="single" w:sz="4" w:space="0" w:color="293F5B"/>
              <w:bottom w:val="single" w:sz="4" w:space="0" w:color="293F5B"/>
            </w:tcBorders>
            <w:shd w:val="clear" w:color="auto" w:fill="auto"/>
          </w:tcPr>
          <w:p w14:paraId="1BF5DB4D" w14:textId="77777777" w:rsidR="0012790E" w:rsidRPr="001C06E6" w:rsidRDefault="0012790E">
            <w:pPr>
              <w:pStyle w:val="Totaldatarowrightaligned"/>
              <w:keepNext/>
            </w:pPr>
            <w:r w:rsidRPr="001C06E6">
              <w:t>252.9</w:t>
            </w:r>
          </w:p>
        </w:tc>
        <w:tc>
          <w:tcPr>
            <w:tcW w:w="1045" w:type="dxa"/>
            <w:tcBorders>
              <w:top w:val="single" w:sz="4" w:space="0" w:color="293F5B"/>
              <w:bottom w:val="single" w:sz="4" w:space="0" w:color="293F5B"/>
            </w:tcBorders>
            <w:shd w:val="clear" w:color="auto" w:fill="auto"/>
          </w:tcPr>
          <w:p w14:paraId="41EAD225" w14:textId="77777777" w:rsidR="0012790E" w:rsidRPr="001C06E6" w:rsidRDefault="0012790E">
            <w:pPr>
              <w:pStyle w:val="Totaldatarowrightaligned"/>
              <w:keepNext/>
            </w:pPr>
            <w:r w:rsidRPr="001C06E6">
              <w:t>259.1</w:t>
            </w:r>
          </w:p>
        </w:tc>
      </w:tr>
    </w:tbl>
    <w:p w14:paraId="75D469DB"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24"/>
          <w:lang w:val="en-AU"/>
        </w:rPr>
      </w:pPr>
    </w:p>
    <w:p w14:paraId="70EDE141" w14:textId="77777777" w:rsidR="0012790E" w:rsidRDefault="0012790E">
      <w:pPr>
        <w:pStyle w:val="Normal2"/>
      </w:pPr>
      <w:r w:rsidRPr="54937204">
        <w:rPr>
          <w:lang w:val="en-US"/>
        </w:rPr>
        <w:t>The Government will provide $925.2 million over five years from 2023–24 (and $263.3 million per year ongoing) to make permanent the Leaving Violence Program that will provide financial support, safety assessments and referrals to support services for victim</w:t>
      </w:r>
      <w:r>
        <w:noBreakHyphen/>
      </w:r>
      <w:r w:rsidRPr="54937204">
        <w:rPr>
          <w:lang w:val="en-US"/>
        </w:rPr>
        <w:t>survivors leaving a violent intimate partner relationship. Funding includes:</w:t>
      </w:r>
    </w:p>
    <w:p w14:paraId="70E76DA0" w14:textId="6E568BDF" w:rsidR="0012790E" w:rsidRDefault="0012790E">
      <w:pPr>
        <w:pStyle w:val="Bullet"/>
      </w:pPr>
      <w:r w:rsidRPr="001C06E6">
        <w:t>$756.4</w:t>
      </w:r>
      <w:r>
        <w:t> </w:t>
      </w:r>
      <w:r w:rsidRPr="001C06E6">
        <w:t xml:space="preserve">million over five years from </w:t>
      </w:r>
      <w:r>
        <w:t>2023–24</w:t>
      </w:r>
      <w:r w:rsidRPr="001C06E6">
        <w:t xml:space="preserve"> (and $258.2</w:t>
      </w:r>
      <w:r>
        <w:t> </w:t>
      </w:r>
      <w:r w:rsidRPr="001C06E6">
        <w:t>million per year ongoing) to establish the Leaving Violence Program (LVP) from 1</w:t>
      </w:r>
      <w:r>
        <w:t> </w:t>
      </w:r>
      <w:r w:rsidRPr="001C06E6">
        <w:t>July</w:t>
      </w:r>
      <w:r>
        <w:t> </w:t>
      </w:r>
      <w:r w:rsidRPr="001C06E6">
        <w:t>2025 to</w:t>
      </w:r>
      <w:r>
        <w:t xml:space="preserve"> </w:t>
      </w:r>
      <w:r w:rsidRPr="001C06E6">
        <w:t>provide financial support of up to $5,000 (indexed annually to Wage Cost Index) and support services including risk assessments, safety planning and short</w:t>
      </w:r>
      <w:r>
        <w:noBreakHyphen/>
      </w:r>
      <w:r w:rsidRPr="001C06E6">
        <w:t>term referral services for up to 12</w:t>
      </w:r>
      <w:r w:rsidR="00242D55">
        <w:t> </w:t>
      </w:r>
      <w:r w:rsidRPr="001C06E6">
        <w:t>weeks</w:t>
      </w:r>
      <w:r>
        <w:t xml:space="preserve"> </w:t>
      </w:r>
    </w:p>
    <w:p w14:paraId="79658C6E" w14:textId="77777777" w:rsidR="0012790E" w:rsidRDefault="0012790E">
      <w:pPr>
        <w:pStyle w:val="Bullet"/>
      </w:pPr>
      <w:r w:rsidRPr="001C06E6">
        <w:t>$152.3</w:t>
      </w:r>
      <w:r>
        <w:t> </w:t>
      </w:r>
      <w:r w:rsidRPr="001C06E6">
        <w:t xml:space="preserve">million over three years from </w:t>
      </w:r>
      <w:r>
        <w:t>2023–24</w:t>
      </w:r>
      <w:r w:rsidRPr="001C06E6">
        <w:t xml:space="preserve"> to extend and expand the Escaping Violence Payment and the Temporary Visa Holders Experiencing Violence Pilot trials to 30</w:t>
      </w:r>
      <w:r>
        <w:t> </w:t>
      </w:r>
      <w:r w:rsidRPr="001C06E6">
        <w:t>June</w:t>
      </w:r>
      <w:r>
        <w:t> </w:t>
      </w:r>
      <w:r w:rsidRPr="001C06E6">
        <w:t>2025, and to continue to provide support services for a further 12 weeks beyond the pilot end date for active cases. The LVP will replace these trials</w:t>
      </w:r>
      <w:r>
        <w:t xml:space="preserve"> </w:t>
      </w:r>
    </w:p>
    <w:p w14:paraId="47C95B29" w14:textId="77777777" w:rsidR="0012790E" w:rsidRDefault="0012790E">
      <w:pPr>
        <w:pStyle w:val="Bullet"/>
      </w:pPr>
      <w:r w:rsidRPr="001C06E6">
        <w:t>$16.5</w:t>
      </w:r>
      <w:r>
        <w:t> </w:t>
      </w:r>
      <w:r w:rsidRPr="001C06E6">
        <w:t xml:space="preserve">million over five years from </w:t>
      </w:r>
      <w:r>
        <w:t>2023–24</w:t>
      </w:r>
      <w:r w:rsidRPr="001C06E6">
        <w:t xml:space="preserve"> (and $5.1</w:t>
      </w:r>
      <w:r>
        <w:t> </w:t>
      </w:r>
      <w:r w:rsidRPr="001C06E6">
        <w:t xml:space="preserve">million in </w:t>
      </w:r>
      <w:r>
        <w:t>2028–29</w:t>
      </w:r>
      <w:r w:rsidRPr="001C06E6">
        <w:t>) to continue to provide legal assistance for temporary visa holders leaving a violent relationship.</w:t>
      </w:r>
      <w:r>
        <w:t xml:space="preserve"> </w:t>
      </w:r>
    </w:p>
    <w:p w14:paraId="12BB0FD6" w14:textId="77777777" w:rsidR="0012790E" w:rsidRDefault="0012790E">
      <w:pPr>
        <w:pStyle w:val="Normal2"/>
      </w:pPr>
      <w:r w:rsidRPr="54937204">
        <w:rPr>
          <w:lang w:val="en-US"/>
        </w:rPr>
        <w:t xml:space="preserve">In addition, $6.1 million over four years from 2024–25 (and $1.6 million per year ongoing) will be provided for continued specialised support for visa holders experiencing domestic and family violence through the Domestic and Family Violence visa support service. </w:t>
      </w:r>
    </w:p>
    <w:p w14:paraId="2D5B3359" w14:textId="77777777" w:rsidR="0012790E" w:rsidRDefault="0012790E">
      <w:pPr>
        <w:pStyle w:val="Normal2"/>
      </w:pPr>
      <w:r w:rsidRPr="54937204">
        <w:rPr>
          <w:lang w:val="en-US"/>
        </w:rPr>
        <w:t xml:space="preserve">The cost of this measure will be partially met from within the existing resourcing of the Department of Social Services. </w:t>
      </w:r>
    </w:p>
    <w:p w14:paraId="1ECDB66D" w14:textId="77777777" w:rsidR="0012790E" w:rsidRPr="001C06E6" w:rsidRDefault="0012790E">
      <w:pPr>
        <w:pStyle w:val="Normal2"/>
      </w:pPr>
      <w:r w:rsidRPr="001C06E6">
        <w:t xml:space="preserve">This measure supports the implementation of the </w:t>
      </w:r>
      <w:r w:rsidRPr="001C06E6">
        <w:rPr>
          <w:i/>
        </w:rPr>
        <w:t>National Plan to End Violence</w:t>
      </w:r>
      <w:r>
        <w:rPr>
          <w:i/>
        </w:rPr>
        <w:t xml:space="preserve"> </w:t>
      </w:r>
      <w:r w:rsidRPr="001C06E6">
        <w:rPr>
          <w:i/>
        </w:rPr>
        <w:t xml:space="preserve">Against Women and Children </w:t>
      </w:r>
      <w:r>
        <w:rPr>
          <w:i/>
        </w:rPr>
        <w:t>2022–23</w:t>
      </w:r>
      <w:r w:rsidRPr="001C06E6">
        <w:rPr>
          <w:i/>
        </w:rPr>
        <w:t>.</w:t>
      </w:r>
      <w:r>
        <w:rPr>
          <w:i/>
        </w:rPr>
        <w:t xml:space="preserve"> </w:t>
      </w:r>
    </w:p>
    <w:p w14:paraId="54DC25F3" w14:textId="26155E42" w:rsidR="0012790E" w:rsidRPr="00A65328" w:rsidRDefault="0012790E">
      <w:pPr>
        <w:pStyle w:val="Normal2"/>
        <w:rPr>
          <w:i/>
        </w:rPr>
      </w:pPr>
      <w:r w:rsidRPr="54937204">
        <w:rPr>
          <w:lang w:val="en-US"/>
        </w:rPr>
        <w:t xml:space="preserve">This measure builds on the 2023–24 MYEFO measure titled </w:t>
      </w:r>
      <w:r w:rsidRPr="54937204">
        <w:rPr>
          <w:i/>
          <w:iCs/>
          <w:lang w:val="en-US"/>
        </w:rPr>
        <w:t>Increasing Support for Victim</w:t>
      </w:r>
      <w:r>
        <w:rPr>
          <w:i/>
        </w:rPr>
        <w:noBreakHyphen/>
      </w:r>
      <w:r w:rsidRPr="54937204">
        <w:rPr>
          <w:i/>
          <w:iCs/>
          <w:lang w:val="en-US"/>
        </w:rPr>
        <w:t>Survivors of Domestic Violence and Modern Slavery</w:t>
      </w:r>
      <w:r w:rsidRPr="54937204">
        <w:rPr>
          <w:lang w:val="en-US"/>
        </w:rPr>
        <w:t xml:space="preserve">, 2023–24 Budget measure titled the </w:t>
      </w:r>
      <w:r w:rsidRPr="54937204">
        <w:rPr>
          <w:i/>
          <w:iCs/>
          <w:lang w:val="en-US"/>
        </w:rPr>
        <w:t>Women’s Safety</w:t>
      </w:r>
      <w:r w:rsidRPr="54937204">
        <w:rPr>
          <w:lang w:val="en-US"/>
        </w:rPr>
        <w:t xml:space="preserve"> and the 2022–23 October Budget measure titled </w:t>
      </w:r>
      <w:r w:rsidRPr="54937204">
        <w:rPr>
          <w:i/>
          <w:iCs/>
          <w:lang w:val="en-US"/>
        </w:rPr>
        <w:t>Women’s Safety</w:t>
      </w:r>
      <w:r w:rsidRPr="54937204">
        <w:rPr>
          <w:lang w:val="en-US"/>
        </w:rPr>
        <w:t xml:space="preserve">. </w:t>
      </w:r>
      <w:r w:rsidR="0068211D">
        <w:rPr>
          <w:lang w:val="en-US"/>
        </w:rPr>
        <w:t xml:space="preserve">See also the </w:t>
      </w:r>
      <w:r w:rsidR="00FD58A6">
        <w:rPr>
          <w:lang w:val="en-US"/>
        </w:rPr>
        <w:t xml:space="preserve">related payment measure titled </w:t>
      </w:r>
      <w:r w:rsidR="00FD58A6">
        <w:rPr>
          <w:i/>
          <w:iCs/>
          <w:lang w:val="en-US"/>
        </w:rPr>
        <w:t>Migration Systems Reforms</w:t>
      </w:r>
      <w:r w:rsidR="004F5FC4">
        <w:rPr>
          <w:i/>
          <w:iCs/>
          <w:lang w:val="en-US"/>
        </w:rPr>
        <w:t>.</w:t>
      </w:r>
    </w:p>
    <w:p w14:paraId="1CA8B784" w14:textId="77777777" w:rsidR="0012790E" w:rsidRDefault="0012790E">
      <w:pPr>
        <w:pStyle w:val="PortfolioName"/>
        <w:rPr>
          <w:szCs w:val="24"/>
        </w:rPr>
        <w:sectPr w:rsidR="0012790E" w:rsidSect="00EA5BFE">
          <w:pgSz w:w="11905" w:h="16837"/>
          <w:pgMar w:top="2835" w:right="2098" w:bottom="2466" w:left="2098" w:header="1814" w:footer="1814" w:gutter="0"/>
          <w:cols w:space="720"/>
          <w:noEndnote/>
          <w:docGrid w:linePitch="272"/>
        </w:sectPr>
      </w:pPr>
    </w:p>
    <w:p w14:paraId="0F950D6F" w14:textId="77777777" w:rsidR="0012790E" w:rsidRPr="001C06E6" w:rsidRDefault="0012790E">
      <w:pPr>
        <w:pStyle w:val="PortfolioName"/>
      </w:pPr>
      <w:r w:rsidRPr="001C06E6">
        <w:rPr>
          <w:szCs w:val="24"/>
        </w:rPr>
        <w:t>Treasury</w:t>
      </w:r>
    </w:p>
    <w:p w14:paraId="643123EE" w14:textId="77777777" w:rsidR="0012790E" w:rsidRPr="001C06E6" w:rsidRDefault="0012790E">
      <w:pPr>
        <w:pStyle w:val="MeasureTitle"/>
      </w:pPr>
      <w:r w:rsidRPr="54937204">
        <w:rPr>
          <w:lang w:val="en-US"/>
        </w:rPr>
        <w:t>ABS – delivering Census and modernising operations</w:t>
      </w:r>
    </w:p>
    <w:p w14:paraId="4C3C3BAD"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3FC456B" w14:textId="77777777">
        <w:tc>
          <w:tcPr>
            <w:tcW w:w="2497" w:type="dxa"/>
            <w:tcBorders>
              <w:top w:val="single" w:sz="4" w:space="0" w:color="293F5B"/>
              <w:bottom w:val="single" w:sz="4" w:space="0" w:color="293F5B"/>
            </w:tcBorders>
            <w:shd w:val="clear" w:color="auto" w:fill="auto"/>
          </w:tcPr>
          <w:p w14:paraId="3DCA2A00"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FBA06CA"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6EA31D1E"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2A0E869"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200B5D2"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204C238B" w14:textId="77777777" w:rsidR="0012790E" w:rsidRPr="001C06E6" w:rsidRDefault="0012790E">
            <w:pPr>
              <w:pStyle w:val="MeasureTableYearHeadings"/>
              <w:keepNext/>
            </w:pPr>
            <w:r w:rsidRPr="001C06E6">
              <w:t>2027</w:t>
            </w:r>
            <w:r>
              <w:noBreakHyphen/>
            </w:r>
            <w:r w:rsidRPr="001C06E6">
              <w:t>28</w:t>
            </w:r>
          </w:p>
        </w:tc>
      </w:tr>
      <w:tr w:rsidR="0012790E" w:rsidRPr="001C06E6" w14:paraId="39D44638" w14:textId="77777777">
        <w:tc>
          <w:tcPr>
            <w:tcW w:w="2497" w:type="dxa"/>
            <w:tcBorders>
              <w:top w:val="single" w:sz="4" w:space="0" w:color="293F5B"/>
              <w:bottom w:val="single" w:sz="4" w:space="0" w:color="293F5B"/>
            </w:tcBorders>
            <w:shd w:val="clear" w:color="auto" w:fill="auto"/>
          </w:tcPr>
          <w:p w14:paraId="1FFFDD02" w14:textId="77777777" w:rsidR="0012790E" w:rsidRPr="001C06E6" w:rsidRDefault="0012790E">
            <w:pPr>
              <w:pStyle w:val="MeasureTableHeadingleftalignedwith2ptsspacing"/>
              <w:keepNext/>
            </w:pPr>
            <w:r w:rsidRPr="001C06E6">
              <w:t>Australian Bureau of Statistics</w:t>
            </w:r>
          </w:p>
        </w:tc>
        <w:tc>
          <w:tcPr>
            <w:tcW w:w="1045" w:type="dxa"/>
            <w:tcBorders>
              <w:top w:val="single" w:sz="4" w:space="0" w:color="293F5B"/>
              <w:bottom w:val="single" w:sz="4" w:space="0" w:color="293F5B"/>
            </w:tcBorders>
            <w:shd w:val="clear" w:color="auto" w:fill="auto"/>
          </w:tcPr>
          <w:p w14:paraId="35CE65FA" w14:textId="77777777" w:rsidR="0012790E" w:rsidRPr="001C06E6" w:rsidRDefault="0012790E">
            <w:pPr>
              <w:pStyle w:val="MeasureTableDataRightAlignedwith2ptsspacing"/>
              <w:keepNext/>
            </w:pPr>
            <w:r w:rsidRPr="001C06E6">
              <w:t>0.7</w:t>
            </w:r>
          </w:p>
        </w:tc>
        <w:tc>
          <w:tcPr>
            <w:tcW w:w="1045" w:type="dxa"/>
            <w:tcBorders>
              <w:top w:val="single" w:sz="4" w:space="0" w:color="293F5B"/>
              <w:bottom w:val="single" w:sz="4" w:space="0" w:color="293F5B"/>
            </w:tcBorders>
            <w:shd w:val="clear" w:color="auto" w:fill="auto"/>
          </w:tcPr>
          <w:p w14:paraId="4A2AEFE7" w14:textId="77777777" w:rsidR="0012790E" w:rsidRPr="001C06E6" w:rsidRDefault="0012790E">
            <w:pPr>
              <w:pStyle w:val="MeasureTableDataRightAlignedwith2ptsspacing"/>
              <w:keepNext/>
            </w:pPr>
            <w:r w:rsidRPr="001C06E6">
              <w:t>63.9</w:t>
            </w:r>
          </w:p>
        </w:tc>
        <w:tc>
          <w:tcPr>
            <w:tcW w:w="1045" w:type="dxa"/>
            <w:tcBorders>
              <w:top w:val="single" w:sz="4" w:space="0" w:color="293F5B"/>
              <w:bottom w:val="single" w:sz="4" w:space="0" w:color="293F5B"/>
            </w:tcBorders>
            <w:shd w:val="clear" w:color="auto" w:fill="auto"/>
          </w:tcPr>
          <w:p w14:paraId="6C4240B7" w14:textId="77777777" w:rsidR="0012790E" w:rsidRPr="001C06E6" w:rsidRDefault="0012790E">
            <w:pPr>
              <w:pStyle w:val="MeasureTableDataRightAlignedwith2ptsspacing"/>
              <w:keepNext/>
            </w:pPr>
            <w:r w:rsidRPr="001C06E6">
              <w:t>54.0</w:t>
            </w:r>
          </w:p>
        </w:tc>
        <w:tc>
          <w:tcPr>
            <w:tcW w:w="1045" w:type="dxa"/>
            <w:tcBorders>
              <w:top w:val="single" w:sz="4" w:space="0" w:color="293F5B"/>
              <w:bottom w:val="single" w:sz="4" w:space="0" w:color="293F5B"/>
            </w:tcBorders>
            <w:shd w:val="clear" w:color="auto" w:fill="auto"/>
          </w:tcPr>
          <w:p w14:paraId="44B9977A" w14:textId="77777777" w:rsidR="0012790E" w:rsidRPr="001C06E6" w:rsidRDefault="0012790E">
            <w:pPr>
              <w:pStyle w:val="MeasureTableDataRightAlignedwith2ptsspacing"/>
              <w:keepNext/>
            </w:pPr>
            <w:r w:rsidRPr="001C06E6">
              <w:t>111.7</w:t>
            </w:r>
          </w:p>
        </w:tc>
        <w:tc>
          <w:tcPr>
            <w:tcW w:w="1045" w:type="dxa"/>
            <w:tcBorders>
              <w:top w:val="single" w:sz="4" w:space="0" w:color="293F5B"/>
              <w:bottom w:val="single" w:sz="4" w:space="0" w:color="293F5B"/>
            </w:tcBorders>
            <w:shd w:val="clear" w:color="auto" w:fill="auto"/>
          </w:tcPr>
          <w:p w14:paraId="1EF50BD9" w14:textId="77777777" w:rsidR="0012790E" w:rsidRPr="001C06E6" w:rsidRDefault="0012790E">
            <w:pPr>
              <w:pStyle w:val="MeasureTableDataRightAlignedwith2ptsspacing"/>
              <w:keepNext/>
            </w:pPr>
            <w:r w:rsidRPr="001C06E6">
              <w:t>10.1</w:t>
            </w:r>
          </w:p>
        </w:tc>
      </w:tr>
      <w:tr w:rsidR="0012790E" w:rsidRPr="001C06E6" w14:paraId="4065D3C9" w14:textId="77777777">
        <w:tc>
          <w:tcPr>
            <w:tcW w:w="2497" w:type="dxa"/>
            <w:tcBorders>
              <w:top w:val="single" w:sz="4" w:space="0" w:color="293F5B"/>
              <w:bottom w:val="single" w:sz="4" w:space="0" w:color="293F5B"/>
            </w:tcBorders>
            <w:shd w:val="clear" w:color="auto" w:fill="auto"/>
          </w:tcPr>
          <w:p w14:paraId="1F96A9A3" w14:textId="77777777" w:rsidR="0012790E" w:rsidRPr="001C06E6" w:rsidRDefault="0012790E">
            <w:pPr>
              <w:pStyle w:val="MeasureTableHeadingleftalignedwith2ptsspacing"/>
              <w:keepNext/>
            </w:pPr>
            <w:r w:rsidRPr="001C06E6">
              <w:t>Services Australia</w:t>
            </w:r>
          </w:p>
        </w:tc>
        <w:tc>
          <w:tcPr>
            <w:tcW w:w="1045" w:type="dxa"/>
            <w:tcBorders>
              <w:top w:val="single" w:sz="4" w:space="0" w:color="293F5B"/>
              <w:bottom w:val="single" w:sz="4" w:space="0" w:color="293F5B"/>
            </w:tcBorders>
            <w:shd w:val="clear" w:color="auto" w:fill="auto"/>
          </w:tcPr>
          <w:p w14:paraId="71F69D2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CF7607F" w14:textId="77777777" w:rsidR="0012790E" w:rsidRPr="001C06E6" w:rsidRDefault="0012790E">
            <w:pPr>
              <w:pStyle w:val="MeasureTableDataRightAlignedwith2ptsspacing"/>
              <w:keepNext/>
            </w:pPr>
            <w:r w:rsidRPr="001C06E6">
              <w:t>6.4</w:t>
            </w:r>
          </w:p>
        </w:tc>
        <w:tc>
          <w:tcPr>
            <w:tcW w:w="1045" w:type="dxa"/>
            <w:tcBorders>
              <w:top w:val="single" w:sz="4" w:space="0" w:color="293F5B"/>
              <w:bottom w:val="single" w:sz="4" w:space="0" w:color="293F5B"/>
            </w:tcBorders>
            <w:shd w:val="clear" w:color="auto" w:fill="auto"/>
          </w:tcPr>
          <w:p w14:paraId="593DA9B3" w14:textId="77777777" w:rsidR="0012790E" w:rsidRPr="001C06E6" w:rsidRDefault="0012790E">
            <w:pPr>
              <w:pStyle w:val="MeasureTableDataRightAlignedwith2ptsspacing"/>
              <w:keepNext/>
            </w:pPr>
            <w:r w:rsidRPr="001C06E6">
              <w:t>1.6</w:t>
            </w:r>
          </w:p>
        </w:tc>
        <w:tc>
          <w:tcPr>
            <w:tcW w:w="1045" w:type="dxa"/>
            <w:tcBorders>
              <w:top w:val="single" w:sz="4" w:space="0" w:color="293F5B"/>
              <w:bottom w:val="single" w:sz="4" w:space="0" w:color="293F5B"/>
            </w:tcBorders>
            <w:shd w:val="clear" w:color="auto" w:fill="auto"/>
          </w:tcPr>
          <w:p w14:paraId="2DA40F65" w14:textId="77777777" w:rsidR="0012790E" w:rsidRPr="001C06E6" w:rsidRDefault="0012790E">
            <w:pPr>
              <w:pStyle w:val="MeasureTableDataRightAlignedwith2ptsspacing"/>
              <w:keepNext/>
            </w:pPr>
            <w:r w:rsidRPr="001C06E6">
              <w:t>1.0</w:t>
            </w:r>
          </w:p>
        </w:tc>
        <w:tc>
          <w:tcPr>
            <w:tcW w:w="1045" w:type="dxa"/>
            <w:tcBorders>
              <w:top w:val="single" w:sz="4" w:space="0" w:color="293F5B"/>
              <w:bottom w:val="single" w:sz="4" w:space="0" w:color="293F5B"/>
            </w:tcBorders>
            <w:shd w:val="clear" w:color="auto" w:fill="auto"/>
          </w:tcPr>
          <w:p w14:paraId="09EF6797" w14:textId="77777777" w:rsidR="0012790E" w:rsidRPr="001C06E6" w:rsidRDefault="0012790E">
            <w:pPr>
              <w:pStyle w:val="MeasureTableDataRightAlignedwith2ptsspacing"/>
              <w:keepNext/>
            </w:pPr>
            <w:r w:rsidRPr="001C06E6">
              <w:t>-</w:t>
            </w:r>
          </w:p>
        </w:tc>
      </w:tr>
      <w:tr w:rsidR="0012790E" w:rsidRPr="001C06E6" w14:paraId="5B8B8262" w14:textId="77777777">
        <w:tc>
          <w:tcPr>
            <w:tcW w:w="2497" w:type="dxa"/>
            <w:tcBorders>
              <w:top w:val="single" w:sz="4" w:space="0" w:color="293F5B"/>
              <w:bottom w:val="single" w:sz="4" w:space="0" w:color="293F5B"/>
            </w:tcBorders>
            <w:shd w:val="clear" w:color="auto" w:fill="auto"/>
          </w:tcPr>
          <w:p w14:paraId="1D7AAE3F"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067B73C4" w14:textId="77777777" w:rsidR="0012790E" w:rsidRPr="001C06E6" w:rsidRDefault="0012790E">
            <w:pPr>
              <w:pStyle w:val="Totaldatarowrightaligned"/>
              <w:keepNext/>
            </w:pPr>
            <w:r w:rsidRPr="001C06E6">
              <w:t>0.7</w:t>
            </w:r>
          </w:p>
        </w:tc>
        <w:tc>
          <w:tcPr>
            <w:tcW w:w="1045" w:type="dxa"/>
            <w:tcBorders>
              <w:top w:val="single" w:sz="4" w:space="0" w:color="293F5B"/>
              <w:bottom w:val="single" w:sz="4" w:space="0" w:color="293F5B"/>
            </w:tcBorders>
            <w:shd w:val="clear" w:color="auto" w:fill="auto"/>
          </w:tcPr>
          <w:p w14:paraId="4914E79E" w14:textId="77777777" w:rsidR="0012790E" w:rsidRPr="001C06E6" w:rsidRDefault="0012790E">
            <w:pPr>
              <w:pStyle w:val="Totaldatarowrightaligned"/>
              <w:keepNext/>
            </w:pPr>
            <w:r w:rsidRPr="001C06E6">
              <w:t>70.3</w:t>
            </w:r>
          </w:p>
        </w:tc>
        <w:tc>
          <w:tcPr>
            <w:tcW w:w="1045" w:type="dxa"/>
            <w:tcBorders>
              <w:top w:val="single" w:sz="4" w:space="0" w:color="293F5B"/>
              <w:bottom w:val="single" w:sz="4" w:space="0" w:color="293F5B"/>
            </w:tcBorders>
            <w:shd w:val="clear" w:color="auto" w:fill="auto"/>
          </w:tcPr>
          <w:p w14:paraId="420661D4" w14:textId="77777777" w:rsidR="0012790E" w:rsidRPr="001C06E6" w:rsidRDefault="0012790E">
            <w:pPr>
              <w:pStyle w:val="Totaldatarowrightaligned"/>
              <w:keepNext/>
            </w:pPr>
            <w:r w:rsidRPr="001C06E6">
              <w:t>55.6</w:t>
            </w:r>
          </w:p>
        </w:tc>
        <w:tc>
          <w:tcPr>
            <w:tcW w:w="1045" w:type="dxa"/>
            <w:tcBorders>
              <w:top w:val="single" w:sz="4" w:space="0" w:color="293F5B"/>
              <w:bottom w:val="single" w:sz="4" w:space="0" w:color="293F5B"/>
            </w:tcBorders>
            <w:shd w:val="clear" w:color="auto" w:fill="auto"/>
          </w:tcPr>
          <w:p w14:paraId="09E3DC28" w14:textId="77777777" w:rsidR="0012790E" w:rsidRPr="001C06E6" w:rsidRDefault="0012790E">
            <w:pPr>
              <w:pStyle w:val="Totaldatarowrightaligned"/>
              <w:keepNext/>
            </w:pPr>
            <w:r w:rsidRPr="001C06E6">
              <w:t>112.7</w:t>
            </w:r>
          </w:p>
        </w:tc>
        <w:tc>
          <w:tcPr>
            <w:tcW w:w="1045" w:type="dxa"/>
            <w:tcBorders>
              <w:top w:val="single" w:sz="4" w:space="0" w:color="293F5B"/>
              <w:bottom w:val="single" w:sz="4" w:space="0" w:color="293F5B"/>
            </w:tcBorders>
            <w:shd w:val="clear" w:color="auto" w:fill="auto"/>
          </w:tcPr>
          <w:p w14:paraId="0581B1B8" w14:textId="77777777" w:rsidR="0012790E" w:rsidRPr="001C06E6" w:rsidRDefault="0012790E">
            <w:pPr>
              <w:pStyle w:val="Totaldatarowrightaligned"/>
              <w:keepNext/>
            </w:pPr>
            <w:r w:rsidRPr="001C06E6">
              <w:t>10.1</w:t>
            </w:r>
          </w:p>
        </w:tc>
      </w:tr>
    </w:tbl>
    <w:p w14:paraId="1215DFB1" w14:textId="77777777" w:rsidR="0012790E" w:rsidRPr="001C06E6" w:rsidRDefault="0012790E">
      <w:pPr>
        <w:keepNext/>
        <w:widowControl w:val="0"/>
        <w:tabs>
          <w:tab w:val="right" w:pos="3536"/>
          <w:tab w:val="right" w:pos="4579"/>
          <w:tab w:val="right" w:pos="5622"/>
          <w:tab w:val="right" w:pos="6664"/>
          <w:tab w:val="right" w:pos="7707"/>
        </w:tabs>
        <w:spacing w:line="226" w:lineRule="exact"/>
        <w:rPr>
          <w:color w:val="000000"/>
          <w:sz w:val="16"/>
          <w:szCs w:val="24"/>
          <w:lang w:val="en-AU"/>
        </w:rPr>
      </w:pPr>
    </w:p>
    <w:p w14:paraId="6C3346F7" w14:textId="77777777" w:rsidR="0012790E" w:rsidRDefault="0012790E">
      <w:pPr>
        <w:pStyle w:val="Normal2"/>
      </w:pPr>
      <w:r w:rsidRPr="54937204">
        <w:rPr>
          <w:lang w:val="en-US"/>
        </w:rPr>
        <w:t>The Government will provide $267.4 million over six years from 2023–24 (and $3.8 million per year ongoing from 2029–30) to the Australian Bureau of Statistics (ABS) to support delivery of the 2026 Census, modernisation of ABS operations, and to further invest in data capabilities. Funding includes:</w:t>
      </w:r>
    </w:p>
    <w:p w14:paraId="06365E61" w14:textId="77777777" w:rsidR="0012790E" w:rsidRDefault="0012790E">
      <w:pPr>
        <w:pStyle w:val="Bullet"/>
      </w:pPr>
      <w:r w:rsidRPr="001C06E6">
        <w:t>$196.8</w:t>
      </w:r>
      <w:r>
        <w:t> </w:t>
      </w:r>
      <w:r w:rsidRPr="001C06E6">
        <w:t xml:space="preserve">million over three years from </w:t>
      </w:r>
      <w:r>
        <w:t>2024–25</w:t>
      </w:r>
      <w:r w:rsidRPr="001C06E6">
        <w:t xml:space="preserve"> to support delivery of the 2026 Census, including ensuring safe collection and storage of Census data, activities to increase engagement and participation and facilitating access to the Census through myGov</w:t>
      </w:r>
      <w:r>
        <w:t xml:space="preserve"> </w:t>
      </w:r>
    </w:p>
    <w:p w14:paraId="6ECF7166" w14:textId="188F5027" w:rsidR="0012790E" w:rsidRDefault="0012790E">
      <w:pPr>
        <w:pStyle w:val="Bullet"/>
        <w:rPr>
          <w:b/>
        </w:rPr>
      </w:pPr>
      <w:r w:rsidRPr="001C06E6">
        <w:t>$57.9</w:t>
      </w:r>
      <w:r>
        <w:t> </w:t>
      </w:r>
      <w:r w:rsidRPr="001C06E6">
        <w:t xml:space="preserve">million over six years from </w:t>
      </w:r>
      <w:r>
        <w:t>2023–24</w:t>
      </w:r>
      <w:r w:rsidRPr="001C06E6">
        <w:t xml:space="preserve"> (and $3.8</w:t>
      </w:r>
      <w:r>
        <w:t> </w:t>
      </w:r>
      <w:r w:rsidRPr="001C06E6">
        <w:t xml:space="preserve">million per year ongoing from </w:t>
      </w:r>
      <w:r w:rsidR="00242D55">
        <w:br/>
      </w:r>
      <w:r>
        <w:t>2029–30</w:t>
      </w:r>
      <w:r w:rsidRPr="001C06E6">
        <w:t xml:space="preserve">) to continue to modernise legacy systems and operations for the Labour Force survey and Business Characteristics dataset, and to deliver an enhanced annual General Social Survey to support </w:t>
      </w:r>
      <w:r w:rsidRPr="001C06E6">
        <w:rPr>
          <w:i/>
        </w:rPr>
        <w:t>Measuring What Matters</w:t>
      </w:r>
      <w:r w:rsidRPr="001C06E6">
        <w:rPr>
          <w:b/>
        </w:rPr>
        <w:t>.</w:t>
      </w:r>
      <w:r>
        <w:rPr>
          <w:b/>
        </w:rPr>
        <w:t xml:space="preserve"> </w:t>
      </w:r>
    </w:p>
    <w:p w14:paraId="273E3ECE" w14:textId="77777777" w:rsidR="0012790E" w:rsidRDefault="0012790E">
      <w:pPr>
        <w:pStyle w:val="Normal2"/>
      </w:pPr>
      <w:r w:rsidRPr="001C06E6">
        <w:t>Partial funding for this measure will be held in the Contingency Reserve.</w:t>
      </w:r>
      <w:r>
        <w:t xml:space="preserve"> </w:t>
      </w:r>
    </w:p>
    <w:p w14:paraId="19FC3C48" w14:textId="77777777" w:rsidR="0012790E" w:rsidRDefault="0012790E">
      <w:pPr>
        <w:pStyle w:val="Normal2"/>
      </w:pPr>
      <w:r w:rsidRPr="001C06E6">
        <w:t xml:space="preserve">This measure builds on the </w:t>
      </w:r>
      <w:r>
        <w:t>2023–24 </w:t>
      </w:r>
      <w:r w:rsidRPr="001C06E6">
        <w:t xml:space="preserve">Budget measure titled </w:t>
      </w:r>
      <w:r w:rsidRPr="001C06E6">
        <w:rPr>
          <w:i/>
        </w:rPr>
        <w:t>Big Data, Timely Insights</w:t>
      </w:r>
      <w:r>
        <w:rPr>
          <w:i/>
        </w:rPr>
        <w:t xml:space="preserve"> </w:t>
      </w:r>
      <w:r w:rsidRPr="001C06E6">
        <w:rPr>
          <w:i/>
        </w:rPr>
        <w:t>Phase 2 – securing Australia’s critical economic data and supporting better informed</w:t>
      </w:r>
      <w:r>
        <w:rPr>
          <w:i/>
        </w:rPr>
        <w:t xml:space="preserve"> </w:t>
      </w:r>
      <w:r w:rsidRPr="001C06E6">
        <w:rPr>
          <w:i/>
        </w:rPr>
        <w:t>macroeconomic policy</w:t>
      </w:r>
      <w:r w:rsidRPr="001C06E6">
        <w:t>.</w:t>
      </w:r>
      <w:r>
        <w:t xml:space="preserve"> </w:t>
      </w:r>
    </w:p>
    <w:p w14:paraId="7CA148A8" w14:textId="77777777" w:rsidR="0012790E" w:rsidRPr="001C06E6" w:rsidRDefault="0012790E">
      <w:pPr>
        <w:pStyle w:val="MeasureTitle"/>
        <w:rPr>
          <w:b w:val="0"/>
          <w:szCs w:val="24"/>
        </w:rPr>
      </w:pPr>
      <w:r w:rsidRPr="001C06E6">
        <w:rPr>
          <w:szCs w:val="24"/>
        </w:rPr>
        <w:t>Competition Reform</w:t>
      </w:r>
    </w:p>
    <w:p w14:paraId="526D3F34"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B49D817" w14:textId="77777777">
        <w:tc>
          <w:tcPr>
            <w:tcW w:w="2497" w:type="dxa"/>
            <w:tcBorders>
              <w:top w:val="single" w:sz="4" w:space="0" w:color="293F5B"/>
              <w:bottom w:val="single" w:sz="4" w:space="0" w:color="293F5B"/>
            </w:tcBorders>
            <w:shd w:val="clear" w:color="auto" w:fill="auto"/>
          </w:tcPr>
          <w:p w14:paraId="441E9691"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48308FF"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1FD140D"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4F70267"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0323EE6E"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47EB09B" w14:textId="77777777" w:rsidR="0012790E" w:rsidRPr="001C06E6" w:rsidRDefault="0012790E">
            <w:pPr>
              <w:pStyle w:val="MeasureTableYearHeadings"/>
              <w:keepNext/>
            </w:pPr>
            <w:r w:rsidRPr="001C06E6">
              <w:t>2027</w:t>
            </w:r>
            <w:r>
              <w:noBreakHyphen/>
            </w:r>
            <w:r w:rsidRPr="001C06E6">
              <w:t>28</w:t>
            </w:r>
          </w:p>
        </w:tc>
      </w:tr>
      <w:tr w:rsidR="0012790E" w:rsidRPr="001C06E6" w14:paraId="092B7F29" w14:textId="77777777">
        <w:tc>
          <w:tcPr>
            <w:tcW w:w="2497" w:type="dxa"/>
            <w:tcBorders>
              <w:top w:val="single" w:sz="4" w:space="0" w:color="293F5B"/>
              <w:bottom w:val="single" w:sz="4" w:space="0" w:color="293F5B"/>
            </w:tcBorders>
            <w:shd w:val="clear" w:color="auto" w:fill="auto"/>
          </w:tcPr>
          <w:p w14:paraId="3AF3DA86"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38131D4C" w14:textId="77777777" w:rsidR="0012790E" w:rsidRPr="001C06E6" w:rsidRDefault="0012790E">
            <w:pPr>
              <w:pStyle w:val="MeasureTableDataRightAlignedwith2ptsspacing"/>
              <w:keepNext/>
            </w:pPr>
            <w:r w:rsidRPr="001C06E6">
              <w:t>0.5</w:t>
            </w:r>
          </w:p>
        </w:tc>
        <w:tc>
          <w:tcPr>
            <w:tcW w:w="1045" w:type="dxa"/>
            <w:tcBorders>
              <w:top w:val="single" w:sz="4" w:space="0" w:color="293F5B"/>
              <w:bottom w:val="single" w:sz="4" w:space="0" w:color="293F5B"/>
            </w:tcBorders>
            <w:shd w:val="clear" w:color="auto" w:fill="auto"/>
          </w:tcPr>
          <w:p w14:paraId="5057C58C" w14:textId="77777777" w:rsidR="0012790E" w:rsidRPr="001C06E6" w:rsidRDefault="0012790E">
            <w:pPr>
              <w:pStyle w:val="MeasureTableDataRightAlignedwith2ptsspacing"/>
              <w:keepNext/>
            </w:pPr>
            <w:r w:rsidRPr="001C06E6">
              <w:t>6.2</w:t>
            </w:r>
          </w:p>
        </w:tc>
        <w:tc>
          <w:tcPr>
            <w:tcW w:w="1045" w:type="dxa"/>
            <w:tcBorders>
              <w:top w:val="single" w:sz="4" w:space="0" w:color="293F5B"/>
              <w:bottom w:val="single" w:sz="4" w:space="0" w:color="293F5B"/>
            </w:tcBorders>
            <w:shd w:val="clear" w:color="auto" w:fill="auto"/>
          </w:tcPr>
          <w:p w14:paraId="52427D00" w14:textId="77777777" w:rsidR="0012790E" w:rsidRPr="001C06E6" w:rsidRDefault="0012790E">
            <w:pPr>
              <w:pStyle w:val="MeasureTableDataRightAlignedwith2ptsspacing"/>
              <w:keepNext/>
            </w:pPr>
            <w:r w:rsidRPr="001C06E6">
              <w:t>1.4</w:t>
            </w:r>
          </w:p>
        </w:tc>
        <w:tc>
          <w:tcPr>
            <w:tcW w:w="1045" w:type="dxa"/>
            <w:tcBorders>
              <w:top w:val="single" w:sz="4" w:space="0" w:color="293F5B"/>
              <w:bottom w:val="single" w:sz="4" w:space="0" w:color="293F5B"/>
            </w:tcBorders>
            <w:shd w:val="clear" w:color="auto" w:fill="auto"/>
          </w:tcPr>
          <w:p w14:paraId="5BC24D7A" w14:textId="77777777" w:rsidR="0012790E" w:rsidRPr="001C06E6" w:rsidRDefault="0012790E">
            <w:pPr>
              <w:pStyle w:val="MeasureTableDataRightAlignedwith2ptsspacing"/>
              <w:keepNext/>
            </w:pPr>
            <w:r w:rsidRPr="001C06E6">
              <w:t>0.2</w:t>
            </w:r>
          </w:p>
        </w:tc>
        <w:tc>
          <w:tcPr>
            <w:tcW w:w="1045" w:type="dxa"/>
            <w:tcBorders>
              <w:top w:val="single" w:sz="4" w:space="0" w:color="293F5B"/>
              <w:bottom w:val="single" w:sz="4" w:space="0" w:color="293F5B"/>
            </w:tcBorders>
            <w:shd w:val="clear" w:color="auto" w:fill="auto"/>
          </w:tcPr>
          <w:p w14:paraId="4823316A" w14:textId="77777777" w:rsidR="0012790E" w:rsidRPr="001C06E6" w:rsidRDefault="0012790E">
            <w:pPr>
              <w:pStyle w:val="MeasureTableDataRightAlignedwith2ptsspacing"/>
              <w:keepNext/>
            </w:pPr>
            <w:r w:rsidRPr="001C06E6">
              <w:t>0.2</w:t>
            </w:r>
          </w:p>
        </w:tc>
      </w:tr>
      <w:tr w:rsidR="0012790E" w:rsidRPr="001C06E6" w14:paraId="17110B2B" w14:textId="77777777">
        <w:tc>
          <w:tcPr>
            <w:tcW w:w="2497" w:type="dxa"/>
            <w:tcBorders>
              <w:top w:val="single" w:sz="4" w:space="0" w:color="293F5B"/>
              <w:bottom w:val="single" w:sz="4" w:space="0" w:color="293F5B"/>
            </w:tcBorders>
            <w:shd w:val="clear" w:color="auto" w:fill="auto"/>
          </w:tcPr>
          <w:p w14:paraId="64B9FE97" w14:textId="77777777" w:rsidR="0012790E" w:rsidRPr="001C06E6" w:rsidRDefault="0012790E">
            <w:pPr>
              <w:pStyle w:val="MeasureTableHeadingleftalignedwith2ptsspacing"/>
              <w:keepNext/>
            </w:pPr>
            <w:r>
              <w:t xml:space="preserve">Australian Competition and Consumer Commission </w:t>
            </w:r>
          </w:p>
        </w:tc>
        <w:tc>
          <w:tcPr>
            <w:tcW w:w="1045" w:type="dxa"/>
            <w:tcBorders>
              <w:top w:val="single" w:sz="4" w:space="0" w:color="293F5B"/>
              <w:bottom w:val="single" w:sz="4" w:space="0" w:color="293F5B"/>
            </w:tcBorders>
            <w:shd w:val="clear" w:color="auto" w:fill="auto"/>
          </w:tcPr>
          <w:p w14:paraId="4E68D79F"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724D6C4" w14:textId="77777777" w:rsidR="0012790E" w:rsidRPr="001C06E6" w:rsidRDefault="0012790E">
            <w:pPr>
              <w:pStyle w:val="MeasureTableDataRightAlignedwith2ptsspacing"/>
              <w:keepNext/>
            </w:pPr>
            <w:r>
              <w:t xml:space="preserve">3.3 </w:t>
            </w:r>
          </w:p>
        </w:tc>
        <w:tc>
          <w:tcPr>
            <w:tcW w:w="1045" w:type="dxa"/>
            <w:tcBorders>
              <w:top w:val="single" w:sz="4" w:space="0" w:color="293F5B"/>
              <w:bottom w:val="single" w:sz="4" w:space="0" w:color="293F5B"/>
            </w:tcBorders>
            <w:shd w:val="clear" w:color="auto" w:fill="auto"/>
          </w:tcPr>
          <w:p w14:paraId="4B4FD52D" w14:textId="4F5F0701" w:rsidR="0012790E" w:rsidRPr="001C06E6" w:rsidRDefault="009F65C5">
            <w:pPr>
              <w:pStyle w:val="MeasureTableDataRightAlignedwith2ptsspacing"/>
              <w:keepNext/>
            </w:pPr>
            <w:r>
              <w:t>15.5</w:t>
            </w:r>
          </w:p>
        </w:tc>
        <w:tc>
          <w:tcPr>
            <w:tcW w:w="1045" w:type="dxa"/>
            <w:tcBorders>
              <w:top w:val="single" w:sz="4" w:space="0" w:color="293F5B"/>
              <w:bottom w:val="single" w:sz="4" w:space="0" w:color="293F5B"/>
            </w:tcBorders>
            <w:shd w:val="clear" w:color="auto" w:fill="auto"/>
          </w:tcPr>
          <w:p w14:paraId="50B1ED1F" w14:textId="0B9C88CF" w:rsidR="0012790E" w:rsidRPr="001C06E6" w:rsidRDefault="009F65C5">
            <w:pPr>
              <w:pStyle w:val="MeasureTableDataRightAlignedwith2ptsspacing"/>
              <w:keepNext/>
            </w:pPr>
            <w:r>
              <w:t>20.4</w:t>
            </w:r>
          </w:p>
        </w:tc>
        <w:tc>
          <w:tcPr>
            <w:tcW w:w="1045" w:type="dxa"/>
            <w:tcBorders>
              <w:top w:val="single" w:sz="4" w:space="0" w:color="293F5B"/>
              <w:bottom w:val="single" w:sz="4" w:space="0" w:color="293F5B"/>
            </w:tcBorders>
            <w:shd w:val="clear" w:color="auto" w:fill="auto"/>
          </w:tcPr>
          <w:p w14:paraId="54E2ACEE" w14:textId="0F391FB4" w:rsidR="0012790E" w:rsidRPr="001C06E6" w:rsidRDefault="009F65C5">
            <w:pPr>
              <w:pStyle w:val="MeasureTableDataRightAlignedwith2ptsspacing"/>
              <w:keepNext/>
            </w:pPr>
            <w:r>
              <w:t>21.1</w:t>
            </w:r>
          </w:p>
        </w:tc>
      </w:tr>
      <w:tr w:rsidR="0012790E" w:rsidRPr="001C06E6" w14:paraId="7CD0C884" w14:textId="77777777">
        <w:tc>
          <w:tcPr>
            <w:tcW w:w="2497" w:type="dxa"/>
            <w:tcBorders>
              <w:top w:val="single" w:sz="4" w:space="0" w:color="293F5B"/>
              <w:bottom w:val="single" w:sz="4" w:space="0" w:color="293F5B"/>
            </w:tcBorders>
            <w:shd w:val="clear" w:color="auto" w:fill="auto"/>
          </w:tcPr>
          <w:p w14:paraId="03E628E5" w14:textId="77777777" w:rsidR="0012790E" w:rsidRPr="001C06E6" w:rsidRDefault="0012790E">
            <w:pPr>
              <w:pStyle w:val="MeasureTableHeadingleftalignedwith2ptsspacing"/>
              <w:keepNext/>
            </w:pPr>
            <w:r w:rsidRPr="001C06E6">
              <w:t>Australian Bureau of Statistics</w:t>
            </w:r>
          </w:p>
        </w:tc>
        <w:tc>
          <w:tcPr>
            <w:tcW w:w="1045" w:type="dxa"/>
            <w:tcBorders>
              <w:top w:val="single" w:sz="4" w:space="0" w:color="293F5B"/>
              <w:bottom w:val="single" w:sz="4" w:space="0" w:color="293F5B"/>
            </w:tcBorders>
            <w:shd w:val="clear" w:color="auto" w:fill="auto"/>
          </w:tcPr>
          <w:p w14:paraId="2FBB9C7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B6ED281" w14:textId="77777777" w:rsidR="0012790E" w:rsidRPr="001C06E6" w:rsidRDefault="0012790E">
            <w:pPr>
              <w:pStyle w:val="MeasureTableDataRightAlignedwith2ptsspacing"/>
              <w:keepNext/>
            </w:pPr>
            <w:r w:rsidRPr="001C06E6">
              <w:t>0.6</w:t>
            </w:r>
          </w:p>
        </w:tc>
        <w:tc>
          <w:tcPr>
            <w:tcW w:w="1045" w:type="dxa"/>
            <w:tcBorders>
              <w:top w:val="single" w:sz="4" w:space="0" w:color="293F5B"/>
              <w:bottom w:val="single" w:sz="4" w:space="0" w:color="293F5B"/>
            </w:tcBorders>
            <w:shd w:val="clear" w:color="auto" w:fill="auto"/>
          </w:tcPr>
          <w:p w14:paraId="758E8510" w14:textId="77777777" w:rsidR="0012790E" w:rsidRPr="001C06E6" w:rsidRDefault="0012790E">
            <w:pPr>
              <w:pStyle w:val="MeasureTableDataRightAlignedwith2ptsspacing"/>
              <w:keepNext/>
            </w:pPr>
            <w:r w:rsidRPr="001C06E6">
              <w:t>0.2</w:t>
            </w:r>
          </w:p>
        </w:tc>
        <w:tc>
          <w:tcPr>
            <w:tcW w:w="1045" w:type="dxa"/>
            <w:tcBorders>
              <w:top w:val="single" w:sz="4" w:space="0" w:color="293F5B"/>
              <w:bottom w:val="single" w:sz="4" w:space="0" w:color="293F5B"/>
            </w:tcBorders>
            <w:shd w:val="clear" w:color="auto" w:fill="auto"/>
          </w:tcPr>
          <w:p w14:paraId="7793ADB8" w14:textId="77777777" w:rsidR="0012790E" w:rsidRPr="001C06E6" w:rsidRDefault="0012790E">
            <w:pPr>
              <w:pStyle w:val="MeasureTableDataRightAlignedwith2ptsspacing"/>
              <w:keepNext/>
            </w:pPr>
            <w:r w:rsidRPr="001C06E6">
              <w:t>0.3</w:t>
            </w:r>
          </w:p>
        </w:tc>
        <w:tc>
          <w:tcPr>
            <w:tcW w:w="1045" w:type="dxa"/>
            <w:tcBorders>
              <w:top w:val="single" w:sz="4" w:space="0" w:color="293F5B"/>
              <w:bottom w:val="single" w:sz="4" w:space="0" w:color="293F5B"/>
            </w:tcBorders>
            <w:shd w:val="clear" w:color="auto" w:fill="auto"/>
          </w:tcPr>
          <w:p w14:paraId="777C763C" w14:textId="77777777" w:rsidR="0012790E" w:rsidRPr="001C06E6" w:rsidRDefault="0012790E">
            <w:pPr>
              <w:pStyle w:val="MeasureTableDataRightAlignedwith2ptsspacing"/>
              <w:keepNext/>
            </w:pPr>
            <w:r w:rsidRPr="001C06E6">
              <w:t>0.2</w:t>
            </w:r>
          </w:p>
        </w:tc>
      </w:tr>
      <w:tr w:rsidR="0012790E" w:rsidRPr="001C06E6" w14:paraId="410010AD" w14:textId="77777777">
        <w:tc>
          <w:tcPr>
            <w:tcW w:w="2497" w:type="dxa"/>
            <w:tcBorders>
              <w:top w:val="single" w:sz="4" w:space="0" w:color="293F5B"/>
              <w:bottom w:val="single" w:sz="4" w:space="0" w:color="293F5B"/>
            </w:tcBorders>
            <w:shd w:val="clear" w:color="auto" w:fill="auto"/>
          </w:tcPr>
          <w:p w14:paraId="73366CF8"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09FF67F3" w14:textId="77777777" w:rsidR="0012790E" w:rsidRPr="001C06E6" w:rsidRDefault="0012790E">
            <w:pPr>
              <w:pStyle w:val="Totaldatarowrightaligned"/>
              <w:keepNext/>
            </w:pPr>
            <w:r w:rsidRPr="001C06E6">
              <w:t>0.5</w:t>
            </w:r>
          </w:p>
        </w:tc>
        <w:tc>
          <w:tcPr>
            <w:tcW w:w="1045" w:type="dxa"/>
            <w:tcBorders>
              <w:top w:val="single" w:sz="4" w:space="0" w:color="293F5B"/>
              <w:bottom w:val="single" w:sz="4" w:space="0" w:color="293F5B"/>
            </w:tcBorders>
            <w:shd w:val="clear" w:color="auto" w:fill="auto"/>
          </w:tcPr>
          <w:p w14:paraId="26438083" w14:textId="77777777" w:rsidR="0012790E" w:rsidRPr="001C06E6" w:rsidRDefault="0012790E">
            <w:pPr>
              <w:pStyle w:val="Totaldatarowrightaligned"/>
              <w:keepNext/>
            </w:pPr>
            <w:r w:rsidRPr="001C06E6">
              <w:t>10.1</w:t>
            </w:r>
          </w:p>
        </w:tc>
        <w:tc>
          <w:tcPr>
            <w:tcW w:w="1045" w:type="dxa"/>
            <w:tcBorders>
              <w:top w:val="single" w:sz="4" w:space="0" w:color="293F5B"/>
              <w:bottom w:val="single" w:sz="4" w:space="0" w:color="293F5B"/>
            </w:tcBorders>
            <w:shd w:val="clear" w:color="auto" w:fill="auto"/>
          </w:tcPr>
          <w:p w14:paraId="06A5F404" w14:textId="77777777" w:rsidR="0012790E" w:rsidRPr="001C06E6" w:rsidRDefault="0012790E">
            <w:pPr>
              <w:pStyle w:val="Totaldatarowrightaligned"/>
              <w:keepNext/>
            </w:pPr>
            <w:r w:rsidRPr="001C06E6">
              <w:t>17.2</w:t>
            </w:r>
          </w:p>
        </w:tc>
        <w:tc>
          <w:tcPr>
            <w:tcW w:w="1045" w:type="dxa"/>
            <w:tcBorders>
              <w:top w:val="single" w:sz="4" w:space="0" w:color="293F5B"/>
              <w:bottom w:val="single" w:sz="4" w:space="0" w:color="293F5B"/>
            </w:tcBorders>
            <w:shd w:val="clear" w:color="auto" w:fill="auto"/>
          </w:tcPr>
          <w:p w14:paraId="278EE970" w14:textId="77777777" w:rsidR="0012790E" w:rsidRPr="001C06E6" w:rsidRDefault="0012790E">
            <w:pPr>
              <w:pStyle w:val="Totaldatarowrightaligned"/>
              <w:keepNext/>
            </w:pPr>
            <w:r w:rsidRPr="001C06E6">
              <w:t>20.9</w:t>
            </w:r>
          </w:p>
        </w:tc>
        <w:tc>
          <w:tcPr>
            <w:tcW w:w="1045" w:type="dxa"/>
            <w:tcBorders>
              <w:top w:val="single" w:sz="4" w:space="0" w:color="293F5B"/>
              <w:bottom w:val="single" w:sz="4" w:space="0" w:color="293F5B"/>
            </w:tcBorders>
            <w:shd w:val="clear" w:color="auto" w:fill="auto"/>
          </w:tcPr>
          <w:p w14:paraId="309E3911" w14:textId="77777777" w:rsidR="0012790E" w:rsidRPr="001C06E6" w:rsidRDefault="0012790E">
            <w:pPr>
              <w:pStyle w:val="Totaldatarowrightaligned"/>
              <w:keepNext/>
            </w:pPr>
            <w:r w:rsidRPr="001C06E6">
              <w:t>21.5</w:t>
            </w:r>
          </w:p>
        </w:tc>
      </w:tr>
      <w:tr w:rsidR="0012790E" w:rsidRPr="001C06E6" w14:paraId="66D5696B" w14:textId="77777777">
        <w:tc>
          <w:tcPr>
            <w:tcW w:w="2497" w:type="dxa"/>
            <w:tcBorders>
              <w:top w:val="single" w:sz="4" w:space="0" w:color="293F5B"/>
            </w:tcBorders>
            <w:shd w:val="clear" w:color="auto" w:fill="auto"/>
          </w:tcPr>
          <w:p w14:paraId="3A8C8BF9"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3CE2A21A" w14:textId="77777777" w:rsidR="0012790E" w:rsidRPr="001C06E6" w:rsidRDefault="0012790E">
            <w:pPr>
              <w:pStyle w:val="AgencyName"/>
              <w:keepNext/>
            </w:pPr>
          </w:p>
        </w:tc>
        <w:tc>
          <w:tcPr>
            <w:tcW w:w="1045" w:type="dxa"/>
            <w:tcBorders>
              <w:top w:val="single" w:sz="4" w:space="0" w:color="293F5B"/>
            </w:tcBorders>
            <w:shd w:val="clear" w:color="auto" w:fill="auto"/>
          </w:tcPr>
          <w:p w14:paraId="5D71A6B2" w14:textId="77777777" w:rsidR="0012790E" w:rsidRPr="001C06E6" w:rsidRDefault="0012790E">
            <w:pPr>
              <w:pStyle w:val="AgencyName"/>
              <w:keepNext/>
            </w:pPr>
          </w:p>
        </w:tc>
        <w:tc>
          <w:tcPr>
            <w:tcW w:w="1045" w:type="dxa"/>
            <w:tcBorders>
              <w:top w:val="single" w:sz="4" w:space="0" w:color="293F5B"/>
            </w:tcBorders>
            <w:shd w:val="clear" w:color="auto" w:fill="auto"/>
          </w:tcPr>
          <w:p w14:paraId="6C14E00A" w14:textId="77777777" w:rsidR="0012790E" w:rsidRPr="001C06E6" w:rsidRDefault="0012790E">
            <w:pPr>
              <w:pStyle w:val="AgencyName"/>
              <w:keepNext/>
            </w:pPr>
          </w:p>
        </w:tc>
        <w:tc>
          <w:tcPr>
            <w:tcW w:w="1045" w:type="dxa"/>
            <w:tcBorders>
              <w:top w:val="single" w:sz="4" w:space="0" w:color="293F5B"/>
            </w:tcBorders>
            <w:shd w:val="clear" w:color="auto" w:fill="auto"/>
          </w:tcPr>
          <w:p w14:paraId="77E3D69E" w14:textId="77777777" w:rsidR="0012790E" w:rsidRPr="001C06E6" w:rsidRDefault="0012790E">
            <w:pPr>
              <w:pStyle w:val="AgencyName"/>
              <w:keepNext/>
            </w:pPr>
          </w:p>
        </w:tc>
        <w:tc>
          <w:tcPr>
            <w:tcW w:w="1045" w:type="dxa"/>
            <w:tcBorders>
              <w:top w:val="single" w:sz="4" w:space="0" w:color="293F5B"/>
            </w:tcBorders>
            <w:shd w:val="clear" w:color="auto" w:fill="auto"/>
          </w:tcPr>
          <w:p w14:paraId="7AAD5651" w14:textId="77777777" w:rsidR="0012790E" w:rsidRPr="001C06E6" w:rsidRDefault="0012790E">
            <w:pPr>
              <w:pStyle w:val="AgencyName"/>
              <w:keepNext/>
            </w:pPr>
          </w:p>
        </w:tc>
      </w:tr>
      <w:tr w:rsidR="0012790E" w:rsidRPr="001C06E6" w14:paraId="3584DEEC" w14:textId="77777777">
        <w:tc>
          <w:tcPr>
            <w:tcW w:w="2497" w:type="dxa"/>
            <w:tcBorders>
              <w:bottom w:val="single" w:sz="4" w:space="0" w:color="293F5B"/>
            </w:tcBorders>
            <w:shd w:val="clear" w:color="auto" w:fill="auto"/>
          </w:tcPr>
          <w:p w14:paraId="243A21CA" w14:textId="73475A56" w:rsidR="0012790E" w:rsidRPr="001C06E6" w:rsidRDefault="006D6EB6">
            <w:pPr>
              <w:pStyle w:val="AgencyNamewith2ptsspacing"/>
              <w:keepNext/>
            </w:pPr>
            <w:r>
              <w:t>Australian Competition and Consumer Commission</w:t>
            </w:r>
          </w:p>
        </w:tc>
        <w:tc>
          <w:tcPr>
            <w:tcW w:w="1045" w:type="dxa"/>
            <w:tcBorders>
              <w:bottom w:val="single" w:sz="4" w:space="0" w:color="293F5B"/>
            </w:tcBorders>
            <w:shd w:val="clear" w:color="auto" w:fill="auto"/>
          </w:tcPr>
          <w:p w14:paraId="652EF5C8"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5597EAB9"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401498B8" w14:textId="77777777" w:rsidR="0012790E" w:rsidRPr="001C06E6" w:rsidRDefault="0012790E">
            <w:pPr>
              <w:pStyle w:val="Measuretabledatarightaligneditalics"/>
              <w:keepNext/>
            </w:pPr>
            <w:r w:rsidRPr="001C06E6">
              <w:t>15.0</w:t>
            </w:r>
          </w:p>
        </w:tc>
        <w:tc>
          <w:tcPr>
            <w:tcW w:w="1045" w:type="dxa"/>
            <w:tcBorders>
              <w:bottom w:val="single" w:sz="4" w:space="0" w:color="293F5B"/>
            </w:tcBorders>
            <w:shd w:val="clear" w:color="auto" w:fill="auto"/>
          </w:tcPr>
          <w:p w14:paraId="713398B1" w14:textId="77777777" w:rsidR="0012790E" w:rsidRPr="001C06E6" w:rsidRDefault="0012790E">
            <w:pPr>
              <w:pStyle w:val="Measuretabledatarightaligneditalics"/>
              <w:keepNext/>
            </w:pPr>
            <w:r w:rsidRPr="001C06E6">
              <w:t>37.3</w:t>
            </w:r>
          </w:p>
        </w:tc>
        <w:tc>
          <w:tcPr>
            <w:tcW w:w="1045" w:type="dxa"/>
            <w:tcBorders>
              <w:bottom w:val="single" w:sz="4" w:space="0" w:color="293F5B"/>
            </w:tcBorders>
            <w:shd w:val="clear" w:color="auto" w:fill="auto"/>
          </w:tcPr>
          <w:p w14:paraId="6375B3F0" w14:textId="77777777" w:rsidR="0012790E" w:rsidRPr="001C06E6" w:rsidRDefault="0012790E">
            <w:pPr>
              <w:pStyle w:val="Measuretabledatarightaligneditalics"/>
              <w:keepNext/>
            </w:pPr>
            <w:r w:rsidRPr="001C06E6">
              <w:t>38.2</w:t>
            </w:r>
          </w:p>
        </w:tc>
      </w:tr>
    </w:tbl>
    <w:p w14:paraId="4568CA51" w14:textId="77777777" w:rsidR="0012790E" w:rsidRPr="001C06E6" w:rsidRDefault="0012790E">
      <w:pPr>
        <w:keepNext/>
        <w:widowControl w:val="0"/>
        <w:tabs>
          <w:tab w:val="right" w:pos="3536"/>
          <w:tab w:val="right" w:pos="4579"/>
          <w:tab w:val="right" w:pos="5622"/>
          <w:tab w:val="right" w:pos="6664"/>
          <w:tab w:val="right" w:pos="7707"/>
        </w:tabs>
        <w:spacing w:line="240" w:lineRule="exact"/>
        <w:rPr>
          <w:i/>
          <w:color w:val="000000"/>
          <w:sz w:val="16"/>
          <w:szCs w:val="24"/>
          <w:lang w:val="en-AU"/>
        </w:rPr>
      </w:pPr>
    </w:p>
    <w:p w14:paraId="6026634F" w14:textId="77777777" w:rsidR="0012790E" w:rsidRDefault="0012790E">
      <w:pPr>
        <w:pStyle w:val="Normal2"/>
      </w:pPr>
      <w:r w:rsidRPr="001C06E6">
        <w:t>The Government will provide $13.9</w:t>
      </w:r>
      <w:r>
        <w:t> </w:t>
      </w:r>
      <w:r w:rsidRPr="001C06E6">
        <w:t xml:space="preserve">million over five years from </w:t>
      </w:r>
      <w:r>
        <w:t>2023–24</w:t>
      </w:r>
      <w:r w:rsidRPr="001C06E6">
        <w:t xml:space="preserve"> (and $0.3</w:t>
      </w:r>
      <w:r>
        <w:t> </w:t>
      </w:r>
      <w:r w:rsidRPr="001C06E6">
        <w:t>million per year ongoing) to progress competition reforms, including:</w:t>
      </w:r>
    </w:p>
    <w:p w14:paraId="3BBCBE64" w14:textId="77777777" w:rsidR="0012790E" w:rsidRDefault="0012790E">
      <w:pPr>
        <w:pStyle w:val="Bullet"/>
      </w:pPr>
      <w:r w:rsidRPr="001C06E6">
        <w:t>replacing Australia’s current merger control with a faster, stronger, simpler,</w:t>
      </w:r>
      <w:r>
        <w:t xml:space="preserve"> </w:t>
      </w:r>
      <w:r w:rsidRPr="001C06E6">
        <w:t>targeted, more transparent and streamlined mergers control system that better addresses anti</w:t>
      </w:r>
      <w:r>
        <w:noBreakHyphen/>
      </w:r>
      <w:r w:rsidRPr="001C06E6">
        <w:t>competitive mergers, including establishing a comprehensive database of mergers and acquisitions in Australia</w:t>
      </w:r>
      <w:r>
        <w:t xml:space="preserve"> </w:t>
      </w:r>
    </w:p>
    <w:p w14:paraId="52E0E35C" w14:textId="77777777" w:rsidR="0012790E" w:rsidRDefault="0012790E">
      <w:pPr>
        <w:pStyle w:val="Bullet"/>
      </w:pPr>
      <w:r w:rsidRPr="001C06E6">
        <w:t>expanding the scope of the Competition Review, announced in August 2023, to include advice on non</w:t>
      </w:r>
      <w:r>
        <w:noBreakHyphen/>
      </w:r>
      <w:r w:rsidRPr="001C06E6">
        <w:t>compete clauses, and to work with states and territories to revitalise National Competition Policy</w:t>
      </w:r>
      <w:r>
        <w:t xml:space="preserve"> </w:t>
      </w:r>
    </w:p>
    <w:p w14:paraId="187F22E1" w14:textId="77777777" w:rsidR="0012790E" w:rsidRDefault="0012790E">
      <w:pPr>
        <w:pStyle w:val="Bullet"/>
      </w:pPr>
      <w:r w:rsidRPr="001C06E6">
        <w:t>developing a Regulatory Initiatives Grid for the financial sector to provide greater transparency of announced regulatory reforms and planned regulator initiatives and activities to promote better collaboration and engagement with industry and reduce regulatory burden.</w:t>
      </w:r>
      <w:r>
        <w:t xml:space="preserve"> </w:t>
      </w:r>
    </w:p>
    <w:p w14:paraId="6069DF23" w14:textId="77777777" w:rsidR="0012790E" w:rsidRDefault="0012790E">
      <w:pPr>
        <w:pStyle w:val="Normal2"/>
      </w:pPr>
      <w:r w:rsidRPr="54937204">
        <w:rPr>
          <w:lang w:val="en-US"/>
        </w:rPr>
        <w:t xml:space="preserve">Additional funding for this measure and future cost recovery arrangements will be held in the Contingency Reserve pending the finalisation of the policy and implementation details of the new merger system. The cost of this measure will be partially met from within existing resources of the Treasury portfolio. </w:t>
      </w:r>
    </w:p>
    <w:p w14:paraId="58A233E8" w14:textId="77777777" w:rsidR="0012790E" w:rsidRPr="001C06E6" w:rsidRDefault="0012790E">
      <w:pPr>
        <w:pStyle w:val="MeasureTitle"/>
        <w:rPr>
          <w:b w:val="0"/>
          <w:szCs w:val="24"/>
        </w:rPr>
      </w:pPr>
      <w:r w:rsidRPr="001C06E6">
        <w:rPr>
          <w:szCs w:val="24"/>
        </w:rPr>
        <w:t>Cyber Security of Regulators and Improving Registers</w:t>
      </w:r>
    </w:p>
    <w:p w14:paraId="61AE1E3A"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E2C7C65" w14:textId="77777777">
        <w:tc>
          <w:tcPr>
            <w:tcW w:w="2497" w:type="dxa"/>
            <w:tcBorders>
              <w:top w:val="single" w:sz="4" w:space="0" w:color="293F5B"/>
              <w:bottom w:val="single" w:sz="4" w:space="0" w:color="293F5B"/>
            </w:tcBorders>
            <w:shd w:val="clear" w:color="auto" w:fill="auto"/>
          </w:tcPr>
          <w:p w14:paraId="6FCA73D4"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4CA8746"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28B45AA1"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2A058FEE"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26F7534"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78F01A43" w14:textId="77777777" w:rsidR="0012790E" w:rsidRPr="001C06E6" w:rsidRDefault="0012790E">
            <w:pPr>
              <w:pStyle w:val="MeasureTableYearHeadings"/>
              <w:keepNext/>
            </w:pPr>
            <w:r w:rsidRPr="001C06E6">
              <w:t>2027</w:t>
            </w:r>
            <w:r>
              <w:noBreakHyphen/>
            </w:r>
            <w:r w:rsidRPr="001C06E6">
              <w:t>28</w:t>
            </w:r>
          </w:p>
        </w:tc>
      </w:tr>
      <w:tr w:rsidR="0012790E" w:rsidRPr="001C06E6" w14:paraId="4B7AB01E" w14:textId="77777777">
        <w:tc>
          <w:tcPr>
            <w:tcW w:w="2497" w:type="dxa"/>
            <w:tcBorders>
              <w:top w:val="single" w:sz="4" w:space="0" w:color="293F5B"/>
              <w:bottom w:val="single" w:sz="4" w:space="0" w:color="293F5B"/>
            </w:tcBorders>
            <w:shd w:val="clear" w:color="auto" w:fill="auto"/>
          </w:tcPr>
          <w:p w14:paraId="7BACF280" w14:textId="77777777" w:rsidR="0012790E" w:rsidRPr="001C06E6" w:rsidRDefault="0012790E">
            <w:pPr>
              <w:pStyle w:val="MeasureTableHeadingleftalignedwith2ptsspacing"/>
              <w:keepNext/>
            </w:pPr>
            <w:r>
              <w:t xml:space="preserve">Australian Securities and Investments Commission </w:t>
            </w:r>
          </w:p>
        </w:tc>
        <w:tc>
          <w:tcPr>
            <w:tcW w:w="1045" w:type="dxa"/>
            <w:tcBorders>
              <w:top w:val="single" w:sz="4" w:space="0" w:color="293F5B"/>
              <w:bottom w:val="single" w:sz="4" w:space="0" w:color="293F5B"/>
            </w:tcBorders>
            <w:shd w:val="clear" w:color="auto" w:fill="auto"/>
          </w:tcPr>
          <w:p w14:paraId="34E0011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0970BCE" w14:textId="77777777" w:rsidR="0012790E" w:rsidRPr="001C06E6" w:rsidRDefault="0012790E">
            <w:pPr>
              <w:pStyle w:val="MeasureTableDataRightAlignedwith2ptsspacing"/>
              <w:keepNext/>
            </w:pPr>
            <w:r>
              <w:t xml:space="preserve">81.8 </w:t>
            </w:r>
          </w:p>
        </w:tc>
        <w:tc>
          <w:tcPr>
            <w:tcW w:w="1045" w:type="dxa"/>
            <w:tcBorders>
              <w:top w:val="single" w:sz="4" w:space="0" w:color="293F5B"/>
              <w:bottom w:val="single" w:sz="4" w:space="0" w:color="293F5B"/>
            </w:tcBorders>
            <w:shd w:val="clear" w:color="auto" w:fill="auto"/>
          </w:tcPr>
          <w:p w14:paraId="0DAC8AA5" w14:textId="77777777" w:rsidR="0012790E" w:rsidRPr="001C06E6" w:rsidRDefault="0012790E">
            <w:pPr>
              <w:pStyle w:val="MeasureTableDataRightAlignedwith2ptsspacing"/>
              <w:keepNext/>
            </w:pPr>
            <w:r>
              <w:t xml:space="preserve">16.2 </w:t>
            </w:r>
          </w:p>
        </w:tc>
        <w:tc>
          <w:tcPr>
            <w:tcW w:w="1045" w:type="dxa"/>
            <w:tcBorders>
              <w:top w:val="single" w:sz="4" w:space="0" w:color="293F5B"/>
              <w:bottom w:val="single" w:sz="4" w:space="0" w:color="293F5B"/>
            </w:tcBorders>
            <w:shd w:val="clear" w:color="auto" w:fill="auto"/>
          </w:tcPr>
          <w:p w14:paraId="2F4FA73F" w14:textId="77777777" w:rsidR="0012790E" w:rsidRPr="001C06E6" w:rsidRDefault="0012790E">
            <w:pPr>
              <w:pStyle w:val="MeasureTableDataRightAlignedwith2ptsspacing"/>
              <w:keepNext/>
            </w:pPr>
            <w:r>
              <w:t xml:space="preserve">16.5 </w:t>
            </w:r>
          </w:p>
        </w:tc>
        <w:tc>
          <w:tcPr>
            <w:tcW w:w="1045" w:type="dxa"/>
            <w:tcBorders>
              <w:top w:val="single" w:sz="4" w:space="0" w:color="293F5B"/>
              <w:bottom w:val="single" w:sz="4" w:space="0" w:color="293F5B"/>
            </w:tcBorders>
            <w:shd w:val="clear" w:color="auto" w:fill="auto"/>
          </w:tcPr>
          <w:p w14:paraId="1DCFE46B" w14:textId="77777777" w:rsidR="0012790E" w:rsidRPr="001C06E6" w:rsidRDefault="0012790E">
            <w:pPr>
              <w:pStyle w:val="MeasureTableDataRightAlignedwith2ptsspacing"/>
              <w:keepNext/>
            </w:pPr>
            <w:r>
              <w:t xml:space="preserve">10.4 </w:t>
            </w:r>
          </w:p>
        </w:tc>
      </w:tr>
      <w:tr w:rsidR="0012790E" w:rsidRPr="001C06E6" w14:paraId="1CFFE31B" w14:textId="77777777">
        <w:tc>
          <w:tcPr>
            <w:tcW w:w="2497" w:type="dxa"/>
            <w:tcBorders>
              <w:top w:val="single" w:sz="4" w:space="0" w:color="293F5B"/>
              <w:bottom w:val="single" w:sz="4" w:space="0" w:color="293F5B"/>
            </w:tcBorders>
            <w:shd w:val="clear" w:color="auto" w:fill="auto"/>
          </w:tcPr>
          <w:p w14:paraId="3CC3412C" w14:textId="77777777" w:rsidR="0012790E" w:rsidRPr="001C06E6" w:rsidRDefault="0012790E">
            <w:pPr>
              <w:pStyle w:val="MeasureTableHeadingleftalignedwith2ptsspacing"/>
              <w:keepNext/>
            </w:pPr>
            <w:r>
              <w:t xml:space="preserve">Australian Prudential Regulation Authority </w:t>
            </w:r>
          </w:p>
        </w:tc>
        <w:tc>
          <w:tcPr>
            <w:tcW w:w="1045" w:type="dxa"/>
            <w:tcBorders>
              <w:top w:val="single" w:sz="4" w:space="0" w:color="293F5B"/>
              <w:bottom w:val="single" w:sz="4" w:space="0" w:color="293F5B"/>
            </w:tcBorders>
            <w:shd w:val="clear" w:color="auto" w:fill="auto"/>
          </w:tcPr>
          <w:p w14:paraId="29A7F96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C176B50" w14:textId="77777777" w:rsidR="0012790E" w:rsidRPr="001C06E6" w:rsidRDefault="0012790E">
            <w:pPr>
              <w:pStyle w:val="MeasureTableDataRightAlignedwith2ptsspacing"/>
              <w:keepNext/>
            </w:pPr>
            <w:r>
              <w:t xml:space="preserve">29.4 </w:t>
            </w:r>
          </w:p>
        </w:tc>
        <w:tc>
          <w:tcPr>
            <w:tcW w:w="1045" w:type="dxa"/>
            <w:tcBorders>
              <w:top w:val="single" w:sz="4" w:space="0" w:color="293F5B"/>
              <w:bottom w:val="single" w:sz="4" w:space="0" w:color="293F5B"/>
            </w:tcBorders>
            <w:shd w:val="clear" w:color="auto" w:fill="auto"/>
          </w:tcPr>
          <w:p w14:paraId="197CAAD1" w14:textId="77777777" w:rsidR="0012790E" w:rsidRPr="001C06E6" w:rsidRDefault="0012790E">
            <w:pPr>
              <w:pStyle w:val="MeasureTableDataRightAlignedwith2ptsspacing"/>
              <w:keepNext/>
            </w:pPr>
            <w:r>
              <w:t xml:space="preserve">21.8 </w:t>
            </w:r>
          </w:p>
        </w:tc>
        <w:tc>
          <w:tcPr>
            <w:tcW w:w="1045" w:type="dxa"/>
            <w:tcBorders>
              <w:top w:val="single" w:sz="4" w:space="0" w:color="293F5B"/>
              <w:bottom w:val="single" w:sz="4" w:space="0" w:color="293F5B"/>
            </w:tcBorders>
            <w:shd w:val="clear" w:color="auto" w:fill="auto"/>
          </w:tcPr>
          <w:p w14:paraId="5EB1C3BA" w14:textId="77777777" w:rsidR="0012790E" w:rsidRPr="001C06E6" w:rsidRDefault="0012790E">
            <w:pPr>
              <w:pStyle w:val="MeasureTableDataRightAlignedwith2ptsspacing"/>
              <w:keepNext/>
            </w:pPr>
            <w:r>
              <w:t xml:space="preserve">11.6 </w:t>
            </w:r>
          </w:p>
        </w:tc>
        <w:tc>
          <w:tcPr>
            <w:tcW w:w="1045" w:type="dxa"/>
            <w:tcBorders>
              <w:top w:val="single" w:sz="4" w:space="0" w:color="293F5B"/>
              <w:bottom w:val="single" w:sz="4" w:space="0" w:color="293F5B"/>
            </w:tcBorders>
            <w:shd w:val="clear" w:color="auto" w:fill="auto"/>
          </w:tcPr>
          <w:p w14:paraId="64AEB26D" w14:textId="77777777" w:rsidR="0012790E" w:rsidRPr="001C06E6" w:rsidRDefault="0012790E">
            <w:pPr>
              <w:pStyle w:val="MeasureTableDataRightAlignedwith2ptsspacing"/>
              <w:keepNext/>
            </w:pPr>
            <w:r>
              <w:t xml:space="preserve">10.4 </w:t>
            </w:r>
          </w:p>
        </w:tc>
      </w:tr>
      <w:tr w:rsidR="0012790E" w:rsidRPr="001C06E6" w14:paraId="2D3906E1" w14:textId="77777777">
        <w:tc>
          <w:tcPr>
            <w:tcW w:w="2497" w:type="dxa"/>
            <w:tcBorders>
              <w:top w:val="single" w:sz="4" w:space="0" w:color="293F5B"/>
              <w:bottom w:val="single" w:sz="4" w:space="0" w:color="293F5B"/>
            </w:tcBorders>
            <w:shd w:val="clear" w:color="auto" w:fill="auto"/>
          </w:tcPr>
          <w:p w14:paraId="1FB83EAE"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7A4951B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9D064F1" w14:textId="77777777" w:rsidR="0012790E" w:rsidRPr="001C06E6" w:rsidRDefault="0012790E">
            <w:pPr>
              <w:pStyle w:val="MeasureTableDataRightAlignedwith2ptsspacing"/>
              <w:keepNext/>
            </w:pPr>
            <w:r w:rsidRPr="001C06E6">
              <w:t>4.2</w:t>
            </w:r>
          </w:p>
        </w:tc>
        <w:tc>
          <w:tcPr>
            <w:tcW w:w="1045" w:type="dxa"/>
            <w:tcBorders>
              <w:top w:val="single" w:sz="4" w:space="0" w:color="293F5B"/>
              <w:bottom w:val="single" w:sz="4" w:space="0" w:color="293F5B"/>
            </w:tcBorders>
            <w:shd w:val="clear" w:color="auto" w:fill="auto"/>
          </w:tcPr>
          <w:p w14:paraId="7ABD69C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F91187E"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C658201" w14:textId="77777777" w:rsidR="0012790E" w:rsidRPr="001C06E6" w:rsidRDefault="0012790E">
            <w:pPr>
              <w:pStyle w:val="MeasureTableDataRightAlignedwith2ptsspacing"/>
              <w:keepNext/>
            </w:pPr>
            <w:r w:rsidRPr="001C06E6">
              <w:t>-</w:t>
            </w:r>
          </w:p>
        </w:tc>
      </w:tr>
      <w:tr w:rsidR="0012790E" w:rsidRPr="001C06E6" w14:paraId="50F29B8C" w14:textId="77777777">
        <w:tc>
          <w:tcPr>
            <w:tcW w:w="2497" w:type="dxa"/>
            <w:tcBorders>
              <w:top w:val="single" w:sz="4" w:space="0" w:color="293F5B"/>
              <w:bottom w:val="single" w:sz="4" w:space="0" w:color="293F5B"/>
            </w:tcBorders>
            <w:shd w:val="clear" w:color="auto" w:fill="auto"/>
          </w:tcPr>
          <w:p w14:paraId="7FC9A726" w14:textId="77777777" w:rsidR="0012790E" w:rsidRPr="001C06E6" w:rsidRDefault="0012790E">
            <w:pPr>
              <w:pStyle w:val="MeasureTableHeadingleftalignedwith2ptsspacing"/>
              <w:keepNext/>
            </w:pPr>
            <w:r>
              <w:t xml:space="preserve">Department of Industry, Science and Resources </w:t>
            </w:r>
          </w:p>
        </w:tc>
        <w:tc>
          <w:tcPr>
            <w:tcW w:w="1045" w:type="dxa"/>
            <w:tcBorders>
              <w:top w:val="single" w:sz="4" w:space="0" w:color="293F5B"/>
              <w:bottom w:val="single" w:sz="4" w:space="0" w:color="293F5B"/>
            </w:tcBorders>
            <w:shd w:val="clear" w:color="auto" w:fill="auto"/>
          </w:tcPr>
          <w:p w14:paraId="761E4C98"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36D63BA" w14:textId="77777777" w:rsidR="0012790E" w:rsidRPr="001C06E6" w:rsidRDefault="0012790E">
            <w:pPr>
              <w:pStyle w:val="MeasureTableDataRightAlignedwith2ptsspacing"/>
              <w:keepNext/>
            </w:pPr>
            <w:r>
              <w:t xml:space="preserve">1.5 </w:t>
            </w:r>
          </w:p>
        </w:tc>
        <w:tc>
          <w:tcPr>
            <w:tcW w:w="1045" w:type="dxa"/>
            <w:tcBorders>
              <w:top w:val="single" w:sz="4" w:space="0" w:color="293F5B"/>
              <w:bottom w:val="single" w:sz="4" w:space="0" w:color="293F5B"/>
            </w:tcBorders>
            <w:shd w:val="clear" w:color="auto" w:fill="auto"/>
          </w:tcPr>
          <w:p w14:paraId="16977777"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BCEE01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5A783769" w14:textId="77777777" w:rsidR="0012790E" w:rsidRPr="001C06E6" w:rsidRDefault="0012790E">
            <w:pPr>
              <w:pStyle w:val="MeasureTableDataRightAlignedwith2ptsspacing"/>
              <w:keepNext/>
            </w:pPr>
            <w:r>
              <w:t xml:space="preserve">- </w:t>
            </w:r>
          </w:p>
        </w:tc>
      </w:tr>
      <w:tr w:rsidR="0012790E" w:rsidRPr="001C06E6" w14:paraId="0A36143D" w14:textId="77777777">
        <w:tc>
          <w:tcPr>
            <w:tcW w:w="2497" w:type="dxa"/>
            <w:tcBorders>
              <w:top w:val="single" w:sz="4" w:space="0" w:color="293F5B"/>
              <w:bottom w:val="single" w:sz="4" w:space="0" w:color="293F5B"/>
            </w:tcBorders>
            <w:shd w:val="clear" w:color="auto" w:fill="auto"/>
          </w:tcPr>
          <w:p w14:paraId="064632FD"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4E1EC15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CEB1D1E" w14:textId="77777777" w:rsidR="0012790E" w:rsidRPr="001C06E6" w:rsidRDefault="0012790E">
            <w:pPr>
              <w:pStyle w:val="MeasureTableDataRightAlignedwith2ptsspacing"/>
              <w:keepNext/>
            </w:pPr>
            <w:r w:rsidRPr="001C06E6">
              <w:t>1.0</w:t>
            </w:r>
          </w:p>
        </w:tc>
        <w:tc>
          <w:tcPr>
            <w:tcW w:w="1045" w:type="dxa"/>
            <w:tcBorders>
              <w:top w:val="single" w:sz="4" w:space="0" w:color="293F5B"/>
              <w:bottom w:val="single" w:sz="4" w:space="0" w:color="293F5B"/>
            </w:tcBorders>
            <w:shd w:val="clear" w:color="auto" w:fill="auto"/>
          </w:tcPr>
          <w:p w14:paraId="32C8AF76" w14:textId="77777777" w:rsidR="0012790E" w:rsidRPr="001C06E6" w:rsidRDefault="0012790E">
            <w:pPr>
              <w:pStyle w:val="MeasureTableDataRightAlignedwith2ptsspacing"/>
              <w:keepNext/>
            </w:pPr>
            <w:r w:rsidRPr="001C06E6">
              <w:t>0.5</w:t>
            </w:r>
          </w:p>
        </w:tc>
        <w:tc>
          <w:tcPr>
            <w:tcW w:w="1045" w:type="dxa"/>
            <w:tcBorders>
              <w:top w:val="single" w:sz="4" w:space="0" w:color="293F5B"/>
              <w:bottom w:val="single" w:sz="4" w:space="0" w:color="293F5B"/>
            </w:tcBorders>
            <w:shd w:val="clear" w:color="auto" w:fill="auto"/>
          </w:tcPr>
          <w:p w14:paraId="5800181C"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16A9C6A3" w14:textId="77777777" w:rsidR="0012790E" w:rsidRPr="001C06E6" w:rsidRDefault="0012790E">
            <w:pPr>
              <w:pStyle w:val="MeasureTableDataRightAlignedwith2ptsspacing"/>
              <w:keepNext/>
            </w:pPr>
            <w:r w:rsidRPr="001C06E6">
              <w:t>-</w:t>
            </w:r>
          </w:p>
        </w:tc>
      </w:tr>
      <w:tr w:rsidR="0012790E" w:rsidRPr="001C06E6" w14:paraId="42EFFD3C" w14:textId="77777777">
        <w:tc>
          <w:tcPr>
            <w:tcW w:w="2497" w:type="dxa"/>
            <w:tcBorders>
              <w:top w:val="single" w:sz="4" w:space="0" w:color="293F5B"/>
              <w:bottom w:val="single" w:sz="4" w:space="0" w:color="293F5B"/>
            </w:tcBorders>
            <w:shd w:val="clear" w:color="auto" w:fill="auto"/>
          </w:tcPr>
          <w:p w14:paraId="57B32467" w14:textId="77777777" w:rsidR="0012790E" w:rsidRPr="001C06E6" w:rsidRDefault="0012790E">
            <w:pPr>
              <w:pStyle w:val="MeasureTableHeadingleftalignedwith2ptsspacing"/>
              <w:keepNext/>
            </w:pPr>
            <w:r w:rsidRPr="001C06E6">
              <w:t>Department of Finance</w:t>
            </w:r>
          </w:p>
        </w:tc>
        <w:tc>
          <w:tcPr>
            <w:tcW w:w="1045" w:type="dxa"/>
            <w:tcBorders>
              <w:top w:val="single" w:sz="4" w:space="0" w:color="293F5B"/>
              <w:bottom w:val="single" w:sz="4" w:space="0" w:color="293F5B"/>
            </w:tcBorders>
            <w:shd w:val="clear" w:color="auto" w:fill="auto"/>
          </w:tcPr>
          <w:p w14:paraId="0E885EC2"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0A7FC10" w14:textId="77777777" w:rsidR="0012790E" w:rsidRPr="001C06E6" w:rsidRDefault="0012790E">
            <w:pPr>
              <w:pStyle w:val="MeasureTableDataRightAlignedwith2ptsspacing"/>
              <w:keepNext/>
            </w:pPr>
            <w:r w:rsidRPr="001C06E6">
              <w:t>0.4</w:t>
            </w:r>
          </w:p>
        </w:tc>
        <w:tc>
          <w:tcPr>
            <w:tcW w:w="1045" w:type="dxa"/>
            <w:tcBorders>
              <w:top w:val="single" w:sz="4" w:space="0" w:color="293F5B"/>
              <w:bottom w:val="single" w:sz="4" w:space="0" w:color="293F5B"/>
            </w:tcBorders>
            <w:shd w:val="clear" w:color="auto" w:fill="auto"/>
          </w:tcPr>
          <w:p w14:paraId="677DC581" w14:textId="77777777" w:rsidR="0012790E" w:rsidRPr="001C06E6" w:rsidRDefault="0012790E">
            <w:pPr>
              <w:pStyle w:val="MeasureTableDataRightAlignedwith2ptsspacing"/>
              <w:keepNext/>
            </w:pPr>
            <w:r w:rsidRPr="001C06E6">
              <w:t>0.2</w:t>
            </w:r>
          </w:p>
        </w:tc>
        <w:tc>
          <w:tcPr>
            <w:tcW w:w="1045" w:type="dxa"/>
            <w:tcBorders>
              <w:top w:val="single" w:sz="4" w:space="0" w:color="293F5B"/>
              <w:bottom w:val="single" w:sz="4" w:space="0" w:color="293F5B"/>
            </w:tcBorders>
            <w:shd w:val="clear" w:color="auto" w:fill="auto"/>
          </w:tcPr>
          <w:p w14:paraId="5F0EE1F1" w14:textId="77777777" w:rsidR="0012790E" w:rsidRPr="001C06E6" w:rsidRDefault="0012790E">
            <w:pPr>
              <w:pStyle w:val="MeasureTableDataRightAlignedwith2ptsspacing"/>
              <w:keepNext/>
            </w:pPr>
            <w:r w:rsidRPr="001C06E6">
              <w:t>0.2</w:t>
            </w:r>
          </w:p>
        </w:tc>
        <w:tc>
          <w:tcPr>
            <w:tcW w:w="1045" w:type="dxa"/>
            <w:tcBorders>
              <w:top w:val="single" w:sz="4" w:space="0" w:color="293F5B"/>
              <w:bottom w:val="single" w:sz="4" w:space="0" w:color="293F5B"/>
            </w:tcBorders>
            <w:shd w:val="clear" w:color="auto" w:fill="auto"/>
          </w:tcPr>
          <w:p w14:paraId="58FED2F6" w14:textId="77777777" w:rsidR="0012790E" w:rsidRPr="001C06E6" w:rsidRDefault="0012790E">
            <w:pPr>
              <w:pStyle w:val="MeasureTableDataRightAlignedwith2ptsspacing"/>
              <w:keepNext/>
            </w:pPr>
            <w:r w:rsidRPr="001C06E6">
              <w:t>0.2</w:t>
            </w:r>
          </w:p>
        </w:tc>
      </w:tr>
      <w:tr w:rsidR="0012790E" w:rsidRPr="001C06E6" w14:paraId="51CDA89C" w14:textId="77777777">
        <w:tc>
          <w:tcPr>
            <w:tcW w:w="2497" w:type="dxa"/>
            <w:tcBorders>
              <w:top w:val="single" w:sz="4" w:space="0" w:color="293F5B"/>
              <w:bottom w:val="single" w:sz="4" w:space="0" w:color="293F5B"/>
            </w:tcBorders>
            <w:shd w:val="clear" w:color="auto" w:fill="auto"/>
          </w:tcPr>
          <w:p w14:paraId="0BD2C6C9"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3020B449"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71B10EE3" w14:textId="77777777" w:rsidR="0012790E" w:rsidRPr="001C06E6" w:rsidRDefault="0012790E">
            <w:pPr>
              <w:pStyle w:val="Totaldatarowrightaligned"/>
              <w:keepNext/>
            </w:pPr>
            <w:r w:rsidRPr="001C06E6">
              <w:t>118.2</w:t>
            </w:r>
          </w:p>
        </w:tc>
        <w:tc>
          <w:tcPr>
            <w:tcW w:w="1045" w:type="dxa"/>
            <w:tcBorders>
              <w:top w:val="single" w:sz="4" w:space="0" w:color="293F5B"/>
              <w:bottom w:val="single" w:sz="4" w:space="0" w:color="293F5B"/>
            </w:tcBorders>
            <w:shd w:val="clear" w:color="auto" w:fill="auto"/>
          </w:tcPr>
          <w:p w14:paraId="30950769" w14:textId="77777777" w:rsidR="0012790E" w:rsidRPr="001C06E6" w:rsidRDefault="0012790E">
            <w:pPr>
              <w:pStyle w:val="Totaldatarowrightaligned"/>
              <w:keepNext/>
            </w:pPr>
            <w:r w:rsidRPr="001C06E6">
              <w:t>38.7</w:t>
            </w:r>
          </w:p>
        </w:tc>
        <w:tc>
          <w:tcPr>
            <w:tcW w:w="1045" w:type="dxa"/>
            <w:tcBorders>
              <w:top w:val="single" w:sz="4" w:space="0" w:color="293F5B"/>
              <w:bottom w:val="single" w:sz="4" w:space="0" w:color="293F5B"/>
            </w:tcBorders>
            <w:shd w:val="clear" w:color="auto" w:fill="auto"/>
          </w:tcPr>
          <w:p w14:paraId="604A252E" w14:textId="77777777" w:rsidR="0012790E" w:rsidRPr="001C06E6" w:rsidRDefault="0012790E">
            <w:pPr>
              <w:pStyle w:val="Totaldatarowrightaligned"/>
              <w:keepNext/>
            </w:pPr>
            <w:r w:rsidRPr="001C06E6">
              <w:t>28.3</w:t>
            </w:r>
          </w:p>
        </w:tc>
        <w:tc>
          <w:tcPr>
            <w:tcW w:w="1045" w:type="dxa"/>
            <w:tcBorders>
              <w:top w:val="single" w:sz="4" w:space="0" w:color="293F5B"/>
              <w:bottom w:val="single" w:sz="4" w:space="0" w:color="293F5B"/>
            </w:tcBorders>
            <w:shd w:val="clear" w:color="auto" w:fill="auto"/>
          </w:tcPr>
          <w:p w14:paraId="17812DFB" w14:textId="77777777" w:rsidR="0012790E" w:rsidRPr="001C06E6" w:rsidRDefault="0012790E">
            <w:pPr>
              <w:pStyle w:val="Totaldatarowrightaligned"/>
              <w:keepNext/>
            </w:pPr>
            <w:r w:rsidRPr="001C06E6">
              <w:t>21.1</w:t>
            </w:r>
          </w:p>
        </w:tc>
      </w:tr>
      <w:tr w:rsidR="0012790E" w:rsidRPr="001C06E6" w14:paraId="51CECA58" w14:textId="77777777">
        <w:tc>
          <w:tcPr>
            <w:tcW w:w="2497" w:type="dxa"/>
            <w:tcBorders>
              <w:top w:val="single" w:sz="4" w:space="0" w:color="293F5B"/>
            </w:tcBorders>
            <w:shd w:val="clear" w:color="auto" w:fill="auto"/>
          </w:tcPr>
          <w:p w14:paraId="59CA4BE0"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40CDBD19" w14:textId="77777777" w:rsidR="0012790E" w:rsidRPr="001C06E6" w:rsidRDefault="0012790E">
            <w:pPr>
              <w:pStyle w:val="AgencyName"/>
              <w:keepNext/>
            </w:pPr>
          </w:p>
        </w:tc>
        <w:tc>
          <w:tcPr>
            <w:tcW w:w="1045" w:type="dxa"/>
            <w:tcBorders>
              <w:top w:val="single" w:sz="4" w:space="0" w:color="293F5B"/>
            </w:tcBorders>
            <w:shd w:val="clear" w:color="auto" w:fill="auto"/>
          </w:tcPr>
          <w:p w14:paraId="2FDC3110" w14:textId="77777777" w:rsidR="0012790E" w:rsidRPr="001C06E6" w:rsidRDefault="0012790E">
            <w:pPr>
              <w:pStyle w:val="AgencyName"/>
              <w:keepNext/>
            </w:pPr>
          </w:p>
        </w:tc>
        <w:tc>
          <w:tcPr>
            <w:tcW w:w="1045" w:type="dxa"/>
            <w:tcBorders>
              <w:top w:val="single" w:sz="4" w:space="0" w:color="293F5B"/>
            </w:tcBorders>
            <w:shd w:val="clear" w:color="auto" w:fill="auto"/>
          </w:tcPr>
          <w:p w14:paraId="2D530982" w14:textId="77777777" w:rsidR="0012790E" w:rsidRPr="001C06E6" w:rsidRDefault="0012790E">
            <w:pPr>
              <w:pStyle w:val="AgencyName"/>
              <w:keepNext/>
            </w:pPr>
          </w:p>
        </w:tc>
        <w:tc>
          <w:tcPr>
            <w:tcW w:w="1045" w:type="dxa"/>
            <w:tcBorders>
              <w:top w:val="single" w:sz="4" w:space="0" w:color="293F5B"/>
            </w:tcBorders>
            <w:shd w:val="clear" w:color="auto" w:fill="auto"/>
          </w:tcPr>
          <w:p w14:paraId="65A079C5" w14:textId="77777777" w:rsidR="0012790E" w:rsidRPr="001C06E6" w:rsidRDefault="0012790E">
            <w:pPr>
              <w:pStyle w:val="AgencyName"/>
              <w:keepNext/>
            </w:pPr>
          </w:p>
        </w:tc>
        <w:tc>
          <w:tcPr>
            <w:tcW w:w="1045" w:type="dxa"/>
            <w:tcBorders>
              <w:top w:val="single" w:sz="4" w:space="0" w:color="293F5B"/>
            </w:tcBorders>
            <w:shd w:val="clear" w:color="auto" w:fill="auto"/>
          </w:tcPr>
          <w:p w14:paraId="586C6796" w14:textId="77777777" w:rsidR="0012790E" w:rsidRPr="001C06E6" w:rsidRDefault="0012790E">
            <w:pPr>
              <w:pStyle w:val="AgencyName"/>
              <w:keepNext/>
            </w:pPr>
          </w:p>
        </w:tc>
      </w:tr>
      <w:tr w:rsidR="0012790E" w:rsidRPr="001C06E6" w14:paraId="41C37605" w14:textId="77777777">
        <w:tc>
          <w:tcPr>
            <w:tcW w:w="2497" w:type="dxa"/>
            <w:tcBorders>
              <w:bottom w:val="single" w:sz="4" w:space="0" w:color="293F5B"/>
            </w:tcBorders>
            <w:shd w:val="clear" w:color="auto" w:fill="auto"/>
          </w:tcPr>
          <w:p w14:paraId="05357E8B" w14:textId="77777777" w:rsidR="0012790E" w:rsidRPr="001C06E6" w:rsidRDefault="0012790E">
            <w:pPr>
              <w:pStyle w:val="AgencyNamewith2ptsspacing"/>
              <w:keepNext/>
            </w:pPr>
            <w:r>
              <w:t xml:space="preserve">Australian Prudential Regulation Authority </w:t>
            </w:r>
          </w:p>
        </w:tc>
        <w:tc>
          <w:tcPr>
            <w:tcW w:w="1045" w:type="dxa"/>
            <w:tcBorders>
              <w:bottom w:val="single" w:sz="4" w:space="0" w:color="293F5B"/>
            </w:tcBorders>
            <w:shd w:val="clear" w:color="auto" w:fill="auto"/>
          </w:tcPr>
          <w:p w14:paraId="70445589"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08926E12" w14:textId="77777777" w:rsidR="0012790E" w:rsidRPr="001C06E6" w:rsidRDefault="0012790E">
            <w:pPr>
              <w:pStyle w:val="Measuretabledatarightaligneditalics"/>
              <w:keepNext/>
            </w:pPr>
            <w:r>
              <w:t xml:space="preserve">29.4 </w:t>
            </w:r>
          </w:p>
        </w:tc>
        <w:tc>
          <w:tcPr>
            <w:tcW w:w="1045" w:type="dxa"/>
            <w:tcBorders>
              <w:bottom w:val="single" w:sz="4" w:space="0" w:color="293F5B"/>
            </w:tcBorders>
            <w:shd w:val="clear" w:color="auto" w:fill="auto"/>
          </w:tcPr>
          <w:p w14:paraId="74956168" w14:textId="77777777" w:rsidR="0012790E" w:rsidRPr="001C06E6" w:rsidRDefault="0012790E">
            <w:pPr>
              <w:pStyle w:val="Measuretabledatarightaligneditalics"/>
              <w:keepNext/>
            </w:pPr>
            <w:r>
              <w:t xml:space="preserve">21.8 </w:t>
            </w:r>
          </w:p>
        </w:tc>
        <w:tc>
          <w:tcPr>
            <w:tcW w:w="1045" w:type="dxa"/>
            <w:tcBorders>
              <w:bottom w:val="single" w:sz="4" w:space="0" w:color="293F5B"/>
            </w:tcBorders>
            <w:shd w:val="clear" w:color="auto" w:fill="auto"/>
          </w:tcPr>
          <w:p w14:paraId="21C6CDD1" w14:textId="77777777" w:rsidR="0012790E" w:rsidRPr="001C06E6" w:rsidRDefault="0012790E">
            <w:pPr>
              <w:pStyle w:val="Measuretabledatarightaligneditalics"/>
              <w:keepNext/>
            </w:pPr>
            <w:r>
              <w:t xml:space="preserve">11.6 </w:t>
            </w:r>
          </w:p>
        </w:tc>
        <w:tc>
          <w:tcPr>
            <w:tcW w:w="1045" w:type="dxa"/>
            <w:tcBorders>
              <w:bottom w:val="single" w:sz="4" w:space="0" w:color="293F5B"/>
            </w:tcBorders>
            <w:shd w:val="clear" w:color="auto" w:fill="auto"/>
          </w:tcPr>
          <w:p w14:paraId="62D2884A" w14:textId="77777777" w:rsidR="0012790E" w:rsidRPr="001C06E6" w:rsidRDefault="0012790E">
            <w:pPr>
              <w:pStyle w:val="Measuretabledatarightaligneditalics"/>
              <w:keepNext/>
            </w:pPr>
            <w:r>
              <w:t xml:space="preserve">10.4 </w:t>
            </w:r>
          </w:p>
        </w:tc>
      </w:tr>
      <w:tr w:rsidR="0012790E" w:rsidRPr="001C06E6" w14:paraId="1E4CD6C4" w14:textId="77777777">
        <w:tc>
          <w:tcPr>
            <w:tcW w:w="2497" w:type="dxa"/>
            <w:tcBorders>
              <w:top w:val="single" w:sz="4" w:space="0" w:color="293F5B"/>
              <w:bottom w:val="single" w:sz="4" w:space="0" w:color="293F5B"/>
            </w:tcBorders>
            <w:shd w:val="clear" w:color="auto" w:fill="auto"/>
          </w:tcPr>
          <w:p w14:paraId="02937051" w14:textId="77777777" w:rsidR="0012790E" w:rsidRPr="001C06E6" w:rsidRDefault="0012790E">
            <w:pPr>
              <w:pStyle w:val="AgencyNamewith2ptsspacing"/>
              <w:keepNext/>
            </w:pPr>
            <w:r>
              <w:t xml:space="preserve">Australian Securities and Investments Commission </w:t>
            </w:r>
          </w:p>
        </w:tc>
        <w:tc>
          <w:tcPr>
            <w:tcW w:w="1045" w:type="dxa"/>
            <w:tcBorders>
              <w:top w:val="single" w:sz="4" w:space="0" w:color="293F5B"/>
              <w:bottom w:val="single" w:sz="4" w:space="0" w:color="293F5B"/>
            </w:tcBorders>
            <w:shd w:val="clear" w:color="auto" w:fill="auto"/>
          </w:tcPr>
          <w:p w14:paraId="6D488660"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1257FE80"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54CB3503" w14:textId="77777777" w:rsidR="0012790E" w:rsidRPr="001C06E6" w:rsidRDefault="0012790E">
            <w:pPr>
              <w:pStyle w:val="Measuretabledatarightaligneditalics"/>
              <w:keepNext/>
            </w:pPr>
            <w:r>
              <w:t xml:space="preserve">9.3 </w:t>
            </w:r>
          </w:p>
        </w:tc>
        <w:tc>
          <w:tcPr>
            <w:tcW w:w="1045" w:type="dxa"/>
            <w:tcBorders>
              <w:top w:val="single" w:sz="4" w:space="0" w:color="293F5B"/>
              <w:bottom w:val="single" w:sz="4" w:space="0" w:color="293F5B"/>
            </w:tcBorders>
            <w:shd w:val="clear" w:color="auto" w:fill="auto"/>
          </w:tcPr>
          <w:p w14:paraId="12BD9CFE" w14:textId="77777777" w:rsidR="0012790E" w:rsidRPr="001C06E6" w:rsidRDefault="0012790E">
            <w:pPr>
              <w:pStyle w:val="Measuretabledatarightaligneditalics"/>
              <w:keepNext/>
            </w:pPr>
            <w:r>
              <w:t xml:space="preserve">12.2 </w:t>
            </w:r>
          </w:p>
        </w:tc>
        <w:tc>
          <w:tcPr>
            <w:tcW w:w="1045" w:type="dxa"/>
            <w:tcBorders>
              <w:top w:val="single" w:sz="4" w:space="0" w:color="293F5B"/>
              <w:bottom w:val="single" w:sz="4" w:space="0" w:color="293F5B"/>
            </w:tcBorders>
            <w:shd w:val="clear" w:color="auto" w:fill="auto"/>
          </w:tcPr>
          <w:p w14:paraId="0F3C7B24" w14:textId="77777777" w:rsidR="0012790E" w:rsidRPr="001C06E6" w:rsidRDefault="0012790E">
            <w:pPr>
              <w:pStyle w:val="Measuretabledatarightaligneditalics"/>
              <w:keepNext/>
            </w:pPr>
            <w:r>
              <w:t xml:space="preserve">13.6 </w:t>
            </w:r>
          </w:p>
        </w:tc>
      </w:tr>
      <w:tr w:rsidR="0012790E" w:rsidRPr="001C06E6" w14:paraId="123F7D73" w14:textId="77777777">
        <w:tc>
          <w:tcPr>
            <w:tcW w:w="2497" w:type="dxa"/>
            <w:tcBorders>
              <w:top w:val="single" w:sz="4" w:space="0" w:color="293F5B"/>
              <w:bottom w:val="single" w:sz="4" w:space="0" w:color="293F5B"/>
            </w:tcBorders>
            <w:shd w:val="clear" w:color="auto" w:fill="auto"/>
          </w:tcPr>
          <w:p w14:paraId="04D7EA02" w14:textId="77777777" w:rsidR="0012790E" w:rsidRPr="001C06E6" w:rsidRDefault="0012790E">
            <w:pPr>
              <w:pStyle w:val="Totalrowitalicsleftaligned"/>
              <w:keepNext/>
            </w:pPr>
            <w:r w:rsidRPr="001C06E6">
              <w:t>Total – Receipts</w:t>
            </w:r>
          </w:p>
        </w:tc>
        <w:tc>
          <w:tcPr>
            <w:tcW w:w="1045" w:type="dxa"/>
            <w:tcBorders>
              <w:top w:val="single" w:sz="4" w:space="0" w:color="293F5B"/>
              <w:bottom w:val="single" w:sz="4" w:space="0" w:color="293F5B"/>
            </w:tcBorders>
            <w:shd w:val="clear" w:color="auto" w:fill="auto"/>
          </w:tcPr>
          <w:p w14:paraId="6A39092B"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2921AA89" w14:textId="77777777" w:rsidR="0012790E" w:rsidRPr="001C06E6" w:rsidRDefault="0012790E">
            <w:pPr>
              <w:pStyle w:val="Totalrowitalicsrightaligned"/>
              <w:keepNext/>
            </w:pPr>
            <w:r w:rsidRPr="001C06E6">
              <w:t>29.4</w:t>
            </w:r>
          </w:p>
        </w:tc>
        <w:tc>
          <w:tcPr>
            <w:tcW w:w="1045" w:type="dxa"/>
            <w:tcBorders>
              <w:top w:val="single" w:sz="4" w:space="0" w:color="293F5B"/>
              <w:bottom w:val="single" w:sz="4" w:space="0" w:color="293F5B"/>
            </w:tcBorders>
            <w:shd w:val="clear" w:color="auto" w:fill="auto"/>
          </w:tcPr>
          <w:p w14:paraId="0B98238A" w14:textId="77777777" w:rsidR="0012790E" w:rsidRPr="001C06E6" w:rsidRDefault="0012790E">
            <w:pPr>
              <w:pStyle w:val="Totalrowitalicsrightaligned"/>
              <w:keepNext/>
            </w:pPr>
            <w:r w:rsidRPr="001C06E6">
              <w:t>31.2</w:t>
            </w:r>
          </w:p>
        </w:tc>
        <w:tc>
          <w:tcPr>
            <w:tcW w:w="1045" w:type="dxa"/>
            <w:tcBorders>
              <w:top w:val="single" w:sz="4" w:space="0" w:color="293F5B"/>
              <w:bottom w:val="single" w:sz="4" w:space="0" w:color="293F5B"/>
            </w:tcBorders>
            <w:shd w:val="clear" w:color="auto" w:fill="auto"/>
          </w:tcPr>
          <w:p w14:paraId="66980979" w14:textId="77777777" w:rsidR="0012790E" w:rsidRPr="001C06E6" w:rsidRDefault="0012790E">
            <w:pPr>
              <w:pStyle w:val="Totalrowitalicsrightaligned"/>
              <w:keepNext/>
            </w:pPr>
            <w:r w:rsidRPr="001C06E6">
              <w:t>23.8</w:t>
            </w:r>
          </w:p>
        </w:tc>
        <w:tc>
          <w:tcPr>
            <w:tcW w:w="1045" w:type="dxa"/>
            <w:tcBorders>
              <w:top w:val="single" w:sz="4" w:space="0" w:color="293F5B"/>
              <w:bottom w:val="single" w:sz="4" w:space="0" w:color="293F5B"/>
            </w:tcBorders>
            <w:shd w:val="clear" w:color="auto" w:fill="auto"/>
          </w:tcPr>
          <w:p w14:paraId="71B04477" w14:textId="77777777" w:rsidR="0012790E" w:rsidRPr="001C06E6" w:rsidRDefault="0012790E">
            <w:pPr>
              <w:pStyle w:val="Totalrowitalicsrightaligned"/>
              <w:keepNext/>
            </w:pPr>
            <w:r w:rsidRPr="001C06E6">
              <w:t>24.0</w:t>
            </w:r>
          </w:p>
        </w:tc>
      </w:tr>
    </w:tbl>
    <w:p w14:paraId="28BC4DC4" w14:textId="77777777" w:rsidR="0012790E" w:rsidRPr="001C06E6" w:rsidRDefault="0012790E">
      <w:pPr>
        <w:keepNext/>
        <w:widowControl w:val="0"/>
        <w:tabs>
          <w:tab w:val="right" w:pos="3536"/>
          <w:tab w:val="right" w:pos="4579"/>
          <w:tab w:val="right" w:pos="5622"/>
          <w:tab w:val="right" w:pos="6664"/>
          <w:tab w:val="right" w:pos="7707"/>
        </w:tabs>
        <w:spacing w:line="184" w:lineRule="exact"/>
        <w:rPr>
          <w:i/>
          <w:color w:val="000000"/>
          <w:sz w:val="16"/>
          <w:szCs w:val="24"/>
          <w:lang w:val="en-AU"/>
        </w:rPr>
      </w:pPr>
    </w:p>
    <w:p w14:paraId="5B001964" w14:textId="77777777" w:rsidR="0012790E" w:rsidRDefault="0012790E">
      <w:pPr>
        <w:pStyle w:val="Normal2"/>
      </w:pPr>
      <w:r w:rsidRPr="54937204">
        <w:rPr>
          <w:lang w:val="en-US"/>
        </w:rPr>
        <w:t xml:space="preserve">The Government will provide $206.4 million over four years from 2024–25 (and $7.2 million per year ongoing) to improve the data capability and cyber security of the Australian Prudential Regulation Authority (APRA) and the Australian Securities and Investments Commission (ASIC) and to continue the stabilisation of business registers and modernisation of legacy systems. </w:t>
      </w:r>
    </w:p>
    <w:p w14:paraId="2DDAEC38" w14:textId="77777777" w:rsidR="0012790E" w:rsidRDefault="0012790E">
      <w:pPr>
        <w:pStyle w:val="Normal2"/>
      </w:pPr>
      <w:r w:rsidRPr="001C06E6">
        <w:t>The cost of this measure will be partially met from cost recovery through ASIC and</w:t>
      </w:r>
      <w:r>
        <w:t xml:space="preserve"> </w:t>
      </w:r>
      <w:r w:rsidRPr="001C06E6">
        <w:t>APRA industry levies.</w:t>
      </w:r>
      <w:r>
        <w:t xml:space="preserve"> </w:t>
      </w:r>
    </w:p>
    <w:p w14:paraId="42A4E07C" w14:textId="77777777" w:rsidR="0012790E" w:rsidRPr="001C06E6" w:rsidRDefault="0012790E">
      <w:pPr>
        <w:pStyle w:val="Normal2"/>
      </w:pPr>
      <w:r w:rsidRPr="54937204">
        <w:rPr>
          <w:lang w:val="en-US"/>
        </w:rPr>
        <w:t xml:space="preserve">This measure builds on the 2023–24 MYEFO measure titled </w:t>
      </w:r>
      <w:r w:rsidRPr="54937204">
        <w:rPr>
          <w:i/>
          <w:iCs/>
          <w:lang w:val="en-US"/>
        </w:rPr>
        <w:t xml:space="preserve">Ceasing the Modernising Business Registers Program. </w:t>
      </w:r>
    </w:p>
    <w:p w14:paraId="4A44BB1B" w14:textId="77777777" w:rsidR="0012790E" w:rsidRPr="001C06E6" w:rsidRDefault="0012790E">
      <w:pPr>
        <w:pStyle w:val="MeasureTitle"/>
        <w:rPr>
          <w:b w:val="0"/>
          <w:szCs w:val="24"/>
        </w:rPr>
      </w:pPr>
      <w:r w:rsidRPr="001C06E6">
        <w:rPr>
          <w:szCs w:val="24"/>
        </w:rPr>
        <w:t>Energy Bill Relief Fund – extension and expansion</w:t>
      </w:r>
    </w:p>
    <w:p w14:paraId="49CACE47"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7BFE6E8E" w14:textId="77777777">
        <w:tc>
          <w:tcPr>
            <w:tcW w:w="2497" w:type="dxa"/>
            <w:tcBorders>
              <w:top w:val="single" w:sz="4" w:space="0" w:color="293F5B"/>
              <w:bottom w:val="single" w:sz="4" w:space="0" w:color="293F5B"/>
            </w:tcBorders>
            <w:shd w:val="clear" w:color="auto" w:fill="auto"/>
          </w:tcPr>
          <w:p w14:paraId="045860F9"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4D8CE881"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1C0719C"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ED331DB"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472C83A3"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1C2DF55" w14:textId="77777777" w:rsidR="0012790E" w:rsidRPr="001C06E6" w:rsidRDefault="0012790E">
            <w:pPr>
              <w:pStyle w:val="MeasureTableYearHeadings"/>
              <w:keepNext/>
            </w:pPr>
            <w:r w:rsidRPr="001C06E6">
              <w:t>2027</w:t>
            </w:r>
            <w:r>
              <w:noBreakHyphen/>
            </w:r>
            <w:r w:rsidRPr="001C06E6">
              <w:t>28</w:t>
            </w:r>
          </w:p>
        </w:tc>
      </w:tr>
      <w:tr w:rsidR="0012790E" w:rsidRPr="001C06E6" w14:paraId="1F6ADAFA" w14:textId="77777777">
        <w:tc>
          <w:tcPr>
            <w:tcW w:w="2497" w:type="dxa"/>
            <w:tcBorders>
              <w:top w:val="single" w:sz="4" w:space="0" w:color="293F5B"/>
              <w:bottom w:val="single" w:sz="4" w:space="0" w:color="293F5B"/>
            </w:tcBorders>
            <w:shd w:val="clear" w:color="auto" w:fill="auto"/>
          </w:tcPr>
          <w:p w14:paraId="6AE44401"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5211D578" w14:textId="77777777" w:rsidR="0012790E" w:rsidRPr="001C06E6" w:rsidRDefault="0012790E">
            <w:pPr>
              <w:pStyle w:val="MeasureTableDataRightAlignedwith2ptsspacing"/>
              <w:keepNext/>
            </w:pPr>
            <w:r w:rsidRPr="001C06E6">
              <w:t>0.1</w:t>
            </w:r>
          </w:p>
        </w:tc>
        <w:tc>
          <w:tcPr>
            <w:tcW w:w="1045" w:type="dxa"/>
            <w:tcBorders>
              <w:top w:val="single" w:sz="4" w:space="0" w:color="293F5B"/>
              <w:bottom w:val="single" w:sz="4" w:space="0" w:color="293F5B"/>
            </w:tcBorders>
            <w:shd w:val="clear" w:color="auto" w:fill="auto"/>
          </w:tcPr>
          <w:p w14:paraId="11374738" w14:textId="77777777" w:rsidR="0012790E" w:rsidRPr="001C06E6" w:rsidRDefault="0012790E">
            <w:pPr>
              <w:pStyle w:val="MeasureTableDataRightAlignedwith2ptsspacing"/>
              <w:keepNext/>
            </w:pPr>
            <w:r w:rsidRPr="001C06E6">
              <w:t>2,616.7</w:t>
            </w:r>
          </w:p>
        </w:tc>
        <w:tc>
          <w:tcPr>
            <w:tcW w:w="1045" w:type="dxa"/>
            <w:tcBorders>
              <w:top w:val="single" w:sz="4" w:space="0" w:color="293F5B"/>
              <w:bottom w:val="single" w:sz="4" w:space="0" w:color="293F5B"/>
            </w:tcBorders>
            <w:shd w:val="clear" w:color="auto" w:fill="auto"/>
          </w:tcPr>
          <w:p w14:paraId="10B3F508" w14:textId="77777777" w:rsidR="0012790E" w:rsidRPr="001C06E6" w:rsidRDefault="0012790E">
            <w:pPr>
              <w:pStyle w:val="MeasureTableDataRightAlignedwith2ptsspacing"/>
              <w:keepNext/>
            </w:pPr>
            <w:r w:rsidRPr="001C06E6">
              <w:t>872.2</w:t>
            </w:r>
          </w:p>
        </w:tc>
        <w:tc>
          <w:tcPr>
            <w:tcW w:w="1045" w:type="dxa"/>
            <w:tcBorders>
              <w:top w:val="single" w:sz="4" w:space="0" w:color="293F5B"/>
              <w:bottom w:val="single" w:sz="4" w:space="0" w:color="293F5B"/>
            </w:tcBorders>
            <w:shd w:val="clear" w:color="auto" w:fill="auto"/>
          </w:tcPr>
          <w:p w14:paraId="62CBE48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30B3130" w14:textId="77777777" w:rsidR="0012790E" w:rsidRPr="001C06E6" w:rsidRDefault="0012790E">
            <w:pPr>
              <w:pStyle w:val="MeasureTableDataRightAlignedwith2ptsspacing"/>
              <w:keepNext/>
            </w:pPr>
            <w:r w:rsidRPr="001C06E6">
              <w:t>-</w:t>
            </w:r>
          </w:p>
        </w:tc>
      </w:tr>
      <w:tr w:rsidR="0012790E" w:rsidRPr="001C06E6" w14:paraId="656C8F5A" w14:textId="77777777">
        <w:tc>
          <w:tcPr>
            <w:tcW w:w="2497" w:type="dxa"/>
            <w:tcBorders>
              <w:top w:val="single" w:sz="4" w:space="0" w:color="293F5B"/>
              <w:bottom w:val="single" w:sz="4" w:space="0" w:color="293F5B"/>
            </w:tcBorders>
            <w:shd w:val="clear" w:color="auto" w:fill="auto"/>
          </w:tcPr>
          <w:p w14:paraId="615F68CF"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2444ABB0"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97B3449" w14:textId="77777777" w:rsidR="0012790E" w:rsidRPr="001C06E6" w:rsidRDefault="0012790E">
            <w:pPr>
              <w:pStyle w:val="MeasureTableDataRightAlignedwith2ptsspacing"/>
              <w:keepNext/>
            </w:pPr>
            <w:r>
              <w:t xml:space="preserve">0.8   </w:t>
            </w:r>
          </w:p>
        </w:tc>
        <w:tc>
          <w:tcPr>
            <w:tcW w:w="1045" w:type="dxa"/>
            <w:tcBorders>
              <w:top w:val="single" w:sz="4" w:space="0" w:color="293F5B"/>
              <w:bottom w:val="single" w:sz="4" w:space="0" w:color="293F5B"/>
            </w:tcBorders>
            <w:shd w:val="clear" w:color="auto" w:fill="auto"/>
          </w:tcPr>
          <w:p w14:paraId="0691BAF3"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1FBDBB72"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CCCBC9C" w14:textId="77777777" w:rsidR="0012790E" w:rsidRPr="001C06E6" w:rsidRDefault="0012790E">
            <w:pPr>
              <w:pStyle w:val="MeasureTableDataRightAlignedwith2ptsspacing"/>
              <w:keepNext/>
            </w:pPr>
            <w:r>
              <w:t xml:space="preserve">-   </w:t>
            </w:r>
          </w:p>
        </w:tc>
      </w:tr>
      <w:tr w:rsidR="0012790E" w:rsidRPr="001C06E6" w14:paraId="7F1365BB" w14:textId="77777777">
        <w:tc>
          <w:tcPr>
            <w:tcW w:w="2497" w:type="dxa"/>
            <w:tcBorders>
              <w:top w:val="single" w:sz="4" w:space="0" w:color="293F5B"/>
              <w:bottom w:val="single" w:sz="4" w:space="0" w:color="293F5B"/>
            </w:tcBorders>
            <w:shd w:val="clear" w:color="auto" w:fill="auto"/>
          </w:tcPr>
          <w:p w14:paraId="10C45201"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568AAFD4" w14:textId="77777777" w:rsidR="0012790E" w:rsidRPr="001C06E6" w:rsidRDefault="0012790E">
            <w:pPr>
              <w:pStyle w:val="Totaldatarowrightaligned"/>
              <w:keepNext/>
            </w:pPr>
            <w:r w:rsidRPr="001C06E6">
              <w:t>0.1</w:t>
            </w:r>
          </w:p>
        </w:tc>
        <w:tc>
          <w:tcPr>
            <w:tcW w:w="1045" w:type="dxa"/>
            <w:tcBorders>
              <w:top w:val="single" w:sz="4" w:space="0" w:color="293F5B"/>
              <w:bottom w:val="single" w:sz="4" w:space="0" w:color="293F5B"/>
            </w:tcBorders>
            <w:shd w:val="clear" w:color="auto" w:fill="auto"/>
          </w:tcPr>
          <w:p w14:paraId="21882C16" w14:textId="77777777" w:rsidR="0012790E" w:rsidRPr="001C06E6" w:rsidRDefault="0012790E">
            <w:pPr>
              <w:pStyle w:val="Totaldatarowrightaligned"/>
              <w:keepNext/>
            </w:pPr>
            <w:r w:rsidRPr="001C06E6">
              <w:t>2,617.4</w:t>
            </w:r>
          </w:p>
        </w:tc>
        <w:tc>
          <w:tcPr>
            <w:tcW w:w="1045" w:type="dxa"/>
            <w:tcBorders>
              <w:top w:val="single" w:sz="4" w:space="0" w:color="293F5B"/>
              <w:bottom w:val="single" w:sz="4" w:space="0" w:color="293F5B"/>
            </w:tcBorders>
            <w:shd w:val="clear" w:color="auto" w:fill="auto"/>
          </w:tcPr>
          <w:p w14:paraId="00101A31" w14:textId="77777777" w:rsidR="0012790E" w:rsidRPr="001C06E6" w:rsidRDefault="0012790E">
            <w:pPr>
              <w:pStyle w:val="Totaldatarowrightaligned"/>
              <w:keepNext/>
            </w:pPr>
            <w:r w:rsidRPr="001C06E6">
              <w:t>872.2</w:t>
            </w:r>
          </w:p>
        </w:tc>
        <w:tc>
          <w:tcPr>
            <w:tcW w:w="1045" w:type="dxa"/>
            <w:tcBorders>
              <w:top w:val="single" w:sz="4" w:space="0" w:color="293F5B"/>
              <w:bottom w:val="single" w:sz="4" w:space="0" w:color="293F5B"/>
            </w:tcBorders>
            <w:shd w:val="clear" w:color="auto" w:fill="auto"/>
          </w:tcPr>
          <w:p w14:paraId="04C9873F"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42562D44" w14:textId="77777777" w:rsidR="0012790E" w:rsidRPr="001C06E6" w:rsidRDefault="0012790E">
            <w:pPr>
              <w:pStyle w:val="Totaldatarowrightaligned"/>
              <w:keepNext/>
            </w:pPr>
            <w:r w:rsidRPr="001C06E6">
              <w:t>-</w:t>
            </w:r>
          </w:p>
        </w:tc>
      </w:tr>
    </w:tbl>
    <w:p w14:paraId="2632B15E" w14:textId="77777777" w:rsidR="0012790E" w:rsidRPr="001C06E6" w:rsidRDefault="0012790E">
      <w:pPr>
        <w:keepNext/>
        <w:widowControl w:val="0"/>
        <w:tabs>
          <w:tab w:val="right" w:pos="3536"/>
          <w:tab w:val="right" w:pos="4579"/>
          <w:tab w:val="right" w:pos="5622"/>
          <w:tab w:val="right" w:pos="6664"/>
          <w:tab w:val="right" w:pos="7707"/>
        </w:tabs>
        <w:spacing w:line="184" w:lineRule="exact"/>
        <w:rPr>
          <w:color w:val="000000"/>
          <w:sz w:val="16"/>
          <w:szCs w:val="24"/>
          <w:lang w:val="en-AU"/>
        </w:rPr>
      </w:pPr>
    </w:p>
    <w:p w14:paraId="01CB3580" w14:textId="77777777" w:rsidR="0012790E" w:rsidRDefault="0012790E">
      <w:pPr>
        <w:pStyle w:val="Normal2"/>
      </w:pPr>
      <w:r w:rsidRPr="54937204">
        <w:rPr>
          <w:lang w:val="en-US"/>
        </w:rPr>
        <w:t xml:space="preserve">The Government will provide $3.5 billion over three years from 2023–24 to extend and expand the </w:t>
      </w:r>
      <w:r w:rsidRPr="54937204">
        <w:rPr>
          <w:i/>
          <w:iCs/>
          <w:lang w:val="en-US"/>
        </w:rPr>
        <w:t>Energy Bill Relief Fund</w:t>
      </w:r>
      <w:r w:rsidRPr="54937204">
        <w:rPr>
          <w:lang w:val="en-US"/>
        </w:rPr>
        <w:t xml:space="preserve"> to provide a $300 rebate to all Australian households and a $325 rebate to eligible small businesses on 2024–25 bills to provide cost of living relief. </w:t>
      </w:r>
    </w:p>
    <w:p w14:paraId="6BD01483" w14:textId="77777777" w:rsidR="0012790E" w:rsidRPr="001C06E6" w:rsidRDefault="0012790E">
      <w:pPr>
        <w:pStyle w:val="Normal2"/>
      </w:pPr>
      <w:r w:rsidRPr="001C06E6">
        <w:t xml:space="preserve">This measure partially extends the </w:t>
      </w:r>
      <w:r>
        <w:t>2023–24 </w:t>
      </w:r>
      <w:r w:rsidRPr="001C06E6">
        <w:t xml:space="preserve">Budget measure titled </w:t>
      </w:r>
      <w:r w:rsidRPr="001C06E6">
        <w:rPr>
          <w:i/>
        </w:rPr>
        <w:t>Energy Price</w:t>
      </w:r>
      <w:r>
        <w:rPr>
          <w:i/>
        </w:rPr>
        <w:t xml:space="preserve"> </w:t>
      </w:r>
      <w:r w:rsidRPr="001C06E6">
        <w:rPr>
          <w:i/>
        </w:rPr>
        <w:t>Relief Plan.</w:t>
      </w:r>
      <w:r>
        <w:rPr>
          <w:i/>
        </w:rPr>
        <w:t xml:space="preserve"> </w:t>
      </w:r>
    </w:p>
    <w:p w14:paraId="28AFDB75" w14:textId="77777777" w:rsidR="0012790E" w:rsidRPr="001C06E6" w:rsidRDefault="0012790E">
      <w:pPr>
        <w:pStyle w:val="MeasureTitle"/>
        <w:rPr>
          <w:b w:val="0"/>
          <w:szCs w:val="24"/>
        </w:rPr>
      </w:pPr>
      <w:r w:rsidRPr="001C06E6">
        <w:rPr>
          <w:szCs w:val="24"/>
        </w:rPr>
        <w:t>Fighting Scams</w:t>
      </w:r>
    </w:p>
    <w:p w14:paraId="7D82D744"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603E369A" w14:textId="77777777">
        <w:tc>
          <w:tcPr>
            <w:tcW w:w="2497" w:type="dxa"/>
            <w:tcBorders>
              <w:top w:val="single" w:sz="4" w:space="0" w:color="293F5B"/>
              <w:bottom w:val="single" w:sz="4" w:space="0" w:color="293F5B"/>
            </w:tcBorders>
            <w:shd w:val="clear" w:color="auto" w:fill="auto"/>
          </w:tcPr>
          <w:p w14:paraId="1F893BA6"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EC2112A"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26196B80"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383DCF10"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363D702E"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6E05669B" w14:textId="77777777" w:rsidR="0012790E" w:rsidRPr="001C06E6" w:rsidRDefault="0012790E">
            <w:pPr>
              <w:pStyle w:val="MeasureTableYearHeadings"/>
              <w:keepNext/>
            </w:pPr>
            <w:r w:rsidRPr="001C06E6">
              <w:t>2027</w:t>
            </w:r>
            <w:r>
              <w:noBreakHyphen/>
            </w:r>
            <w:r w:rsidRPr="001C06E6">
              <w:t>28</w:t>
            </w:r>
          </w:p>
        </w:tc>
      </w:tr>
      <w:tr w:rsidR="0012790E" w:rsidRPr="001C06E6" w14:paraId="204A1C88" w14:textId="77777777">
        <w:tc>
          <w:tcPr>
            <w:tcW w:w="2497" w:type="dxa"/>
            <w:tcBorders>
              <w:top w:val="single" w:sz="4" w:space="0" w:color="293F5B"/>
              <w:bottom w:val="single" w:sz="4" w:space="0" w:color="293F5B"/>
            </w:tcBorders>
            <w:shd w:val="clear" w:color="auto" w:fill="auto"/>
          </w:tcPr>
          <w:p w14:paraId="4DC19A2C" w14:textId="77777777" w:rsidR="0012790E" w:rsidRPr="001C06E6" w:rsidRDefault="0012790E">
            <w:pPr>
              <w:pStyle w:val="MeasureTableHeadingleftalignedwith2ptsspacing"/>
              <w:keepNext/>
            </w:pPr>
            <w:r>
              <w:t xml:space="preserve">Australian Competition and Consumer Commission </w:t>
            </w:r>
          </w:p>
        </w:tc>
        <w:tc>
          <w:tcPr>
            <w:tcW w:w="1045" w:type="dxa"/>
            <w:tcBorders>
              <w:top w:val="single" w:sz="4" w:space="0" w:color="293F5B"/>
              <w:bottom w:val="single" w:sz="4" w:space="0" w:color="293F5B"/>
            </w:tcBorders>
            <w:shd w:val="clear" w:color="auto" w:fill="auto"/>
          </w:tcPr>
          <w:p w14:paraId="174456DD"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3C51DB3" w14:textId="77777777" w:rsidR="0012790E" w:rsidRPr="001C06E6" w:rsidRDefault="0012790E">
            <w:pPr>
              <w:pStyle w:val="MeasureTableDataRightAlignedwith2ptsspacing"/>
              <w:keepNext/>
            </w:pPr>
            <w:r>
              <w:t xml:space="preserve">9.6 </w:t>
            </w:r>
          </w:p>
        </w:tc>
        <w:tc>
          <w:tcPr>
            <w:tcW w:w="1045" w:type="dxa"/>
            <w:tcBorders>
              <w:top w:val="single" w:sz="4" w:space="0" w:color="293F5B"/>
              <w:bottom w:val="single" w:sz="4" w:space="0" w:color="293F5B"/>
            </w:tcBorders>
            <w:shd w:val="clear" w:color="auto" w:fill="auto"/>
          </w:tcPr>
          <w:p w14:paraId="2C112575" w14:textId="77777777" w:rsidR="0012790E" w:rsidRPr="001C06E6" w:rsidRDefault="0012790E">
            <w:pPr>
              <w:pStyle w:val="MeasureTableDataRightAlignedwith2ptsspacing"/>
              <w:keepNext/>
            </w:pPr>
            <w:r>
              <w:t xml:space="preserve">3.8 </w:t>
            </w:r>
          </w:p>
        </w:tc>
        <w:tc>
          <w:tcPr>
            <w:tcW w:w="1045" w:type="dxa"/>
            <w:tcBorders>
              <w:top w:val="single" w:sz="4" w:space="0" w:color="293F5B"/>
              <w:bottom w:val="single" w:sz="4" w:space="0" w:color="293F5B"/>
            </w:tcBorders>
            <w:shd w:val="clear" w:color="auto" w:fill="auto"/>
          </w:tcPr>
          <w:p w14:paraId="28D6D3A5" w14:textId="77777777" w:rsidR="0012790E" w:rsidRPr="001C06E6" w:rsidRDefault="0012790E">
            <w:pPr>
              <w:pStyle w:val="MeasureTableDataRightAlignedwith2ptsspacing"/>
              <w:keepNext/>
            </w:pPr>
            <w:r>
              <w:t xml:space="preserve">3.7 </w:t>
            </w:r>
          </w:p>
        </w:tc>
        <w:tc>
          <w:tcPr>
            <w:tcW w:w="1045" w:type="dxa"/>
            <w:tcBorders>
              <w:top w:val="single" w:sz="4" w:space="0" w:color="293F5B"/>
              <w:bottom w:val="single" w:sz="4" w:space="0" w:color="293F5B"/>
            </w:tcBorders>
            <w:shd w:val="clear" w:color="auto" w:fill="auto"/>
          </w:tcPr>
          <w:p w14:paraId="5482281F" w14:textId="77777777" w:rsidR="0012790E" w:rsidRPr="001C06E6" w:rsidRDefault="0012790E">
            <w:pPr>
              <w:pStyle w:val="MeasureTableDataRightAlignedwith2ptsspacing"/>
              <w:keepNext/>
            </w:pPr>
            <w:r>
              <w:t xml:space="preserve">4.0 </w:t>
            </w:r>
          </w:p>
        </w:tc>
      </w:tr>
      <w:tr w:rsidR="0012790E" w:rsidRPr="001C06E6" w14:paraId="6AB6F89E" w14:textId="77777777">
        <w:tc>
          <w:tcPr>
            <w:tcW w:w="2497" w:type="dxa"/>
            <w:tcBorders>
              <w:top w:val="single" w:sz="4" w:space="0" w:color="293F5B"/>
              <w:bottom w:val="single" w:sz="4" w:space="0" w:color="293F5B"/>
            </w:tcBorders>
            <w:shd w:val="clear" w:color="auto" w:fill="auto"/>
          </w:tcPr>
          <w:p w14:paraId="56355D21"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58429F0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EDB491A" w14:textId="77777777" w:rsidR="0012790E" w:rsidRPr="001C06E6" w:rsidRDefault="0012790E">
            <w:pPr>
              <w:pStyle w:val="MeasureTableDataRightAlignedwith2ptsspacing"/>
              <w:keepNext/>
            </w:pPr>
            <w:r w:rsidRPr="001C06E6">
              <w:t>7.6</w:t>
            </w:r>
          </w:p>
        </w:tc>
        <w:tc>
          <w:tcPr>
            <w:tcW w:w="1045" w:type="dxa"/>
            <w:tcBorders>
              <w:top w:val="single" w:sz="4" w:space="0" w:color="293F5B"/>
              <w:bottom w:val="single" w:sz="4" w:space="0" w:color="293F5B"/>
            </w:tcBorders>
            <w:shd w:val="clear" w:color="auto" w:fill="auto"/>
          </w:tcPr>
          <w:p w14:paraId="0D902C76" w14:textId="77777777" w:rsidR="0012790E" w:rsidRPr="001C06E6" w:rsidRDefault="0012790E">
            <w:pPr>
              <w:pStyle w:val="MeasureTableDataRightAlignedwith2ptsspacing"/>
              <w:keepNext/>
            </w:pPr>
            <w:r w:rsidRPr="001C06E6">
              <w:t>6.2</w:t>
            </w:r>
          </w:p>
        </w:tc>
        <w:tc>
          <w:tcPr>
            <w:tcW w:w="1045" w:type="dxa"/>
            <w:tcBorders>
              <w:top w:val="single" w:sz="4" w:space="0" w:color="293F5B"/>
              <w:bottom w:val="single" w:sz="4" w:space="0" w:color="293F5B"/>
            </w:tcBorders>
            <w:shd w:val="clear" w:color="auto" w:fill="auto"/>
          </w:tcPr>
          <w:p w14:paraId="6F065F50" w14:textId="77777777" w:rsidR="0012790E" w:rsidRPr="001C06E6" w:rsidRDefault="0012790E">
            <w:pPr>
              <w:pStyle w:val="MeasureTableDataRightAlignedwith2ptsspacing"/>
              <w:keepNext/>
            </w:pPr>
            <w:r w:rsidRPr="001C06E6">
              <w:t>5.4</w:t>
            </w:r>
          </w:p>
        </w:tc>
        <w:tc>
          <w:tcPr>
            <w:tcW w:w="1045" w:type="dxa"/>
            <w:tcBorders>
              <w:top w:val="single" w:sz="4" w:space="0" w:color="293F5B"/>
              <w:bottom w:val="single" w:sz="4" w:space="0" w:color="293F5B"/>
            </w:tcBorders>
            <w:shd w:val="clear" w:color="auto" w:fill="auto"/>
          </w:tcPr>
          <w:p w14:paraId="628385F5" w14:textId="77777777" w:rsidR="0012790E" w:rsidRPr="001C06E6" w:rsidRDefault="0012790E">
            <w:pPr>
              <w:pStyle w:val="MeasureTableDataRightAlignedwith2ptsspacing"/>
              <w:keepNext/>
            </w:pPr>
            <w:r w:rsidRPr="001C06E6">
              <w:t>4.1</w:t>
            </w:r>
          </w:p>
        </w:tc>
      </w:tr>
      <w:tr w:rsidR="0012790E" w:rsidRPr="001C06E6" w14:paraId="1F861EA4" w14:textId="77777777">
        <w:tc>
          <w:tcPr>
            <w:tcW w:w="2497" w:type="dxa"/>
            <w:tcBorders>
              <w:top w:val="single" w:sz="4" w:space="0" w:color="293F5B"/>
              <w:bottom w:val="single" w:sz="4" w:space="0" w:color="293F5B"/>
            </w:tcBorders>
            <w:shd w:val="clear" w:color="auto" w:fill="auto"/>
          </w:tcPr>
          <w:p w14:paraId="086CC5D4" w14:textId="77777777" w:rsidR="0012790E" w:rsidRPr="001C06E6" w:rsidRDefault="0012790E">
            <w:pPr>
              <w:pStyle w:val="MeasureTableHeadingleftalignedwith2ptsspacing"/>
              <w:keepNext/>
            </w:pPr>
            <w:r>
              <w:t xml:space="preserve">Australian Communications and Media Authority </w:t>
            </w:r>
          </w:p>
        </w:tc>
        <w:tc>
          <w:tcPr>
            <w:tcW w:w="1045" w:type="dxa"/>
            <w:tcBorders>
              <w:top w:val="single" w:sz="4" w:space="0" w:color="293F5B"/>
              <w:bottom w:val="single" w:sz="4" w:space="0" w:color="293F5B"/>
            </w:tcBorders>
            <w:shd w:val="clear" w:color="auto" w:fill="auto"/>
          </w:tcPr>
          <w:p w14:paraId="4FEE163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7BD7A275" w14:textId="77777777" w:rsidR="0012790E" w:rsidRPr="001C06E6" w:rsidRDefault="0012790E">
            <w:pPr>
              <w:pStyle w:val="MeasureTableDataRightAlignedwith2ptsspacing"/>
              <w:keepNext/>
            </w:pPr>
            <w:r>
              <w:t xml:space="preserve">4.9 </w:t>
            </w:r>
          </w:p>
        </w:tc>
        <w:tc>
          <w:tcPr>
            <w:tcW w:w="1045" w:type="dxa"/>
            <w:tcBorders>
              <w:top w:val="single" w:sz="4" w:space="0" w:color="293F5B"/>
              <w:bottom w:val="single" w:sz="4" w:space="0" w:color="293F5B"/>
            </w:tcBorders>
            <w:shd w:val="clear" w:color="auto" w:fill="auto"/>
          </w:tcPr>
          <w:p w14:paraId="1A805838" w14:textId="77777777" w:rsidR="0012790E" w:rsidRPr="001C06E6" w:rsidRDefault="0012790E">
            <w:pPr>
              <w:pStyle w:val="MeasureTableDataRightAlignedwith2ptsspacing"/>
              <w:keepNext/>
            </w:pPr>
            <w:r>
              <w:t xml:space="preserve">2.5 </w:t>
            </w:r>
          </w:p>
        </w:tc>
        <w:tc>
          <w:tcPr>
            <w:tcW w:w="1045" w:type="dxa"/>
            <w:tcBorders>
              <w:top w:val="single" w:sz="4" w:space="0" w:color="293F5B"/>
              <w:bottom w:val="single" w:sz="4" w:space="0" w:color="293F5B"/>
            </w:tcBorders>
            <w:shd w:val="clear" w:color="auto" w:fill="auto"/>
          </w:tcPr>
          <w:p w14:paraId="48C51D9B" w14:textId="77777777" w:rsidR="0012790E" w:rsidRPr="001C06E6" w:rsidRDefault="0012790E">
            <w:pPr>
              <w:pStyle w:val="MeasureTableDataRightAlignedwith2ptsspacing"/>
              <w:keepNext/>
            </w:pPr>
            <w:r>
              <w:t xml:space="preserve">2.5 </w:t>
            </w:r>
          </w:p>
        </w:tc>
        <w:tc>
          <w:tcPr>
            <w:tcW w:w="1045" w:type="dxa"/>
            <w:tcBorders>
              <w:top w:val="single" w:sz="4" w:space="0" w:color="293F5B"/>
              <w:bottom w:val="single" w:sz="4" w:space="0" w:color="293F5B"/>
            </w:tcBorders>
            <w:shd w:val="clear" w:color="auto" w:fill="auto"/>
          </w:tcPr>
          <w:p w14:paraId="4D0DA52A" w14:textId="77777777" w:rsidR="0012790E" w:rsidRPr="001C06E6" w:rsidRDefault="0012790E">
            <w:pPr>
              <w:pStyle w:val="MeasureTableDataRightAlignedwith2ptsspacing"/>
              <w:keepNext/>
            </w:pPr>
            <w:r>
              <w:t xml:space="preserve">2.5 </w:t>
            </w:r>
          </w:p>
        </w:tc>
      </w:tr>
      <w:tr w:rsidR="0012790E" w:rsidRPr="001C06E6" w14:paraId="51E06CEE" w14:textId="77777777">
        <w:tc>
          <w:tcPr>
            <w:tcW w:w="2497" w:type="dxa"/>
            <w:tcBorders>
              <w:top w:val="single" w:sz="4" w:space="0" w:color="293F5B"/>
              <w:bottom w:val="single" w:sz="4" w:space="0" w:color="293F5B"/>
            </w:tcBorders>
            <w:shd w:val="clear" w:color="auto" w:fill="auto"/>
          </w:tcPr>
          <w:p w14:paraId="77524002" w14:textId="77777777" w:rsidR="0012790E" w:rsidRPr="001C06E6" w:rsidRDefault="0012790E">
            <w:pPr>
              <w:pStyle w:val="MeasureTableHeadingleftalignedwith2ptsspacing"/>
              <w:keepNext/>
            </w:pPr>
            <w:r>
              <w:t xml:space="preserve">Australian Securities and Investments Commission </w:t>
            </w:r>
          </w:p>
        </w:tc>
        <w:tc>
          <w:tcPr>
            <w:tcW w:w="1045" w:type="dxa"/>
            <w:tcBorders>
              <w:top w:val="single" w:sz="4" w:space="0" w:color="293F5B"/>
              <w:bottom w:val="single" w:sz="4" w:space="0" w:color="293F5B"/>
            </w:tcBorders>
            <w:shd w:val="clear" w:color="auto" w:fill="auto"/>
          </w:tcPr>
          <w:p w14:paraId="296E830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FA5E948" w14:textId="77777777" w:rsidR="0012790E" w:rsidRPr="001C06E6" w:rsidRDefault="0012790E">
            <w:pPr>
              <w:pStyle w:val="MeasureTableDataRightAlignedwith2ptsspacing"/>
              <w:keepNext/>
            </w:pPr>
            <w:r>
              <w:t xml:space="preserve">3.1 </w:t>
            </w:r>
          </w:p>
        </w:tc>
        <w:tc>
          <w:tcPr>
            <w:tcW w:w="1045" w:type="dxa"/>
            <w:tcBorders>
              <w:top w:val="single" w:sz="4" w:space="0" w:color="293F5B"/>
              <w:bottom w:val="single" w:sz="4" w:space="0" w:color="293F5B"/>
            </w:tcBorders>
            <w:shd w:val="clear" w:color="auto" w:fill="auto"/>
          </w:tcPr>
          <w:p w14:paraId="6AF3300B" w14:textId="77777777" w:rsidR="0012790E" w:rsidRPr="001C06E6" w:rsidRDefault="0012790E">
            <w:pPr>
              <w:pStyle w:val="MeasureTableDataRightAlignedwith2ptsspacing"/>
              <w:keepNext/>
            </w:pPr>
            <w:r>
              <w:t xml:space="preserve">2.7 </w:t>
            </w:r>
          </w:p>
        </w:tc>
        <w:tc>
          <w:tcPr>
            <w:tcW w:w="1045" w:type="dxa"/>
            <w:tcBorders>
              <w:top w:val="single" w:sz="4" w:space="0" w:color="293F5B"/>
              <w:bottom w:val="single" w:sz="4" w:space="0" w:color="293F5B"/>
            </w:tcBorders>
            <w:shd w:val="clear" w:color="auto" w:fill="auto"/>
          </w:tcPr>
          <w:p w14:paraId="0E86FB61" w14:textId="77777777" w:rsidR="0012790E" w:rsidRPr="001C06E6" w:rsidRDefault="0012790E">
            <w:pPr>
              <w:pStyle w:val="MeasureTableDataRightAlignedwith2ptsspacing"/>
              <w:keepNext/>
            </w:pPr>
            <w:r>
              <w:t xml:space="preserve">2.1 </w:t>
            </w:r>
          </w:p>
        </w:tc>
        <w:tc>
          <w:tcPr>
            <w:tcW w:w="1045" w:type="dxa"/>
            <w:tcBorders>
              <w:top w:val="single" w:sz="4" w:space="0" w:color="293F5B"/>
              <w:bottom w:val="single" w:sz="4" w:space="0" w:color="293F5B"/>
            </w:tcBorders>
            <w:shd w:val="clear" w:color="auto" w:fill="auto"/>
          </w:tcPr>
          <w:p w14:paraId="6B666292" w14:textId="77777777" w:rsidR="0012790E" w:rsidRPr="001C06E6" w:rsidRDefault="0012790E">
            <w:pPr>
              <w:pStyle w:val="MeasureTableDataRightAlignedwith2ptsspacing"/>
              <w:keepNext/>
            </w:pPr>
            <w:r>
              <w:t xml:space="preserve">2.1 </w:t>
            </w:r>
          </w:p>
        </w:tc>
      </w:tr>
      <w:tr w:rsidR="0012790E" w:rsidRPr="001C06E6" w14:paraId="1286B806" w14:textId="77777777">
        <w:tc>
          <w:tcPr>
            <w:tcW w:w="2497" w:type="dxa"/>
            <w:tcBorders>
              <w:top w:val="single" w:sz="4" w:space="0" w:color="293F5B"/>
              <w:bottom w:val="single" w:sz="4" w:space="0" w:color="293F5B"/>
            </w:tcBorders>
            <w:shd w:val="clear" w:color="auto" w:fill="auto"/>
          </w:tcPr>
          <w:p w14:paraId="01733A0A"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3C863B7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4A34588" w14:textId="2C5A893F" w:rsidR="0012790E" w:rsidRPr="001C06E6" w:rsidRDefault="00CA13C9">
            <w:pPr>
              <w:pStyle w:val="MeasureTableDataRightAlignedwith2ptsspacing"/>
              <w:keepNext/>
            </w:pPr>
            <w:r>
              <w:t>1</w:t>
            </w:r>
            <w:r w:rsidR="0012790E" w:rsidRPr="001C06E6">
              <w:t>.4</w:t>
            </w:r>
          </w:p>
        </w:tc>
        <w:tc>
          <w:tcPr>
            <w:tcW w:w="1045" w:type="dxa"/>
            <w:tcBorders>
              <w:top w:val="single" w:sz="4" w:space="0" w:color="293F5B"/>
              <w:bottom w:val="single" w:sz="4" w:space="0" w:color="293F5B"/>
            </w:tcBorders>
            <w:shd w:val="clear" w:color="auto" w:fill="auto"/>
          </w:tcPr>
          <w:p w14:paraId="06AF2B6E" w14:textId="77777777" w:rsidR="0012790E" w:rsidRPr="001C06E6" w:rsidRDefault="0012790E">
            <w:pPr>
              <w:pStyle w:val="MeasureTableDataRightAlignedwith2ptsspacing"/>
              <w:keepNext/>
            </w:pPr>
            <w:r w:rsidRPr="001C06E6">
              <w:t>0.2</w:t>
            </w:r>
          </w:p>
        </w:tc>
        <w:tc>
          <w:tcPr>
            <w:tcW w:w="1045" w:type="dxa"/>
            <w:tcBorders>
              <w:top w:val="single" w:sz="4" w:space="0" w:color="293F5B"/>
              <w:bottom w:val="single" w:sz="4" w:space="0" w:color="293F5B"/>
            </w:tcBorders>
            <w:shd w:val="clear" w:color="auto" w:fill="auto"/>
          </w:tcPr>
          <w:p w14:paraId="0921D73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249C13A" w14:textId="77777777" w:rsidR="0012790E" w:rsidRPr="001C06E6" w:rsidRDefault="0012790E">
            <w:pPr>
              <w:pStyle w:val="MeasureTableDataRightAlignedwith2ptsspacing"/>
              <w:keepNext/>
            </w:pPr>
            <w:r w:rsidRPr="001C06E6">
              <w:t>-</w:t>
            </w:r>
          </w:p>
        </w:tc>
      </w:tr>
      <w:tr w:rsidR="0012790E" w:rsidRPr="001C06E6" w14:paraId="32A0954C" w14:textId="77777777">
        <w:tc>
          <w:tcPr>
            <w:tcW w:w="2497" w:type="dxa"/>
            <w:tcBorders>
              <w:top w:val="single" w:sz="4" w:space="0" w:color="293F5B"/>
              <w:bottom w:val="single" w:sz="4" w:space="0" w:color="293F5B"/>
            </w:tcBorders>
            <w:shd w:val="clear" w:color="auto" w:fill="auto"/>
          </w:tcPr>
          <w:p w14:paraId="554E6BA9"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3C85160D"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58ABBA87" w14:textId="77777777" w:rsidR="0012790E" w:rsidRPr="001C06E6" w:rsidRDefault="0012790E">
            <w:pPr>
              <w:pStyle w:val="Totaldatarowrightaligned"/>
              <w:keepNext/>
            </w:pPr>
            <w:r w:rsidRPr="001C06E6">
              <w:t>26.7</w:t>
            </w:r>
          </w:p>
        </w:tc>
        <w:tc>
          <w:tcPr>
            <w:tcW w:w="1045" w:type="dxa"/>
            <w:tcBorders>
              <w:top w:val="single" w:sz="4" w:space="0" w:color="293F5B"/>
              <w:bottom w:val="single" w:sz="4" w:space="0" w:color="293F5B"/>
            </w:tcBorders>
            <w:shd w:val="clear" w:color="auto" w:fill="auto"/>
          </w:tcPr>
          <w:p w14:paraId="4F1FA3A9" w14:textId="77777777" w:rsidR="0012790E" w:rsidRPr="001C06E6" w:rsidRDefault="0012790E">
            <w:pPr>
              <w:pStyle w:val="Totaldatarowrightaligned"/>
              <w:keepNext/>
            </w:pPr>
            <w:r w:rsidRPr="001C06E6">
              <w:t>15.4</w:t>
            </w:r>
          </w:p>
        </w:tc>
        <w:tc>
          <w:tcPr>
            <w:tcW w:w="1045" w:type="dxa"/>
            <w:tcBorders>
              <w:top w:val="single" w:sz="4" w:space="0" w:color="293F5B"/>
              <w:bottom w:val="single" w:sz="4" w:space="0" w:color="293F5B"/>
            </w:tcBorders>
            <w:shd w:val="clear" w:color="auto" w:fill="auto"/>
          </w:tcPr>
          <w:p w14:paraId="0BD66357" w14:textId="77777777" w:rsidR="0012790E" w:rsidRPr="001C06E6" w:rsidRDefault="0012790E">
            <w:pPr>
              <w:pStyle w:val="Totaldatarowrightaligned"/>
              <w:keepNext/>
            </w:pPr>
            <w:r w:rsidRPr="001C06E6">
              <w:t>13.6</w:t>
            </w:r>
          </w:p>
        </w:tc>
        <w:tc>
          <w:tcPr>
            <w:tcW w:w="1045" w:type="dxa"/>
            <w:tcBorders>
              <w:top w:val="single" w:sz="4" w:space="0" w:color="293F5B"/>
              <w:bottom w:val="single" w:sz="4" w:space="0" w:color="293F5B"/>
            </w:tcBorders>
            <w:shd w:val="clear" w:color="auto" w:fill="auto"/>
          </w:tcPr>
          <w:p w14:paraId="3AADA505" w14:textId="77777777" w:rsidR="0012790E" w:rsidRPr="001C06E6" w:rsidRDefault="0012790E">
            <w:pPr>
              <w:pStyle w:val="Totaldatarowrightaligned"/>
              <w:keepNext/>
            </w:pPr>
            <w:r w:rsidRPr="001C06E6">
              <w:t>12.8</w:t>
            </w:r>
          </w:p>
        </w:tc>
      </w:tr>
      <w:tr w:rsidR="0012790E" w:rsidRPr="001C06E6" w14:paraId="29084CB4" w14:textId="77777777">
        <w:tc>
          <w:tcPr>
            <w:tcW w:w="2497" w:type="dxa"/>
            <w:tcBorders>
              <w:top w:val="single" w:sz="4" w:space="0" w:color="293F5B"/>
            </w:tcBorders>
            <w:shd w:val="clear" w:color="auto" w:fill="auto"/>
          </w:tcPr>
          <w:p w14:paraId="558C4E56"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02A62F42" w14:textId="77777777" w:rsidR="0012790E" w:rsidRPr="001C06E6" w:rsidRDefault="0012790E">
            <w:pPr>
              <w:pStyle w:val="AgencyName"/>
              <w:keepNext/>
            </w:pPr>
          </w:p>
        </w:tc>
        <w:tc>
          <w:tcPr>
            <w:tcW w:w="1045" w:type="dxa"/>
            <w:tcBorders>
              <w:top w:val="single" w:sz="4" w:space="0" w:color="293F5B"/>
            </w:tcBorders>
            <w:shd w:val="clear" w:color="auto" w:fill="auto"/>
          </w:tcPr>
          <w:p w14:paraId="3C6FADAD" w14:textId="77777777" w:rsidR="0012790E" w:rsidRPr="001C06E6" w:rsidRDefault="0012790E">
            <w:pPr>
              <w:pStyle w:val="AgencyName"/>
              <w:keepNext/>
            </w:pPr>
          </w:p>
        </w:tc>
        <w:tc>
          <w:tcPr>
            <w:tcW w:w="1045" w:type="dxa"/>
            <w:tcBorders>
              <w:top w:val="single" w:sz="4" w:space="0" w:color="293F5B"/>
            </w:tcBorders>
            <w:shd w:val="clear" w:color="auto" w:fill="auto"/>
          </w:tcPr>
          <w:p w14:paraId="23669042" w14:textId="77777777" w:rsidR="0012790E" w:rsidRPr="001C06E6" w:rsidRDefault="0012790E">
            <w:pPr>
              <w:pStyle w:val="AgencyName"/>
              <w:keepNext/>
            </w:pPr>
          </w:p>
        </w:tc>
        <w:tc>
          <w:tcPr>
            <w:tcW w:w="1045" w:type="dxa"/>
            <w:tcBorders>
              <w:top w:val="single" w:sz="4" w:space="0" w:color="293F5B"/>
            </w:tcBorders>
            <w:shd w:val="clear" w:color="auto" w:fill="auto"/>
          </w:tcPr>
          <w:p w14:paraId="30B8E641" w14:textId="77777777" w:rsidR="0012790E" w:rsidRPr="001C06E6" w:rsidRDefault="0012790E">
            <w:pPr>
              <w:pStyle w:val="AgencyName"/>
              <w:keepNext/>
            </w:pPr>
          </w:p>
        </w:tc>
        <w:tc>
          <w:tcPr>
            <w:tcW w:w="1045" w:type="dxa"/>
            <w:tcBorders>
              <w:top w:val="single" w:sz="4" w:space="0" w:color="293F5B"/>
            </w:tcBorders>
            <w:shd w:val="clear" w:color="auto" w:fill="auto"/>
          </w:tcPr>
          <w:p w14:paraId="406620E2" w14:textId="77777777" w:rsidR="0012790E" w:rsidRPr="001C06E6" w:rsidRDefault="0012790E">
            <w:pPr>
              <w:pStyle w:val="AgencyName"/>
              <w:keepNext/>
            </w:pPr>
          </w:p>
        </w:tc>
      </w:tr>
      <w:tr w:rsidR="0012790E" w:rsidRPr="001C06E6" w14:paraId="69654D43" w14:textId="77777777">
        <w:tc>
          <w:tcPr>
            <w:tcW w:w="2497" w:type="dxa"/>
            <w:tcBorders>
              <w:bottom w:val="single" w:sz="4" w:space="0" w:color="293F5B"/>
            </w:tcBorders>
            <w:shd w:val="clear" w:color="auto" w:fill="auto"/>
          </w:tcPr>
          <w:p w14:paraId="3E735D9F" w14:textId="77777777" w:rsidR="0012790E" w:rsidRPr="001C06E6" w:rsidRDefault="0012790E">
            <w:pPr>
              <w:pStyle w:val="AgencyNamewith2ptsspacing"/>
              <w:keepNext/>
            </w:pPr>
            <w:r>
              <w:t xml:space="preserve">Australian Communications and Media Authority </w:t>
            </w:r>
          </w:p>
        </w:tc>
        <w:tc>
          <w:tcPr>
            <w:tcW w:w="1045" w:type="dxa"/>
            <w:tcBorders>
              <w:bottom w:val="single" w:sz="4" w:space="0" w:color="293F5B"/>
            </w:tcBorders>
            <w:shd w:val="clear" w:color="auto" w:fill="auto"/>
          </w:tcPr>
          <w:p w14:paraId="6ADB7A7F"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00F73CE5"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27E7E041" w14:textId="77777777" w:rsidR="0012790E" w:rsidRPr="001C06E6" w:rsidRDefault="0012790E">
            <w:pPr>
              <w:pStyle w:val="Measuretabledatarightaligneditalics"/>
              <w:keepNext/>
            </w:pPr>
            <w:r>
              <w:t xml:space="preserve">4.9 </w:t>
            </w:r>
          </w:p>
        </w:tc>
        <w:tc>
          <w:tcPr>
            <w:tcW w:w="1045" w:type="dxa"/>
            <w:tcBorders>
              <w:bottom w:val="single" w:sz="4" w:space="0" w:color="293F5B"/>
            </w:tcBorders>
            <w:shd w:val="clear" w:color="auto" w:fill="auto"/>
          </w:tcPr>
          <w:p w14:paraId="0592E6E6" w14:textId="77777777" w:rsidR="0012790E" w:rsidRPr="001C06E6" w:rsidRDefault="0012790E">
            <w:pPr>
              <w:pStyle w:val="Measuretabledatarightaligneditalics"/>
              <w:keepNext/>
            </w:pPr>
            <w:r>
              <w:t xml:space="preserve">2.5 </w:t>
            </w:r>
          </w:p>
        </w:tc>
        <w:tc>
          <w:tcPr>
            <w:tcW w:w="1045" w:type="dxa"/>
            <w:tcBorders>
              <w:bottom w:val="single" w:sz="4" w:space="0" w:color="293F5B"/>
            </w:tcBorders>
            <w:shd w:val="clear" w:color="auto" w:fill="auto"/>
          </w:tcPr>
          <w:p w14:paraId="6FB0B6E4" w14:textId="77777777" w:rsidR="0012790E" w:rsidRPr="001C06E6" w:rsidRDefault="0012790E">
            <w:pPr>
              <w:pStyle w:val="Measuretabledatarightaligneditalics"/>
              <w:keepNext/>
            </w:pPr>
            <w:r>
              <w:t xml:space="preserve">2.5 </w:t>
            </w:r>
          </w:p>
        </w:tc>
      </w:tr>
      <w:tr w:rsidR="0012790E" w:rsidRPr="001C06E6" w14:paraId="1B48AD4C" w14:textId="77777777">
        <w:tc>
          <w:tcPr>
            <w:tcW w:w="2497" w:type="dxa"/>
            <w:tcBorders>
              <w:top w:val="single" w:sz="4" w:space="0" w:color="293F5B"/>
              <w:bottom w:val="single" w:sz="4" w:space="0" w:color="293F5B"/>
            </w:tcBorders>
            <w:shd w:val="clear" w:color="auto" w:fill="auto"/>
          </w:tcPr>
          <w:p w14:paraId="6E51F24E" w14:textId="77777777" w:rsidR="0012790E" w:rsidRPr="001C06E6" w:rsidRDefault="0012790E">
            <w:pPr>
              <w:pStyle w:val="AgencyNamewith2ptsspacing"/>
              <w:keepNext/>
            </w:pPr>
            <w:r>
              <w:t xml:space="preserve">Australian Securities and Investments Commission </w:t>
            </w:r>
          </w:p>
        </w:tc>
        <w:tc>
          <w:tcPr>
            <w:tcW w:w="1045" w:type="dxa"/>
            <w:tcBorders>
              <w:top w:val="single" w:sz="4" w:space="0" w:color="293F5B"/>
              <w:bottom w:val="single" w:sz="4" w:space="0" w:color="293F5B"/>
            </w:tcBorders>
            <w:shd w:val="clear" w:color="auto" w:fill="auto"/>
          </w:tcPr>
          <w:p w14:paraId="58C99AE9"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4948D128"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098CD6AF" w14:textId="77777777" w:rsidR="0012790E" w:rsidRPr="001C06E6" w:rsidRDefault="0012790E">
            <w:pPr>
              <w:pStyle w:val="Measuretabledatarightaligneditalics"/>
              <w:keepNext/>
            </w:pPr>
            <w:r>
              <w:t xml:space="preserve">3.1 </w:t>
            </w:r>
          </w:p>
        </w:tc>
        <w:tc>
          <w:tcPr>
            <w:tcW w:w="1045" w:type="dxa"/>
            <w:tcBorders>
              <w:top w:val="single" w:sz="4" w:space="0" w:color="293F5B"/>
              <w:bottom w:val="single" w:sz="4" w:space="0" w:color="293F5B"/>
            </w:tcBorders>
            <w:shd w:val="clear" w:color="auto" w:fill="auto"/>
          </w:tcPr>
          <w:p w14:paraId="7B14A14E" w14:textId="77777777" w:rsidR="0012790E" w:rsidRPr="001C06E6" w:rsidRDefault="0012790E">
            <w:pPr>
              <w:pStyle w:val="Measuretabledatarightaligneditalics"/>
              <w:keepNext/>
            </w:pPr>
            <w:r>
              <w:t xml:space="preserve">2.7 </w:t>
            </w:r>
          </w:p>
        </w:tc>
        <w:tc>
          <w:tcPr>
            <w:tcW w:w="1045" w:type="dxa"/>
            <w:tcBorders>
              <w:top w:val="single" w:sz="4" w:space="0" w:color="293F5B"/>
              <w:bottom w:val="single" w:sz="4" w:space="0" w:color="293F5B"/>
            </w:tcBorders>
            <w:shd w:val="clear" w:color="auto" w:fill="auto"/>
          </w:tcPr>
          <w:p w14:paraId="617D3435" w14:textId="77777777" w:rsidR="0012790E" w:rsidRPr="001C06E6" w:rsidRDefault="0012790E">
            <w:pPr>
              <w:pStyle w:val="Measuretabledatarightaligneditalics"/>
              <w:keepNext/>
            </w:pPr>
            <w:r>
              <w:t xml:space="preserve">2.1 </w:t>
            </w:r>
          </w:p>
        </w:tc>
      </w:tr>
      <w:tr w:rsidR="0012790E" w:rsidRPr="001C06E6" w14:paraId="5F76BC38" w14:textId="77777777">
        <w:tc>
          <w:tcPr>
            <w:tcW w:w="2497" w:type="dxa"/>
            <w:tcBorders>
              <w:top w:val="single" w:sz="4" w:space="0" w:color="293F5B"/>
              <w:bottom w:val="single" w:sz="4" w:space="0" w:color="293F5B"/>
            </w:tcBorders>
            <w:shd w:val="clear" w:color="auto" w:fill="auto"/>
          </w:tcPr>
          <w:p w14:paraId="4E2D007E" w14:textId="77777777" w:rsidR="0012790E" w:rsidRPr="001C06E6" w:rsidRDefault="0012790E">
            <w:pPr>
              <w:pStyle w:val="Totalrowitalicsleftaligned"/>
              <w:keepNext/>
            </w:pPr>
            <w:r w:rsidRPr="001C06E6">
              <w:t>Total – Receipts</w:t>
            </w:r>
          </w:p>
        </w:tc>
        <w:tc>
          <w:tcPr>
            <w:tcW w:w="1045" w:type="dxa"/>
            <w:tcBorders>
              <w:top w:val="single" w:sz="4" w:space="0" w:color="293F5B"/>
              <w:bottom w:val="single" w:sz="4" w:space="0" w:color="293F5B"/>
            </w:tcBorders>
            <w:shd w:val="clear" w:color="auto" w:fill="auto"/>
          </w:tcPr>
          <w:p w14:paraId="2F78D158"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4903E234"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3509B870" w14:textId="77777777" w:rsidR="0012790E" w:rsidRPr="001C06E6" w:rsidRDefault="0012790E">
            <w:pPr>
              <w:pStyle w:val="Totalrowitalicsrightaligned"/>
              <w:keepNext/>
            </w:pPr>
            <w:r w:rsidRPr="001C06E6">
              <w:t>8.0</w:t>
            </w:r>
          </w:p>
        </w:tc>
        <w:tc>
          <w:tcPr>
            <w:tcW w:w="1045" w:type="dxa"/>
            <w:tcBorders>
              <w:top w:val="single" w:sz="4" w:space="0" w:color="293F5B"/>
              <w:bottom w:val="single" w:sz="4" w:space="0" w:color="293F5B"/>
            </w:tcBorders>
            <w:shd w:val="clear" w:color="auto" w:fill="auto"/>
          </w:tcPr>
          <w:p w14:paraId="50F56878" w14:textId="77777777" w:rsidR="0012790E" w:rsidRPr="001C06E6" w:rsidRDefault="0012790E">
            <w:pPr>
              <w:pStyle w:val="Totalrowitalicsrightaligned"/>
              <w:keepNext/>
            </w:pPr>
            <w:r w:rsidRPr="001C06E6">
              <w:t>5.2</w:t>
            </w:r>
          </w:p>
        </w:tc>
        <w:tc>
          <w:tcPr>
            <w:tcW w:w="1045" w:type="dxa"/>
            <w:tcBorders>
              <w:top w:val="single" w:sz="4" w:space="0" w:color="293F5B"/>
              <w:bottom w:val="single" w:sz="4" w:space="0" w:color="293F5B"/>
            </w:tcBorders>
            <w:shd w:val="clear" w:color="auto" w:fill="auto"/>
          </w:tcPr>
          <w:p w14:paraId="71B59DE1" w14:textId="77777777" w:rsidR="0012790E" w:rsidRPr="001C06E6" w:rsidRDefault="0012790E">
            <w:pPr>
              <w:pStyle w:val="Totalrowitalicsrightaligned"/>
              <w:keepNext/>
            </w:pPr>
            <w:r w:rsidRPr="001C06E6">
              <w:t>4.5</w:t>
            </w:r>
          </w:p>
        </w:tc>
      </w:tr>
    </w:tbl>
    <w:p w14:paraId="691F975E" w14:textId="77777777" w:rsidR="0012790E" w:rsidRPr="001C06E6" w:rsidRDefault="0012790E">
      <w:pPr>
        <w:keepNext/>
        <w:widowControl w:val="0"/>
        <w:tabs>
          <w:tab w:val="right" w:pos="3536"/>
          <w:tab w:val="right" w:pos="4579"/>
          <w:tab w:val="right" w:pos="5622"/>
          <w:tab w:val="right" w:pos="6664"/>
          <w:tab w:val="right" w:pos="7707"/>
        </w:tabs>
        <w:spacing w:line="184" w:lineRule="exact"/>
        <w:rPr>
          <w:i/>
          <w:color w:val="000000"/>
          <w:sz w:val="16"/>
          <w:szCs w:val="24"/>
          <w:lang w:val="en-AU"/>
        </w:rPr>
      </w:pPr>
    </w:p>
    <w:p w14:paraId="7BFEE7FB" w14:textId="77777777" w:rsidR="0012790E" w:rsidRDefault="0012790E">
      <w:pPr>
        <w:pStyle w:val="Normal2"/>
      </w:pPr>
      <w:r w:rsidRPr="54937204">
        <w:rPr>
          <w:lang w:val="en-US"/>
        </w:rPr>
        <w:t>The Government will provide $67.5 million over four years from 2024–25 (and $8.6 million per year ongoing) to continue to combat scams and online fraud through the introduction of mandatory industry codes to be established under a Scams Code Framework and increased use of the secure eInvoicing network. Funding includes:</w:t>
      </w:r>
    </w:p>
    <w:p w14:paraId="7D168B88" w14:textId="52BBEF05" w:rsidR="0012790E" w:rsidRDefault="0012790E">
      <w:pPr>
        <w:pStyle w:val="Bullet"/>
      </w:pPr>
      <w:r w:rsidRPr="001C06E6">
        <w:t>$37.3</w:t>
      </w:r>
      <w:r>
        <w:t> </w:t>
      </w:r>
      <w:r w:rsidRPr="001C06E6">
        <w:t xml:space="preserve">million over four years from </w:t>
      </w:r>
      <w:r>
        <w:t>2024–25</w:t>
      </w:r>
      <w:r w:rsidRPr="001C06E6">
        <w:t xml:space="preserve"> (and $8.6</w:t>
      </w:r>
      <w:r>
        <w:t> </w:t>
      </w:r>
      <w:r w:rsidRPr="001C06E6">
        <w:t xml:space="preserve">million per year ongoing) for the Australian Competition and Consumer Commission (ACCC), the Australian Securities </w:t>
      </w:r>
      <w:r w:rsidR="00A54958">
        <w:t>and</w:t>
      </w:r>
      <w:r w:rsidRPr="001C06E6">
        <w:t xml:space="preserve"> Investments Commission (ASIC) and the Australian Communications and Media Authority (ACMA) to administer and enforce</w:t>
      </w:r>
      <w:r>
        <w:t xml:space="preserve"> </w:t>
      </w:r>
      <w:r w:rsidRPr="001C06E6">
        <w:t>mandatory industry codes for regulated businesses to address scams on their platforms and services, initially targeting telecommunications, banks and digital platforms services relating to social media, paid</w:t>
      </w:r>
      <w:r w:rsidR="00206423">
        <w:t> </w:t>
      </w:r>
      <w:r w:rsidRPr="001C06E6">
        <w:t>search engine advertising and direct messaging</w:t>
      </w:r>
      <w:r>
        <w:t xml:space="preserve"> </w:t>
      </w:r>
    </w:p>
    <w:p w14:paraId="64F3CA47" w14:textId="77777777" w:rsidR="0012790E" w:rsidRDefault="0012790E">
      <w:pPr>
        <w:pStyle w:val="Bullet"/>
      </w:pPr>
      <w:r w:rsidRPr="001C06E6">
        <w:t>$23.3</w:t>
      </w:r>
      <w:r>
        <w:t> </w:t>
      </w:r>
      <w:r w:rsidRPr="001C06E6">
        <w:t xml:space="preserve">million over four years from </w:t>
      </w:r>
      <w:r>
        <w:t>2024–25</w:t>
      </w:r>
      <w:r w:rsidRPr="001C06E6">
        <w:t xml:space="preserve"> for the Australian Taxation Office to continue to oversee and operate the secure eInvoicing network</w:t>
      </w:r>
      <w:r>
        <w:t xml:space="preserve"> </w:t>
      </w:r>
    </w:p>
    <w:p w14:paraId="77A3F8F4" w14:textId="77777777" w:rsidR="0012790E" w:rsidRDefault="0012790E">
      <w:pPr>
        <w:pStyle w:val="Bullet"/>
      </w:pPr>
      <w:r w:rsidRPr="001C06E6">
        <w:t>$6.3</w:t>
      </w:r>
      <w:r>
        <w:t> </w:t>
      </w:r>
      <w:r w:rsidRPr="001C06E6">
        <w:t xml:space="preserve">million in </w:t>
      </w:r>
      <w:r>
        <w:t>2024–25</w:t>
      </w:r>
      <w:r w:rsidRPr="001C06E6">
        <w:t xml:space="preserve"> for the ACCC to improve public awareness of scams and help the public to identify, avoid and report scams</w:t>
      </w:r>
      <w:r>
        <w:t xml:space="preserve"> </w:t>
      </w:r>
    </w:p>
    <w:p w14:paraId="6892AFCF" w14:textId="77777777" w:rsidR="0012790E" w:rsidRDefault="0012790E">
      <w:pPr>
        <w:pStyle w:val="Bullet"/>
      </w:pPr>
      <w:r w:rsidRPr="001C06E6">
        <w:t>$1.6</w:t>
      </w:r>
      <w:r>
        <w:t> </w:t>
      </w:r>
      <w:r w:rsidRPr="001C06E6">
        <w:t xml:space="preserve">million over two years from </w:t>
      </w:r>
      <w:r>
        <w:t>2024–25</w:t>
      </w:r>
      <w:r w:rsidRPr="001C06E6">
        <w:t xml:space="preserve"> for the Treasury to develop and legislate the overarching Scams Code Framework.</w:t>
      </w:r>
      <w:r>
        <w:t xml:space="preserve"> </w:t>
      </w:r>
    </w:p>
    <w:p w14:paraId="5E6F8C1D" w14:textId="77777777" w:rsidR="0012790E" w:rsidRDefault="0012790E">
      <w:pPr>
        <w:pStyle w:val="Normal2"/>
      </w:pPr>
      <w:r w:rsidRPr="001C06E6">
        <w:t>Partial funding for this measure will be held in the Contingency Reserve pending</w:t>
      </w:r>
      <w:r>
        <w:t xml:space="preserve"> </w:t>
      </w:r>
      <w:r w:rsidRPr="001C06E6">
        <w:t>development of the preferred legislative approach for the Scams Code Framework.</w:t>
      </w:r>
      <w:r>
        <w:t xml:space="preserve"> </w:t>
      </w:r>
    </w:p>
    <w:p w14:paraId="785F0E4C" w14:textId="77777777" w:rsidR="0012790E" w:rsidRDefault="0012790E">
      <w:pPr>
        <w:pStyle w:val="Normal2"/>
      </w:pPr>
      <w:r w:rsidRPr="54937204">
        <w:rPr>
          <w:lang w:val="en-US"/>
        </w:rPr>
        <w:t xml:space="preserve">The cost of this measure will be partially met from a reprioritisation of funding from the 2020–21 Budget measure titled </w:t>
      </w:r>
      <w:r w:rsidRPr="54937204">
        <w:rPr>
          <w:i/>
          <w:iCs/>
          <w:lang w:val="en-US"/>
        </w:rPr>
        <w:t xml:space="preserve">Refocusing Australia’s Approach to Financial Capability </w:t>
      </w:r>
      <w:r w:rsidRPr="54937204">
        <w:rPr>
          <w:lang w:val="en-US"/>
        </w:rPr>
        <w:t xml:space="preserve">and from cost recovery through ASIC and ACMA industry levies. </w:t>
      </w:r>
    </w:p>
    <w:p w14:paraId="71B46AAC" w14:textId="77777777" w:rsidR="0012790E" w:rsidRDefault="0012790E">
      <w:pPr>
        <w:pStyle w:val="Normal2"/>
      </w:pPr>
      <w:r w:rsidRPr="001C06E6">
        <w:t xml:space="preserve">This measure builds on the </w:t>
      </w:r>
      <w:r>
        <w:t>2023–24 </w:t>
      </w:r>
      <w:r w:rsidRPr="001C06E6">
        <w:t xml:space="preserve">Budget measure titled </w:t>
      </w:r>
      <w:r w:rsidRPr="001C06E6">
        <w:rPr>
          <w:i/>
        </w:rPr>
        <w:t>Fighting Scams</w:t>
      </w:r>
      <w:r w:rsidRPr="001C06E6">
        <w:t>.</w:t>
      </w:r>
      <w:r>
        <w:t xml:space="preserve"> </w:t>
      </w:r>
    </w:p>
    <w:p w14:paraId="316D4C6F" w14:textId="77777777" w:rsidR="0012790E" w:rsidRPr="001C06E6" w:rsidRDefault="0012790E">
      <w:pPr>
        <w:pStyle w:val="MeasureTitle"/>
        <w:rPr>
          <w:b w:val="0"/>
          <w:szCs w:val="24"/>
        </w:rPr>
      </w:pPr>
      <w:r w:rsidRPr="001C06E6">
        <w:rPr>
          <w:szCs w:val="24"/>
        </w:rPr>
        <w:t>International Assistance</w:t>
      </w:r>
    </w:p>
    <w:p w14:paraId="491A1338"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5B7E89ED" w14:textId="77777777">
        <w:tc>
          <w:tcPr>
            <w:tcW w:w="2497" w:type="dxa"/>
            <w:tcBorders>
              <w:top w:val="single" w:sz="4" w:space="0" w:color="293F5B"/>
              <w:bottom w:val="single" w:sz="4" w:space="0" w:color="293F5B"/>
            </w:tcBorders>
            <w:shd w:val="clear" w:color="auto" w:fill="auto"/>
          </w:tcPr>
          <w:p w14:paraId="08601D78"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6A573B10"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2F81D70A"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232368A3"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2071EC11"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4D79FA27" w14:textId="77777777" w:rsidR="0012790E" w:rsidRPr="001C06E6" w:rsidRDefault="0012790E">
            <w:pPr>
              <w:pStyle w:val="MeasureTableYearHeadings"/>
              <w:keepNext/>
            </w:pPr>
            <w:r w:rsidRPr="001C06E6">
              <w:t>2027</w:t>
            </w:r>
            <w:r>
              <w:noBreakHyphen/>
            </w:r>
            <w:r w:rsidRPr="001C06E6">
              <w:t>28</w:t>
            </w:r>
          </w:p>
        </w:tc>
      </w:tr>
      <w:tr w:rsidR="0012790E" w:rsidRPr="001C06E6" w14:paraId="62E6DC5D" w14:textId="77777777">
        <w:tc>
          <w:tcPr>
            <w:tcW w:w="2497" w:type="dxa"/>
            <w:tcBorders>
              <w:top w:val="single" w:sz="4" w:space="0" w:color="293F5B"/>
              <w:bottom w:val="single" w:sz="4" w:space="0" w:color="293F5B"/>
            </w:tcBorders>
            <w:shd w:val="clear" w:color="auto" w:fill="auto"/>
          </w:tcPr>
          <w:p w14:paraId="207E282F"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22D859CF"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0FA1FA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69D587A"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D584878"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EE0D8B9" w14:textId="77777777" w:rsidR="0012790E" w:rsidRPr="001C06E6" w:rsidRDefault="0012790E">
            <w:pPr>
              <w:pStyle w:val="MeasureTableDataRightAlignedwith2ptsspacing"/>
              <w:keepNext/>
            </w:pPr>
            <w:r w:rsidRPr="001C06E6">
              <w:t>-</w:t>
            </w:r>
          </w:p>
        </w:tc>
      </w:tr>
      <w:tr w:rsidR="0012790E" w:rsidRPr="001C06E6" w14:paraId="0A26F673" w14:textId="77777777">
        <w:tc>
          <w:tcPr>
            <w:tcW w:w="2497" w:type="dxa"/>
            <w:tcBorders>
              <w:top w:val="single" w:sz="4" w:space="0" w:color="293F5B"/>
            </w:tcBorders>
            <w:shd w:val="clear" w:color="auto" w:fill="auto"/>
          </w:tcPr>
          <w:p w14:paraId="4DA0CD9A"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2CFC636A" w14:textId="77777777" w:rsidR="0012790E" w:rsidRPr="001C06E6" w:rsidRDefault="0012790E">
            <w:pPr>
              <w:pStyle w:val="AgencyName"/>
              <w:keepNext/>
            </w:pPr>
          </w:p>
        </w:tc>
        <w:tc>
          <w:tcPr>
            <w:tcW w:w="1045" w:type="dxa"/>
            <w:tcBorders>
              <w:top w:val="single" w:sz="4" w:space="0" w:color="293F5B"/>
            </w:tcBorders>
            <w:shd w:val="clear" w:color="auto" w:fill="auto"/>
          </w:tcPr>
          <w:p w14:paraId="697EA482" w14:textId="77777777" w:rsidR="0012790E" w:rsidRPr="001C06E6" w:rsidRDefault="0012790E">
            <w:pPr>
              <w:pStyle w:val="AgencyName"/>
              <w:keepNext/>
            </w:pPr>
          </w:p>
        </w:tc>
        <w:tc>
          <w:tcPr>
            <w:tcW w:w="1045" w:type="dxa"/>
            <w:tcBorders>
              <w:top w:val="single" w:sz="4" w:space="0" w:color="293F5B"/>
            </w:tcBorders>
            <w:shd w:val="clear" w:color="auto" w:fill="auto"/>
          </w:tcPr>
          <w:p w14:paraId="3A7A089C" w14:textId="77777777" w:rsidR="0012790E" w:rsidRPr="001C06E6" w:rsidRDefault="0012790E">
            <w:pPr>
              <w:pStyle w:val="AgencyName"/>
              <w:keepNext/>
            </w:pPr>
          </w:p>
        </w:tc>
        <w:tc>
          <w:tcPr>
            <w:tcW w:w="1045" w:type="dxa"/>
            <w:tcBorders>
              <w:top w:val="single" w:sz="4" w:space="0" w:color="293F5B"/>
            </w:tcBorders>
            <w:shd w:val="clear" w:color="auto" w:fill="auto"/>
          </w:tcPr>
          <w:p w14:paraId="76A92C66" w14:textId="77777777" w:rsidR="0012790E" w:rsidRPr="001C06E6" w:rsidRDefault="0012790E">
            <w:pPr>
              <w:pStyle w:val="AgencyName"/>
              <w:keepNext/>
            </w:pPr>
          </w:p>
        </w:tc>
        <w:tc>
          <w:tcPr>
            <w:tcW w:w="1045" w:type="dxa"/>
            <w:tcBorders>
              <w:top w:val="single" w:sz="4" w:space="0" w:color="293F5B"/>
            </w:tcBorders>
            <w:shd w:val="clear" w:color="auto" w:fill="auto"/>
          </w:tcPr>
          <w:p w14:paraId="53193C31" w14:textId="77777777" w:rsidR="0012790E" w:rsidRPr="001C06E6" w:rsidRDefault="0012790E">
            <w:pPr>
              <w:pStyle w:val="AgencyName"/>
              <w:keepNext/>
            </w:pPr>
          </w:p>
        </w:tc>
      </w:tr>
      <w:tr w:rsidR="0012790E" w:rsidRPr="001C06E6" w14:paraId="2940CD6C" w14:textId="77777777">
        <w:tc>
          <w:tcPr>
            <w:tcW w:w="2497" w:type="dxa"/>
            <w:tcBorders>
              <w:bottom w:val="single" w:sz="4" w:space="0" w:color="293F5B"/>
            </w:tcBorders>
            <w:shd w:val="clear" w:color="auto" w:fill="auto"/>
          </w:tcPr>
          <w:p w14:paraId="13C95AAB" w14:textId="77777777" w:rsidR="0012790E" w:rsidRPr="001C06E6" w:rsidRDefault="0012790E">
            <w:pPr>
              <w:pStyle w:val="AgencyNamewith2ptsspacing"/>
              <w:keepNext/>
            </w:pPr>
            <w:r w:rsidRPr="001C06E6">
              <w:t>Department of the Treasury</w:t>
            </w:r>
          </w:p>
        </w:tc>
        <w:tc>
          <w:tcPr>
            <w:tcW w:w="1045" w:type="dxa"/>
            <w:tcBorders>
              <w:bottom w:val="single" w:sz="4" w:space="0" w:color="293F5B"/>
            </w:tcBorders>
            <w:shd w:val="clear" w:color="auto" w:fill="auto"/>
          </w:tcPr>
          <w:p w14:paraId="2EA81123"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00A63C58"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04659A2B"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48D81ED1" w14:textId="77777777" w:rsidR="0012790E" w:rsidRPr="001C06E6" w:rsidRDefault="0012790E">
            <w:pPr>
              <w:pStyle w:val="Measuretabledatarightaligneditalics"/>
              <w:keepNext/>
            </w:pPr>
            <w:r w:rsidRPr="001C06E6">
              <w:t>-</w:t>
            </w:r>
          </w:p>
        </w:tc>
        <w:tc>
          <w:tcPr>
            <w:tcW w:w="1045" w:type="dxa"/>
            <w:tcBorders>
              <w:bottom w:val="single" w:sz="4" w:space="0" w:color="293F5B"/>
            </w:tcBorders>
            <w:shd w:val="clear" w:color="auto" w:fill="auto"/>
          </w:tcPr>
          <w:p w14:paraId="262309EF" w14:textId="77777777" w:rsidR="0012790E" w:rsidRPr="001C06E6" w:rsidRDefault="0012790E">
            <w:pPr>
              <w:pStyle w:val="Measuretabledatarightaligneditalics"/>
              <w:keepNext/>
            </w:pPr>
            <w:r w:rsidRPr="001C06E6">
              <w:t>-</w:t>
            </w:r>
          </w:p>
        </w:tc>
      </w:tr>
    </w:tbl>
    <w:p w14:paraId="36157988" w14:textId="77777777" w:rsidR="0012790E" w:rsidRPr="001C06E6" w:rsidRDefault="0012790E">
      <w:pPr>
        <w:keepNext/>
        <w:widowControl w:val="0"/>
        <w:tabs>
          <w:tab w:val="right" w:pos="3536"/>
          <w:tab w:val="right" w:pos="4579"/>
          <w:tab w:val="right" w:pos="5622"/>
          <w:tab w:val="right" w:pos="6664"/>
          <w:tab w:val="right" w:pos="7707"/>
        </w:tabs>
        <w:spacing w:line="240" w:lineRule="exact"/>
        <w:rPr>
          <w:i/>
          <w:color w:val="000000"/>
          <w:sz w:val="16"/>
          <w:szCs w:val="24"/>
          <w:lang w:val="en-AU"/>
        </w:rPr>
      </w:pPr>
    </w:p>
    <w:p w14:paraId="70E43351" w14:textId="77777777" w:rsidR="0012790E" w:rsidRDefault="0012790E">
      <w:pPr>
        <w:pStyle w:val="Normal2"/>
      </w:pPr>
      <w:r w:rsidRPr="54937204">
        <w:rPr>
          <w:lang w:val="en-US"/>
        </w:rPr>
        <w:t xml:space="preserve">The Government has provided a loan of $600 million to the Government of Papua New Guinea (PNG) to address the PNG Government’s estimated 2023 budget shortfall. The loan was provided in response to a request from the PNG Prime Minister and will also assist PNG to deliver economic reforms under the International Monetary Fund Extended Credit Facility and Extended Fund Facility Program. </w:t>
      </w:r>
    </w:p>
    <w:p w14:paraId="7D918D41" w14:textId="27166D10" w:rsidR="0012790E" w:rsidRDefault="0012790E">
      <w:pPr>
        <w:pStyle w:val="Normal2"/>
      </w:pPr>
      <w:r w:rsidRPr="54937204">
        <w:rPr>
          <w:lang w:val="en-US"/>
        </w:rPr>
        <w:t>The Government will also take up its quota increase at the International Monetary Fund</w:t>
      </w:r>
      <w:r w:rsidR="00151467">
        <w:rPr>
          <w:lang w:val="en-US"/>
        </w:rPr>
        <w:t xml:space="preserve"> (IMF)</w:t>
      </w:r>
      <w:r w:rsidRPr="54937204">
        <w:rPr>
          <w:lang w:val="en-US"/>
        </w:rPr>
        <w:t xml:space="preserve">, largely offset by reductions in Australia’s other IMF commitments. The timing of this is subject to agreement of other participating countries. </w:t>
      </w:r>
    </w:p>
    <w:p w14:paraId="53E4E6EE" w14:textId="77777777" w:rsidR="0012790E" w:rsidRDefault="0012790E">
      <w:pPr>
        <w:pStyle w:val="Normal2"/>
      </w:pPr>
      <w:r w:rsidRPr="001C06E6">
        <w:t>The Government has already provided partial funding for this measure.</w:t>
      </w:r>
      <w:r>
        <w:t xml:space="preserve"> </w:t>
      </w:r>
    </w:p>
    <w:p w14:paraId="0F7C1D18" w14:textId="77777777" w:rsidR="0012790E" w:rsidRPr="001C06E6" w:rsidRDefault="0012790E" w:rsidP="54937204">
      <w:pPr>
        <w:pStyle w:val="MeasureTitle"/>
        <w:rPr>
          <w:b w:val="0"/>
          <w:lang w:val="en-US"/>
        </w:rPr>
      </w:pPr>
      <w:r w:rsidRPr="54937204">
        <w:rPr>
          <w:lang w:val="en-US"/>
        </w:rPr>
        <w:t>Modernising Digital Assets and Payments Regulation</w:t>
      </w:r>
    </w:p>
    <w:p w14:paraId="2774D306"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E8981BD" w14:textId="77777777">
        <w:tc>
          <w:tcPr>
            <w:tcW w:w="2497" w:type="dxa"/>
            <w:tcBorders>
              <w:top w:val="single" w:sz="4" w:space="0" w:color="293F5B"/>
              <w:bottom w:val="single" w:sz="4" w:space="0" w:color="293F5B"/>
            </w:tcBorders>
            <w:shd w:val="clear" w:color="auto" w:fill="auto"/>
          </w:tcPr>
          <w:p w14:paraId="47D05496"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1E49DC4E"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2955FB3"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078514D2"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177C7802"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1D14B5A7" w14:textId="77777777" w:rsidR="0012790E" w:rsidRPr="001C06E6" w:rsidRDefault="0012790E">
            <w:pPr>
              <w:pStyle w:val="MeasureTableYearHeadings"/>
              <w:keepNext/>
            </w:pPr>
            <w:r w:rsidRPr="001C06E6">
              <w:t>2027</w:t>
            </w:r>
            <w:r>
              <w:noBreakHyphen/>
            </w:r>
            <w:r w:rsidRPr="001C06E6">
              <w:t>28</w:t>
            </w:r>
          </w:p>
        </w:tc>
      </w:tr>
      <w:tr w:rsidR="0012790E" w:rsidRPr="001C06E6" w14:paraId="639EBA71" w14:textId="77777777">
        <w:tc>
          <w:tcPr>
            <w:tcW w:w="2497" w:type="dxa"/>
            <w:tcBorders>
              <w:top w:val="single" w:sz="4" w:space="0" w:color="293F5B"/>
              <w:bottom w:val="single" w:sz="4" w:space="0" w:color="293F5B"/>
            </w:tcBorders>
            <w:shd w:val="clear" w:color="auto" w:fill="auto"/>
          </w:tcPr>
          <w:p w14:paraId="6D346CE6"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0F42B795"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0D8984B5" w14:textId="77777777" w:rsidR="0012790E" w:rsidRPr="001C06E6" w:rsidRDefault="0012790E">
            <w:pPr>
              <w:pStyle w:val="MeasureTableDataRightAlignedwith2ptsspacing"/>
              <w:keepNext/>
            </w:pPr>
            <w:r w:rsidRPr="001C06E6">
              <w:t>1.5</w:t>
            </w:r>
          </w:p>
        </w:tc>
        <w:tc>
          <w:tcPr>
            <w:tcW w:w="1045" w:type="dxa"/>
            <w:tcBorders>
              <w:top w:val="single" w:sz="4" w:space="0" w:color="293F5B"/>
              <w:bottom w:val="single" w:sz="4" w:space="0" w:color="293F5B"/>
            </w:tcBorders>
            <w:shd w:val="clear" w:color="auto" w:fill="auto"/>
          </w:tcPr>
          <w:p w14:paraId="6FB4C25B" w14:textId="77777777" w:rsidR="0012790E" w:rsidRPr="001C06E6" w:rsidRDefault="0012790E">
            <w:pPr>
              <w:pStyle w:val="MeasureTableDataRightAlignedwith2ptsspacing"/>
              <w:keepNext/>
            </w:pPr>
            <w:r w:rsidRPr="001C06E6">
              <w:t>1.5</w:t>
            </w:r>
          </w:p>
        </w:tc>
        <w:tc>
          <w:tcPr>
            <w:tcW w:w="1045" w:type="dxa"/>
            <w:tcBorders>
              <w:top w:val="single" w:sz="4" w:space="0" w:color="293F5B"/>
              <w:bottom w:val="single" w:sz="4" w:space="0" w:color="293F5B"/>
            </w:tcBorders>
            <w:shd w:val="clear" w:color="auto" w:fill="auto"/>
          </w:tcPr>
          <w:p w14:paraId="04911C84" w14:textId="77777777" w:rsidR="0012790E" w:rsidRPr="001C06E6" w:rsidRDefault="0012790E">
            <w:pPr>
              <w:pStyle w:val="MeasureTableDataRightAlignedwith2ptsspacing"/>
              <w:keepNext/>
            </w:pPr>
            <w:r w:rsidRPr="001C06E6">
              <w:t>1.5</w:t>
            </w:r>
          </w:p>
        </w:tc>
        <w:tc>
          <w:tcPr>
            <w:tcW w:w="1045" w:type="dxa"/>
            <w:tcBorders>
              <w:top w:val="single" w:sz="4" w:space="0" w:color="293F5B"/>
              <w:bottom w:val="single" w:sz="4" w:space="0" w:color="293F5B"/>
            </w:tcBorders>
            <w:shd w:val="clear" w:color="auto" w:fill="auto"/>
          </w:tcPr>
          <w:p w14:paraId="4DFFA661" w14:textId="77777777" w:rsidR="0012790E" w:rsidRPr="001C06E6" w:rsidRDefault="0012790E">
            <w:pPr>
              <w:pStyle w:val="MeasureTableDataRightAlignedwith2ptsspacing"/>
              <w:keepNext/>
            </w:pPr>
            <w:r w:rsidRPr="001C06E6">
              <w:t>1.5</w:t>
            </w:r>
          </w:p>
        </w:tc>
      </w:tr>
      <w:tr w:rsidR="00E9524A" w:rsidRPr="001C06E6" w14:paraId="34C0B1F0" w14:textId="77777777">
        <w:tc>
          <w:tcPr>
            <w:tcW w:w="2497" w:type="dxa"/>
            <w:tcBorders>
              <w:top w:val="single" w:sz="4" w:space="0" w:color="293F5B"/>
              <w:bottom w:val="single" w:sz="4" w:space="0" w:color="293F5B"/>
            </w:tcBorders>
            <w:shd w:val="clear" w:color="auto" w:fill="auto"/>
          </w:tcPr>
          <w:p w14:paraId="7F946B61" w14:textId="5B0DF673" w:rsidR="00E9524A" w:rsidRDefault="00E9524A">
            <w:pPr>
              <w:pStyle w:val="MeasureTableHeadingleftalignedwith2ptsspacing"/>
              <w:keepNext/>
            </w:pPr>
            <w:r>
              <w:t>Australian Prudential Regulation Authority</w:t>
            </w:r>
          </w:p>
        </w:tc>
        <w:tc>
          <w:tcPr>
            <w:tcW w:w="1045" w:type="dxa"/>
            <w:tcBorders>
              <w:top w:val="single" w:sz="4" w:space="0" w:color="293F5B"/>
              <w:bottom w:val="single" w:sz="4" w:space="0" w:color="293F5B"/>
            </w:tcBorders>
            <w:shd w:val="clear" w:color="auto" w:fill="auto"/>
          </w:tcPr>
          <w:p w14:paraId="7BE867D6" w14:textId="5C19D7D9" w:rsidR="00E9524A" w:rsidRDefault="00E9524A">
            <w:pPr>
              <w:pStyle w:val="MeasureTableDataRightAlignedwith2ptsspacing"/>
              <w:keepNext/>
            </w:pPr>
            <w:r>
              <w:t>-</w:t>
            </w:r>
          </w:p>
        </w:tc>
        <w:tc>
          <w:tcPr>
            <w:tcW w:w="1045" w:type="dxa"/>
            <w:tcBorders>
              <w:top w:val="single" w:sz="4" w:space="0" w:color="293F5B"/>
              <w:bottom w:val="single" w:sz="4" w:space="0" w:color="293F5B"/>
            </w:tcBorders>
            <w:shd w:val="clear" w:color="auto" w:fill="auto"/>
          </w:tcPr>
          <w:p w14:paraId="1DE489D6" w14:textId="31ED4CA0" w:rsidR="00E9524A" w:rsidRDefault="00E9524A">
            <w:pPr>
              <w:pStyle w:val="MeasureTableDataRightAlignedwith2ptsspacing"/>
              <w:keepNext/>
            </w:pPr>
            <w:r>
              <w:t>1.4</w:t>
            </w:r>
          </w:p>
        </w:tc>
        <w:tc>
          <w:tcPr>
            <w:tcW w:w="1045" w:type="dxa"/>
            <w:tcBorders>
              <w:top w:val="single" w:sz="4" w:space="0" w:color="293F5B"/>
              <w:bottom w:val="single" w:sz="4" w:space="0" w:color="293F5B"/>
            </w:tcBorders>
            <w:shd w:val="clear" w:color="auto" w:fill="auto"/>
          </w:tcPr>
          <w:p w14:paraId="63888B6A" w14:textId="1659941E" w:rsidR="00E9524A" w:rsidRDefault="00E9524A">
            <w:pPr>
              <w:pStyle w:val="MeasureTableDataRightAlignedwith2ptsspacing"/>
              <w:keepNext/>
            </w:pPr>
            <w:r>
              <w:t>1.9</w:t>
            </w:r>
          </w:p>
        </w:tc>
        <w:tc>
          <w:tcPr>
            <w:tcW w:w="1045" w:type="dxa"/>
            <w:tcBorders>
              <w:top w:val="single" w:sz="4" w:space="0" w:color="293F5B"/>
              <w:bottom w:val="single" w:sz="4" w:space="0" w:color="293F5B"/>
            </w:tcBorders>
            <w:shd w:val="clear" w:color="auto" w:fill="auto"/>
          </w:tcPr>
          <w:p w14:paraId="085955F3" w14:textId="6AA3A515" w:rsidR="00E9524A" w:rsidRDefault="00E9524A">
            <w:pPr>
              <w:pStyle w:val="MeasureTableDataRightAlignedwith2ptsspacing"/>
              <w:keepNext/>
            </w:pPr>
            <w:r>
              <w:t>6.4</w:t>
            </w:r>
          </w:p>
        </w:tc>
        <w:tc>
          <w:tcPr>
            <w:tcW w:w="1045" w:type="dxa"/>
            <w:tcBorders>
              <w:top w:val="single" w:sz="4" w:space="0" w:color="293F5B"/>
              <w:bottom w:val="single" w:sz="4" w:space="0" w:color="293F5B"/>
            </w:tcBorders>
            <w:shd w:val="clear" w:color="auto" w:fill="auto"/>
          </w:tcPr>
          <w:p w14:paraId="66430917" w14:textId="2A237187" w:rsidR="00E9524A" w:rsidRDefault="00E9524A">
            <w:pPr>
              <w:pStyle w:val="MeasureTableDataRightAlignedwith2ptsspacing"/>
              <w:keepNext/>
            </w:pPr>
            <w:r>
              <w:t>6.0</w:t>
            </w:r>
          </w:p>
        </w:tc>
      </w:tr>
      <w:tr w:rsidR="0012790E" w:rsidRPr="001C06E6" w14:paraId="63414F95" w14:textId="77777777">
        <w:tc>
          <w:tcPr>
            <w:tcW w:w="2497" w:type="dxa"/>
            <w:tcBorders>
              <w:top w:val="single" w:sz="4" w:space="0" w:color="293F5B"/>
              <w:bottom w:val="single" w:sz="4" w:space="0" w:color="293F5B"/>
            </w:tcBorders>
            <w:shd w:val="clear" w:color="auto" w:fill="auto"/>
          </w:tcPr>
          <w:p w14:paraId="5B636DC5" w14:textId="77777777" w:rsidR="0012790E" w:rsidRPr="001C06E6" w:rsidRDefault="0012790E">
            <w:pPr>
              <w:pStyle w:val="MeasureTableHeadingleftalignedwith2ptsspacing"/>
              <w:keepNext/>
            </w:pPr>
            <w:r>
              <w:t xml:space="preserve">Australian Securities and Investments Commission </w:t>
            </w:r>
          </w:p>
        </w:tc>
        <w:tc>
          <w:tcPr>
            <w:tcW w:w="1045" w:type="dxa"/>
            <w:tcBorders>
              <w:top w:val="single" w:sz="4" w:space="0" w:color="293F5B"/>
              <w:bottom w:val="single" w:sz="4" w:space="0" w:color="293F5B"/>
            </w:tcBorders>
            <w:shd w:val="clear" w:color="auto" w:fill="auto"/>
          </w:tcPr>
          <w:p w14:paraId="10770DEA"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425D7A56" w14:textId="32AD97D7" w:rsidR="0012790E" w:rsidRPr="001C06E6" w:rsidRDefault="00DF7D3A">
            <w:pPr>
              <w:pStyle w:val="MeasureTableDataRightAlignedwith2ptsspacing"/>
              <w:keepNext/>
            </w:pPr>
            <w:r>
              <w:t>17.7</w:t>
            </w:r>
          </w:p>
        </w:tc>
        <w:tc>
          <w:tcPr>
            <w:tcW w:w="1045" w:type="dxa"/>
            <w:tcBorders>
              <w:top w:val="single" w:sz="4" w:space="0" w:color="293F5B"/>
              <w:bottom w:val="single" w:sz="4" w:space="0" w:color="293F5B"/>
            </w:tcBorders>
            <w:shd w:val="clear" w:color="auto" w:fill="auto"/>
          </w:tcPr>
          <w:p w14:paraId="172B1527" w14:textId="48A6D052" w:rsidR="0012790E" w:rsidRPr="001C06E6" w:rsidRDefault="00DF7D3A">
            <w:pPr>
              <w:pStyle w:val="MeasureTableDataRightAlignedwith2ptsspacing"/>
              <w:keepNext/>
            </w:pPr>
            <w:r>
              <w:t>15.5</w:t>
            </w:r>
          </w:p>
        </w:tc>
        <w:tc>
          <w:tcPr>
            <w:tcW w:w="1045" w:type="dxa"/>
            <w:tcBorders>
              <w:top w:val="single" w:sz="4" w:space="0" w:color="293F5B"/>
              <w:bottom w:val="single" w:sz="4" w:space="0" w:color="293F5B"/>
            </w:tcBorders>
            <w:shd w:val="clear" w:color="auto" w:fill="auto"/>
          </w:tcPr>
          <w:p w14:paraId="6AD73FD3" w14:textId="4292C2FD" w:rsidR="0012790E" w:rsidRPr="001C06E6" w:rsidRDefault="00DF7D3A">
            <w:pPr>
              <w:pStyle w:val="MeasureTableDataRightAlignedwith2ptsspacing"/>
              <w:keepNext/>
            </w:pPr>
            <w:r>
              <w:t>13.7</w:t>
            </w:r>
          </w:p>
        </w:tc>
        <w:tc>
          <w:tcPr>
            <w:tcW w:w="1045" w:type="dxa"/>
            <w:tcBorders>
              <w:top w:val="single" w:sz="4" w:space="0" w:color="293F5B"/>
              <w:bottom w:val="single" w:sz="4" w:space="0" w:color="293F5B"/>
            </w:tcBorders>
            <w:shd w:val="clear" w:color="auto" w:fill="auto"/>
          </w:tcPr>
          <w:p w14:paraId="5EB86681" w14:textId="134F3EA7" w:rsidR="0012790E" w:rsidRPr="001C06E6" w:rsidRDefault="00DF7D3A">
            <w:pPr>
              <w:pStyle w:val="MeasureTableDataRightAlignedwith2ptsspacing"/>
              <w:keepNext/>
            </w:pPr>
            <w:r>
              <w:t>13.1</w:t>
            </w:r>
          </w:p>
        </w:tc>
      </w:tr>
      <w:tr w:rsidR="0012790E" w:rsidRPr="001C06E6" w14:paraId="1FBA56B0" w14:textId="77777777">
        <w:tc>
          <w:tcPr>
            <w:tcW w:w="2497" w:type="dxa"/>
            <w:tcBorders>
              <w:top w:val="single" w:sz="4" w:space="0" w:color="293F5B"/>
              <w:bottom w:val="single" w:sz="4" w:space="0" w:color="293F5B"/>
            </w:tcBorders>
            <w:shd w:val="clear" w:color="auto" w:fill="auto"/>
          </w:tcPr>
          <w:p w14:paraId="5B96F679"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497A56A6" w14:textId="77777777" w:rsidR="0012790E" w:rsidRPr="001C06E6" w:rsidRDefault="0012790E">
            <w:pPr>
              <w:pStyle w:val="Totaldatarowrightaligned"/>
              <w:keepNext/>
            </w:pPr>
            <w:r w:rsidRPr="001C06E6">
              <w:t>-</w:t>
            </w:r>
          </w:p>
        </w:tc>
        <w:tc>
          <w:tcPr>
            <w:tcW w:w="1045" w:type="dxa"/>
            <w:tcBorders>
              <w:top w:val="single" w:sz="4" w:space="0" w:color="293F5B"/>
              <w:bottom w:val="single" w:sz="4" w:space="0" w:color="293F5B"/>
            </w:tcBorders>
            <w:shd w:val="clear" w:color="auto" w:fill="auto"/>
          </w:tcPr>
          <w:p w14:paraId="755AFE36" w14:textId="77777777" w:rsidR="0012790E" w:rsidRPr="001C06E6" w:rsidRDefault="0012790E">
            <w:pPr>
              <w:pStyle w:val="Totaldatarowrightaligned"/>
              <w:keepNext/>
            </w:pPr>
            <w:r w:rsidRPr="001C06E6">
              <w:t>20.6</w:t>
            </w:r>
          </w:p>
        </w:tc>
        <w:tc>
          <w:tcPr>
            <w:tcW w:w="1045" w:type="dxa"/>
            <w:tcBorders>
              <w:top w:val="single" w:sz="4" w:space="0" w:color="293F5B"/>
              <w:bottom w:val="single" w:sz="4" w:space="0" w:color="293F5B"/>
            </w:tcBorders>
            <w:shd w:val="clear" w:color="auto" w:fill="auto"/>
          </w:tcPr>
          <w:p w14:paraId="3ED74AA3" w14:textId="77777777" w:rsidR="0012790E" w:rsidRPr="001C06E6" w:rsidRDefault="0012790E">
            <w:pPr>
              <w:pStyle w:val="Totaldatarowrightaligned"/>
              <w:keepNext/>
            </w:pPr>
            <w:r w:rsidRPr="001C06E6">
              <w:t>18.9</w:t>
            </w:r>
          </w:p>
        </w:tc>
        <w:tc>
          <w:tcPr>
            <w:tcW w:w="1045" w:type="dxa"/>
            <w:tcBorders>
              <w:top w:val="single" w:sz="4" w:space="0" w:color="293F5B"/>
              <w:bottom w:val="single" w:sz="4" w:space="0" w:color="293F5B"/>
            </w:tcBorders>
            <w:shd w:val="clear" w:color="auto" w:fill="auto"/>
          </w:tcPr>
          <w:p w14:paraId="64573424" w14:textId="77777777" w:rsidR="0012790E" w:rsidRPr="001C06E6" w:rsidRDefault="0012790E">
            <w:pPr>
              <w:pStyle w:val="Totaldatarowrightaligned"/>
              <w:keepNext/>
            </w:pPr>
            <w:r w:rsidRPr="001C06E6">
              <w:t>21.6</w:t>
            </w:r>
          </w:p>
        </w:tc>
        <w:tc>
          <w:tcPr>
            <w:tcW w:w="1045" w:type="dxa"/>
            <w:tcBorders>
              <w:top w:val="single" w:sz="4" w:space="0" w:color="293F5B"/>
              <w:bottom w:val="single" w:sz="4" w:space="0" w:color="293F5B"/>
            </w:tcBorders>
            <w:shd w:val="clear" w:color="auto" w:fill="auto"/>
          </w:tcPr>
          <w:p w14:paraId="00783C9F" w14:textId="77777777" w:rsidR="0012790E" w:rsidRPr="001C06E6" w:rsidRDefault="0012790E">
            <w:pPr>
              <w:pStyle w:val="Totaldatarowrightaligned"/>
              <w:keepNext/>
            </w:pPr>
            <w:r w:rsidRPr="001C06E6">
              <w:t>20.7</w:t>
            </w:r>
          </w:p>
        </w:tc>
      </w:tr>
      <w:tr w:rsidR="0012790E" w:rsidRPr="001C06E6" w14:paraId="40DB70B2" w14:textId="77777777">
        <w:tc>
          <w:tcPr>
            <w:tcW w:w="2497" w:type="dxa"/>
            <w:tcBorders>
              <w:top w:val="single" w:sz="4" w:space="0" w:color="293F5B"/>
            </w:tcBorders>
            <w:shd w:val="clear" w:color="auto" w:fill="auto"/>
          </w:tcPr>
          <w:p w14:paraId="4A9C56E2"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6ABE033D" w14:textId="77777777" w:rsidR="0012790E" w:rsidRPr="001C06E6" w:rsidRDefault="0012790E">
            <w:pPr>
              <w:pStyle w:val="AgencyName"/>
              <w:keepNext/>
            </w:pPr>
          </w:p>
        </w:tc>
        <w:tc>
          <w:tcPr>
            <w:tcW w:w="1045" w:type="dxa"/>
            <w:tcBorders>
              <w:top w:val="single" w:sz="4" w:space="0" w:color="293F5B"/>
            </w:tcBorders>
            <w:shd w:val="clear" w:color="auto" w:fill="auto"/>
          </w:tcPr>
          <w:p w14:paraId="168F294F" w14:textId="77777777" w:rsidR="0012790E" w:rsidRPr="001C06E6" w:rsidRDefault="0012790E">
            <w:pPr>
              <w:pStyle w:val="AgencyName"/>
              <w:keepNext/>
            </w:pPr>
          </w:p>
        </w:tc>
        <w:tc>
          <w:tcPr>
            <w:tcW w:w="1045" w:type="dxa"/>
            <w:tcBorders>
              <w:top w:val="single" w:sz="4" w:space="0" w:color="293F5B"/>
            </w:tcBorders>
            <w:shd w:val="clear" w:color="auto" w:fill="auto"/>
          </w:tcPr>
          <w:p w14:paraId="0D306FA1" w14:textId="77777777" w:rsidR="0012790E" w:rsidRPr="001C06E6" w:rsidRDefault="0012790E">
            <w:pPr>
              <w:pStyle w:val="AgencyName"/>
              <w:keepNext/>
            </w:pPr>
          </w:p>
        </w:tc>
        <w:tc>
          <w:tcPr>
            <w:tcW w:w="1045" w:type="dxa"/>
            <w:tcBorders>
              <w:top w:val="single" w:sz="4" w:space="0" w:color="293F5B"/>
            </w:tcBorders>
            <w:shd w:val="clear" w:color="auto" w:fill="auto"/>
          </w:tcPr>
          <w:p w14:paraId="1637223F" w14:textId="77777777" w:rsidR="0012790E" w:rsidRPr="001C06E6" w:rsidRDefault="0012790E">
            <w:pPr>
              <w:pStyle w:val="AgencyName"/>
              <w:keepNext/>
            </w:pPr>
          </w:p>
        </w:tc>
        <w:tc>
          <w:tcPr>
            <w:tcW w:w="1045" w:type="dxa"/>
            <w:tcBorders>
              <w:top w:val="single" w:sz="4" w:space="0" w:color="293F5B"/>
            </w:tcBorders>
            <w:shd w:val="clear" w:color="auto" w:fill="auto"/>
          </w:tcPr>
          <w:p w14:paraId="5C298B8C" w14:textId="77777777" w:rsidR="0012790E" w:rsidRPr="001C06E6" w:rsidRDefault="0012790E">
            <w:pPr>
              <w:pStyle w:val="AgencyName"/>
              <w:keepNext/>
            </w:pPr>
          </w:p>
        </w:tc>
      </w:tr>
      <w:tr w:rsidR="000227AE" w:rsidRPr="001C06E6" w14:paraId="57F79133" w14:textId="77777777" w:rsidTr="00AC2FA9">
        <w:tc>
          <w:tcPr>
            <w:tcW w:w="2497" w:type="dxa"/>
            <w:tcBorders>
              <w:bottom w:val="single" w:sz="4" w:space="0" w:color="293F5B"/>
            </w:tcBorders>
            <w:shd w:val="clear" w:color="auto" w:fill="auto"/>
          </w:tcPr>
          <w:p w14:paraId="3D7F39A7" w14:textId="62233EDE" w:rsidR="000227AE" w:rsidRPr="001C06E6" w:rsidRDefault="000227AE" w:rsidP="000227AE">
            <w:pPr>
              <w:pStyle w:val="AgencyNamewith2ptsspacing"/>
              <w:keepNext/>
            </w:pPr>
            <w:r>
              <w:t>Australian Prudential Regulation Authority</w:t>
            </w:r>
          </w:p>
        </w:tc>
        <w:tc>
          <w:tcPr>
            <w:tcW w:w="1045" w:type="dxa"/>
            <w:tcBorders>
              <w:bottom w:val="single" w:sz="4" w:space="0" w:color="293F5B"/>
            </w:tcBorders>
            <w:shd w:val="clear" w:color="auto" w:fill="auto"/>
            <w:vAlign w:val="bottom"/>
          </w:tcPr>
          <w:p w14:paraId="54D37F1A" w14:textId="7D2FBF4F" w:rsidR="000227AE" w:rsidRPr="001C06E6" w:rsidRDefault="000227AE" w:rsidP="000227AE">
            <w:pPr>
              <w:pStyle w:val="Measuretabledatarightaligneditalics"/>
              <w:keepNext/>
            </w:pPr>
            <w:r>
              <w:rPr>
                <w:szCs w:val="16"/>
              </w:rPr>
              <w:t>-</w:t>
            </w:r>
          </w:p>
        </w:tc>
        <w:tc>
          <w:tcPr>
            <w:tcW w:w="1045" w:type="dxa"/>
            <w:tcBorders>
              <w:bottom w:val="single" w:sz="4" w:space="0" w:color="293F5B"/>
            </w:tcBorders>
            <w:shd w:val="clear" w:color="auto" w:fill="auto"/>
            <w:vAlign w:val="bottom"/>
          </w:tcPr>
          <w:p w14:paraId="50BFF491" w14:textId="2BCB32C9" w:rsidR="000227AE" w:rsidRPr="001C06E6" w:rsidRDefault="000227AE" w:rsidP="000227AE">
            <w:pPr>
              <w:pStyle w:val="Measuretabledatarightaligneditalics"/>
              <w:keepNext/>
            </w:pPr>
            <w:r>
              <w:rPr>
                <w:szCs w:val="16"/>
              </w:rPr>
              <w:t>-</w:t>
            </w:r>
          </w:p>
        </w:tc>
        <w:tc>
          <w:tcPr>
            <w:tcW w:w="1045" w:type="dxa"/>
            <w:tcBorders>
              <w:bottom w:val="single" w:sz="4" w:space="0" w:color="293F5B"/>
            </w:tcBorders>
            <w:shd w:val="clear" w:color="auto" w:fill="auto"/>
            <w:vAlign w:val="bottom"/>
          </w:tcPr>
          <w:p w14:paraId="6F163CA2" w14:textId="2D6810E1" w:rsidR="000227AE" w:rsidRPr="001C06E6" w:rsidRDefault="000227AE" w:rsidP="000227AE">
            <w:pPr>
              <w:pStyle w:val="Measuretabledatarightaligneditalics"/>
              <w:keepNext/>
            </w:pPr>
            <w:r>
              <w:rPr>
                <w:szCs w:val="16"/>
              </w:rPr>
              <w:t>-</w:t>
            </w:r>
          </w:p>
        </w:tc>
        <w:tc>
          <w:tcPr>
            <w:tcW w:w="1045" w:type="dxa"/>
            <w:tcBorders>
              <w:bottom w:val="single" w:sz="4" w:space="0" w:color="293F5B"/>
            </w:tcBorders>
            <w:shd w:val="clear" w:color="auto" w:fill="auto"/>
            <w:vAlign w:val="bottom"/>
          </w:tcPr>
          <w:p w14:paraId="43210A83" w14:textId="0C5C42A3" w:rsidR="000227AE" w:rsidRPr="001C06E6" w:rsidRDefault="000227AE" w:rsidP="000227AE">
            <w:pPr>
              <w:pStyle w:val="Measuretabledatarightaligneditalics"/>
              <w:keepNext/>
            </w:pPr>
            <w:r>
              <w:rPr>
                <w:szCs w:val="16"/>
              </w:rPr>
              <w:t>4.2</w:t>
            </w:r>
          </w:p>
        </w:tc>
        <w:tc>
          <w:tcPr>
            <w:tcW w:w="1045" w:type="dxa"/>
            <w:tcBorders>
              <w:bottom w:val="single" w:sz="4" w:space="0" w:color="293F5B"/>
            </w:tcBorders>
            <w:shd w:val="clear" w:color="auto" w:fill="auto"/>
            <w:vAlign w:val="bottom"/>
          </w:tcPr>
          <w:p w14:paraId="659D2093" w14:textId="4A7511D9" w:rsidR="000227AE" w:rsidRPr="001C06E6" w:rsidRDefault="000227AE" w:rsidP="000227AE">
            <w:pPr>
              <w:pStyle w:val="Measuretabledatarightaligneditalics"/>
              <w:keepNext/>
            </w:pPr>
            <w:r>
              <w:rPr>
                <w:szCs w:val="16"/>
              </w:rPr>
              <w:t>5.5</w:t>
            </w:r>
          </w:p>
        </w:tc>
      </w:tr>
      <w:tr w:rsidR="006572CA" w:rsidRPr="001C06E6" w14:paraId="5CA07816" w14:textId="77777777" w:rsidTr="00AC2FA9">
        <w:tc>
          <w:tcPr>
            <w:tcW w:w="2497" w:type="dxa"/>
            <w:tcBorders>
              <w:top w:val="single" w:sz="4" w:space="0" w:color="293F5B"/>
              <w:bottom w:val="single" w:sz="4" w:space="0" w:color="293F5B"/>
            </w:tcBorders>
            <w:shd w:val="clear" w:color="auto" w:fill="auto"/>
          </w:tcPr>
          <w:p w14:paraId="566A731B" w14:textId="50B4AE27" w:rsidR="006572CA" w:rsidRPr="001C06E6" w:rsidRDefault="006572CA" w:rsidP="006572CA">
            <w:pPr>
              <w:pStyle w:val="AgencyNamewith2ptsspacing"/>
              <w:keepNext/>
            </w:pPr>
            <w:r>
              <w:t>Australian Securities and Investments Commission</w:t>
            </w:r>
          </w:p>
        </w:tc>
        <w:tc>
          <w:tcPr>
            <w:tcW w:w="1045" w:type="dxa"/>
            <w:tcBorders>
              <w:top w:val="single" w:sz="4" w:space="0" w:color="293F5B"/>
              <w:bottom w:val="single" w:sz="4" w:space="0" w:color="293F5B"/>
            </w:tcBorders>
            <w:shd w:val="clear" w:color="auto" w:fill="auto"/>
            <w:vAlign w:val="bottom"/>
          </w:tcPr>
          <w:p w14:paraId="4CCEB856" w14:textId="2F99C6CC" w:rsidR="006572CA" w:rsidRPr="001C06E6" w:rsidRDefault="006572CA" w:rsidP="006572CA">
            <w:pPr>
              <w:pStyle w:val="Measuretabledatarightaligneditalics"/>
              <w:keepNext/>
            </w:pPr>
            <w:r>
              <w:rPr>
                <w:szCs w:val="16"/>
              </w:rPr>
              <w:t>-</w:t>
            </w:r>
          </w:p>
        </w:tc>
        <w:tc>
          <w:tcPr>
            <w:tcW w:w="1045" w:type="dxa"/>
            <w:tcBorders>
              <w:top w:val="single" w:sz="4" w:space="0" w:color="293F5B"/>
              <w:bottom w:val="single" w:sz="4" w:space="0" w:color="293F5B"/>
            </w:tcBorders>
            <w:shd w:val="clear" w:color="auto" w:fill="auto"/>
            <w:vAlign w:val="bottom"/>
          </w:tcPr>
          <w:p w14:paraId="318299CE" w14:textId="396C5827" w:rsidR="006572CA" w:rsidRPr="001C06E6" w:rsidRDefault="006572CA" w:rsidP="006572CA">
            <w:pPr>
              <w:pStyle w:val="Measuretabledatarightaligneditalics"/>
              <w:keepNext/>
            </w:pPr>
            <w:r>
              <w:rPr>
                <w:szCs w:val="16"/>
              </w:rPr>
              <w:t>-</w:t>
            </w:r>
          </w:p>
        </w:tc>
        <w:tc>
          <w:tcPr>
            <w:tcW w:w="1045" w:type="dxa"/>
            <w:tcBorders>
              <w:top w:val="single" w:sz="4" w:space="0" w:color="293F5B"/>
              <w:bottom w:val="single" w:sz="4" w:space="0" w:color="293F5B"/>
            </w:tcBorders>
            <w:shd w:val="clear" w:color="auto" w:fill="auto"/>
            <w:vAlign w:val="bottom"/>
          </w:tcPr>
          <w:p w14:paraId="7A533026" w14:textId="0C7E940E" w:rsidR="006572CA" w:rsidRPr="001C06E6" w:rsidRDefault="006572CA" w:rsidP="006572CA">
            <w:pPr>
              <w:pStyle w:val="Measuretabledatarightaligneditalics"/>
              <w:keepNext/>
            </w:pPr>
            <w:r>
              <w:rPr>
                <w:szCs w:val="16"/>
              </w:rPr>
              <w:t>17.3</w:t>
            </w:r>
          </w:p>
        </w:tc>
        <w:tc>
          <w:tcPr>
            <w:tcW w:w="1045" w:type="dxa"/>
            <w:tcBorders>
              <w:top w:val="single" w:sz="4" w:space="0" w:color="293F5B"/>
              <w:bottom w:val="single" w:sz="4" w:space="0" w:color="293F5B"/>
            </w:tcBorders>
            <w:shd w:val="clear" w:color="auto" w:fill="auto"/>
            <w:vAlign w:val="bottom"/>
          </w:tcPr>
          <w:p w14:paraId="646B2A79" w14:textId="6F02A64A" w:rsidR="006572CA" w:rsidRPr="001C06E6" w:rsidRDefault="006572CA" w:rsidP="006572CA">
            <w:pPr>
              <w:pStyle w:val="Measuretabledatarightaligneditalics"/>
              <w:keepNext/>
            </w:pPr>
            <w:r>
              <w:rPr>
                <w:szCs w:val="16"/>
              </w:rPr>
              <w:t>15.2</w:t>
            </w:r>
          </w:p>
        </w:tc>
        <w:tc>
          <w:tcPr>
            <w:tcW w:w="1045" w:type="dxa"/>
            <w:tcBorders>
              <w:top w:val="single" w:sz="4" w:space="0" w:color="293F5B"/>
              <w:bottom w:val="single" w:sz="4" w:space="0" w:color="293F5B"/>
            </w:tcBorders>
            <w:shd w:val="clear" w:color="auto" w:fill="auto"/>
            <w:vAlign w:val="bottom"/>
          </w:tcPr>
          <w:p w14:paraId="7E4949C8" w14:textId="53B2507B" w:rsidR="006572CA" w:rsidRPr="001C06E6" w:rsidRDefault="006572CA" w:rsidP="006572CA">
            <w:pPr>
              <w:pStyle w:val="Measuretabledatarightaligneditalics"/>
              <w:keepNext/>
            </w:pPr>
            <w:r>
              <w:rPr>
                <w:szCs w:val="16"/>
              </w:rPr>
              <w:t>13.5</w:t>
            </w:r>
          </w:p>
        </w:tc>
      </w:tr>
      <w:tr w:rsidR="0012790E" w:rsidRPr="001C06E6" w14:paraId="732ACA1C" w14:textId="77777777">
        <w:tc>
          <w:tcPr>
            <w:tcW w:w="2497" w:type="dxa"/>
            <w:tcBorders>
              <w:top w:val="single" w:sz="4" w:space="0" w:color="293F5B"/>
              <w:bottom w:val="single" w:sz="4" w:space="0" w:color="293F5B"/>
            </w:tcBorders>
            <w:shd w:val="clear" w:color="auto" w:fill="auto"/>
          </w:tcPr>
          <w:p w14:paraId="4F8A3DA6" w14:textId="77777777" w:rsidR="0012790E" w:rsidRPr="001C06E6" w:rsidRDefault="0012790E">
            <w:pPr>
              <w:pStyle w:val="AgencyName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056BE745"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1793ED01"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20F7F5EA"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63A1CE79" w14:textId="77777777" w:rsidR="0012790E" w:rsidRPr="001C06E6" w:rsidRDefault="0012790E">
            <w:pPr>
              <w:pStyle w:val="Measuretabledatarightaligneditalics"/>
              <w:keepNext/>
            </w:pPr>
            <w:r w:rsidRPr="001C06E6">
              <w:t>*</w:t>
            </w:r>
          </w:p>
        </w:tc>
        <w:tc>
          <w:tcPr>
            <w:tcW w:w="1045" w:type="dxa"/>
            <w:tcBorders>
              <w:top w:val="single" w:sz="4" w:space="0" w:color="293F5B"/>
              <w:bottom w:val="single" w:sz="4" w:space="0" w:color="293F5B"/>
            </w:tcBorders>
            <w:shd w:val="clear" w:color="auto" w:fill="auto"/>
          </w:tcPr>
          <w:p w14:paraId="517AE833" w14:textId="77777777" w:rsidR="0012790E" w:rsidRPr="001C06E6" w:rsidRDefault="0012790E">
            <w:pPr>
              <w:pStyle w:val="Measuretabledatarightaligneditalics"/>
              <w:keepNext/>
            </w:pPr>
            <w:r w:rsidRPr="001C06E6">
              <w:t>*</w:t>
            </w:r>
          </w:p>
        </w:tc>
      </w:tr>
      <w:tr w:rsidR="0012790E" w:rsidRPr="001C06E6" w14:paraId="65B93B45" w14:textId="77777777">
        <w:tc>
          <w:tcPr>
            <w:tcW w:w="2497" w:type="dxa"/>
            <w:tcBorders>
              <w:top w:val="single" w:sz="4" w:space="0" w:color="293F5B"/>
              <w:bottom w:val="single" w:sz="4" w:space="0" w:color="293F5B"/>
            </w:tcBorders>
            <w:shd w:val="clear" w:color="auto" w:fill="auto"/>
          </w:tcPr>
          <w:p w14:paraId="4B988F5B" w14:textId="77777777" w:rsidR="0012790E" w:rsidRPr="001C06E6" w:rsidRDefault="0012790E">
            <w:pPr>
              <w:pStyle w:val="Totalrowitalicsleftaligned"/>
              <w:keepNext/>
            </w:pPr>
            <w:r w:rsidRPr="001C06E6">
              <w:t>Total – Receipts</w:t>
            </w:r>
          </w:p>
        </w:tc>
        <w:tc>
          <w:tcPr>
            <w:tcW w:w="1045" w:type="dxa"/>
            <w:tcBorders>
              <w:top w:val="single" w:sz="4" w:space="0" w:color="293F5B"/>
              <w:bottom w:val="single" w:sz="4" w:space="0" w:color="293F5B"/>
            </w:tcBorders>
            <w:shd w:val="clear" w:color="auto" w:fill="auto"/>
          </w:tcPr>
          <w:p w14:paraId="36C06136"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0D5E3594"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723A23E3"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3B7FB35A"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2D104F26" w14:textId="77777777" w:rsidR="0012790E" w:rsidRPr="001C06E6" w:rsidRDefault="0012790E">
            <w:pPr>
              <w:pStyle w:val="Totalrowitalicsrightaligned"/>
              <w:keepNext/>
            </w:pPr>
            <w:r w:rsidRPr="001C06E6">
              <w:t>*</w:t>
            </w:r>
          </w:p>
        </w:tc>
      </w:tr>
    </w:tbl>
    <w:p w14:paraId="0E23B770" w14:textId="77777777" w:rsidR="0012790E" w:rsidRPr="001C06E6" w:rsidRDefault="0012790E">
      <w:pPr>
        <w:keepNext/>
        <w:widowControl w:val="0"/>
        <w:tabs>
          <w:tab w:val="right" w:pos="3536"/>
          <w:tab w:val="right" w:pos="4579"/>
          <w:tab w:val="right" w:pos="5622"/>
          <w:tab w:val="right" w:pos="6664"/>
          <w:tab w:val="right" w:pos="7707"/>
        </w:tabs>
        <w:spacing w:line="226" w:lineRule="exact"/>
        <w:rPr>
          <w:i/>
          <w:color w:val="000000"/>
          <w:sz w:val="16"/>
          <w:szCs w:val="24"/>
          <w:lang w:val="en-AU"/>
        </w:rPr>
      </w:pPr>
    </w:p>
    <w:p w14:paraId="0B40F059" w14:textId="77777777" w:rsidR="0012790E" w:rsidRDefault="0012790E">
      <w:pPr>
        <w:pStyle w:val="Normal2"/>
      </w:pPr>
      <w:r w:rsidRPr="54937204">
        <w:rPr>
          <w:lang w:val="en-US"/>
        </w:rPr>
        <w:t xml:space="preserve">The Government will provide $7.5 million over four years from 2024–25 (and $1.5 million per year ongoing) to modernise regulatory frameworks for financial services to improve </w:t>
      </w:r>
      <w:r w:rsidRPr="00206423">
        <w:rPr>
          <w:spacing w:val="-2"/>
          <w:lang w:val="en-US"/>
        </w:rPr>
        <w:t>competition and consumer protections for services enabled by new technology, including to:</w:t>
      </w:r>
    </w:p>
    <w:p w14:paraId="555143B3" w14:textId="77777777" w:rsidR="0012790E" w:rsidRDefault="0012790E">
      <w:pPr>
        <w:pStyle w:val="Bullet"/>
      </w:pPr>
      <w:r w:rsidRPr="001C06E6">
        <w:t>develop and consult on legislation to licence and regulate platforms that hold digital assets and progress related reforms, including continuing exploratory work on Central Bank Digital Currencies, asset tokenisation and decentralised finance</w:t>
      </w:r>
      <w:r>
        <w:t xml:space="preserve"> </w:t>
      </w:r>
    </w:p>
    <w:p w14:paraId="299EFACD" w14:textId="77777777" w:rsidR="0012790E" w:rsidRDefault="0012790E">
      <w:pPr>
        <w:pStyle w:val="Bullet"/>
      </w:pPr>
      <w:r w:rsidRPr="001C06E6">
        <w:t>introduce a new regulatory framework for payment service providers (including digital wallets and electronic stored value providers), including licensing and a mandated ePayments Code.</w:t>
      </w:r>
      <w:r>
        <w:t xml:space="preserve"> </w:t>
      </w:r>
    </w:p>
    <w:p w14:paraId="53085CF8" w14:textId="77777777" w:rsidR="0012790E" w:rsidRDefault="0012790E">
      <w:pPr>
        <w:pStyle w:val="Normal2"/>
      </w:pPr>
      <w:r w:rsidRPr="001C06E6">
        <w:t>The Government will consider future funding requirements to implement the proposed</w:t>
      </w:r>
      <w:r>
        <w:t xml:space="preserve"> </w:t>
      </w:r>
      <w:r w:rsidRPr="001C06E6">
        <w:t>reforms informed by the development of legislation.</w:t>
      </w:r>
      <w:r>
        <w:t xml:space="preserve"> </w:t>
      </w:r>
    </w:p>
    <w:p w14:paraId="02E36F6A" w14:textId="77777777" w:rsidR="0012790E" w:rsidRPr="001C06E6" w:rsidRDefault="0012790E">
      <w:pPr>
        <w:pStyle w:val="MeasureTitle"/>
        <w:rPr>
          <w:b w:val="0"/>
          <w:szCs w:val="24"/>
        </w:rPr>
      </w:pPr>
      <w:r w:rsidRPr="001C06E6">
        <w:rPr>
          <w:szCs w:val="24"/>
        </w:rPr>
        <w:t>Supporting Small Businesses</w:t>
      </w:r>
    </w:p>
    <w:p w14:paraId="6A35D666"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2C0115B4" w14:textId="77777777">
        <w:tc>
          <w:tcPr>
            <w:tcW w:w="2497" w:type="dxa"/>
            <w:tcBorders>
              <w:top w:val="single" w:sz="4" w:space="0" w:color="293F5B"/>
              <w:bottom w:val="single" w:sz="4" w:space="0" w:color="293F5B"/>
            </w:tcBorders>
            <w:shd w:val="clear" w:color="auto" w:fill="auto"/>
          </w:tcPr>
          <w:p w14:paraId="2E6EFD4C"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72F808D9"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30786E89"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1735416F"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711BF39F"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585E12B9" w14:textId="77777777" w:rsidR="0012790E" w:rsidRPr="001C06E6" w:rsidRDefault="0012790E">
            <w:pPr>
              <w:pStyle w:val="MeasureTableYearHeadings"/>
              <w:keepNext/>
            </w:pPr>
            <w:r w:rsidRPr="001C06E6">
              <w:t>2027</w:t>
            </w:r>
            <w:r>
              <w:noBreakHyphen/>
            </w:r>
            <w:r w:rsidRPr="001C06E6">
              <w:t>28</w:t>
            </w:r>
          </w:p>
        </w:tc>
      </w:tr>
      <w:tr w:rsidR="0012790E" w:rsidRPr="001C06E6" w14:paraId="03FE1101" w14:textId="77777777">
        <w:tc>
          <w:tcPr>
            <w:tcW w:w="2497" w:type="dxa"/>
            <w:tcBorders>
              <w:top w:val="single" w:sz="4" w:space="0" w:color="293F5B"/>
              <w:bottom w:val="single" w:sz="4" w:space="0" w:color="293F5B"/>
            </w:tcBorders>
            <w:shd w:val="clear" w:color="auto" w:fill="auto"/>
          </w:tcPr>
          <w:p w14:paraId="40AA73B5"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6625AE02" w14:textId="77777777" w:rsidR="0012790E" w:rsidRPr="001C06E6" w:rsidRDefault="0012790E">
            <w:pPr>
              <w:pStyle w:val="MeasureTableDataRightAlignedwith2ptsspacing"/>
              <w:keepNext/>
            </w:pPr>
            <w:r w:rsidRPr="001C06E6">
              <w:t>-3.3</w:t>
            </w:r>
          </w:p>
        </w:tc>
        <w:tc>
          <w:tcPr>
            <w:tcW w:w="1045" w:type="dxa"/>
            <w:tcBorders>
              <w:top w:val="single" w:sz="4" w:space="0" w:color="293F5B"/>
              <w:bottom w:val="single" w:sz="4" w:space="0" w:color="293F5B"/>
            </w:tcBorders>
            <w:shd w:val="clear" w:color="auto" w:fill="auto"/>
          </w:tcPr>
          <w:p w14:paraId="4E9178F6" w14:textId="77777777" w:rsidR="0012790E" w:rsidRPr="001C06E6" w:rsidRDefault="0012790E">
            <w:pPr>
              <w:pStyle w:val="MeasureTableDataRightAlignedwith2ptsspacing"/>
              <w:keepNext/>
            </w:pPr>
            <w:r w:rsidRPr="001C06E6">
              <w:t>8.5</w:t>
            </w:r>
          </w:p>
        </w:tc>
        <w:tc>
          <w:tcPr>
            <w:tcW w:w="1045" w:type="dxa"/>
            <w:tcBorders>
              <w:top w:val="single" w:sz="4" w:space="0" w:color="293F5B"/>
              <w:bottom w:val="single" w:sz="4" w:space="0" w:color="293F5B"/>
            </w:tcBorders>
            <w:shd w:val="clear" w:color="auto" w:fill="auto"/>
          </w:tcPr>
          <w:p w14:paraId="3DDA6755" w14:textId="77777777" w:rsidR="0012790E" w:rsidRPr="001C06E6" w:rsidRDefault="0012790E">
            <w:pPr>
              <w:pStyle w:val="MeasureTableDataRightAlignedwith2ptsspacing"/>
              <w:keepNext/>
            </w:pPr>
            <w:r w:rsidRPr="001C06E6">
              <w:t>15.9</w:t>
            </w:r>
          </w:p>
        </w:tc>
        <w:tc>
          <w:tcPr>
            <w:tcW w:w="1045" w:type="dxa"/>
            <w:tcBorders>
              <w:top w:val="single" w:sz="4" w:space="0" w:color="293F5B"/>
              <w:bottom w:val="single" w:sz="4" w:space="0" w:color="293F5B"/>
            </w:tcBorders>
            <w:shd w:val="clear" w:color="auto" w:fill="auto"/>
          </w:tcPr>
          <w:p w14:paraId="7EBB0C48" w14:textId="77777777" w:rsidR="0012790E" w:rsidRPr="001C06E6" w:rsidRDefault="0012790E">
            <w:pPr>
              <w:pStyle w:val="MeasureTableDataRightAlignedwith2ptsspacing"/>
              <w:keepNext/>
            </w:pPr>
            <w:r w:rsidRPr="001C06E6">
              <w:t>5.5</w:t>
            </w:r>
          </w:p>
        </w:tc>
        <w:tc>
          <w:tcPr>
            <w:tcW w:w="1045" w:type="dxa"/>
            <w:tcBorders>
              <w:top w:val="single" w:sz="4" w:space="0" w:color="293F5B"/>
              <w:bottom w:val="single" w:sz="4" w:space="0" w:color="293F5B"/>
            </w:tcBorders>
            <w:shd w:val="clear" w:color="auto" w:fill="auto"/>
          </w:tcPr>
          <w:p w14:paraId="68D30F47" w14:textId="77777777" w:rsidR="0012790E" w:rsidRPr="001C06E6" w:rsidRDefault="0012790E">
            <w:pPr>
              <w:pStyle w:val="MeasureTableDataRightAlignedwith2ptsspacing"/>
              <w:keepNext/>
            </w:pPr>
            <w:r w:rsidRPr="001C06E6">
              <w:t>6.3</w:t>
            </w:r>
          </w:p>
        </w:tc>
      </w:tr>
    </w:tbl>
    <w:p w14:paraId="44DF10A8" w14:textId="77777777" w:rsidR="0012790E" w:rsidRPr="001C06E6" w:rsidRDefault="0012790E">
      <w:pPr>
        <w:keepNext/>
        <w:widowControl w:val="0"/>
        <w:tabs>
          <w:tab w:val="right" w:pos="3536"/>
          <w:tab w:val="right" w:pos="4579"/>
          <w:tab w:val="right" w:pos="5622"/>
          <w:tab w:val="right" w:pos="6664"/>
          <w:tab w:val="right" w:pos="7707"/>
        </w:tabs>
        <w:spacing w:line="240" w:lineRule="exact"/>
        <w:rPr>
          <w:color w:val="000000"/>
          <w:sz w:val="16"/>
          <w:szCs w:val="24"/>
          <w:lang w:val="en-AU"/>
        </w:rPr>
      </w:pPr>
    </w:p>
    <w:p w14:paraId="3C8EC6D6" w14:textId="77777777" w:rsidR="0012790E" w:rsidRDefault="0012790E">
      <w:pPr>
        <w:pStyle w:val="Normal2"/>
      </w:pPr>
      <w:r w:rsidRPr="001C06E6">
        <w:t>The Government will provide $41.7</w:t>
      </w:r>
      <w:r>
        <w:t> </w:t>
      </w:r>
      <w:r w:rsidRPr="001C06E6">
        <w:t xml:space="preserve">million over four years from </w:t>
      </w:r>
      <w:r>
        <w:t>2024–25</w:t>
      </w:r>
      <w:r w:rsidRPr="001C06E6">
        <w:t xml:space="preserve"> to support</w:t>
      </w:r>
      <w:r>
        <w:t xml:space="preserve"> </w:t>
      </w:r>
      <w:r w:rsidRPr="001C06E6">
        <w:t>small businesses. Funding includes:</w:t>
      </w:r>
    </w:p>
    <w:p w14:paraId="4C6ED65C" w14:textId="77777777" w:rsidR="0012790E" w:rsidRDefault="0012790E">
      <w:pPr>
        <w:pStyle w:val="Bullet"/>
      </w:pPr>
      <w:r w:rsidRPr="001C06E6">
        <w:t>$25.3</w:t>
      </w:r>
      <w:r>
        <w:t> </w:t>
      </w:r>
      <w:r w:rsidRPr="001C06E6">
        <w:t xml:space="preserve">million over four years from </w:t>
      </w:r>
      <w:r>
        <w:t>2024–25</w:t>
      </w:r>
      <w:r w:rsidRPr="001C06E6">
        <w:t xml:space="preserve"> to support the Payment Times Reporting Regulator to implement reforms recommended by the statutory review of the </w:t>
      </w:r>
      <w:r w:rsidRPr="001C06E6">
        <w:rPr>
          <w:i/>
        </w:rPr>
        <w:t>Payment Times Reporting Act 2020</w:t>
      </w:r>
      <w:r w:rsidRPr="001C06E6">
        <w:t>, including increased resourcing for the Regulator and upgrading the Regulator’s ICT infrastructure</w:t>
      </w:r>
      <w:r>
        <w:t xml:space="preserve"> </w:t>
      </w:r>
    </w:p>
    <w:p w14:paraId="5322605C" w14:textId="77777777" w:rsidR="0012790E" w:rsidRDefault="0012790E">
      <w:pPr>
        <w:pStyle w:val="Bullet"/>
      </w:pPr>
      <w:r w:rsidRPr="001C06E6">
        <w:t>$10.8</w:t>
      </w:r>
      <w:r>
        <w:t> </w:t>
      </w:r>
      <w:r w:rsidRPr="001C06E6">
        <w:t xml:space="preserve">million over two years from </w:t>
      </w:r>
      <w:r>
        <w:t>2024–25</w:t>
      </w:r>
      <w:r w:rsidRPr="001C06E6">
        <w:t xml:space="preserve"> to extend the Small Business Debt Helpline and the NewAccess for Small Business Owners program to continue to provide financial counselling and mental health support for small business owners</w:t>
      </w:r>
      <w:r>
        <w:t xml:space="preserve"> </w:t>
      </w:r>
    </w:p>
    <w:p w14:paraId="68D79A90" w14:textId="671B44A2" w:rsidR="0012790E" w:rsidRDefault="0012790E">
      <w:pPr>
        <w:pStyle w:val="Bullet"/>
      </w:pPr>
      <w:r w:rsidRPr="001C06E6">
        <w:t>$3.0</w:t>
      </w:r>
      <w:r>
        <w:t> </w:t>
      </w:r>
      <w:r w:rsidRPr="001C06E6">
        <w:t xml:space="preserve">million over two years from </w:t>
      </w:r>
      <w:r>
        <w:t>2024–25</w:t>
      </w:r>
      <w:r w:rsidRPr="001C06E6">
        <w:t xml:space="preserve"> to implement the Government’s</w:t>
      </w:r>
      <w:r>
        <w:t xml:space="preserve"> </w:t>
      </w:r>
      <w:r w:rsidRPr="001C06E6">
        <w:t>response to</w:t>
      </w:r>
      <w:r w:rsidR="00206423">
        <w:t> </w:t>
      </w:r>
      <w:r w:rsidRPr="001C06E6">
        <w:t>the Review of the Franchising Code of Conduct, including by investigating the feasibility of a licensing model and remaking and updating the Franchising Code of Conduct prior to its expiration in April 2025</w:t>
      </w:r>
      <w:r>
        <w:t xml:space="preserve"> </w:t>
      </w:r>
    </w:p>
    <w:p w14:paraId="32516ACB" w14:textId="36E21D51" w:rsidR="0012790E" w:rsidRDefault="0012790E">
      <w:pPr>
        <w:pStyle w:val="Bullet"/>
      </w:pPr>
      <w:r w:rsidRPr="001C06E6">
        <w:t>$2.6</w:t>
      </w:r>
      <w:r>
        <w:t> </w:t>
      </w:r>
      <w:r w:rsidRPr="001C06E6">
        <w:t xml:space="preserve">million over four years from </w:t>
      </w:r>
      <w:r>
        <w:t>2024–25</w:t>
      </w:r>
      <w:r w:rsidRPr="001C06E6">
        <w:t xml:space="preserve"> (and $0.7</w:t>
      </w:r>
      <w:r>
        <w:t> </w:t>
      </w:r>
      <w:r w:rsidRPr="001C06E6">
        <w:t>million per year ongoing) for the</w:t>
      </w:r>
      <w:r w:rsidR="00206423">
        <w:t> </w:t>
      </w:r>
      <w:r w:rsidRPr="001C06E6">
        <w:t>Australian Small Business and Family Enterprise Ombudsman to support unrepresented small businesses to navigate business</w:t>
      </w:r>
      <w:r>
        <w:noBreakHyphen/>
      </w:r>
      <w:r w:rsidRPr="001C06E6">
        <w:t>to</w:t>
      </w:r>
      <w:r>
        <w:noBreakHyphen/>
      </w:r>
      <w:r w:rsidRPr="001C06E6">
        <w:t>business disputes through alternative dispute resolution.</w:t>
      </w:r>
      <w:r>
        <w:t xml:space="preserve"> </w:t>
      </w:r>
    </w:p>
    <w:p w14:paraId="787AB779" w14:textId="77777777" w:rsidR="0012790E" w:rsidRDefault="0012790E">
      <w:pPr>
        <w:pStyle w:val="Normal2"/>
      </w:pPr>
      <w:r w:rsidRPr="001C06E6">
        <w:t>The cost of this measure will be partially met from within the existing resourcing of the</w:t>
      </w:r>
      <w:r>
        <w:t xml:space="preserve"> </w:t>
      </w:r>
      <w:r w:rsidRPr="001C06E6">
        <w:t>Department of the Treasury and the Australian Competition and Consumer</w:t>
      </w:r>
      <w:r>
        <w:t xml:space="preserve"> </w:t>
      </w:r>
      <w:r w:rsidRPr="001C06E6">
        <w:t>Commission.</w:t>
      </w:r>
      <w:r>
        <w:t xml:space="preserve"> </w:t>
      </w:r>
    </w:p>
    <w:p w14:paraId="16DD92F9" w14:textId="77777777" w:rsidR="0012790E" w:rsidRDefault="0012790E">
      <w:pPr>
        <w:pStyle w:val="Normal2"/>
      </w:pPr>
      <w:r w:rsidRPr="001C06E6">
        <w:t xml:space="preserve">This measure builds on the </w:t>
      </w:r>
      <w:r>
        <w:t>2023–24 </w:t>
      </w:r>
      <w:r w:rsidRPr="001C06E6">
        <w:t xml:space="preserve">MYEFO measure titled </w:t>
      </w:r>
      <w:r w:rsidRPr="001C06E6">
        <w:rPr>
          <w:i/>
        </w:rPr>
        <w:t>Ensuring Small</w:t>
      </w:r>
      <w:r>
        <w:rPr>
          <w:i/>
        </w:rPr>
        <w:t xml:space="preserve"> </w:t>
      </w:r>
      <w:r w:rsidRPr="001C06E6">
        <w:rPr>
          <w:i/>
        </w:rPr>
        <w:t>Businesses are Paid on Time</w:t>
      </w:r>
      <w:r w:rsidRPr="001C06E6">
        <w:t>.</w:t>
      </w:r>
      <w:r>
        <w:t xml:space="preserve"> </w:t>
      </w:r>
    </w:p>
    <w:p w14:paraId="4D5C113B" w14:textId="77777777" w:rsidR="0012790E" w:rsidRPr="001C06E6" w:rsidRDefault="0012790E" w:rsidP="54937204">
      <w:pPr>
        <w:pStyle w:val="MeasureTitle"/>
        <w:rPr>
          <w:b w:val="0"/>
          <w:lang w:val="en-US"/>
        </w:rPr>
      </w:pPr>
      <w:r w:rsidRPr="54937204">
        <w:rPr>
          <w:lang w:val="en-US"/>
        </w:rPr>
        <w:t>Treasury Portfolio – additional resourcing</w:t>
      </w:r>
    </w:p>
    <w:p w14:paraId="600DD5CE" w14:textId="77777777" w:rsidR="0012790E" w:rsidRPr="001C06E6" w:rsidRDefault="0012790E">
      <w:pPr>
        <w:pStyle w:val="MeasureTableHeading"/>
      </w:pPr>
      <w:r w:rsidRPr="001C06E6">
        <w:rPr>
          <w:color w:val="000000"/>
          <w:szCs w:val="24"/>
        </w:rPr>
        <w:t>Payments ($m)</w:t>
      </w:r>
    </w:p>
    <w:tbl>
      <w:tblPr>
        <w:tblW w:w="7722" w:type="dxa"/>
        <w:tblLayout w:type="fixed"/>
        <w:tblLook w:val="0000" w:firstRow="0" w:lastRow="0" w:firstColumn="0" w:lastColumn="0" w:noHBand="0" w:noVBand="0"/>
      </w:tblPr>
      <w:tblGrid>
        <w:gridCol w:w="2497"/>
        <w:gridCol w:w="1045"/>
        <w:gridCol w:w="1045"/>
        <w:gridCol w:w="1045"/>
        <w:gridCol w:w="1045"/>
        <w:gridCol w:w="1045"/>
      </w:tblGrid>
      <w:tr w:rsidR="0012790E" w:rsidRPr="001C06E6" w14:paraId="39BFAED7" w14:textId="77777777">
        <w:tc>
          <w:tcPr>
            <w:tcW w:w="2497" w:type="dxa"/>
            <w:tcBorders>
              <w:top w:val="single" w:sz="4" w:space="0" w:color="293F5B"/>
              <w:bottom w:val="single" w:sz="4" w:space="0" w:color="293F5B"/>
            </w:tcBorders>
            <w:shd w:val="clear" w:color="auto" w:fill="auto"/>
          </w:tcPr>
          <w:p w14:paraId="0DD023B8" w14:textId="77777777" w:rsidR="0012790E" w:rsidRPr="001C06E6" w:rsidRDefault="0012790E">
            <w:pPr>
              <w:pStyle w:val="MeasureTableYearHeadings"/>
              <w:keepNext/>
            </w:pPr>
          </w:p>
        </w:tc>
        <w:tc>
          <w:tcPr>
            <w:tcW w:w="1045" w:type="dxa"/>
            <w:tcBorders>
              <w:top w:val="single" w:sz="4" w:space="0" w:color="293F5B"/>
              <w:bottom w:val="single" w:sz="4" w:space="0" w:color="293F5B"/>
            </w:tcBorders>
            <w:shd w:val="clear" w:color="auto" w:fill="auto"/>
          </w:tcPr>
          <w:p w14:paraId="04F70232" w14:textId="77777777" w:rsidR="0012790E" w:rsidRPr="001C06E6" w:rsidRDefault="0012790E">
            <w:pPr>
              <w:pStyle w:val="MeasureTableYearHeadings"/>
              <w:keepNext/>
            </w:pPr>
            <w:r w:rsidRPr="001C06E6">
              <w:t>2023</w:t>
            </w:r>
            <w:r>
              <w:noBreakHyphen/>
            </w:r>
            <w:r w:rsidRPr="001C06E6">
              <w:t>24</w:t>
            </w:r>
          </w:p>
        </w:tc>
        <w:tc>
          <w:tcPr>
            <w:tcW w:w="1045" w:type="dxa"/>
            <w:tcBorders>
              <w:top w:val="single" w:sz="4" w:space="0" w:color="293F5B"/>
              <w:bottom w:val="single" w:sz="4" w:space="0" w:color="293F5B"/>
            </w:tcBorders>
            <w:shd w:val="clear" w:color="auto" w:fill="auto"/>
          </w:tcPr>
          <w:p w14:paraId="131BDC0F" w14:textId="77777777" w:rsidR="0012790E" w:rsidRPr="001C06E6" w:rsidRDefault="0012790E">
            <w:pPr>
              <w:pStyle w:val="MeasureTableYearHeadings"/>
              <w:keepNext/>
            </w:pPr>
            <w:r w:rsidRPr="001C06E6">
              <w:t>2024</w:t>
            </w:r>
            <w:r>
              <w:noBreakHyphen/>
            </w:r>
            <w:r w:rsidRPr="001C06E6">
              <w:t>25</w:t>
            </w:r>
          </w:p>
        </w:tc>
        <w:tc>
          <w:tcPr>
            <w:tcW w:w="1045" w:type="dxa"/>
            <w:tcBorders>
              <w:top w:val="single" w:sz="4" w:space="0" w:color="293F5B"/>
              <w:bottom w:val="single" w:sz="4" w:space="0" w:color="293F5B"/>
            </w:tcBorders>
            <w:shd w:val="clear" w:color="auto" w:fill="auto"/>
          </w:tcPr>
          <w:p w14:paraId="2ED5DF27" w14:textId="77777777" w:rsidR="0012790E" w:rsidRPr="001C06E6" w:rsidRDefault="0012790E">
            <w:pPr>
              <w:pStyle w:val="MeasureTableYearHeadings"/>
              <w:keepNext/>
            </w:pPr>
            <w:r w:rsidRPr="001C06E6">
              <w:t>2025</w:t>
            </w:r>
            <w:r>
              <w:noBreakHyphen/>
            </w:r>
            <w:r w:rsidRPr="001C06E6">
              <w:t>26</w:t>
            </w:r>
          </w:p>
        </w:tc>
        <w:tc>
          <w:tcPr>
            <w:tcW w:w="1045" w:type="dxa"/>
            <w:tcBorders>
              <w:top w:val="single" w:sz="4" w:space="0" w:color="293F5B"/>
              <w:bottom w:val="single" w:sz="4" w:space="0" w:color="293F5B"/>
            </w:tcBorders>
            <w:shd w:val="clear" w:color="auto" w:fill="auto"/>
          </w:tcPr>
          <w:p w14:paraId="5DDE9B61" w14:textId="77777777" w:rsidR="0012790E" w:rsidRPr="001C06E6" w:rsidRDefault="0012790E">
            <w:pPr>
              <w:pStyle w:val="MeasureTableYearHeadings"/>
              <w:keepNext/>
            </w:pPr>
            <w:r w:rsidRPr="001C06E6">
              <w:t>2026</w:t>
            </w:r>
            <w:r>
              <w:noBreakHyphen/>
            </w:r>
            <w:r w:rsidRPr="001C06E6">
              <w:t>27</w:t>
            </w:r>
          </w:p>
        </w:tc>
        <w:tc>
          <w:tcPr>
            <w:tcW w:w="1045" w:type="dxa"/>
            <w:tcBorders>
              <w:top w:val="single" w:sz="4" w:space="0" w:color="293F5B"/>
              <w:bottom w:val="single" w:sz="4" w:space="0" w:color="293F5B"/>
            </w:tcBorders>
            <w:shd w:val="clear" w:color="auto" w:fill="auto"/>
          </w:tcPr>
          <w:p w14:paraId="3FFBCBA1" w14:textId="77777777" w:rsidR="0012790E" w:rsidRPr="001C06E6" w:rsidRDefault="0012790E">
            <w:pPr>
              <w:pStyle w:val="MeasureTableYearHeadings"/>
              <w:keepNext/>
            </w:pPr>
            <w:r w:rsidRPr="001C06E6">
              <w:t>2027</w:t>
            </w:r>
            <w:r>
              <w:noBreakHyphen/>
            </w:r>
            <w:r w:rsidRPr="001C06E6">
              <w:t>28</w:t>
            </w:r>
          </w:p>
        </w:tc>
      </w:tr>
      <w:tr w:rsidR="0012790E" w:rsidRPr="001C06E6" w14:paraId="524E7BCD" w14:textId="77777777">
        <w:tc>
          <w:tcPr>
            <w:tcW w:w="2497" w:type="dxa"/>
            <w:tcBorders>
              <w:top w:val="single" w:sz="4" w:space="0" w:color="293F5B"/>
              <w:bottom w:val="single" w:sz="4" w:space="0" w:color="293F5B"/>
            </w:tcBorders>
            <w:shd w:val="clear" w:color="auto" w:fill="auto"/>
          </w:tcPr>
          <w:p w14:paraId="09A32F4C" w14:textId="77777777" w:rsidR="0012790E" w:rsidRPr="001C06E6" w:rsidRDefault="0012790E">
            <w:pPr>
              <w:pStyle w:val="MeasureTableHeadingleftalignedwith2ptsspacing"/>
              <w:keepNext/>
            </w:pPr>
            <w:r w:rsidRPr="001C06E6">
              <w:t>Department of the Treasury</w:t>
            </w:r>
          </w:p>
        </w:tc>
        <w:tc>
          <w:tcPr>
            <w:tcW w:w="1045" w:type="dxa"/>
            <w:tcBorders>
              <w:top w:val="single" w:sz="4" w:space="0" w:color="293F5B"/>
              <w:bottom w:val="single" w:sz="4" w:space="0" w:color="293F5B"/>
            </w:tcBorders>
            <w:shd w:val="clear" w:color="auto" w:fill="auto"/>
          </w:tcPr>
          <w:p w14:paraId="545A2B22" w14:textId="77777777" w:rsidR="0012790E" w:rsidRPr="001C06E6" w:rsidRDefault="0012790E">
            <w:pPr>
              <w:pStyle w:val="MeasureTableDataRightAlignedwith2ptsspacing"/>
              <w:keepNext/>
            </w:pPr>
            <w:r w:rsidRPr="001C06E6">
              <w:t>23.1</w:t>
            </w:r>
          </w:p>
        </w:tc>
        <w:tc>
          <w:tcPr>
            <w:tcW w:w="1045" w:type="dxa"/>
            <w:tcBorders>
              <w:top w:val="single" w:sz="4" w:space="0" w:color="293F5B"/>
              <w:bottom w:val="single" w:sz="4" w:space="0" w:color="293F5B"/>
            </w:tcBorders>
            <w:shd w:val="clear" w:color="auto" w:fill="auto"/>
          </w:tcPr>
          <w:p w14:paraId="22359DDB" w14:textId="77777777" w:rsidR="0012790E" w:rsidRPr="001C06E6" w:rsidRDefault="0012790E">
            <w:pPr>
              <w:pStyle w:val="MeasureTableDataRightAlignedwith2ptsspacing"/>
              <w:keepNext/>
            </w:pPr>
            <w:r w:rsidRPr="001C06E6">
              <w:t>27.7</w:t>
            </w:r>
          </w:p>
        </w:tc>
        <w:tc>
          <w:tcPr>
            <w:tcW w:w="1045" w:type="dxa"/>
            <w:tcBorders>
              <w:top w:val="single" w:sz="4" w:space="0" w:color="293F5B"/>
              <w:bottom w:val="single" w:sz="4" w:space="0" w:color="293F5B"/>
            </w:tcBorders>
            <w:shd w:val="clear" w:color="auto" w:fill="auto"/>
          </w:tcPr>
          <w:p w14:paraId="7DF5A09D" w14:textId="77777777" w:rsidR="0012790E" w:rsidRPr="001C06E6" w:rsidRDefault="0012790E">
            <w:pPr>
              <w:pStyle w:val="MeasureTableDataRightAlignedwith2ptsspacing"/>
              <w:keepNext/>
            </w:pPr>
            <w:r w:rsidRPr="001C06E6">
              <w:t>12.2</w:t>
            </w:r>
          </w:p>
        </w:tc>
        <w:tc>
          <w:tcPr>
            <w:tcW w:w="1045" w:type="dxa"/>
            <w:tcBorders>
              <w:top w:val="single" w:sz="4" w:space="0" w:color="293F5B"/>
              <w:bottom w:val="single" w:sz="4" w:space="0" w:color="293F5B"/>
            </w:tcBorders>
            <w:shd w:val="clear" w:color="auto" w:fill="auto"/>
          </w:tcPr>
          <w:p w14:paraId="531FA0DE" w14:textId="77777777" w:rsidR="0012790E" w:rsidRPr="001C06E6" w:rsidRDefault="0012790E">
            <w:pPr>
              <w:pStyle w:val="MeasureTableDataRightAlignedwith2ptsspacing"/>
              <w:keepNext/>
            </w:pPr>
            <w:r w:rsidRPr="001C06E6">
              <w:t>10.1</w:t>
            </w:r>
          </w:p>
        </w:tc>
        <w:tc>
          <w:tcPr>
            <w:tcW w:w="1045" w:type="dxa"/>
            <w:tcBorders>
              <w:top w:val="single" w:sz="4" w:space="0" w:color="293F5B"/>
              <w:bottom w:val="single" w:sz="4" w:space="0" w:color="293F5B"/>
            </w:tcBorders>
            <w:shd w:val="clear" w:color="auto" w:fill="auto"/>
          </w:tcPr>
          <w:p w14:paraId="7F6B4BF9" w14:textId="77777777" w:rsidR="0012790E" w:rsidRPr="001C06E6" w:rsidRDefault="0012790E">
            <w:pPr>
              <w:pStyle w:val="MeasureTableDataRightAlignedwith2ptsspacing"/>
              <w:keepNext/>
            </w:pPr>
            <w:r w:rsidRPr="001C06E6">
              <w:t>9.9</w:t>
            </w:r>
          </w:p>
        </w:tc>
      </w:tr>
      <w:tr w:rsidR="0012790E" w:rsidRPr="001C06E6" w14:paraId="01269D1C" w14:textId="77777777">
        <w:tc>
          <w:tcPr>
            <w:tcW w:w="2497" w:type="dxa"/>
            <w:tcBorders>
              <w:top w:val="single" w:sz="4" w:space="0" w:color="293F5B"/>
              <w:bottom w:val="single" w:sz="4" w:space="0" w:color="293F5B"/>
            </w:tcBorders>
            <w:shd w:val="clear" w:color="auto" w:fill="auto"/>
          </w:tcPr>
          <w:p w14:paraId="27F05A7D" w14:textId="77777777" w:rsidR="0012790E" w:rsidRPr="001C06E6" w:rsidRDefault="0012790E">
            <w:pPr>
              <w:pStyle w:val="MeasureTableHeadingleftalignedwith2ptsspacing"/>
              <w:keepNext/>
            </w:pPr>
            <w:r>
              <w:t xml:space="preserve">Australian Competition and Consumer Commission </w:t>
            </w:r>
          </w:p>
        </w:tc>
        <w:tc>
          <w:tcPr>
            <w:tcW w:w="1045" w:type="dxa"/>
            <w:tcBorders>
              <w:top w:val="single" w:sz="4" w:space="0" w:color="293F5B"/>
              <w:bottom w:val="single" w:sz="4" w:space="0" w:color="293F5B"/>
            </w:tcBorders>
            <w:shd w:val="clear" w:color="auto" w:fill="auto"/>
          </w:tcPr>
          <w:p w14:paraId="4ACC4048" w14:textId="77777777" w:rsidR="0012790E" w:rsidRPr="001C06E6" w:rsidRDefault="0012790E">
            <w:pPr>
              <w:pStyle w:val="MeasureTableDataRightAlignedwith2ptsspacing"/>
              <w:keepNext/>
            </w:pPr>
            <w:r>
              <w:t xml:space="preserve">2.6 </w:t>
            </w:r>
          </w:p>
        </w:tc>
        <w:tc>
          <w:tcPr>
            <w:tcW w:w="1045" w:type="dxa"/>
            <w:tcBorders>
              <w:top w:val="single" w:sz="4" w:space="0" w:color="293F5B"/>
              <w:bottom w:val="single" w:sz="4" w:space="0" w:color="293F5B"/>
            </w:tcBorders>
            <w:shd w:val="clear" w:color="auto" w:fill="auto"/>
          </w:tcPr>
          <w:p w14:paraId="18CADFF4" w14:textId="77777777" w:rsidR="0012790E" w:rsidRPr="001C06E6" w:rsidRDefault="0012790E">
            <w:pPr>
              <w:pStyle w:val="MeasureTableDataRightAlignedwith2ptsspacing"/>
              <w:keepNext/>
            </w:pPr>
            <w:r>
              <w:t xml:space="preserve">5.3 </w:t>
            </w:r>
          </w:p>
        </w:tc>
        <w:tc>
          <w:tcPr>
            <w:tcW w:w="1045" w:type="dxa"/>
            <w:tcBorders>
              <w:top w:val="single" w:sz="4" w:space="0" w:color="293F5B"/>
              <w:bottom w:val="single" w:sz="4" w:space="0" w:color="293F5B"/>
            </w:tcBorders>
            <w:shd w:val="clear" w:color="auto" w:fill="auto"/>
          </w:tcPr>
          <w:p w14:paraId="39FE464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6ADB7CFE"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156FCA3" w14:textId="77777777" w:rsidR="0012790E" w:rsidRPr="001C06E6" w:rsidRDefault="0012790E">
            <w:pPr>
              <w:pStyle w:val="MeasureTableDataRightAlignedwith2ptsspacing"/>
              <w:keepNext/>
            </w:pPr>
            <w:r>
              <w:t xml:space="preserve">- </w:t>
            </w:r>
          </w:p>
        </w:tc>
      </w:tr>
      <w:tr w:rsidR="0012790E" w:rsidRPr="001C06E6" w14:paraId="13360AAB" w14:textId="77777777">
        <w:tc>
          <w:tcPr>
            <w:tcW w:w="2497" w:type="dxa"/>
            <w:tcBorders>
              <w:top w:val="single" w:sz="4" w:space="0" w:color="293F5B"/>
              <w:bottom w:val="single" w:sz="4" w:space="0" w:color="293F5B"/>
            </w:tcBorders>
            <w:shd w:val="clear" w:color="auto" w:fill="auto"/>
          </w:tcPr>
          <w:p w14:paraId="4165EEE0" w14:textId="77777777" w:rsidR="0012790E" w:rsidRPr="001C06E6" w:rsidRDefault="0012790E">
            <w:pPr>
              <w:pStyle w:val="MeasureTableHeadingleftalignedwith2ptsspacing"/>
              <w:keepNext/>
            </w:pPr>
            <w:r>
              <w:t xml:space="preserve">Australian Securities and Investments Commission </w:t>
            </w:r>
          </w:p>
        </w:tc>
        <w:tc>
          <w:tcPr>
            <w:tcW w:w="1045" w:type="dxa"/>
            <w:tcBorders>
              <w:top w:val="single" w:sz="4" w:space="0" w:color="293F5B"/>
              <w:bottom w:val="single" w:sz="4" w:space="0" w:color="293F5B"/>
            </w:tcBorders>
            <w:shd w:val="clear" w:color="auto" w:fill="auto"/>
          </w:tcPr>
          <w:p w14:paraId="7E89D316"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0873DE12" w14:textId="77777777" w:rsidR="0012790E" w:rsidRPr="001C06E6" w:rsidRDefault="0012790E">
            <w:pPr>
              <w:pStyle w:val="MeasureTableDataRightAlignedwith2ptsspacing"/>
              <w:keepNext/>
            </w:pPr>
            <w:r>
              <w:t xml:space="preserve">4.3 </w:t>
            </w:r>
          </w:p>
        </w:tc>
        <w:tc>
          <w:tcPr>
            <w:tcW w:w="1045" w:type="dxa"/>
            <w:tcBorders>
              <w:top w:val="single" w:sz="4" w:space="0" w:color="293F5B"/>
              <w:bottom w:val="single" w:sz="4" w:space="0" w:color="293F5B"/>
            </w:tcBorders>
            <w:shd w:val="clear" w:color="auto" w:fill="auto"/>
          </w:tcPr>
          <w:p w14:paraId="601AFB61" w14:textId="77777777" w:rsidR="0012790E" w:rsidRPr="001C06E6" w:rsidRDefault="0012790E">
            <w:pPr>
              <w:pStyle w:val="MeasureTableDataRightAlignedwith2ptsspacing"/>
              <w:keepNext/>
            </w:pPr>
            <w:r>
              <w:t xml:space="preserve">15.9 </w:t>
            </w:r>
          </w:p>
        </w:tc>
        <w:tc>
          <w:tcPr>
            <w:tcW w:w="1045" w:type="dxa"/>
            <w:tcBorders>
              <w:top w:val="single" w:sz="4" w:space="0" w:color="293F5B"/>
              <w:bottom w:val="single" w:sz="4" w:space="0" w:color="293F5B"/>
            </w:tcBorders>
            <w:shd w:val="clear" w:color="auto" w:fill="auto"/>
          </w:tcPr>
          <w:p w14:paraId="062AA3D7" w14:textId="77777777" w:rsidR="0012790E" w:rsidRPr="001C06E6" w:rsidRDefault="0012790E">
            <w:pPr>
              <w:pStyle w:val="MeasureTableDataRightAlignedwith2ptsspacing"/>
              <w:keepNext/>
            </w:pPr>
            <w:r>
              <w:t xml:space="preserve">12.7 </w:t>
            </w:r>
          </w:p>
        </w:tc>
        <w:tc>
          <w:tcPr>
            <w:tcW w:w="1045" w:type="dxa"/>
            <w:tcBorders>
              <w:top w:val="single" w:sz="4" w:space="0" w:color="293F5B"/>
              <w:bottom w:val="single" w:sz="4" w:space="0" w:color="293F5B"/>
            </w:tcBorders>
            <w:shd w:val="clear" w:color="auto" w:fill="auto"/>
          </w:tcPr>
          <w:p w14:paraId="2CDC1C4A" w14:textId="77777777" w:rsidR="0012790E" w:rsidRPr="001C06E6" w:rsidRDefault="0012790E">
            <w:pPr>
              <w:pStyle w:val="MeasureTableDataRightAlignedwith2ptsspacing"/>
              <w:keepNext/>
            </w:pPr>
            <w:r>
              <w:t xml:space="preserve">9.6 </w:t>
            </w:r>
          </w:p>
        </w:tc>
      </w:tr>
      <w:tr w:rsidR="0012790E" w:rsidRPr="001C06E6" w14:paraId="73FBD51C" w14:textId="77777777">
        <w:tc>
          <w:tcPr>
            <w:tcW w:w="2497" w:type="dxa"/>
            <w:tcBorders>
              <w:top w:val="single" w:sz="4" w:space="0" w:color="293F5B"/>
              <w:bottom w:val="single" w:sz="4" w:space="0" w:color="293F5B"/>
            </w:tcBorders>
            <w:shd w:val="clear" w:color="auto" w:fill="auto"/>
          </w:tcPr>
          <w:p w14:paraId="1B43F60D" w14:textId="77777777" w:rsidR="0012790E" w:rsidRPr="001C06E6" w:rsidRDefault="0012790E">
            <w:pPr>
              <w:pStyle w:val="MeasureTableHeadingleftalignedwith2ptsspacing"/>
              <w:keepNext/>
            </w:pPr>
            <w:r w:rsidRPr="001C06E6">
              <w:t>Australian Taxation Office</w:t>
            </w:r>
          </w:p>
        </w:tc>
        <w:tc>
          <w:tcPr>
            <w:tcW w:w="1045" w:type="dxa"/>
            <w:tcBorders>
              <w:top w:val="single" w:sz="4" w:space="0" w:color="293F5B"/>
              <w:bottom w:val="single" w:sz="4" w:space="0" w:color="293F5B"/>
            </w:tcBorders>
            <w:shd w:val="clear" w:color="auto" w:fill="auto"/>
          </w:tcPr>
          <w:p w14:paraId="1942FF7B"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3A4FD259" w14:textId="77777777" w:rsidR="0012790E" w:rsidRPr="001C06E6" w:rsidRDefault="0012790E">
            <w:pPr>
              <w:pStyle w:val="MeasureTableDataRightAlignedwith2ptsspacing"/>
              <w:keepNext/>
            </w:pPr>
            <w:r w:rsidRPr="001C06E6">
              <w:t>0.6</w:t>
            </w:r>
          </w:p>
        </w:tc>
        <w:tc>
          <w:tcPr>
            <w:tcW w:w="1045" w:type="dxa"/>
            <w:tcBorders>
              <w:top w:val="single" w:sz="4" w:space="0" w:color="293F5B"/>
              <w:bottom w:val="single" w:sz="4" w:space="0" w:color="293F5B"/>
            </w:tcBorders>
            <w:shd w:val="clear" w:color="auto" w:fill="auto"/>
          </w:tcPr>
          <w:p w14:paraId="234570CF" w14:textId="77777777" w:rsidR="0012790E" w:rsidRPr="001C06E6" w:rsidRDefault="0012790E">
            <w:pPr>
              <w:pStyle w:val="MeasureTableDataRightAlignedwith2ptsspacing"/>
              <w:keepNext/>
            </w:pPr>
            <w:r w:rsidRPr="001C06E6">
              <w:t>0.7</w:t>
            </w:r>
          </w:p>
        </w:tc>
        <w:tc>
          <w:tcPr>
            <w:tcW w:w="1045" w:type="dxa"/>
            <w:tcBorders>
              <w:top w:val="single" w:sz="4" w:space="0" w:color="293F5B"/>
              <w:bottom w:val="single" w:sz="4" w:space="0" w:color="293F5B"/>
            </w:tcBorders>
            <w:shd w:val="clear" w:color="auto" w:fill="auto"/>
          </w:tcPr>
          <w:p w14:paraId="3A056BD3" w14:textId="77777777" w:rsidR="0012790E" w:rsidRPr="001C06E6" w:rsidRDefault="0012790E">
            <w:pPr>
              <w:pStyle w:val="MeasureTableDataRightAlignedwith2ptsspacing"/>
              <w:keepNext/>
            </w:pPr>
            <w:r w:rsidRPr="001C06E6">
              <w:t>0.7</w:t>
            </w:r>
          </w:p>
        </w:tc>
        <w:tc>
          <w:tcPr>
            <w:tcW w:w="1045" w:type="dxa"/>
            <w:tcBorders>
              <w:top w:val="single" w:sz="4" w:space="0" w:color="293F5B"/>
              <w:bottom w:val="single" w:sz="4" w:space="0" w:color="293F5B"/>
            </w:tcBorders>
            <w:shd w:val="clear" w:color="auto" w:fill="auto"/>
          </w:tcPr>
          <w:p w14:paraId="7D064116" w14:textId="77777777" w:rsidR="0012790E" w:rsidRPr="001C06E6" w:rsidRDefault="0012790E">
            <w:pPr>
              <w:pStyle w:val="MeasureTableDataRightAlignedwith2ptsspacing"/>
              <w:keepNext/>
            </w:pPr>
            <w:r w:rsidRPr="001C06E6">
              <w:t>0.7</w:t>
            </w:r>
          </w:p>
        </w:tc>
      </w:tr>
      <w:tr w:rsidR="0012790E" w:rsidRPr="001C06E6" w14:paraId="52E92211" w14:textId="77777777">
        <w:tc>
          <w:tcPr>
            <w:tcW w:w="2497" w:type="dxa"/>
            <w:tcBorders>
              <w:top w:val="single" w:sz="4" w:space="0" w:color="293F5B"/>
              <w:bottom w:val="single" w:sz="4" w:space="0" w:color="293F5B"/>
            </w:tcBorders>
            <w:shd w:val="clear" w:color="auto" w:fill="auto"/>
          </w:tcPr>
          <w:p w14:paraId="1F2B9793" w14:textId="77777777" w:rsidR="0012790E" w:rsidRPr="001C06E6" w:rsidRDefault="0012790E">
            <w:pPr>
              <w:pStyle w:val="MeasureTableHeadingleftalignedwith2ptsspacing"/>
              <w:keepNext/>
            </w:pPr>
            <w:r w:rsidRPr="001C06E6">
              <w:t>Inspector</w:t>
            </w:r>
            <w:r>
              <w:noBreakHyphen/>
            </w:r>
            <w:r w:rsidRPr="001C06E6">
              <w:t>General of Taxation</w:t>
            </w:r>
          </w:p>
        </w:tc>
        <w:tc>
          <w:tcPr>
            <w:tcW w:w="1045" w:type="dxa"/>
            <w:tcBorders>
              <w:top w:val="single" w:sz="4" w:space="0" w:color="293F5B"/>
              <w:bottom w:val="single" w:sz="4" w:space="0" w:color="293F5B"/>
            </w:tcBorders>
            <w:shd w:val="clear" w:color="auto" w:fill="auto"/>
          </w:tcPr>
          <w:p w14:paraId="66629461"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6EE32CFE" w14:textId="77777777" w:rsidR="0012790E" w:rsidRPr="001C06E6" w:rsidRDefault="0012790E">
            <w:pPr>
              <w:pStyle w:val="MeasureTableDataRightAlignedwith2ptsspacing"/>
              <w:keepNext/>
            </w:pPr>
            <w:r w:rsidRPr="001C06E6">
              <w:t>0.5</w:t>
            </w:r>
          </w:p>
        </w:tc>
        <w:tc>
          <w:tcPr>
            <w:tcW w:w="1045" w:type="dxa"/>
            <w:tcBorders>
              <w:top w:val="single" w:sz="4" w:space="0" w:color="293F5B"/>
              <w:bottom w:val="single" w:sz="4" w:space="0" w:color="293F5B"/>
            </w:tcBorders>
            <w:shd w:val="clear" w:color="auto" w:fill="auto"/>
          </w:tcPr>
          <w:p w14:paraId="1C4211B9"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DAEAD0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21303EE2" w14:textId="77777777" w:rsidR="0012790E" w:rsidRPr="001C06E6" w:rsidRDefault="0012790E">
            <w:pPr>
              <w:pStyle w:val="MeasureTableDataRightAlignedwith2ptsspacing"/>
              <w:keepNext/>
            </w:pPr>
            <w:r w:rsidRPr="001C06E6">
              <w:t>-</w:t>
            </w:r>
          </w:p>
        </w:tc>
      </w:tr>
      <w:tr w:rsidR="0012790E" w:rsidRPr="001C06E6" w14:paraId="1FE859DC" w14:textId="77777777">
        <w:tc>
          <w:tcPr>
            <w:tcW w:w="2497" w:type="dxa"/>
            <w:tcBorders>
              <w:top w:val="single" w:sz="4" w:space="0" w:color="293F5B"/>
              <w:bottom w:val="single" w:sz="4" w:space="0" w:color="293F5B"/>
            </w:tcBorders>
            <w:shd w:val="clear" w:color="auto" w:fill="auto"/>
          </w:tcPr>
          <w:p w14:paraId="54CCC855" w14:textId="77777777" w:rsidR="0012790E" w:rsidRPr="001C06E6" w:rsidRDefault="0012790E">
            <w:pPr>
              <w:pStyle w:val="MeasureTableHeadingleftalignedwith2ptsspacing"/>
              <w:keepNext/>
            </w:pPr>
            <w:r>
              <w:t xml:space="preserve">Department of Infrastructure, Transport, Regional Development, Communications and the Arts </w:t>
            </w:r>
          </w:p>
        </w:tc>
        <w:tc>
          <w:tcPr>
            <w:tcW w:w="1045" w:type="dxa"/>
            <w:tcBorders>
              <w:top w:val="single" w:sz="4" w:space="0" w:color="293F5B"/>
              <w:bottom w:val="single" w:sz="4" w:space="0" w:color="293F5B"/>
            </w:tcBorders>
            <w:shd w:val="clear" w:color="auto" w:fill="auto"/>
          </w:tcPr>
          <w:p w14:paraId="4F2E3CC5"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3BDE2DE1" w14:textId="77777777" w:rsidR="0012790E" w:rsidRPr="001C06E6" w:rsidRDefault="0012790E">
            <w:pPr>
              <w:pStyle w:val="MeasureTableDataRightAlignedwith2ptsspacing"/>
              <w:keepNext/>
            </w:pPr>
            <w:r>
              <w:t xml:space="preserve">0.2   </w:t>
            </w:r>
          </w:p>
        </w:tc>
        <w:tc>
          <w:tcPr>
            <w:tcW w:w="1045" w:type="dxa"/>
            <w:tcBorders>
              <w:top w:val="single" w:sz="4" w:space="0" w:color="293F5B"/>
              <w:bottom w:val="single" w:sz="4" w:space="0" w:color="293F5B"/>
            </w:tcBorders>
            <w:shd w:val="clear" w:color="auto" w:fill="auto"/>
          </w:tcPr>
          <w:p w14:paraId="5592E22F" w14:textId="77777777" w:rsidR="0012790E" w:rsidRPr="001C06E6" w:rsidRDefault="0012790E">
            <w:pPr>
              <w:pStyle w:val="MeasureTableDataRightAlignedwith2ptsspacing"/>
              <w:keepNext/>
            </w:pPr>
            <w:r>
              <w:t xml:space="preserve">0.2   </w:t>
            </w:r>
          </w:p>
        </w:tc>
        <w:tc>
          <w:tcPr>
            <w:tcW w:w="1045" w:type="dxa"/>
            <w:tcBorders>
              <w:top w:val="single" w:sz="4" w:space="0" w:color="293F5B"/>
              <w:bottom w:val="single" w:sz="4" w:space="0" w:color="293F5B"/>
            </w:tcBorders>
            <w:shd w:val="clear" w:color="auto" w:fill="auto"/>
          </w:tcPr>
          <w:p w14:paraId="7EFC0FEB" w14:textId="77777777" w:rsidR="0012790E" w:rsidRPr="001C06E6" w:rsidRDefault="0012790E">
            <w:pPr>
              <w:pStyle w:val="MeasureTableDataRightAlignedwith2ptsspacing"/>
              <w:keepNext/>
            </w:pPr>
            <w:r>
              <w:t xml:space="preserve">-   </w:t>
            </w:r>
          </w:p>
        </w:tc>
        <w:tc>
          <w:tcPr>
            <w:tcW w:w="1045" w:type="dxa"/>
            <w:tcBorders>
              <w:top w:val="single" w:sz="4" w:space="0" w:color="293F5B"/>
              <w:bottom w:val="single" w:sz="4" w:space="0" w:color="293F5B"/>
            </w:tcBorders>
            <w:shd w:val="clear" w:color="auto" w:fill="auto"/>
          </w:tcPr>
          <w:p w14:paraId="26FBAB53" w14:textId="77777777" w:rsidR="0012790E" w:rsidRPr="001C06E6" w:rsidRDefault="0012790E">
            <w:pPr>
              <w:pStyle w:val="MeasureTableDataRightAlignedwith2ptsspacing"/>
              <w:keepNext/>
            </w:pPr>
            <w:r>
              <w:t xml:space="preserve">-   </w:t>
            </w:r>
          </w:p>
        </w:tc>
      </w:tr>
      <w:tr w:rsidR="0012790E" w:rsidRPr="001C06E6" w14:paraId="2308B9C7" w14:textId="77777777">
        <w:tc>
          <w:tcPr>
            <w:tcW w:w="2497" w:type="dxa"/>
            <w:tcBorders>
              <w:top w:val="single" w:sz="4" w:space="0" w:color="293F5B"/>
              <w:bottom w:val="single" w:sz="4" w:space="0" w:color="293F5B"/>
            </w:tcBorders>
            <w:shd w:val="clear" w:color="auto" w:fill="auto"/>
          </w:tcPr>
          <w:p w14:paraId="2FCC0412" w14:textId="77777777" w:rsidR="0012790E" w:rsidRPr="001C06E6" w:rsidRDefault="0012790E">
            <w:pPr>
              <w:pStyle w:val="MeasureTableHeadingleftalignedwith2ptsspacing"/>
              <w:keepNext/>
            </w:pPr>
            <w:r w:rsidRPr="001C06E6">
              <w:t>Attorney</w:t>
            </w:r>
            <w:r>
              <w:noBreakHyphen/>
            </w:r>
            <w:r w:rsidRPr="001C06E6">
              <w:t>General's Department</w:t>
            </w:r>
          </w:p>
        </w:tc>
        <w:tc>
          <w:tcPr>
            <w:tcW w:w="1045" w:type="dxa"/>
            <w:tcBorders>
              <w:top w:val="single" w:sz="4" w:space="0" w:color="293F5B"/>
              <w:bottom w:val="single" w:sz="4" w:space="0" w:color="293F5B"/>
            </w:tcBorders>
            <w:shd w:val="clear" w:color="auto" w:fill="auto"/>
          </w:tcPr>
          <w:p w14:paraId="40C4F464"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5EE06F9A" w14:textId="77777777" w:rsidR="0012790E" w:rsidRPr="001C06E6" w:rsidRDefault="0012790E">
            <w:pPr>
              <w:pStyle w:val="MeasureTableDataRightAlignedwith2ptsspacing"/>
              <w:keepNext/>
            </w:pPr>
            <w:r w:rsidRPr="001C06E6">
              <w:t>0.2</w:t>
            </w:r>
          </w:p>
        </w:tc>
        <w:tc>
          <w:tcPr>
            <w:tcW w:w="1045" w:type="dxa"/>
            <w:tcBorders>
              <w:top w:val="single" w:sz="4" w:space="0" w:color="293F5B"/>
              <w:bottom w:val="single" w:sz="4" w:space="0" w:color="293F5B"/>
            </w:tcBorders>
            <w:shd w:val="clear" w:color="auto" w:fill="auto"/>
          </w:tcPr>
          <w:p w14:paraId="63264787"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4E92E50D" w14:textId="77777777" w:rsidR="0012790E" w:rsidRPr="001C06E6" w:rsidRDefault="0012790E">
            <w:pPr>
              <w:pStyle w:val="MeasureTableDataRightAlignedwith2ptsspacing"/>
              <w:keepNext/>
            </w:pPr>
            <w:r w:rsidRPr="001C06E6">
              <w:t>-</w:t>
            </w:r>
          </w:p>
        </w:tc>
        <w:tc>
          <w:tcPr>
            <w:tcW w:w="1045" w:type="dxa"/>
            <w:tcBorders>
              <w:top w:val="single" w:sz="4" w:space="0" w:color="293F5B"/>
              <w:bottom w:val="single" w:sz="4" w:space="0" w:color="293F5B"/>
            </w:tcBorders>
            <w:shd w:val="clear" w:color="auto" w:fill="auto"/>
          </w:tcPr>
          <w:p w14:paraId="746A09D9" w14:textId="77777777" w:rsidR="0012790E" w:rsidRPr="001C06E6" w:rsidRDefault="0012790E">
            <w:pPr>
              <w:pStyle w:val="MeasureTableDataRightAlignedwith2ptsspacing"/>
              <w:keepNext/>
            </w:pPr>
            <w:r w:rsidRPr="001C06E6">
              <w:t>-</w:t>
            </w:r>
          </w:p>
        </w:tc>
      </w:tr>
      <w:tr w:rsidR="0012790E" w:rsidRPr="001C06E6" w14:paraId="3B617324" w14:textId="77777777">
        <w:tc>
          <w:tcPr>
            <w:tcW w:w="2497" w:type="dxa"/>
            <w:tcBorders>
              <w:top w:val="single" w:sz="4" w:space="0" w:color="293F5B"/>
              <w:bottom w:val="single" w:sz="4" w:space="0" w:color="293F5B"/>
            </w:tcBorders>
            <w:shd w:val="clear" w:color="auto" w:fill="auto"/>
          </w:tcPr>
          <w:p w14:paraId="20CBC928" w14:textId="77777777" w:rsidR="0012790E" w:rsidRPr="001C06E6" w:rsidRDefault="0012790E">
            <w:pPr>
              <w:pStyle w:val="Totalrowleftaligned"/>
              <w:keepNext/>
            </w:pPr>
            <w:r w:rsidRPr="001C06E6">
              <w:t>Total – Payments</w:t>
            </w:r>
          </w:p>
        </w:tc>
        <w:tc>
          <w:tcPr>
            <w:tcW w:w="1045" w:type="dxa"/>
            <w:tcBorders>
              <w:top w:val="single" w:sz="4" w:space="0" w:color="293F5B"/>
              <w:bottom w:val="single" w:sz="4" w:space="0" w:color="293F5B"/>
            </w:tcBorders>
            <w:shd w:val="clear" w:color="auto" w:fill="auto"/>
          </w:tcPr>
          <w:p w14:paraId="44F0D068" w14:textId="77777777" w:rsidR="0012790E" w:rsidRPr="001C06E6" w:rsidRDefault="0012790E">
            <w:pPr>
              <w:pStyle w:val="Totaldatarowrightaligned"/>
              <w:keepNext/>
            </w:pPr>
            <w:r w:rsidRPr="001C06E6">
              <w:t>25.6</w:t>
            </w:r>
          </w:p>
        </w:tc>
        <w:tc>
          <w:tcPr>
            <w:tcW w:w="1045" w:type="dxa"/>
            <w:tcBorders>
              <w:top w:val="single" w:sz="4" w:space="0" w:color="293F5B"/>
              <w:bottom w:val="single" w:sz="4" w:space="0" w:color="293F5B"/>
            </w:tcBorders>
            <w:shd w:val="clear" w:color="auto" w:fill="auto"/>
          </w:tcPr>
          <w:p w14:paraId="65780D8E" w14:textId="77777777" w:rsidR="0012790E" w:rsidRPr="001C06E6" w:rsidRDefault="0012790E">
            <w:pPr>
              <w:pStyle w:val="Totaldatarowrightaligned"/>
              <w:keepNext/>
            </w:pPr>
            <w:r w:rsidRPr="001C06E6">
              <w:t>38.7</w:t>
            </w:r>
          </w:p>
        </w:tc>
        <w:tc>
          <w:tcPr>
            <w:tcW w:w="1045" w:type="dxa"/>
            <w:tcBorders>
              <w:top w:val="single" w:sz="4" w:space="0" w:color="293F5B"/>
              <w:bottom w:val="single" w:sz="4" w:space="0" w:color="293F5B"/>
            </w:tcBorders>
            <w:shd w:val="clear" w:color="auto" w:fill="auto"/>
          </w:tcPr>
          <w:p w14:paraId="49ACF061" w14:textId="77777777" w:rsidR="0012790E" w:rsidRPr="001C06E6" w:rsidRDefault="0012790E">
            <w:pPr>
              <w:pStyle w:val="Totaldatarowrightaligned"/>
              <w:keepNext/>
            </w:pPr>
            <w:r w:rsidRPr="001C06E6">
              <w:t>28.9</w:t>
            </w:r>
          </w:p>
        </w:tc>
        <w:tc>
          <w:tcPr>
            <w:tcW w:w="1045" w:type="dxa"/>
            <w:tcBorders>
              <w:top w:val="single" w:sz="4" w:space="0" w:color="293F5B"/>
              <w:bottom w:val="single" w:sz="4" w:space="0" w:color="293F5B"/>
            </w:tcBorders>
            <w:shd w:val="clear" w:color="auto" w:fill="auto"/>
          </w:tcPr>
          <w:p w14:paraId="0A8E9361" w14:textId="77777777" w:rsidR="0012790E" w:rsidRPr="001C06E6" w:rsidRDefault="0012790E">
            <w:pPr>
              <w:pStyle w:val="Totaldatarowrightaligned"/>
              <w:keepNext/>
            </w:pPr>
            <w:r w:rsidRPr="001C06E6">
              <w:t>23.4</w:t>
            </w:r>
          </w:p>
        </w:tc>
        <w:tc>
          <w:tcPr>
            <w:tcW w:w="1045" w:type="dxa"/>
            <w:tcBorders>
              <w:top w:val="single" w:sz="4" w:space="0" w:color="293F5B"/>
              <w:bottom w:val="single" w:sz="4" w:space="0" w:color="293F5B"/>
            </w:tcBorders>
            <w:shd w:val="clear" w:color="auto" w:fill="auto"/>
          </w:tcPr>
          <w:p w14:paraId="1AB8B76C" w14:textId="77777777" w:rsidR="0012790E" w:rsidRPr="001C06E6" w:rsidRDefault="0012790E">
            <w:pPr>
              <w:pStyle w:val="Totaldatarowrightaligned"/>
              <w:keepNext/>
            </w:pPr>
            <w:r w:rsidRPr="001C06E6">
              <w:t>20.2</w:t>
            </w:r>
          </w:p>
        </w:tc>
      </w:tr>
      <w:tr w:rsidR="0012790E" w:rsidRPr="001C06E6" w14:paraId="52025297" w14:textId="77777777">
        <w:tc>
          <w:tcPr>
            <w:tcW w:w="2497" w:type="dxa"/>
            <w:tcBorders>
              <w:top w:val="single" w:sz="4" w:space="0" w:color="293F5B"/>
            </w:tcBorders>
            <w:shd w:val="clear" w:color="auto" w:fill="auto"/>
          </w:tcPr>
          <w:p w14:paraId="248AFBCE" w14:textId="77777777" w:rsidR="0012790E" w:rsidRPr="001C06E6" w:rsidRDefault="0012790E">
            <w:pPr>
              <w:pStyle w:val="AgencyName"/>
              <w:keepNext/>
            </w:pPr>
            <w:r w:rsidRPr="001C06E6">
              <w:t>Related receipts ($m)</w:t>
            </w:r>
          </w:p>
        </w:tc>
        <w:tc>
          <w:tcPr>
            <w:tcW w:w="1045" w:type="dxa"/>
            <w:tcBorders>
              <w:top w:val="single" w:sz="4" w:space="0" w:color="293F5B"/>
            </w:tcBorders>
            <w:shd w:val="clear" w:color="auto" w:fill="auto"/>
          </w:tcPr>
          <w:p w14:paraId="02EACB82" w14:textId="77777777" w:rsidR="0012790E" w:rsidRPr="001C06E6" w:rsidRDefault="0012790E">
            <w:pPr>
              <w:pStyle w:val="AgencyName"/>
              <w:keepNext/>
            </w:pPr>
          </w:p>
        </w:tc>
        <w:tc>
          <w:tcPr>
            <w:tcW w:w="1045" w:type="dxa"/>
            <w:tcBorders>
              <w:top w:val="single" w:sz="4" w:space="0" w:color="293F5B"/>
            </w:tcBorders>
            <w:shd w:val="clear" w:color="auto" w:fill="auto"/>
          </w:tcPr>
          <w:p w14:paraId="048DDA26" w14:textId="77777777" w:rsidR="0012790E" w:rsidRPr="001C06E6" w:rsidRDefault="0012790E">
            <w:pPr>
              <w:pStyle w:val="AgencyName"/>
              <w:keepNext/>
            </w:pPr>
          </w:p>
        </w:tc>
        <w:tc>
          <w:tcPr>
            <w:tcW w:w="1045" w:type="dxa"/>
            <w:tcBorders>
              <w:top w:val="single" w:sz="4" w:space="0" w:color="293F5B"/>
            </w:tcBorders>
            <w:shd w:val="clear" w:color="auto" w:fill="auto"/>
          </w:tcPr>
          <w:p w14:paraId="50F6A5D1" w14:textId="77777777" w:rsidR="0012790E" w:rsidRPr="001C06E6" w:rsidRDefault="0012790E">
            <w:pPr>
              <w:pStyle w:val="AgencyName"/>
              <w:keepNext/>
            </w:pPr>
          </w:p>
        </w:tc>
        <w:tc>
          <w:tcPr>
            <w:tcW w:w="1045" w:type="dxa"/>
            <w:tcBorders>
              <w:top w:val="single" w:sz="4" w:space="0" w:color="293F5B"/>
            </w:tcBorders>
            <w:shd w:val="clear" w:color="auto" w:fill="auto"/>
          </w:tcPr>
          <w:p w14:paraId="214434BC" w14:textId="77777777" w:rsidR="0012790E" w:rsidRPr="001C06E6" w:rsidRDefault="0012790E">
            <w:pPr>
              <w:pStyle w:val="AgencyName"/>
              <w:keepNext/>
            </w:pPr>
          </w:p>
        </w:tc>
        <w:tc>
          <w:tcPr>
            <w:tcW w:w="1045" w:type="dxa"/>
            <w:tcBorders>
              <w:top w:val="single" w:sz="4" w:space="0" w:color="293F5B"/>
            </w:tcBorders>
            <w:shd w:val="clear" w:color="auto" w:fill="auto"/>
          </w:tcPr>
          <w:p w14:paraId="50A7D77A" w14:textId="77777777" w:rsidR="0012790E" w:rsidRPr="001C06E6" w:rsidRDefault="0012790E">
            <w:pPr>
              <w:pStyle w:val="AgencyName"/>
              <w:keepNext/>
            </w:pPr>
          </w:p>
        </w:tc>
      </w:tr>
      <w:tr w:rsidR="0012790E" w:rsidRPr="001C06E6" w14:paraId="0475E516" w14:textId="77777777">
        <w:tc>
          <w:tcPr>
            <w:tcW w:w="2497" w:type="dxa"/>
            <w:tcBorders>
              <w:bottom w:val="single" w:sz="4" w:space="0" w:color="293F5B"/>
            </w:tcBorders>
            <w:shd w:val="clear" w:color="auto" w:fill="auto"/>
          </w:tcPr>
          <w:p w14:paraId="3E273A94" w14:textId="77777777" w:rsidR="0012790E" w:rsidRPr="001C06E6" w:rsidRDefault="0012790E">
            <w:pPr>
              <w:pStyle w:val="AgencyNamewith2ptsspacing"/>
              <w:keepNext/>
            </w:pPr>
            <w:r>
              <w:t xml:space="preserve">Australian Prudential Regulation Authority </w:t>
            </w:r>
          </w:p>
        </w:tc>
        <w:tc>
          <w:tcPr>
            <w:tcW w:w="1045" w:type="dxa"/>
            <w:tcBorders>
              <w:bottom w:val="single" w:sz="4" w:space="0" w:color="293F5B"/>
            </w:tcBorders>
            <w:shd w:val="clear" w:color="auto" w:fill="auto"/>
          </w:tcPr>
          <w:p w14:paraId="01FF23CD" w14:textId="77777777" w:rsidR="0012790E" w:rsidRPr="001C06E6" w:rsidRDefault="0012790E">
            <w:pPr>
              <w:pStyle w:val="Measuretabledatarightaligneditalics"/>
              <w:keepNext/>
            </w:pPr>
            <w:r>
              <w:t xml:space="preserve">- </w:t>
            </w:r>
          </w:p>
        </w:tc>
        <w:tc>
          <w:tcPr>
            <w:tcW w:w="1045" w:type="dxa"/>
            <w:tcBorders>
              <w:bottom w:val="single" w:sz="4" w:space="0" w:color="293F5B"/>
            </w:tcBorders>
            <w:shd w:val="clear" w:color="auto" w:fill="auto"/>
          </w:tcPr>
          <w:p w14:paraId="340D0F65" w14:textId="77777777" w:rsidR="0012790E" w:rsidRPr="001C06E6" w:rsidRDefault="0012790E">
            <w:pPr>
              <w:pStyle w:val="Measuretabledatarightaligneditalics"/>
              <w:keepNext/>
            </w:pPr>
            <w:r>
              <w:t xml:space="preserve">0.6 </w:t>
            </w:r>
          </w:p>
        </w:tc>
        <w:tc>
          <w:tcPr>
            <w:tcW w:w="1045" w:type="dxa"/>
            <w:tcBorders>
              <w:bottom w:val="single" w:sz="4" w:space="0" w:color="293F5B"/>
            </w:tcBorders>
            <w:shd w:val="clear" w:color="auto" w:fill="auto"/>
          </w:tcPr>
          <w:p w14:paraId="741457B4" w14:textId="77777777" w:rsidR="0012790E" w:rsidRPr="001C06E6" w:rsidRDefault="0012790E">
            <w:pPr>
              <w:pStyle w:val="Measuretabledatarightaligneditalics"/>
              <w:keepNext/>
            </w:pPr>
            <w:r>
              <w:t xml:space="preserve">0.7 </w:t>
            </w:r>
          </w:p>
        </w:tc>
        <w:tc>
          <w:tcPr>
            <w:tcW w:w="1045" w:type="dxa"/>
            <w:tcBorders>
              <w:bottom w:val="single" w:sz="4" w:space="0" w:color="293F5B"/>
            </w:tcBorders>
            <w:shd w:val="clear" w:color="auto" w:fill="auto"/>
          </w:tcPr>
          <w:p w14:paraId="4B758635" w14:textId="77777777" w:rsidR="0012790E" w:rsidRPr="001C06E6" w:rsidRDefault="0012790E">
            <w:pPr>
              <w:pStyle w:val="Measuretabledatarightaligneditalics"/>
              <w:keepNext/>
            </w:pPr>
            <w:r>
              <w:t xml:space="preserve">0.7 </w:t>
            </w:r>
          </w:p>
        </w:tc>
        <w:tc>
          <w:tcPr>
            <w:tcW w:w="1045" w:type="dxa"/>
            <w:tcBorders>
              <w:bottom w:val="single" w:sz="4" w:space="0" w:color="293F5B"/>
            </w:tcBorders>
            <w:shd w:val="clear" w:color="auto" w:fill="auto"/>
          </w:tcPr>
          <w:p w14:paraId="76AA75CB" w14:textId="77777777" w:rsidR="0012790E" w:rsidRPr="001C06E6" w:rsidRDefault="0012790E">
            <w:pPr>
              <w:pStyle w:val="Measuretabledatarightaligneditalics"/>
              <w:keepNext/>
            </w:pPr>
            <w:r>
              <w:t xml:space="preserve">0.7 </w:t>
            </w:r>
          </w:p>
        </w:tc>
      </w:tr>
      <w:tr w:rsidR="0012790E" w:rsidRPr="001C06E6" w14:paraId="2CF72DB9" w14:textId="77777777">
        <w:tc>
          <w:tcPr>
            <w:tcW w:w="2497" w:type="dxa"/>
            <w:tcBorders>
              <w:top w:val="single" w:sz="4" w:space="0" w:color="293F5B"/>
              <w:bottom w:val="single" w:sz="4" w:space="0" w:color="293F5B"/>
            </w:tcBorders>
            <w:shd w:val="clear" w:color="auto" w:fill="auto"/>
          </w:tcPr>
          <w:p w14:paraId="39E225AE" w14:textId="77777777" w:rsidR="0012790E" w:rsidRPr="001C06E6" w:rsidRDefault="0012790E">
            <w:pPr>
              <w:pStyle w:val="AgencyNamewith2ptsspacing"/>
              <w:keepNext/>
            </w:pPr>
            <w:r>
              <w:t xml:space="preserve">Australian Securities and Investments Commission </w:t>
            </w:r>
          </w:p>
        </w:tc>
        <w:tc>
          <w:tcPr>
            <w:tcW w:w="1045" w:type="dxa"/>
            <w:tcBorders>
              <w:top w:val="single" w:sz="4" w:space="0" w:color="293F5B"/>
              <w:bottom w:val="single" w:sz="4" w:space="0" w:color="293F5B"/>
            </w:tcBorders>
            <w:shd w:val="clear" w:color="auto" w:fill="auto"/>
          </w:tcPr>
          <w:p w14:paraId="33CC4FE4"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4021A2D6" w14:textId="77777777" w:rsidR="0012790E" w:rsidRPr="001C06E6" w:rsidRDefault="0012790E">
            <w:pPr>
              <w:pStyle w:val="Measuretabledatarightaligneditalics"/>
              <w:keepNext/>
            </w:pPr>
            <w:r>
              <w:t xml:space="preserve">- </w:t>
            </w:r>
          </w:p>
        </w:tc>
        <w:tc>
          <w:tcPr>
            <w:tcW w:w="1045" w:type="dxa"/>
            <w:tcBorders>
              <w:top w:val="single" w:sz="4" w:space="0" w:color="293F5B"/>
              <w:bottom w:val="single" w:sz="4" w:space="0" w:color="293F5B"/>
            </w:tcBorders>
            <w:shd w:val="clear" w:color="auto" w:fill="auto"/>
          </w:tcPr>
          <w:p w14:paraId="6570D0BE" w14:textId="77777777" w:rsidR="0012790E" w:rsidRPr="001C06E6" w:rsidRDefault="0012790E">
            <w:pPr>
              <w:pStyle w:val="Measuretabledatarightaligneditalics"/>
              <w:keepNext/>
            </w:pPr>
            <w:r>
              <w:t xml:space="preserve">2.4 </w:t>
            </w:r>
          </w:p>
        </w:tc>
        <w:tc>
          <w:tcPr>
            <w:tcW w:w="1045" w:type="dxa"/>
            <w:tcBorders>
              <w:top w:val="single" w:sz="4" w:space="0" w:color="293F5B"/>
              <w:bottom w:val="single" w:sz="4" w:space="0" w:color="293F5B"/>
            </w:tcBorders>
            <w:shd w:val="clear" w:color="auto" w:fill="auto"/>
          </w:tcPr>
          <w:p w14:paraId="34050388" w14:textId="77777777" w:rsidR="0012790E" w:rsidRPr="001C06E6" w:rsidRDefault="0012790E">
            <w:pPr>
              <w:pStyle w:val="Measuretabledatarightaligneditalics"/>
              <w:keepNext/>
            </w:pPr>
            <w:r>
              <w:t xml:space="preserve">8.7 </w:t>
            </w:r>
          </w:p>
        </w:tc>
        <w:tc>
          <w:tcPr>
            <w:tcW w:w="1045" w:type="dxa"/>
            <w:tcBorders>
              <w:top w:val="single" w:sz="4" w:space="0" w:color="293F5B"/>
              <w:bottom w:val="single" w:sz="4" w:space="0" w:color="293F5B"/>
            </w:tcBorders>
            <w:shd w:val="clear" w:color="auto" w:fill="auto"/>
          </w:tcPr>
          <w:p w14:paraId="3F655192" w14:textId="77777777" w:rsidR="0012790E" w:rsidRPr="001C06E6" w:rsidRDefault="0012790E">
            <w:pPr>
              <w:pStyle w:val="Measuretabledatarightaligneditalics"/>
              <w:keepNext/>
            </w:pPr>
            <w:r>
              <w:t xml:space="preserve">7.8 </w:t>
            </w:r>
          </w:p>
        </w:tc>
      </w:tr>
      <w:tr w:rsidR="0012790E" w:rsidRPr="001C06E6" w14:paraId="27CB91DE" w14:textId="77777777">
        <w:tc>
          <w:tcPr>
            <w:tcW w:w="2497" w:type="dxa"/>
            <w:tcBorders>
              <w:top w:val="single" w:sz="4" w:space="0" w:color="293F5B"/>
              <w:bottom w:val="single" w:sz="4" w:space="0" w:color="293F5B"/>
            </w:tcBorders>
            <w:shd w:val="clear" w:color="auto" w:fill="auto"/>
          </w:tcPr>
          <w:p w14:paraId="21A1EA53" w14:textId="77777777" w:rsidR="0012790E" w:rsidRPr="001C06E6" w:rsidRDefault="0012790E">
            <w:pPr>
              <w:pStyle w:val="Totalrowitalicsleftaligned"/>
              <w:keepNext/>
            </w:pPr>
            <w:r w:rsidRPr="001C06E6">
              <w:t>Total – Receipts</w:t>
            </w:r>
          </w:p>
        </w:tc>
        <w:tc>
          <w:tcPr>
            <w:tcW w:w="1045" w:type="dxa"/>
            <w:tcBorders>
              <w:top w:val="single" w:sz="4" w:space="0" w:color="293F5B"/>
              <w:bottom w:val="single" w:sz="4" w:space="0" w:color="293F5B"/>
            </w:tcBorders>
            <w:shd w:val="clear" w:color="auto" w:fill="auto"/>
          </w:tcPr>
          <w:p w14:paraId="5BA73D01" w14:textId="77777777" w:rsidR="0012790E" w:rsidRPr="001C06E6" w:rsidRDefault="0012790E">
            <w:pPr>
              <w:pStyle w:val="Totalrowitalicsrightaligned"/>
              <w:keepNext/>
            </w:pPr>
            <w:r w:rsidRPr="001C06E6">
              <w:t>-</w:t>
            </w:r>
          </w:p>
        </w:tc>
        <w:tc>
          <w:tcPr>
            <w:tcW w:w="1045" w:type="dxa"/>
            <w:tcBorders>
              <w:top w:val="single" w:sz="4" w:space="0" w:color="293F5B"/>
              <w:bottom w:val="single" w:sz="4" w:space="0" w:color="293F5B"/>
            </w:tcBorders>
            <w:shd w:val="clear" w:color="auto" w:fill="auto"/>
          </w:tcPr>
          <w:p w14:paraId="39DC3AD0" w14:textId="77777777" w:rsidR="0012790E" w:rsidRPr="001C06E6" w:rsidRDefault="0012790E">
            <w:pPr>
              <w:pStyle w:val="Totalrowitalicsrightaligned"/>
              <w:keepNext/>
            </w:pPr>
            <w:r w:rsidRPr="001C06E6">
              <w:t>0.6</w:t>
            </w:r>
          </w:p>
        </w:tc>
        <w:tc>
          <w:tcPr>
            <w:tcW w:w="1045" w:type="dxa"/>
            <w:tcBorders>
              <w:top w:val="single" w:sz="4" w:space="0" w:color="293F5B"/>
              <w:bottom w:val="single" w:sz="4" w:space="0" w:color="293F5B"/>
            </w:tcBorders>
            <w:shd w:val="clear" w:color="auto" w:fill="auto"/>
          </w:tcPr>
          <w:p w14:paraId="50C9032C" w14:textId="77777777" w:rsidR="0012790E" w:rsidRPr="001C06E6" w:rsidRDefault="0012790E">
            <w:pPr>
              <w:pStyle w:val="Totalrowitalicsrightaligned"/>
              <w:keepNext/>
            </w:pPr>
            <w:r w:rsidRPr="001C06E6">
              <w:t>3.1</w:t>
            </w:r>
          </w:p>
        </w:tc>
        <w:tc>
          <w:tcPr>
            <w:tcW w:w="1045" w:type="dxa"/>
            <w:tcBorders>
              <w:top w:val="single" w:sz="4" w:space="0" w:color="293F5B"/>
              <w:bottom w:val="single" w:sz="4" w:space="0" w:color="293F5B"/>
            </w:tcBorders>
            <w:shd w:val="clear" w:color="auto" w:fill="auto"/>
          </w:tcPr>
          <w:p w14:paraId="4A8B7F02" w14:textId="77777777" w:rsidR="0012790E" w:rsidRPr="001C06E6" w:rsidRDefault="0012790E">
            <w:pPr>
              <w:pStyle w:val="Totalrowitalicsrightaligned"/>
              <w:keepNext/>
            </w:pPr>
            <w:r w:rsidRPr="001C06E6">
              <w:t>9.4</w:t>
            </w:r>
          </w:p>
        </w:tc>
        <w:tc>
          <w:tcPr>
            <w:tcW w:w="1045" w:type="dxa"/>
            <w:tcBorders>
              <w:top w:val="single" w:sz="4" w:space="0" w:color="293F5B"/>
              <w:bottom w:val="single" w:sz="4" w:space="0" w:color="293F5B"/>
            </w:tcBorders>
            <w:shd w:val="clear" w:color="auto" w:fill="auto"/>
          </w:tcPr>
          <w:p w14:paraId="64944944" w14:textId="77777777" w:rsidR="0012790E" w:rsidRPr="001C06E6" w:rsidRDefault="0012790E">
            <w:pPr>
              <w:pStyle w:val="Totalrowitalicsrightaligned"/>
              <w:keepNext/>
            </w:pPr>
            <w:r w:rsidRPr="001C06E6">
              <w:t>8.5</w:t>
            </w:r>
          </w:p>
        </w:tc>
      </w:tr>
    </w:tbl>
    <w:p w14:paraId="47A7B529" w14:textId="77777777" w:rsidR="0012790E" w:rsidRPr="001C06E6" w:rsidRDefault="0012790E">
      <w:pPr>
        <w:keepNext/>
        <w:widowControl w:val="0"/>
        <w:tabs>
          <w:tab w:val="right" w:pos="3536"/>
          <w:tab w:val="right" w:pos="4579"/>
          <w:tab w:val="right" w:pos="5622"/>
          <w:tab w:val="right" w:pos="6664"/>
          <w:tab w:val="right" w:pos="7707"/>
        </w:tabs>
        <w:spacing w:line="184" w:lineRule="exact"/>
        <w:rPr>
          <w:i/>
          <w:color w:val="000000"/>
          <w:sz w:val="16"/>
          <w:szCs w:val="24"/>
          <w:lang w:val="en-AU"/>
        </w:rPr>
      </w:pPr>
    </w:p>
    <w:p w14:paraId="07DDB2A0" w14:textId="77777777" w:rsidR="0012790E" w:rsidRDefault="0012790E">
      <w:pPr>
        <w:pStyle w:val="Normal2"/>
      </w:pPr>
      <w:r w:rsidRPr="001C06E6">
        <w:t>The Government will provide $136.9</w:t>
      </w:r>
      <w:r>
        <w:t> </w:t>
      </w:r>
      <w:r w:rsidRPr="001C06E6">
        <w:t xml:space="preserve">million over five years from </w:t>
      </w:r>
      <w:r>
        <w:t>2023–24</w:t>
      </w:r>
      <w:r w:rsidRPr="001C06E6">
        <w:t xml:space="preserve"> (and $20.2</w:t>
      </w:r>
      <w:r>
        <w:t> </w:t>
      </w:r>
      <w:r w:rsidRPr="001C06E6">
        <w:t>million per year ongoing) to support the delivery of Government priorities in the</w:t>
      </w:r>
      <w:r>
        <w:t xml:space="preserve"> </w:t>
      </w:r>
      <w:r w:rsidRPr="001C06E6">
        <w:t>Treasury portfolio. Funding includes:</w:t>
      </w:r>
    </w:p>
    <w:p w14:paraId="5F1A5799" w14:textId="2F4E667D" w:rsidR="0012790E" w:rsidRDefault="0012790E">
      <w:pPr>
        <w:pStyle w:val="Bullet"/>
      </w:pPr>
      <w:r w:rsidRPr="001C06E6">
        <w:t>$79.7</w:t>
      </w:r>
      <w:r>
        <w:t> </w:t>
      </w:r>
      <w:r w:rsidRPr="001C06E6">
        <w:t xml:space="preserve">million over four years from </w:t>
      </w:r>
      <w:r>
        <w:t>2024–25</w:t>
      </w:r>
      <w:r w:rsidRPr="001C06E6">
        <w:t xml:space="preserve"> (and $9.9</w:t>
      </w:r>
      <w:r>
        <w:t> </w:t>
      </w:r>
      <w:r w:rsidRPr="001C06E6">
        <w:t>million per year ongoing) to</w:t>
      </w:r>
      <w:r w:rsidR="00206423">
        <w:t> </w:t>
      </w:r>
      <w:r w:rsidRPr="001C06E6">
        <w:t>provide additional capability to the Treasury to meet Government priorities, including</w:t>
      </w:r>
      <w:r w:rsidR="00206423">
        <w:t> </w:t>
      </w:r>
      <w:r w:rsidRPr="001C06E6">
        <w:t>in consultation with the Department of Infrastructure, Transport, Regional Development, Communications and the Arts, and to the Inspector</w:t>
      </w:r>
      <w:r>
        <w:noBreakHyphen/>
      </w:r>
      <w:r w:rsidRPr="001C06E6">
        <w:t>General of Taxation and Taxation Ombudsman to support the performance of its functions</w:t>
      </w:r>
      <w:r>
        <w:t xml:space="preserve"> </w:t>
      </w:r>
    </w:p>
    <w:p w14:paraId="109F809F" w14:textId="77777777" w:rsidR="0012790E" w:rsidRDefault="0012790E">
      <w:pPr>
        <w:pStyle w:val="Bullet"/>
      </w:pPr>
      <w:r w:rsidRPr="001C06E6">
        <w:t>$41.7</w:t>
      </w:r>
      <w:r>
        <w:t> </w:t>
      </w:r>
      <w:r w:rsidRPr="001C06E6">
        <w:t xml:space="preserve">million over four years from </w:t>
      </w:r>
      <w:r>
        <w:t>2024–25</w:t>
      </w:r>
      <w:r w:rsidRPr="001C06E6">
        <w:t xml:space="preserve"> (and $9.6</w:t>
      </w:r>
      <w:r>
        <w:t> </w:t>
      </w:r>
      <w:r w:rsidRPr="001C06E6">
        <w:t>million per year ongoing) to the Treasury, the Australian Securities and Investments Commission (ASIC)</w:t>
      </w:r>
      <w:r>
        <w:t xml:space="preserve"> </w:t>
      </w:r>
      <w:r w:rsidRPr="001C06E6">
        <w:t>and the Attorney</w:t>
      </w:r>
      <w:r>
        <w:noBreakHyphen/>
      </w:r>
      <w:r w:rsidRPr="001C06E6">
        <w:t>General’s Department to regulate and support new beneficial ownership transparency requirements for Australian companies and other entities</w:t>
      </w:r>
      <w:r>
        <w:t xml:space="preserve"> </w:t>
      </w:r>
    </w:p>
    <w:p w14:paraId="521606CA" w14:textId="77777777" w:rsidR="0012790E" w:rsidRDefault="0012790E">
      <w:pPr>
        <w:pStyle w:val="Bullet"/>
      </w:pPr>
      <w:r w:rsidRPr="001C06E6">
        <w:t>$8.9</w:t>
      </w:r>
      <w:r>
        <w:t> </w:t>
      </w:r>
      <w:r w:rsidRPr="001C06E6">
        <w:t xml:space="preserve">million over four years from </w:t>
      </w:r>
      <w:r>
        <w:t>2023–24</w:t>
      </w:r>
      <w:r w:rsidRPr="001C06E6">
        <w:t xml:space="preserve"> to improve monitoring of supermarket pricing practices, through an Australian Competition and Consumer Commission inquiry into supermarket practices and tracking and the publication of supermarket prices by CHOICE</w:t>
      </w:r>
      <w:r>
        <w:t xml:space="preserve"> </w:t>
      </w:r>
    </w:p>
    <w:p w14:paraId="320F419C" w14:textId="77777777" w:rsidR="0012790E" w:rsidRDefault="0012790E">
      <w:pPr>
        <w:pStyle w:val="Bullet"/>
      </w:pPr>
      <w:r w:rsidRPr="001C06E6">
        <w:t>$2.9</w:t>
      </w:r>
      <w:r>
        <w:t> </w:t>
      </w:r>
      <w:r w:rsidRPr="001C06E6">
        <w:t xml:space="preserve">million in </w:t>
      </w:r>
      <w:r>
        <w:t>2024–25</w:t>
      </w:r>
      <w:r w:rsidRPr="001C06E6">
        <w:t xml:space="preserve"> to review the Australian Small Business and Family Enterprise Ombudsman, the Food and Grocery Code of Conduct, and the Tax and Corporate Whistleblower Protection Framework, as required by legislation</w:t>
      </w:r>
      <w:r>
        <w:t xml:space="preserve"> </w:t>
      </w:r>
    </w:p>
    <w:p w14:paraId="0E54C96E" w14:textId="77777777" w:rsidR="0012790E" w:rsidRDefault="0012790E">
      <w:pPr>
        <w:pStyle w:val="Bullet"/>
      </w:pPr>
      <w:r w:rsidRPr="001C06E6">
        <w:t>$2.7</w:t>
      </w:r>
      <w:r>
        <w:t> </w:t>
      </w:r>
      <w:r w:rsidRPr="001C06E6">
        <w:t xml:space="preserve">million over four years from </w:t>
      </w:r>
      <w:r>
        <w:t>2024–25</w:t>
      </w:r>
      <w:r w:rsidRPr="001C06E6">
        <w:t xml:space="preserve"> (and $0.7</w:t>
      </w:r>
      <w:r>
        <w:t> </w:t>
      </w:r>
      <w:r w:rsidRPr="001C06E6">
        <w:t>million per year ongoing) to support the SuperStream Gateway Network Governance Body, an industry</w:t>
      </w:r>
      <w:r>
        <w:noBreakHyphen/>
      </w:r>
      <w:r w:rsidRPr="001C06E6">
        <w:t>owned not for profit organisation, to manage the integrity of the Superannuation Transaction Network, which allows Gateway Members to transmit contribution data between employers and superannuation funds, with funding provided through the Australian Taxation Office</w:t>
      </w:r>
      <w:r>
        <w:t xml:space="preserve"> </w:t>
      </w:r>
    </w:p>
    <w:p w14:paraId="65C02693" w14:textId="77777777" w:rsidR="0012790E" w:rsidRDefault="0012790E">
      <w:pPr>
        <w:pStyle w:val="Bullet"/>
      </w:pPr>
      <w:r w:rsidRPr="001C06E6">
        <w:t>$1.0</w:t>
      </w:r>
      <w:r>
        <w:t> </w:t>
      </w:r>
      <w:r w:rsidRPr="001C06E6">
        <w:t xml:space="preserve">million over two years from </w:t>
      </w:r>
      <w:r>
        <w:t>2024–25</w:t>
      </w:r>
      <w:r w:rsidRPr="001C06E6">
        <w:t xml:space="preserve"> for ASIC to maintain the North Queensland home insurance comparison website.</w:t>
      </w:r>
      <w:r>
        <w:t xml:space="preserve"> </w:t>
      </w:r>
    </w:p>
    <w:p w14:paraId="1794B64A" w14:textId="77777777" w:rsidR="0012790E" w:rsidRDefault="0012790E">
      <w:pPr>
        <w:pStyle w:val="Normal2"/>
      </w:pPr>
      <w:r w:rsidRPr="001C06E6">
        <w:t>The cost of this measure will be partially met from cost recovery through ASIC and</w:t>
      </w:r>
      <w:r>
        <w:t xml:space="preserve"> </w:t>
      </w:r>
      <w:r w:rsidRPr="001C06E6">
        <w:t>Australian Prudential Regulation Authority industry levies.</w:t>
      </w:r>
      <w:r>
        <w:t xml:space="preserve"> </w:t>
      </w:r>
    </w:p>
    <w:p w14:paraId="3013D68F" w14:textId="091AE753" w:rsidR="0035635A" w:rsidRPr="0012790E" w:rsidRDefault="0012790E" w:rsidP="005451E1">
      <w:pPr>
        <w:pStyle w:val="Normal2"/>
      </w:pPr>
      <w:r w:rsidRPr="54937204">
        <w:rPr>
          <w:lang w:val="en-US"/>
        </w:rPr>
        <w:t xml:space="preserve">This measure builds on the 2023–24 MYEFO measure titled </w:t>
      </w:r>
      <w:r w:rsidRPr="54937204">
        <w:rPr>
          <w:i/>
          <w:iCs/>
          <w:lang w:val="en-US"/>
        </w:rPr>
        <w:t>Treasury Portfolio – additional</w:t>
      </w:r>
      <w:r w:rsidR="00206423">
        <w:rPr>
          <w:i/>
          <w:iCs/>
          <w:lang w:val="en-US"/>
        </w:rPr>
        <w:t> </w:t>
      </w:r>
      <w:r w:rsidRPr="54937204">
        <w:rPr>
          <w:i/>
          <w:iCs/>
          <w:lang w:val="en-US"/>
        </w:rPr>
        <w:t>resourcing</w:t>
      </w:r>
      <w:r w:rsidRPr="54937204">
        <w:rPr>
          <w:lang w:val="en-US"/>
        </w:rPr>
        <w:t xml:space="preserve">. </w:t>
      </w:r>
    </w:p>
    <w:sectPr w:rsidR="0035635A" w:rsidRPr="0012790E" w:rsidSect="00D34B96">
      <w:pgSz w:w="11905" w:h="16837" w:code="9"/>
      <w:pgMar w:top="2835" w:right="2098" w:bottom="2466" w:left="2098" w:header="1814" w:footer="181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C112" w14:textId="77777777" w:rsidR="007455DE" w:rsidRDefault="007455DE">
      <w:r>
        <w:separator/>
      </w:r>
    </w:p>
  </w:endnote>
  <w:endnote w:type="continuationSeparator" w:id="0">
    <w:p w14:paraId="34982FE0" w14:textId="77777777" w:rsidR="007455DE" w:rsidRDefault="007455DE">
      <w:r>
        <w:continuationSeparator/>
      </w:r>
    </w:p>
  </w:endnote>
  <w:endnote w:type="continuationNotice" w:id="1">
    <w:p w14:paraId="141B2BA4" w14:textId="77777777" w:rsidR="007455DE" w:rsidRDefault="00745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9686" w14:textId="1A5FB654" w:rsidR="00C83B27" w:rsidRPr="00C83B27" w:rsidRDefault="00C83B27" w:rsidP="00C83B27">
    <w:pPr>
      <w:pStyle w:val="FooterEven"/>
      <w:rPr>
        <w:b/>
      </w:rPr>
    </w:pPr>
    <w:r w:rsidRPr="00C83B27">
      <w:rPr>
        <w:b/>
      </w:rPr>
      <w:t xml:space="preserve">Page </w:t>
    </w:r>
    <w:r>
      <w:rPr>
        <w:b/>
      </w:rPr>
      <w:fldChar w:fldCharType="begin"/>
    </w:r>
    <w:r>
      <w:rPr>
        <w:b/>
      </w:rPr>
      <w:instrText xml:space="preserve"> PAGE  \* MERGEFORMAT </w:instrText>
    </w:r>
    <w:r>
      <w:rPr>
        <w:b/>
      </w:rPr>
      <w:fldChar w:fldCharType="separate"/>
    </w:r>
    <w:r w:rsidR="0012790E">
      <w:rPr>
        <w:b/>
        <w:noProof/>
      </w:rPr>
      <w:t>4</w:t>
    </w:r>
    <w:r>
      <w:rPr>
        <w:b/>
      </w:rPr>
      <w:fldChar w:fldCharType="end"/>
    </w:r>
    <w:r w:rsidRPr="00C83B27">
      <w:t xml:space="preserve">  |  </w:t>
    </w:r>
    <w:r>
      <w:t>Part 1: Receipt Measures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0725" w14:textId="1FF1311E"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20</w:t>
    </w:r>
    <w:r w:rsidR="0012790E" w:rsidRPr="54937204">
      <w:rPr>
        <w:b/>
        <w:bCs/>
        <w:noProof/>
        <w:lang w:val="en-US"/>
      </w:rPr>
      <w:fldChar w:fldCharType="end"/>
    </w:r>
    <w:r w:rsidRPr="54937204">
      <w:rPr>
        <w:lang w:val="en-US"/>
      </w:rPr>
      <w:t xml:space="preserve">  |  Part 2: Payment Measures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4224" w14:textId="6CF2E1AD"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21</w:t>
    </w:r>
    <w:r w:rsidR="0012790E" w:rsidRPr="54937204">
      <w:rPr>
        <w:b/>
        <w:bCs/>
        <w:noProof/>
        <w:lang w:val="en-U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95B"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2F9D" w14:textId="7747DC74"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22</w:t>
    </w:r>
    <w:r w:rsidR="0012790E" w:rsidRPr="54937204">
      <w:rPr>
        <w:b/>
        <w:bCs/>
        <w:noProof/>
        <w:lang w:val="en-US"/>
      </w:rPr>
      <w:fldChar w:fldCharType="end"/>
    </w:r>
    <w:r w:rsidRPr="54937204">
      <w:rPr>
        <w:lang w:val="en-US"/>
      </w:rPr>
      <w:t xml:space="preserve">  |  Part 2: Payment Measures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DB4E" w14:textId="32D431BA"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21</w:t>
    </w:r>
    <w:r w:rsidR="0012790E" w:rsidRPr="54937204">
      <w:rPr>
        <w:b/>
        <w:bCs/>
        <w:noProof/>
        <w:lang w:val="en-US"/>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3618"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A975" w14:textId="2508689B"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22</w:t>
    </w:r>
    <w:r w:rsidR="0012790E" w:rsidRPr="54937204">
      <w:rPr>
        <w:b/>
        <w:bCs/>
        <w:noProof/>
        <w:lang w:val="en-US"/>
      </w:rPr>
      <w:fldChar w:fldCharType="end"/>
    </w:r>
    <w:r w:rsidRPr="54937204">
      <w:rPr>
        <w:lang w:val="en-US"/>
      </w:rPr>
      <w:t xml:space="preserve">  |  Part 2: Payment Measures</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0C53" w14:textId="4D42DD46"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23</w:t>
    </w:r>
    <w:r w:rsidR="0012790E" w:rsidRPr="54937204">
      <w:rPr>
        <w:b/>
        <w:bCs/>
        <w:noProof/>
        <w:lang w:val="en-US"/>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FE82"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3CD8" w14:textId="54915850"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24</w:t>
    </w:r>
    <w:r w:rsidR="0012790E" w:rsidRPr="54937204">
      <w:rPr>
        <w:b/>
        <w:bCs/>
        <w:noProof/>
        <w:lang w:val="en-US"/>
      </w:rPr>
      <w:fldChar w:fldCharType="end"/>
    </w:r>
    <w:r w:rsidRPr="54937204">
      <w:rPr>
        <w:lang w:val="en-US"/>
      </w:rPr>
      <w:t xml:space="preserve">  |  Part 2: Payment Measures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561D" w14:textId="5D3AC741" w:rsidR="00C83B27" w:rsidRPr="00C83B27" w:rsidRDefault="54937204" w:rsidP="54937204">
    <w:pPr>
      <w:pStyle w:val="FooterOdd"/>
      <w:rPr>
        <w:lang w:val="en-US"/>
      </w:rPr>
    </w:pPr>
    <w:r w:rsidRPr="54937204">
      <w:rPr>
        <w:lang w:val="en-US"/>
      </w:rPr>
      <w:t xml:space="preserve">Part 1: Receipt Measures  |  </w:t>
    </w:r>
    <w:r w:rsidRPr="54937204">
      <w:rPr>
        <w:b/>
        <w:bCs/>
        <w:lang w:val="en-US"/>
      </w:rPr>
      <w:t xml:space="preserve">Page </w:t>
    </w:r>
    <w:r w:rsidR="00C83B27" w:rsidRPr="54937204">
      <w:rPr>
        <w:b/>
        <w:bCs/>
        <w:noProof/>
        <w:lang w:val="en-US"/>
      </w:rPr>
      <w:fldChar w:fldCharType="begin"/>
    </w:r>
    <w:r w:rsidR="00C83B27" w:rsidRPr="54937204">
      <w:rPr>
        <w:b/>
        <w:bCs/>
      </w:rPr>
      <w:instrText xml:space="preserve"> PAGE  \* MERGEFORMAT </w:instrText>
    </w:r>
    <w:r w:rsidR="00C83B27" w:rsidRPr="54937204">
      <w:rPr>
        <w:b/>
        <w:bCs/>
      </w:rPr>
      <w:fldChar w:fldCharType="separate"/>
    </w:r>
    <w:r w:rsidRPr="54937204">
      <w:rPr>
        <w:b/>
        <w:bCs/>
        <w:noProof/>
        <w:lang w:val="en-US"/>
      </w:rPr>
      <w:t>5</w:t>
    </w:r>
    <w:r w:rsidR="00C83B27" w:rsidRPr="54937204">
      <w:rPr>
        <w:b/>
        <w:bCs/>
        <w:noProof/>
        <w:lang w:val="en-US"/>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DE2E" w14:textId="2E4EA01B"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23</w:t>
    </w:r>
    <w:r w:rsidR="0012790E" w:rsidRPr="54937204">
      <w:rPr>
        <w:b/>
        <w:bCs/>
        <w:noProof/>
        <w:lang w:val="en-US"/>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A64E"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12E9" w14:textId="36906C1A"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24</w:t>
    </w:r>
    <w:r w:rsidR="0012790E" w:rsidRPr="54937204">
      <w:rPr>
        <w:b/>
        <w:bCs/>
        <w:noProof/>
        <w:lang w:val="en-US"/>
      </w:rPr>
      <w:fldChar w:fldCharType="end"/>
    </w:r>
    <w:r w:rsidRPr="54937204">
      <w:rPr>
        <w:lang w:val="en-US"/>
      </w:rPr>
      <w:t xml:space="preserve">  |  Part 2: Payment Measures</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7E87" w14:textId="010C0EB4"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25</w:t>
    </w:r>
    <w:r w:rsidR="0012790E" w:rsidRPr="54937204">
      <w:rPr>
        <w:b/>
        <w:bCs/>
        <w:noProof/>
        <w:lang w:val="en-US"/>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412F"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AE50" w14:textId="06C73202"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26</w:t>
    </w:r>
    <w:r w:rsidR="0012790E" w:rsidRPr="54937204">
      <w:rPr>
        <w:b/>
        <w:bCs/>
        <w:noProof/>
        <w:lang w:val="en-US"/>
      </w:rPr>
      <w:fldChar w:fldCharType="end"/>
    </w:r>
    <w:r w:rsidRPr="54937204">
      <w:rPr>
        <w:lang w:val="en-US"/>
      </w:rPr>
      <w:t xml:space="preserve">  |  Part 2: Payment Measures</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3A68" w14:textId="7882675C"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25</w:t>
    </w:r>
    <w:r w:rsidR="0012790E" w:rsidRPr="54937204">
      <w:rPr>
        <w:b/>
        <w:bCs/>
        <w:noProof/>
        <w:lang w:val="en-US"/>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8AB6"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C157" w14:textId="2A20FB83"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26</w:t>
    </w:r>
    <w:r w:rsidR="0012790E" w:rsidRPr="54937204">
      <w:rPr>
        <w:b/>
        <w:bCs/>
        <w:noProof/>
        <w:lang w:val="en-US"/>
      </w:rPr>
      <w:fldChar w:fldCharType="end"/>
    </w:r>
    <w:r w:rsidRPr="54937204">
      <w:rPr>
        <w:lang w:val="en-US"/>
      </w:rPr>
      <w:t xml:space="preserve">  |  Part 2: Payment Measures</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0728" w14:textId="0B4C3384"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27</w:t>
    </w:r>
    <w:r w:rsidR="0012790E" w:rsidRPr="54937204">
      <w:rPr>
        <w:b/>
        <w:bCs/>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4D09" w14:textId="0DD47D0A" w:rsidR="00C83B27" w:rsidRPr="00C83B27" w:rsidRDefault="54937204" w:rsidP="54937204">
    <w:pPr>
      <w:pStyle w:val="FooterOdd"/>
      <w:rPr>
        <w:lang w:val="en-US"/>
      </w:rPr>
    </w:pPr>
    <w:r w:rsidRPr="54937204">
      <w:rPr>
        <w:lang w:val="en-US"/>
      </w:rPr>
      <w:t xml:space="preserve">Part 1: Receipt Measures  |  </w:t>
    </w:r>
    <w:r w:rsidRPr="54937204">
      <w:rPr>
        <w:b/>
        <w:bCs/>
        <w:lang w:val="en-US"/>
      </w:rPr>
      <w:t xml:space="preserve">Page </w:t>
    </w:r>
    <w:r w:rsidR="00C83B27" w:rsidRPr="54937204">
      <w:rPr>
        <w:b/>
        <w:bCs/>
        <w:noProof/>
        <w:lang w:val="en-US"/>
      </w:rPr>
      <w:fldChar w:fldCharType="begin"/>
    </w:r>
    <w:r w:rsidR="00C83B27" w:rsidRPr="54937204">
      <w:rPr>
        <w:b/>
        <w:bCs/>
      </w:rPr>
      <w:instrText xml:space="preserve"> PAGE  \* MERGEFORMAT </w:instrText>
    </w:r>
    <w:r w:rsidR="00C83B27" w:rsidRPr="54937204">
      <w:rPr>
        <w:b/>
        <w:bCs/>
      </w:rPr>
      <w:fldChar w:fldCharType="separate"/>
    </w:r>
    <w:r w:rsidRPr="54937204">
      <w:rPr>
        <w:b/>
        <w:bCs/>
        <w:noProof/>
        <w:lang w:val="en-US"/>
      </w:rPr>
      <w:t>1</w:t>
    </w:r>
    <w:r w:rsidR="00C83B27" w:rsidRPr="54937204">
      <w:rPr>
        <w:b/>
        <w:bCs/>
        <w:noProof/>
        <w:lang w:val="en-US"/>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9B9F"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6F77" w14:textId="77E5EDC4"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28</w:t>
    </w:r>
    <w:r w:rsidR="0012790E" w:rsidRPr="54937204">
      <w:rPr>
        <w:b/>
        <w:bCs/>
        <w:noProof/>
        <w:lang w:val="en-US"/>
      </w:rPr>
      <w:fldChar w:fldCharType="end"/>
    </w:r>
    <w:r w:rsidRPr="54937204">
      <w:rPr>
        <w:lang w:val="en-US"/>
      </w:rPr>
      <w:t xml:space="preserve">  |  Part 2: Payment Measures</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446C" w14:textId="79717A5D"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27</w:t>
    </w:r>
    <w:r w:rsidR="0012790E" w:rsidRPr="54937204">
      <w:rPr>
        <w:b/>
        <w:bCs/>
        <w:noProof/>
        <w:lang w:val="en-US"/>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4C39"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463A" w14:textId="1A137F12"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28</w:t>
    </w:r>
    <w:r w:rsidR="0012790E" w:rsidRPr="54937204">
      <w:rPr>
        <w:b/>
        <w:bCs/>
        <w:noProof/>
        <w:lang w:val="en-US"/>
      </w:rPr>
      <w:fldChar w:fldCharType="end"/>
    </w:r>
    <w:r w:rsidRPr="54937204">
      <w:rPr>
        <w:lang w:val="en-US"/>
      </w:rPr>
      <w:t xml:space="preserve">  |  Part 2: Payment Measures</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868D" w14:textId="7740E060"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29</w:t>
    </w:r>
    <w:r w:rsidR="0012790E" w:rsidRPr="54937204">
      <w:rPr>
        <w:b/>
        <w:bCs/>
        <w:noProof/>
        <w:lang w:val="en-US"/>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F390"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1446" w14:textId="28E2AC05"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30</w:t>
    </w:r>
    <w:r w:rsidR="0012790E" w:rsidRPr="54937204">
      <w:rPr>
        <w:b/>
        <w:bCs/>
        <w:noProof/>
        <w:lang w:val="en-US"/>
      </w:rPr>
      <w:fldChar w:fldCharType="end"/>
    </w:r>
    <w:r w:rsidRPr="54937204">
      <w:rPr>
        <w:lang w:val="en-US"/>
      </w:rPr>
      <w:t xml:space="preserve">  |  Part 2: Payment Measures</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556D" w14:textId="5B64A763"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29</w:t>
    </w:r>
    <w:r w:rsidR="0012790E" w:rsidRPr="54937204">
      <w:rPr>
        <w:b/>
        <w:bCs/>
        <w:noProof/>
        <w:lang w:val="en-US"/>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9B19"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866E" w14:textId="1F6F3CE1" w:rsidR="0012790E" w:rsidRPr="001C06E6" w:rsidRDefault="0012790E">
    <w:pPr>
      <w:pStyle w:val="FooterEven"/>
      <w:rPr>
        <w:b/>
      </w:rPr>
    </w:pPr>
    <w:r w:rsidRPr="001C06E6">
      <w:rPr>
        <w:b/>
      </w:rPr>
      <w:t xml:space="preserve">Page </w:t>
    </w:r>
    <w:r>
      <w:rPr>
        <w:b/>
      </w:rPr>
      <w:fldChar w:fldCharType="begin"/>
    </w:r>
    <w:r>
      <w:rPr>
        <w:b/>
      </w:rPr>
      <w:instrText xml:space="preserve"> PAGE  \* MERGEFORMAT </w:instrText>
    </w:r>
    <w:r>
      <w:rPr>
        <w:b/>
      </w:rPr>
      <w:fldChar w:fldCharType="separate"/>
    </w:r>
    <w:r>
      <w:rPr>
        <w:b/>
        <w:noProof/>
      </w:rPr>
      <w:t>6</w:t>
    </w:r>
    <w:r>
      <w:rPr>
        <w:b/>
      </w:rPr>
      <w:fldChar w:fldCharType="end"/>
    </w:r>
    <w:r w:rsidRPr="001C06E6">
      <w:t xml:space="preserve">  |  </w:t>
    </w:r>
    <w:r>
      <w:t>Part 1: Receipt Measures</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33F5" w14:textId="3B66986C"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30</w:t>
    </w:r>
    <w:r w:rsidR="0012790E" w:rsidRPr="54937204">
      <w:rPr>
        <w:b/>
        <w:bCs/>
        <w:noProof/>
        <w:lang w:val="en-US"/>
      </w:rPr>
      <w:fldChar w:fldCharType="end"/>
    </w:r>
    <w:r w:rsidRPr="54937204">
      <w:rPr>
        <w:lang w:val="en-US"/>
      </w:rPr>
      <w:t xml:space="preserve">  |  Part 2: Payment Measures</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29C7" w14:textId="3A85426B"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31</w:t>
    </w:r>
    <w:r w:rsidR="0012790E" w:rsidRPr="54937204">
      <w:rPr>
        <w:b/>
        <w:bCs/>
        <w:noProof/>
        <w:lang w:val="en-US"/>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4721"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79A6" w14:textId="51F4539F"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32</w:t>
    </w:r>
    <w:r w:rsidR="0012790E" w:rsidRPr="54937204">
      <w:rPr>
        <w:b/>
        <w:bCs/>
        <w:noProof/>
        <w:lang w:val="en-US"/>
      </w:rPr>
      <w:fldChar w:fldCharType="end"/>
    </w:r>
    <w:r w:rsidRPr="54937204">
      <w:rPr>
        <w:lang w:val="en-US"/>
      </w:rPr>
      <w:t xml:space="preserve">  |  Part 2: Payment Measures</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A151" w14:textId="0B786171"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31</w:t>
    </w:r>
    <w:r w:rsidR="0012790E" w:rsidRPr="54937204">
      <w:rPr>
        <w:b/>
        <w:bCs/>
        <w:noProof/>
        <w:lang w:val="en-US"/>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E45A"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A801" w14:textId="1DC9B06C"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32</w:t>
    </w:r>
    <w:r w:rsidR="0012790E" w:rsidRPr="54937204">
      <w:rPr>
        <w:b/>
        <w:bCs/>
        <w:noProof/>
        <w:lang w:val="en-US"/>
      </w:rPr>
      <w:fldChar w:fldCharType="end"/>
    </w:r>
    <w:r w:rsidRPr="54937204">
      <w:rPr>
        <w:lang w:val="en-US"/>
      </w:rPr>
      <w:t xml:space="preserve">  |  Part 2: Payment Measures</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52C9" w14:textId="1379E481"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33</w:t>
    </w:r>
    <w:r w:rsidR="0012790E" w:rsidRPr="54937204">
      <w:rPr>
        <w:b/>
        <w:bCs/>
        <w:noProof/>
        <w:lang w:val="en-US"/>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9CB4"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53E6" w14:textId="1BDD9CCE"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34</w:t>
    </w:r>
    <w:r w:rsidR="0012790E" w:rsidRPr="54937204">
      <w:rPr>
        <w:b/>
        <w:bCs/>
        <w:noProof/>
        <w:lang w:val="en-US"/>
      </w:rPr>
      <w:fldChar w:fldCharType="end"/>
    </w:r>
    <w:r w:rsidRPr="54937204">
      <w:rPr>
        <w:lang w:val="en-US"/>
      </w:rPr>
      <w:t xml:space="preserve">  |  Part 2: Payment Measures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08D4" w14:textId="3918C2E3" w:rsidR="0012790E" w:rsidRPr="001C06E6" w:rsidRDefault="54937204" w:rsidP="54937204">
    <w:pPr>
      <w:pStyle w:val="FooterOdd"/>
      <w:rPr>
        <w:lang w:val="en-US"/>
      </w:rPr>
    </w:pPr>
    <w:r w:rsidRPr="54937204">
      <w:rPr>
        <w:lang w:val="en-US"/>
      </w:rPr>
      <w:t xml:space="preserve">Part 1: Receipt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17</w:t>
    </w:r>
    <w:r w:rsidR="0012790E" w:rsidRPr="54937204">
      <w:rPr>
        <w:b/>
        <w:bCs/>
        <w:noProof/>
        <w:lang w:val="en-US"/>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4806" w14:textId="5871E24E"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33</w:t>
    </w:r>
    <w:r w:rsidR="0012790E" w:rsidRPr="54937204">
      <w:rPr>
        <w:b/>
        <w:bCs/>
        <w:noProof/>
        <w:lang w:val="en-US"/>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868E"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1CCE" w14:textId="3D254858"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34</w:t>
    </w:r>
    <w:r w:rsidR="0012790E" w:rsidRPr="54937204">
      <w:rPr>
        <w:b/>
        <w:bCs/>
        <w:noProof/>
        <w:lang w:val="en-US"/>
      </w:rPr>
      <w:fldChar w:fldCharType="end"/>
    </w:r>
    <w:r w:rsidRPr="54937204">
      <w:rPr>
        <w:lang w:val="en-US"/>
      </w:rPr>
      <w:t xml:space="preserve">  |  Part 2: Payment Measures</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AB68" w14:textId="546AE1B9"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35</w:t>
    </w:r>
    <w:r w:rsidR="0012790E" w:rsidRPr="54937204">
      <w:rPr>
        <w:b/>
        <w:bCs/>
        <w:noProof/>
        <w:lang w:val="en-US"/>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1621"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AEC" w14:textId="0EC800F9"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36</w:t>
    </w:r>
    <w:r w:rsidR="0012790E" w:rsidRPr="54937204">
      <w:rPr>
        <w:b/>
        <w:bCs/>
        <w:noProof/>
        <w:lang w:val="en-US"/>
      </w:rPr>
      <w:fldChar w:fldCharType="end"/>
    </w:r>
    <w:r w:rsidRPr="54937204">
      <w:rPr>
        <w:lang w:val="en-US"/>
      </w:rPr>
      <w:t xml:space="preserve">  |  Part 2: Payment Measures</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9EB8" w14:textId="1164A3E0"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35</w:t>
    </w:r>
    <w:r w:rsidR="0012790E" w:rsidRPr="54937204">
      <w:rPr>
        <w:b/>
        <w:bCs/>
        <w:noProof/>
        <w:lang w:val="en-US"/>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9274"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CADA" w14:textId="6A5DECA4"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36</w:t>
    </w:r>
    <w:r w:rsidR="0012790E" w:rsidRPr="54937204">
      <w:rPr>
        <w:b/>
        <w:bCs/>
        <w:noProof/>
        <w:lang w:val="en-US"/>
      </w:rPr>
      <w:fldChar w:fldCharType="end"/>
    </w:r>
    <w:r w:rsidRPr="54937204">
      <w:rPr>
        <w:lang w:val="en-US"/>
      </w:rPr>
      <w:t xml:space="preserve">  |  Part 2: Payment Measures</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D199" w14:textId="2CA1D051"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37</w:t>
    </w:r>
    <w:r w:rsidR="0012790E" w:rsidRPr="54937204">
      <w:rPr>
        <w:b/>
        <w:bCs/>
        <w:noProof/>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5CB9" w14:textId="77777777" w:rsidR="0012790E" w:rsidRPr="001C06E6" w:rsidRDefault="54937204" w:rsidP="54937204">
    <w:pPr>
      <w:pStyle w:val="FooterOdd"/>
      <w:rPr>
        <w:lang w:val="en-US"/>
      </w:rPr>
    </w:pPr>
    <w:r w:rsidRPr="54937204">
      <w:rPr>
        <w:lang w:val="en-US"/>
      </w:rPr>
      <w:t xml:space="preserve">Part 1: Receipt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1</w:t>
    </w:r>
    <w:r w:rsidR="0012790E" w:rsidRPr="54937204">
      <w:rPr>
        <w:b/>
        <w:bCs/>
        <w:noProof/>
        <w:lang w:val="en-US"/>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AFB4"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15A9" w14:textId="56A945AA"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38</w:t>
    </w:r>
    <w:r w:rsidR="0012790E" w:rsidRPr="54937204">
      <w:rPr>
        <w:b/>
        <w:bCs/>
        <w:noProof/>
        <w:lang w:val="en-US"/>
      </w:rPr>
      <w:fldChar w:fldCharType="end"/>
    </w:r>
    <w:r w:rsidRPr="54937204">
      <w:rPr>
        <w:lang w:val="en-US"/>
      </w:rPr>
      <w:t xml:space="preserve">  |  Part 2: Payment Measures</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B3D8" w14:textId="788115A3"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37</w:t>
    </w:r>
    <w:r w:rsidR="0012790E" w:rsidRPr="54937204">
      <w:rPr>
        <w:b/>
        <w:bCs/>
        <w:noProof/>
        <w:lang w:val="en-US"/>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47E5"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A531" w14:textId="1BCC2477"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38</w:t>
    </w:r>
    <w:r w:rsidR="0012790E" w:rsidRPr="54937204">
      <w:rPr>
        <w:b/>
        <w:bCs/>
        <w:noProof/>
        <w:lang w:val="en-US"/>
      </w:rPr>
      <w:fldChar w:fldCharType="end"/>
    </w:r>
    <w:r w:rsidRPr="54937204">
      <w:rPr>
        <w:lang w:val="en-US"/>
      </w:rPr>
      <w:t xml:space="preserve">  |  Part 2: Payment Measures</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8B69" w14:textId="26E3ABA0"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39</w:t>
    </w:r>
    <w:r w:rsidR="0012790E" w:rsidRPr="54937204">
      <w:rPr>
        <w:b/>
        <w:bCs/>
        <w:noProof/>
        <w:lang w:val="en-US"/>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95BF"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F08D" w14:textId="1FE2368E"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40</w:t>
    </w:r>
    <w:r w:rsidR="0012790E" w:rsidRPr="54937204">
      <w:rPr>
        <w:b/>
        <w:bCs/>
        <w:noProof/>
        <w:lang w:val="en-US"/>
      </w:rPr>
      <w:fldChar w:fldCharType="end"/>
    </w:r>
    <w:r w:rsidRPr="54937204">
      <w:rPr>
        <w:lang w:val="en-US"/>
      </w:rPr>
      <w:t xml:space="preserve">  |  Part 2: Payment Measures</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D564" w14:textId="63B5F8A4"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39</w:t>
    </w:r>
    <w:r w:rsidR="0012790E" w:rsidRPr="54937204">
      <w:rPr>
        <w:b/>
        <w:bCs/>
        <w:noProof/>
        <w:lang w:val="en-US"/>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9265"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39D9" w14:textId="77777777"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26</w:t>
    </w:r>
    <w:r w:rsidR="0012790E" w:rsidRPr="54937204">
      <w:rPr>
        <w:b/>
        <w:bCs/>
        <w:noProof/>
        <w:lang w:val="en-US"/>
      </w:rPr>
      <w:fldChar w:fldCharType="end"/>
    </w:r>
    <w:r w:rsidRPr="54937204">
      <w:rPr>
        <w:lang w:val="en-US"/>
      </w:rPr>
      <w:t xml:space="preserve">  |  Part 2: Payment Measures</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9B08" w14:textId="2FEF561A" w:rsidR="0012790E" w:rsidRPr="00C83B27"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40</w:t>
    </w:r>
    <w:r w:rsidR="0012790E" w:rsidRPr="54937204">
      <w:rPr>
        <w:b/>
        <w:bCs/>
        <w:noProof/>
        <w:lang w:val="en-US"/>
      </w:rPr>
      <w:fldChar w:fldCharType="end"/>
    </w:r>
    <w:r w:rsidRPr="54937204">
      <w:rPr>
        <w:lang w:val="en-US"/>
      </w:rPr>
      <w:t xml:space="preserve">  |  Part 2: Payment Measures</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2B1C"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7</w:t>
    </w:r>
    <w:r w:rsidR="0012790E" w:rsidRPr="54937204">
      <w:rPr>
        <w:b/>
        <w:bCs/>
        <w:noProof/>
        <w:lang w:val="en-US"/>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FF2E"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6</w:t>
    </w:r>
    <w:r w:rsidR="0012790E" w:rsidRPr="54937204">
      <w:rPr>
        <w:b/>
        <w:bCs/>
        <w:noProof/>
        <w:lang w:val="en-US"/>
      </w:rP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C864" w14:textId="525D2BD0" w:rsidR="0012790E" w:rsidRPr="001C06E6" w:rsidRDefault="54937204" w:rsidP="54937204">
    <w:pPr>
      <w:pStyle w:val="FooterEven"/>
      <w:rPr>
        <w:b/>
        <w:bCs/>
        <w:lang w:val="en-US"/>
      </w:rPr>
    </w:pP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44</w:t>
    </w:r>
    <w:r w:rsidR="0012790E" w:rsidRPr="54937204">
      <w:rPr>
        <w:b/>
        <w:bCs/>
        <w:noProof/>
        <w:lang w:val="en-US"/>
      </w:rPr>
      <w:fldChar w:fldCharType="end"/>
    </w:r>
    <w:r w:rsidRPr="54937204">
      <w:rPr>
        <w:lang w:val="en-US"/>
      </w:rPr>
      <w:t xml:space="preserve">  |  Part 2: Payment Measures</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8EFC" w14:textId="67B04078" w:rsidR="0012790E" w:rsidRPr="001C06E6"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43</w:t>
    </w:r>
    <w:r w:rsidR="0012790E" w:rsidRPr="54937204">
      <w:rPr>
        <w:b/>
        <w:bCs/>
        <w:noProof/>
        <w:lang w:val="en-US"/>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8185" w14:textId="77777777" w:rsidR="0012790E" w:rsidRPr="001C06E6"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1</w:t>
    </w:r>
    <w:r w:rsidR="0012790E" w:rsidRPr="54937204">
      <w:rPr>
        <w:b/>
        <w:bCs/>
        <w:noProof/>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4C4B" w14:textId="77777777"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27</w:t>
    </w:r>
    <w:r w:rsidR="0012790E" w:rsidRPr="54937204">
      <w:rPr>
        <w:b/>
        <w:bCs/>
        <w:noProof/>
        <w:lang w:val="en-U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A732" w14:textId="09F62F54" w:rsidR="0012790E" w:rsidRPr="00C83B27" w:rsidRDefault="54937204" w:rsidP="54937204">
    <w:pPr>
      <w:pStyle w:val="FooterOdd"/>
      <w:rPr>
        <w:lang w:val="en-US"/>
      </w:rPr>
    </w:pPr>
    <w:r w:rsidRPr="54937204">
      <w:rPr>
        <w:lang w:val="en-US"/>
      </w:rPr>
      <w:t xml:space="preserve">Part 2: Payment Measures  |  </w:t>
    </w:r>
    <w:r w:rsidRPr="54937204">
      <w:rPr>
        <w:b/>
        <w:bCs/>
        <w:lang w:val="en-US"/>
      </w:rPr>
      <w:t xml:space="preserve">Page </w:t>
    </w:r>
    <w:r w:rsidR="0012790E" w:rsidRPr="54937204">
      <w:rPr>
        <w:b/>
        <w:bCs/>
        <w:noProof/>
        <w:lang w:val="en-US"/>
      </w:rPr>
      <w:fldChar w:fldCharType="begin"/>
    </w:r>
    <w:r w:rsidR="0012790E" w:rsidRPr="54937204">
      <w:rPr>
        <w:b/>
        <w:bCs/>
      </w:rPr>
      <w:instrText xml:space="preserve"> PAGE  \* MERGEFORMAT </w:instrText>
    </w:r>
    <w:r w:rsidR="0012790E" w:rsidRPr="54937204">
      <w:rPr>
        <w:b/>
        <w:bCs/>
      </w:rPr>
      <w:fldChar w:fldCharType="separate"/>
    </w:r>
    <w:r w:rsidRPr="54937204">
      <w:rPr>
        <w:b/>
        <w:bCs/>
        <w:noProof/>
        <w:lang w:val="en-US"/>
      </w:rPr>
      <w:t>19</w:t>
    </w:r>
    <w:r w:rsidR="0012790E" w:rsidRPr="54937204">
      <w:rPr>
        <w:b/>
        <w:bCs/>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3BB6" w14:textId="77777777" w:rsidR="007455DE" w:rsidRDefault="007455DE">
      <w:r>
        <w:separator/>
      </w:r>
    </w:p>
  </w:footnote>
  <w:footnote w:type="continuationSeparator" w:id="0">
    <w:p w14:paraId="037173B0" w14:textId="77777777" w:rsidR="007455DE" w:rsidRDefault="007455DE">
      <w:r>
        <w:continuationSeparator/>
      </w:r>
    </w:p>
  </w:footnote>
  <w:footnote w:type="continuationNotice" w:id="1">
    <w:p w14:paraId="074BEF7F" w14:textId="77777777" w:rsidR="007455DE" w:rsidRDefault="00745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4B43" w14:textId="77777777" w:rsidR="003C2746" w:rsidRPr="00AA5439" w:rsidRDefault="003C2746" w:rsidP="003C2746">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183AB4" w14:paraId="0F27557A" w14:textId="77777777">
      <w:trPr>
        <w:trHeight w:hRule="exact" w:val="340"/>
      </w:trPr>
      <w:tc>
        <w:tcPr>
          <w:tcW w:w="7797" w:type="dxa"/>
        </w:tcPr>
        <w:p w14:paraId="76900BF3" w14:textId="2F497FCE" w:rsidR="00183AB4" w:rsidRPr="008C56E1" w:rsidRDefault="00756F8F" w:rsidP="00183AB4">
          <w:pPr>
            <w:pStyle w:val="HeaderEven"/>
          </w:pPr>
          <w:bookmarkStart w:id="0" w:name="_Hlk166183673"/>
          <w:r w:rsidRPr="00C9389A">
            <w:rPr>
              <w:noProof/>
              <w:position w:val="-8"/>
            </w:rPr>
            <w:drawing>
              <wp:inline distT="0" distB="0" distL="0" distR="0" wp14:anchorId="305E79F6" wp14:editId="5B615093">
                <wp:extent cx="878400" cy="198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00183AB4" w:rsidRPr="008C56E1">
            <w:t xml:space="preserve">  |  </w:t>
          </w:r>
          <w:fldSimple w:instr=" TITLE   \* MERGEFORMAT ">
            <w:r w:rsidR="00260CB6">
              <w:t>Budget Paper No. 2</w:t>
            </w:r>
          </w:fldSimple>
        </w:p>
      </w:tc>
    </w:tr>
    <w:bookmarkEnd w:id="0"/>
  </w:tbl>
  <w:p w14:paraId="740D7398" w14:textId="7715ABCA" w:rsidR="00C83B27" w:rsidRPr="003C2746" w:rsidRDefault="00C83B27" w:rsidP="003C274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1E81" w14:textId="77777777" w:rsidR="008B4D69" w:rsidRDefault="008B4D69" w:rsidP="008B4D69">
    <w:pPr>
      <w:pStyle w:val="Header"/>
      <w:rPr>
        <w:sz w:val="2"/>
        <w:szCs w:val="2"/>
      </w:rPr>
    </w:pPr>
  </w:p>
  <w:p w14:paraId="7E011D04" w14:textId="77777777" w:rsidR="008B4D69" w:rsidRDefault="008B4D69" w:rsidP="008B4D69">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586849" w14:paraId="7EBF7E1E" w14:textId="77777777" w:rsidTr="006B71E8">
      <w:trPr>
        <w:trHeight w:hRule="exact" w:val="340"/>
      </w:trPr>
      <w:tc>
        <w:tcPr>
          <w:tcW w:w="7797" w:type="dxa"/>
          <w:tcMar>
            <w:left w:w="108" w:type="dxa"/>
            <w:right w:w="108" w:type="dxa"/>
          </w:tcMar>
        </w:tcPr>
        <w:p w14:paraId="77D34308" w14:textId="6570320E" w:rsidR="00586849" w:rsidRPr="00D13BF9" w:rsidRDefault="00E85FF3" w:rsidP="00586849">
          <w:pPr>
            <w:pStyle w:val="HeaderOdd"/>
          </w:pPr>
          <w:fldSimple w:instr=" TITLE   \* MERGEFORMAT ">
            <w:r w:rsidR="00260CB6">
              <w:t>Budget Paper No. 2</w:t>
            </w:r>
          </w:fldSimple>
          <w:r w:rsidR="00586849" w:rsidRPr="00D13BF9">
            <w:t xml:space="preserve">  |  </w:t>
          </w:r>
          <w:r w:rsidR="00586849" w:rsidRPr="00C9389A">
            <w:rPr>
              <w:noProof/>
              <w:position w:val="-8"/>
            </w:rPr>
            <w:drawing>
              <wp:inline distT="0" distB="0" distL="0" distR="0" wp14:anchorId="13563A9D" wp14:editId="6E135A4C">
                <wp:extent cx="878400" cy="198000"/>
                <wp:effectExtent l="0" t="0" r="0" b="0"/>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8BBCC93" w14:textId="338D335C" w:rsidR="0012790E" w:rsidRPr="008B4D69" w:rsidRDefault="0012790E" w:rsidP="008B4D69">
    <w:pPr>
      <w:pStyle w:val="Header"/>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E50A" w14:textId="77777777" w:rsidR="008B4D69" w:rsidRPr="00AA5439" w:rsidRDefault="008B4D69" w:rsidP="008B4D6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57404A" w14:paraId="6CA87608" w14:textId="77777777" w:rsidTr="006B71E8">
      <w:trPr>
        <w:trHeight w:hRule="exact" w:val="340"/>
      </w:trPr>
      <w:tc>
        <w:tcPr>
          <w:tcW w:w="7797" w:type="dxa"/>
        </w:tcPr>
        <w:p w14:paraId="19A511CC" w14:textId="753160B7" w:rsidR="0057404A" w:rsidRPr="008C56E1" w:rsidRDefault="0057404A" w:rsidP="0057404A">
          <w:pPr>
            <w:pStyle w:val="HeaderEven"/>
          </w:pPr>
          <w:r w:rsidRPr="00C9389A">
            <w:rPr>
              <w:noProof/>
              <w:position w:val="-8"/>
            </w:rPr>
            <w:drawing>
              <wp:inline distT="0" distB="0" distL="0" distR="0" wp14:anchorId="15C4F038" wp14:editId="3F40499E">
                <wp:extent cx="878400" cy="198000"/>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fldSimple w:instr=" TITLE   \* MERGEFORMAT ">
            <w:r w:rsidR="00260CB6">
              <w:t>Budget Paper No. 2</w:t>
            </w:r>
          </w:fldSimple>
        </w:p>
      </w:tc>
    </w:tr>
  </w:tbl>
  <w:p w14:paraId="63545D9E" w14:textId="3BBFCC3D" w:rsidR="0012790E" w:rsidRPr="008B4D69" w:rsidRDefault="0012790E" w:rsidP="008B4D6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22DC" w14:textId="10408A39" w:rsidR="0012790E" w:rsidRPr="00C83B27" w:rsidRDefault="00E85FF3" w:rsidP="54937204">
    <w:pPr>
      <w:pStyle w:val="HeaderOdd"/>
      <w:rPr>
        <w:lang w:val="en-US"/>
      </w:rPr>
    </w:pPr>
    <w:fldSimple w:instr=" TITLE  \* MERGEFORMAT ">
      <w:r w:rsidR="00260CB6" w:rsidRPr="00260CB6">
        <w:rPr>
          <w:lang w:val="en-US"/>
        </w:rPr>
        <w:t>Budget Paper No. 2</w:t>
      </w:r>
    </w:fldSimple>
    <w:r w:rsidR="54937204" w:rsidRPr="54937204">
      <w:rPr>
        <w:lang w:val="en-US"/>
      </w:rPr>
      <w:t xml:space="preserve">  |  </w:t>
    </w:r>
    <w:r w:rsidR="00B65FD0" w:rsidRPr="00C9389A">
      <w:rPr>
        <w:noProof/>
        <w:position w:val="-8"/>
      </w:rPr>
      <w:drawing>
        <wp:inline distT="0" distB="0" distL="0" distR="0" wp14:anchorId="7AFC0054" wp14:editId="0144C6CD">
          <wp:extent cx="878400" cy="198000"/>
          <wp:effectExtent l="0" t="0" r="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674D" w14:textId="7A31555B" w:rsidR="0012790E" w:rsidRDefault="00B65FD0" w:rsidP="00C83B27">
    <w:pPr>
      <w:pStyle w:val="HeaderEven"/>
    </w:pPr>
    <w:r w:rsidRPr="00C9389A">
      <w:rPr>
        <w:noProof/>
        <w:position w:val="-8"/>
      </w:rPr>
      <w:drawing>
        <wp:inline distT="0" distB="0" distL="0" distR="0" wp14:anchorId="3DC7B3D1" wp14:editId="0899058C">
          <wp:extent cx="878400" cy="198000"/>
          <wp:effectExtent l="0" t="0" r="0" b="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0012790E">
      <w:rPr>
        <w:noProof/>
      </w:rPr>
      <w:t xml:space="preserve">  |  </w:t>
    </w:r>
    <w:r w:rsidR="0012790E">
      <w:rPr>
        <w:noProof/>
      </w:rPr>
      <w:fldChar w:fldCharType="begin"/>
    </w:r>
    <w:r w:rsidR="0012790E">
      <w:rPr>
        <w:noProof/>
      </w:rPr>
      <w:instrText xml:space="preserve"> TITLE  \* MERGEFORMAT </w:instrText>
    </w:r>
    <w:r w:rsidR="0012790E">
      <w:rPr>
        <w:noProof/>
      </w:rPr>
      <w:fldChar w:fldCharType="separate"/>
    </w:r>
    <w:r w:rsidR="00260CB6">
      <w:rPr>
        <w:noProof/>
      </w:rPr>
      <w:t>Budget Paper No. 2</w:t>
    </w:r>
    <w:r w:rsidR="0012790E">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CE8F" w14:textId="77777777" w:rsidR="008B4D69" w:rsidRDefault="008B4D69" w:rsidP="008B4D69">
    <w:pPr>
      <w:pStyle w:val="Header"/>
      <w:rPr>
        <w:sz w:val="2"/>
        <w:szCs w:val="2"/>
      </w:rPr>
    </w:pPr>
  </w:p>
  <w:p w14:paraId="56DB104D" w14:textId="77777777" w:rsidR="008B4D69" w:rsidRDefault="008B4D69" w:rsidP="008B4D69">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586849" w14:paraId="45670C79" w14:textId="77777777" w:rsidTr="006B71E8">
      <w:trPr>
        <w:trHeight w:hRule="exact" w:val="340"/>
      </w:trPr>
      <w:tc>
        <w:tcPr>
          <w:tcW w:w="7797" w:type="dxa"/>
          <w:tcMar>
            <w:left w:w="108" w:type="dxa"/>
            <w:right w:w="108" w:type="dxa"/>
          </w:tcMar>
        </w:tcPr>
        <w:p w14:paraId="33D31F5D" w14:textId="2C9E70AE" w:rsidR="00586849" w:rsidRPr="00D13BF9" w:rsidRDefault="00E85FF3" w:rsidP="00586849">
          <w:pPr>
            <w:pStyle w:val="HeaderOdd"/>
          </w:pPr>
          <w:fldSimple w:instr=" TITLE   \* MERGEFORMAT ">
            <w:r w:rsidR="00260CB6">
              <w:t>Budget Paper No. 2</w:t>
            </w:r>
          </w:fldSimple>
          <w:r w:rsidR="00586849" w:rsidRPr="00D13BF9">
            <w:t xml:space="preserve">  |  </w:t>
          </w:r>
          <w:r w:rsidR="00586849" w:rsidRPr="00C9389A">
            <w:rPr>
              <w:noProof/>
              <w:position w:val="-8"/>
            </w:rPr>
            <w:drawing>
              <wp:inline distT="0" distB="0" distL="0" distR="0" wp14:anchorId="1D56680F" wp14:editId="16E2C2B8">
                <wp:extent cx="878400" cy="198000"/>
                <wp:effectExtent l="0" t="0" r="0"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4D1CB657" w14:textId="285B57D1" w:rsidR="0012790E" w:rsidRPr="008B4D69" w:rsidRDefault="0012790E" w:rsidP="008B4D69">
    <w:pPr>
      <w:pStyle w:val="Header"/>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9AF5" w14:textId="77777777" w:rsidR="008B4D69" w:rsidRPr="00AA5439" w:rsidRDefault="008B4D69" w:rsidP="008B4D6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57404A" w14:paraId="001DE031" w14:textId="77777777" w:rsidTr="006B71E8">
      <w:trPr>
        <w:trHeight w:hRule="exact" w:val="340"/>
      </w:trPr>
      <w:tc>
        <w:tcPr>
          <w:tcW w:w="7797" w:type="dxa"/>
        </w:tcPr>
        <w:p w14:paraId="23DA1329" w14:textId="4C189FB4" w:rsidR="0057404A" w:rsidRPr="008C56E1" w:rsidRDefault="0057404A" w:rsidP="0057404A">
          <w:pPr>
            <w:pStyle w:val="HeaderEven"/>
          </w:pPr>
          <w:r w:rsidRPr="00C9389A">
            <w:rPr>
              <w:noProof/>
              <w:position w:val="-8"/>
            </w:rPr>
            <w:drawing>
              <wp:inline distT="0" distB="0" distL="0" distR="0" wp14:anchorId="152E788B" wp14:editId="32D31D94">
                <wp:extent cx="878400" cy="19800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fldSimple w:instr=" TITLE   \* MERGEFORMAT ">
            <w:r w:rsidR="00260CB6">
              <w:t>Budget Paper No. 2</w:t>
            </w:r>
          </w:fldSimple>
        </w:p>
      </w:tc>
    </w:tr>
  </w:tbl>
  <w:p w14:paraId="31253FF4" w14:textId="72C33F2D" w:rsidR="0012790E" w:rsidRPr="008B4D69" w:rsidRDefault="0012790E" w:rsidP="008B4D6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9060" w14:textId="6E4C95FA" w:rsidR="0012790E" w:rsidRPr="00C83B27" w:rsidRDefault="00E85FF3" w:rsidP="54937204">
    <w:pPr>
      <w:pStyle w:val="HeaderOdd"/>
      <w:rPr>
        <w:lang w:val="en-US"/>
      </w:rPr>
    </w:pPr>
    <w:fldSimple w:instr=" TITLE  \* MERGEFORMAT ">
      <w:r w:rsidR="00260CB6" w:rsidRPr="00260CB6">
        <w:rPr>
          <w:lang w:val="en-US"/>
        </w:rPr>
        <w:t>Budget Paper No. 2</w:t>
      </w:r>
    </w:fldSimple>
    <w:r w:rsidR="54937204" w:rsidRPr="54937204">
      <w:rPr>
        <w:lang w:val="en-US"/>
      </w:rPr>
      <w:t xml:space="preserve">  |  </w:t>
    </w:r>
    <w:r w:rsidR="00B65FD0" w:rsidRPr="00C9389A">
      <w:rPr>
        <w:noProof/>
        <w:position w:val="-8"/>
      </w:rPr>
      <w:drawing>
        <wp:inline distT="0" distB="0" distL="0" distR="0" wp14:anchorId="0E3F9DA1" wp14:editId="038AD0E4">
          <wp:extent cx="878400" cy="198000"/>
          <wp:effectExtent l="0" t="0" r="0" b="0"/>
          <wp:docPr id="1617967232" name="Picture 1617967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7232" name="Picture 161796723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D2D2" w14:textId="45663B96" w:rsidR="0012790E" w:rsidRDefault="00B65FD0" w:rsidP="00C83B27">
    <w:pPr>
      <w:pStyle w:val="HeaderEven"/>
    </w:pPr>
    <w:r w:rsidRPr="00C9389A">
      <w:rPr>
        <w:noProof/>
        <w:position w:val="-8"/>
      </w:rPr>
      <w:drawing>
        <wp:inline distT="0" distB="0" distL="0" distR="0" wp14:anchorId="5B2F33B9" wp14:editId="3F32814F">
          <wp:extent cx="878400" cy="198000"/>
          <wp:effectExtent l="0" t="0" r="0" b="0"/>
          <wp:docPr id="1617967233" name="Picture 1617967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7233" name="Picture 161796723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0012790E">
      <w:rPr>
        <w:noProof/>
      </w:rPr>
      <w:t xml:space="preserve">  |  </w:t>
    </w:r>
    <w:r w:rsidR="0012790E">
      <w:rPr>
        <w:noProof/>
      </w:rPr>
      <w:fldChar w:fldCharType="begin"/>
    </w:r>
    <w:r w:rsidR="0012790E">
      <w:rPr>
        <w:noProof/>
      </w:rPr>
      <w:instrText xml:space="preserve"> TITLE  \* MERGEFORMAT </w:instrText>
    </w:r>
    <w:r w:rsidR="0012790E">
      <w:rPr>
        <w:noProof/>
      </w:rPr>
      <w:fldChar w:fldCharType="separate"/>
    </w:r>
    <w:r w:rsidR="00260CB6">
      <w:rPr>
        <w:noProof/>
      </w:rPr>
      <w:t>Budget Paper No. 2</w:t>
    </w:r>
    <w:r w:rsidR="0012790E">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7F21" w14:textId="77777777" w:rsidR="008B4D69" w:rsidRDefault="008B4D69" w:rsidP="008B4D69">
    <w:pPr>
      <w:pStyle w:val="Header"/>
      <w:rPr>
        <w:sz w:val="2"/>
        <w:szCs w:val="2"/>
      </w:rPr>
    </w:pPr>
  </w:p>
  <w:p w14:paraId="6DA7FBF0" w14:textId="77777777" w:rsidR="008B4D69" w:rsidRDefault="008B4D69" w:rsidP="008B4D69">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586849" w14:paraId="1969C954" w14:textId="77777777" w:rsidTr="006B71E8">
      <w:trPr>
        <w:trHeight w:hRule="exact" w:val="340"/>
      </w:trPr>
      <w:tc>
        <w:tcPr>
          <w:tcW w:w="7797" w:type="dxa"/>
          <w:tcMar>
            <w:left w:w="108" w:type="dxa"/>
            <w:right w:w="108" w:type="dxa"/>
          </w:tcMar>
        </w:tcPr>
        <w:p w14:paraId="322A3CC3" w14:textId="2EA8232B" w:rsidR="00586849" w:rsidRPr="00D13BF9" w:rsidRDefault="00E85FF3" w:rsidP="00586849">
          <w:pPr>
            <w:pStyle w:val="HeaderOdd"/>
          </w:pPr>
          <w:fldSimple w:instr=" TITLE   \* MERGEFORMAT ">
            <w:r w:rsidR="00260CB6">
              <w:t>Budget Paper No. 2</w:t>
            </w:r>
          </w:fldSimple>
          <w:r w:rsidR="00586849" w:rsidRPr="00D13BF9">
            <w:t xml:space="preserve">  |  </w:t>
          </w:r>
          <w:r w:rsidR="00586849" w:rsidRPr="00C9389A">
            <w:rPr>
              <w:noProof/>
              <w:position w:val="-8"/>
            </w:rPr>
            <w:drawing>
              <wp:inline distT="0" distB="0" distL="0" distR="0" wp14:anchorId="0A5D4FBF" wp14:editId="38C8F6A7">
                <wp:extent cx="878400" cy="198000"/>
                <wp:effectExtent l="0" t="0" r="0"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67711DDE" w14:textId="58F82A90" w:rsidR="0012790E" w:rsidRPr="008B4D69" w:rsidRDefault="0012790E" w:rsidP="008B4D69">
    <w:pPr>
      <w:pStyle w:val="Header"/>
      <w:rPr>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E2AD" w14:textId="77777777" w:rsidR="008B4D69" w:rsidRPr="00AA5439" w:rsidRDefault="008B4D69" w:rsidP="008B4D6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57404A" w14:paraId="0E7145C6" w14:textId="77777777" w:rsidTr="006B71E8">
      <w:trPr>
        <w:trHeight w:hRule="exact" w:val="340"/>
      </w:trPr>
      <w:tc>
        <w:tcPr>
          <w:tcW w:w="7797" w:type="dxa"/>
        </w:tcPr>
        <w:p w14:paraId="358D7293" w14:textId="2CC195B3" w:rsidR="0057404A" w:rsidRPr="008C56E1" w:rsidRDefault="0057404A" w:rsidP="0057404A">
          <w:pPr>
            <w:pStyle w:val="HeaderEven"/>
          </w:pPr>
          <w:r w:rsidRPr="00C9389A">
            <w:rPr>
              <w:noProof/>
              <w:position w:val="-8"/>
            </w:rPr>
            <w:drawing>
              <wp:inline distT="0" distB="0" distL="0" distR="0" wp14:anchorId="2A8E84A3" wp14:editId="38833489">
                <wp:extent cx="878400" cy="198000"/>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fldSimple w:instr=" TITLE   \* MERGEFORMAT ">
            <w:r w:rsidR="00260CB6">
              <w:t>Budget Paper No. 2</w:t>
            </w:r>
          </w:fldSimple>
        </w:p>
      </w:tc>
    </w:tr>
  </w:tbl>
  <w:p w14:paraId="18F5ECE7" w14:textId="027EA920" w:rsidR="0012790E" w:rsidRPr="008B4D69" w:rsidRDefault="0012790E" w:rsidP="008B4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AF5D32" w14:paraId="50919214" w14:textId="77777777" w:rsidTr="002F05C8">
      <w:trPr>
        <w:trHeight w:hRule="exact" w:val="340"/>
      </w:trPr>
      <w:tc>
        <w:tcPr>
          <w:tcW w:w="7797" w:type="dxa"/>
          <w:tcMar>
            <w:left w:w="108" w:type="dxa"/>
            <w:right w:w="108" w:type="dxa"/>
          </w:tcMar>
        </w:tcPr>
        <w:p w14:paraId="2F399EE5" w14:textId="17949E47" w:rsidR="00AF5D32" w:rsidRPr="00D13BF9" w:rsidRDefault="00E85FF3" w:rsidP="00AF5D32">
          <w:pPr>
            <w:pStyle w:val="HeaderOdd"/>
          </w:pPr>
          <w:fldSimple w:instr=" TITLE   \* MERGEFORMAT ">
            <w:r w:rsidR="00260CB6">
              <w:t>Budget Paper No. 2</w:t>
            </w:r>
          </w:fldSimple>
          <w:r w:rsidR="00AF5D32" w:rsidRPr="00D13BF9">
            <w:t xml:space="preserve">  |  </w:t>
          </w:r>
          <w:r w:rsidR="00AF5D32" w:rsidRPr="00C9389A">
            <w:rPr>
              <w:noProof/>
              <w:position w:val="-8"/>
            </w:rPr>
            <w:drawing>
              <wp:inline distT="0" distB="0" distL="0" distR="0" wp14:anchorId="7B9DEFC4" wp14:editId="75041E9F">
                <wp:extent cx="878400" cy="1980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209B114B" w14:textId="037525E3" w:rsidR="00C83B27" w:rsidRPr="00EB51B8" w:rsidRDefault="00C83B27" w:rsidP="00FD05A7">
    <w:pPr>
      <w:pStyle w:val="Header"/>
      <w:rPr>
        <w:sz w:val="2"/>
        <w:szCs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1C4B" w14:textId="1383AD54" w:rsidR="0012790E" w:rsidRPr="00C83B27" w:rsidRDefault="00E85FF3" w:rsidP="54937204">
    <w:pPr>
      <w:pStyle w:val="HeaderOdd"/>
      <w:rPr>
        <w:lang w:val="en-US"/>
      </w:rPr>
    </w:pPr>
    <w:fldSimple w:instr=" TITLE  \* MERGEFORMAT ">
      <w:r w:rsidR="00260CB6" w:rsidRPr="00260CB6">
        <w:rPr>
          <w:lang w:val="en-US"/>
        </w:rPr>
        <w:t>Budget Paper No. 2</w:t>
      </w:r>
    </w:fldSimple>
    <w:r w:rsidR="54937204" w:rsidRPr="54937204">
      <w:rPr>
        <w:lang w:val="en-US"/>
      </w:rPr>
      <w:t xml:space="preserve">  |  </w:t>
    </w:r>
    <w:r w:rsidR="00B65FD0" w:rsidRPr="00C9389A">
      <w:rPr>
        <w:noProof/>
        <w:position w:val="-8"/>
      </w:rPr>
      <w:drawing>
        <wp:inline distT="0" distB="0" distL="0" distR="0" wp14:anchorId="11CAEDA6" wp14:editId="0F978407">
          <wp:extent cx="878400" cy="198000"/>
          <wp:effectExtent l="0" t="0" r="0" b="0"/>
          <wp:docPr id="1617967236" name="Picture 1617967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7236" name="Picture 161796723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ACBD" w14:textId="4FD001E5" w:rsidR="0012790E" w:rsidRDefault="00B65FD0" w:rsidP="00C83B27">
    <w:pPr>
      <w:pStyle w:val="HeaderEven"/>
    </w:pPr>
    <w:r w:rsidRPr="00C9389A">
      <w:rPr>
        <w:noProof/>
        <w:position w:val="-8"/>
      </w:rPr>
      <w:drawing>
        <wp:inline distT="0" distB="0" distL="0" distR="0" wp14:anchorId="76E0240E" wp14:editId="42B0A93B">
          <wp:extent cx="878400" cy="198000"/>
          <wp:effectExtent l="0" t="0" r="0" b="0"/>
          <wp:docPr id="1617967237" name="Picture 1617967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7237" name="Picture 161796723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0012790E">
      <w:rPr>
        <w:noProof/>
      </w:rPr>
      <w:t xml:space="preserve">  |  </w:t>
    </w:r>
    <w:r w:rsidR="0012790E">
      <w:rPr>
        <w:noProof/>
      </w:rPr>
      <w:fldChar w:fldCharType="begin"/>
    </w:r>
    <w:r w:rsidR="0012790E">
      <w:rPr>
        <w:noProof/>
      </w:rPr>
      <w:instrText xml:space="preserve"> TITLE  \* MERGEFORMAT </w:instrText>
    </w:r>
    <w:r w:rsidR="0012790E">
      <w:rPr>
        <w:noProof/>
      </w:rPr>
      <w:fldChar w:fldCharType="separate"/>
    </w:r>
    <w:r w:rsidR="00260CB6">
      <w:rPr>
        <w:noProof/>
      </w:rPr>
      <w:t>Budget Paper No. 2</w:t>
    </w:r>
    <w:r w:rsidR="0012790E">
      <w:rP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8800" w14:textId="77777777" w:rsidR="008B4D69" w:rsidRDefault="008B4D69" w:rsidP="008B4D69">
    <w:pPr>
      <w:pStyle w:val="Header"/>
      <w:rPr>
        <w:sz w:val="2"/>
        <w:szCs w:val="2"/>
      </w:rPr>
    </w:pPr>
  </w:p>
  <w:p w14:paraId="107F1E40" w14:textId="77777777" w:rsidR="008B4D69" w:rsidRDefault="008B4D69" w:rsidP="008B4D69">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586849" w14:paraId="2DBDAE1A" w14:textId="77777777" w:rsidTr="006B71E8">
      <w:trPr>
        <w:trHeight w:hRule="exact" w:val="340"/>
      </w:trPr>
      <w:tc>
        <w:tcPr>
          <w:tcW w:w="7797" w:type="dxa"/>
          <w:tcMar>
            <w:left w:w="108" w:type="dxa"/>
            <w:right w:w="108" w:type="dxa"/>
          </w:tcMar>
        </w:tcPr>
        <w:p w14:paraId="7881FC6C" w14:textId="7538F13B" w:rsidR="00586849" w:rsidRPr="00D13BF9" w:rsidRDefault="00E85FF3" w:rsidP="00586849">
          <w:pPr>
            <w:pStyle w:val="HeaderOdd"/>
          </w:pPr>
          <w:fldSimple w:instr=" TITLE   \* MERGEFORMAT ">
            <w:r w:rsidR="00260CB6">
              <w:t>Budget Paper No. 2</w:t>
            </w:r>
          </w:fldSimple>
          <w:r w:rsidR="00586849" w:rsidRPr="00D13BF9">
            <w:t xml:space="preserve">  |  </w:t>
          </w:r>
          <w:r w:rsidR="00586849" w:rsidRPr="00C9389A">
            <w:rPr>
              <w:noProof/>
              <w:position w:val="-8"/>
            </w:rPr>
            <w:drawing>
              <wp:inline distT="0" distB="0" distL="0" distR="0" wp14:anchorId="60CCE074" wp14:editId="2ECBA725">
                <wp:extent cx="878400" cy="198000"/>
                <wp:effectExtent l="0" t="0" r="0" b="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68C96DCA" w14:textId="3E33C7C4" w:rsidR="0012790E" w:rsidRPr="008B4D69" w:rsidRDefault="0012790E" w:rsidP="008B4D69">
    <w:pPr>
      <w:pStyle w:val="Header"/>
      <w:rPr>
        <w:sz w:val="2"/>
        <w:szCs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E11A" w14:textId="77777777" w:rsidR="008B4D69" w:rsidRPr="00AA5439" w:rsidRDefault="008B4D69" w:rsidP="008B4D6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84F70" w14:paraId="259CA84D" w14:textId="77777777" w:rsidTr="006B71E8">
      <w:trPr>
        <w:trHeight w:hRule="exact" w:val="340"/>
      </w:trPr>
      <w:tc>
        <w:tcPr>
          <w:tcW w:w="7797" w:type="dxa"/>
        </w:tcPr>
        <w:p w14:paraId="6ABE67B0" w14:textId="11D19C47" w:rsidR="00F84F70" w:rsidRPr="008C56E1" w:rsidRDefault="00F84F70" w:rsidP="00F84F70">
          <w:pPr>
            <w:pStyle w:val="HeaderEven"/>
          </w:pPr>
          <w:r w:rsidRPr="00C9389A">
            <w:rPr>
              <w:noProof/>
              <w:position w:val="-8"/>
            </w:rPr>
            <w:drawing>
              <wp:inline distT="0" distB="0" distL="0" distR="0" wp14:anchorId="05F15D5B" wp14:editId="17971532">
                <wp:extent cx="878400" cy="198000"/>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fldSimple w:instr=" TITLE   \* MERGEFORMAT ">
            <w:r w:rsidR="00260CB6">
              <w:t>Budget Paper No. 2</w:t>
            </w:r>
          </w:fldSimple>
        </w:p>
      </w:tc>
    </w:tr>
  </w:tbl>
  <w:p w14:paraId="1FCAE5C8" w14:textId="3140BCE1" w:rsidR="0012790E" w:rsidRPr="008B4D69" w:rsidRDefault="0012790E" w:rsidP="008B4D6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6E23" w14:textId="0AAE6614" w:rsidR="0012790E" w:rsidRPr="00C83B27" w:rsidRDefault="00E85FF3" w:rsidP="54937204">
    <w:pPr>
      <w:pStyle w:val="HeaderOdd"/>
      <w:rPr>
        <w:lang w:val="en-US"/>
      </w:rPr>
    </w:pPr>
    <w:fldSimple w:instr=" TITLE  \* MERGEFORMAT ">
      <w:r w:rsidR="00260CB6" w:rsidRPr="00260CB6">
        <w:rPr>
          <w:lang w:val="en-US"/>
        </w:rPr>
        <w:t>Budget Paper No. 2</w:t>
      </w:r>
    </w:fldSimple>
    <w:r w:rsidR="54937204" w:rsidRPr="54937204">
      <w:rPr>
        <w:lang w:val="en-US"/>
      </w:rPr>
      <w:t xml:space="preserve">  |  </w:t>
    </w:r>
    <w:r w:rsidR="00B65FD0" w:rsidRPr="00C9389A">
      <w:rPr>
        <w:noProof/>
        <w:position w:val="-8"/>
      </w:rPr>
      <w:drawing>
        <wp:inline distT="0" distB="0" distL="0" distR="0" wp14:anchorId="3B7D4535" wp14:editId="0E59081D">
          <wp:extent cx="878400" cy="198000"/>
          <wp:effectExtent l="0" t="0" r="0" b="0"/>
          <wp:docPr id="1617967240" name="Picture 16179672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7240" name="Picture 161796724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6FD6" w14:textId="03F7DA04" w:rsidR="0012790E" w:rsidRDefault="00B65FD0" w:rsidP="00C83B27">
    <w:pPr>
      <w:pStyle w:val="HeaderEven"/>
    </w:pPr>
    <w:r w:rsidRPr="00C9389A">
      <w:rPr>
        <w:noProof/>
        <w:position w:val="-8"/>
      </w:rPr>
      <w:drawing>
        <wp:inline distT="0" distB="0" distL="0" distR="0" wp14:anchorId="7E7F5CB6" wp14:editId="71768A7F">
          <wp:extent cx="878400" cy="198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0012790E">
      <w:rPr>
        <w:noProof/>
      </w:rPr>
      <w:t xml:space="preserve">  |  </w:t>
    </w:r>
    <w:r w:rsidR="0012790E">
      <w:rPr>
        <w:noProof/>
      </w:rPr>
      <w:fldChar w:fldCharType="begin"/>
    </w:r>
    <w:r w:rsidR="0012790E">
      <w:rPr>
        <w:noProof/>
      </w:rPr>
      <w:instrText xml:space="preserve"> TITLE  \* MERGEFORMAT </w:instrText>
    </w:r>
    <w:r w:rsidR="0012790E">
      <w:rPr>
        <w:noProof/>
      </w:rPr>
      <w:fldChar w:fldCharType="separate"/>
    </w:r>
    <w:r w:rsidR="00260CB6">
      <w:rPr>
        <w:noProof/>
      </w:rPr>
      <w:t>Budget Paper No. 2</w:t>
    </w:r>
    <w:r w:rsidR="0012790E">
      <w:rPr>
        <w:noProof/>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6278" w14:textId="77777777" w:rsidR="008B4D69" w:rsidRDefault="008B4D69" w:rsidP="008B4D69">
    <w:pPr>
      <w:pStyle w:val="Header"/>
      <w:rPr>
        <w:sz w:val="2"/>
        <w:szCs w:val="2"/>
      </w:rPr>
    </w:pPr>
  </w:p>
  <w:p w14:paraId="10AF518A" w14:textId="77777777" w:rsidR="008B4D69" w:rsidRDefault="008B4D69" w:rsidP="008B4D69">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9C5B4B" w14:paraId="284B131D" w14:textId="77777777" w:rsidTr="001B6931">
      <w:trPr>
        <w:trHeight w:hRule="exact" w:val="340"/>
      </w:trPr>
      <w:tc>
        <w:tcPr>
          <w:tcW w:w="7797" w:type="dxa"/>
          <w:tcMar>
            <w:left w:w="108" w:type="dxa"/>
            <w:right w:w="108" w:type="dxa"/>
          </w:tcMar>
        </w:tcPr>
        <w:p w14:paraId="370079BD" w14:textId="2899D978" w:rsidR="009C5B4B" w:rsidRPr="00D13BF9" w:rsidRDefault="00E85FF3" w:rsidP="009C5B4B">
          <w:pPr>
            <w:pStyle w:val="HeaderOdd"/>
          </w:pPr>
          <w:fldSimple w:instr=" TITLE   \* MERGEFORMAT ">
            <w:r w:rsidR="00260CB6">
              <w:t>Budget Paper No. 2</w:t>
            </w:r>
          </w:fldSimple>
          <w:r w:rsidR="009C5B4B" w:rsidRPr="00D13BF9">
            <w:t xml:space="preserve">  |  </w:t>
          </w:r>
          <w:r w:rsidR="009C5B4B" w:rsidRPr="00C9389A">
            <w:rPr>
              <w:noProof/>
              <w:position w:val="-8"/>
            </w:rPr>
            <w:drawing>
              <wp:inline distT="0" distB="0" distL="0" distR="0" wp14:anchorId="63291600" wp14:editId="3A3DEF5E">
                <wp:extent cx="878400" cy="1980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424D187E" w14:textId="789B516B" w:rsidR="0012790E" w:rsidRPr="008B4D69" w:rsidRDefault="0012790E" w:rsidP="008B4D69">
    <w:pPr>
      <w:pStyle w:val="Header"/>
      <w:rPr>
        <w:sz w:val="2"/>
        <w:szCs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6059" w14:textId="77777777" w:rsidR="008B4D69" w:rsidRPr="00AA5439" w:rsidRDefault="008B4D69" w:rsidP="008B4D6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84F70" w14:paraId="7834B72D" w14:textId="77777777" w:rsidTr="006B71E8">
      <w:trPr>
        <w:trHeight w:hRule="exact" w:val="340"/>
      </w:trPr>
      <w:tc>
        <w:tcPr>
          <w:tcW w:w="7797" w:type="dxa"/>
        </w:tcPr>
        <w:p w14:paraId="606AB1D2" w14:textId="64BBA3D5" w:rsidR="00F84F70" w:rsidRPr="008C56E1" w:rsidRDefault="00F84F70" w:rsidP="00F84F70">
          <w:pPr>
            <w:pStyle w:val="HeaderEven"/>
          </w:pPr>
          <w:r w:rsidRPr="00C9389A">
            <w:rPr>
              <w:noProof/>
              <w:position w:val="-8"/>
            </w:rPr>
            <w:drawing>
              <wp:inline distT="0" distB="0" distL="0" distR="0" wp14:anchorId="19643D26" wp14:editId="358AA1C3">
                <wp:extent cx="878400" cy="198000"/>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fldSimple w:instr=" TITLE   \* MERGEFORMAT ">
            <w:r w:rsidR="00260CB6">
              <w:t>Budget Paper No. 2</w:t>
            </w:r>
          </w:fldSimple>
        </w:p>
      </w:tc>
    </w:tr>
  </w:tbl>
  <w:p w14:paraId="219D2262" w14:textId="6B8121BE" w:rsidR="0012790E" w:rsidRPr="008B4D69" w:rsidRDefault="0012790E" w:rsidP="008B4D6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8CAC" w14:textId="5E06C212" w:rsidR="0012790E" w:rsidRPr="00C83B27" w:rsidRDefault="00E85FF3" w:rsidP="54937204">
    <w:pPr>
      <w:pStyle w:val="HeaderOdd"/>
      <w:rPr>
        <w:lang w:val="en-US"/>
      </w:rPr>
    </w:pPr>
    <w:fldSimple w:instr=" TITLE  \* MERGEFORMAT ">
      <w:r w:rsidR="00260CB6" w:rsidRPr="00260CB6">
        <w:rPr>
          <w:lang w:val="en-US"/>
        </w:rPr>
        <w:t>Budget Paper No. 2</w:t>
      </w:r>
    </w:fldSimple>
    <w:r w:rsidR="54937204" w:rsidRPr="54937204">
      <w:rPr>
        <w:lang w:val="en-US"/>
      </w:rPr>
      <w:t xml:space="preserve">  |  </w:t>
    </w:r>
    <w:r w:rsidR="00B65FD0" w:rsidRPr="00C9389A">
      <w:rPr>
        <w:noProof/>
        <w:position w:val="-8"/>
      </w:rPr>
      <w:drawing>
        <wp:inline distT="0" distB="0" distL="0" distR="0" wp14:anchorId="6BD19C95" wp14:editId="6BAC24A4">
          <wp:extent cx="878400" cy="198000"/>
          <wp:effectExtent l="0" t="0" r="0" b="0"/>
          <wp:docPr id="1617967244" name="Picture 1617967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7244" name="Picture 161796724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71C2" w14:textId="4FAF4AC7" w:rsidR="0012790E" w:rsidRDefault="00B65FD0" w:rsidP="00C83B27">
    <w:pPr>
      <w:pStyle w:val="HeaderEven"/>
    </w:pPr>
    <w:r w:rsidRPr="00C9389A">
      <w:rPr>
        <w:noProof/>
        <w:position w:val="-8"/>
      </w:rPr>
      <w:drawing>
        <wp:inline distT="0" distB="0" distL="0" distR="0" wp14:anchorId="021A26BC" wp14:editId="02165E4E">
          <wp:extent cx="878400" cy="198000"/>
          <wp:effectExtent l="0" t="0" r="0" b="0"/>
          <wp:docPr id="1617967245" name="Picture 1617967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7245" name="Picture 161796724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0012790E">
      <w:rPr>
        <w:noProof/>
      </w:rPr>
      <w:t xml:space="preserve">  |  </w:t>
    </w:r>
    <w:r w:rsidR="0012790E">
      <w:rPr>
        <w:noProof/>
      </w:rPr>
      <w:fldChar w:fldCharType="begin"/>
    </w:r>
    <w:r w:rsidR="0012790E">
      <w:rPr>
        <w:noProof/>
      </w:rPr>
      <w:instrText xml:space="preserve"> TITLE  \* MERGEFORMAT </w:instrText>
    </w:r>
    <w:r w:rsidR="0012790E">
      <w:rPr>
        <w:noProof/>
      </w:rPr>
      <w:fldChar w:fldCharType="separate"/>
    </w:r>
    <w:r w:rsidR="00260CB6">
      <w:rPr>
        <w:noProof/>
      </w:rPr>
      <w:t>Budget Paper No. 2</w:t>
    </w:r>
    <w:r w:rsidR="0012790E">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BF8D" w14:textId="77777777" w:rsidR="00DF47D9" w:rsidRPr="00AA5439" w:rsidRDefault="00DF47D9" w:rsidP="00DF47D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3D34FD" w14:paraId="700965B4" w14:textId="77777777">
      <w:trPr>
        <w:trHeight w:hRule="exact" w:val="340"/>
      </w:trPr>
      <w:tc>
        <w:tcPr>
          <w:tcW w:w="7797" w:type="dxa"/>
        </w:tcPr>
        <w:p w14:paraId="49CA46C2" w14:textId="0A9D918A" w:rsidR="003D34FD" w:rsidRPr="008C56E1" w:rsidRDefault="003D34FD" w:rsidP="003D34FD">
          <w:pPr>
            <w:pStyle w:val="HeaderEven"/>
          </w:pPr>
          <w:bookmarkStart w:id="1" w:name="_Hlk166183587"/>
          <w:r w:rsidRPr="00C9389A">
            <w:rPr>
              <w:noProof/>
              <w:position w:val="-8"/>
            </w:rPr>
            <w:drawing>
              <wp:inline distT="0" distB="0" distL="0" distR="0" wp14:anchorId="26182301" wp14:editId="50467A9D">
                <wp:extent cx="878400" cy="1980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fldSimple w:instr=" TITLE   \* MERGEFORMAT ">
            <w:r w:rsidR="00260CB6">
              <w:t>Budget Paper No. 2</w:t>
            </w:r>
          </w:fldSimple>
        </w:p>
      </w:tc>
    </w:tr>
    <w:bookmarkEnd w:id="1"/>
  </w:tbl>
  <w:p w14:paraId="031C8AE0" w14:textId="191F1032" w:rsidR="0012790E" w:rsidRPr="003D34FD" w:rsidRDefault="0012790E" w:rsidP="00DF47D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3687" w14:textId="77777777" w:rsidR="008B4D69" w:rsidRDefault="008B4D69" w:rsidP="008B4D69">
    <w:pPr>
      <w:pStyle w:val="Header"/>
      <w:rPr>
        <w:sz w:val="2"/>
        <w:szCs w:val="2"/>
      </w:rPr>
    </w:pPr>
  </w:p>
  <w:p w14:paraId="5CF2AEAF" w14:textId="77777777" w:rsidR="008B4D69" w:rsidRDefault="008B4D69" w:rsidP="008B4D69">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86025" w14:paraId="1EC32B67" w14:textId="77777777" w:rsidTr="001B6931">
      <w:trPr>
        <w:trHeight w:hRule="exact" w:val="340"/>
      </w:trPr>
      <w:tc>
        <w:tcPr>
          <w:tcW w:w="7797" w:type="dxa"/>
          <w:tcMar>
            <w:left w:w="108" w:type="dxa"/>
            <w:right w:w="108" w:type="dxa"/>
          </w:tcMar>
        </w:tcPr>
        <w:p w14:paraId="721806A0" w14:textId="7F2122BC" w:rsidR="00686025" w:rsidRPr="00D13BF9" w:rsidRDefault="00E85FF3" w:rsidP="00686025">
          <w:pPr>
            <w:pStyle w:val="HeaderOdd"/>
          </w:pPr>
          <w:fldSimple w:instr=" TITLE   \* MERGEFORMAT ">
            <w:r w:rsidR="00260CB6">
              <w:t>Budget Paper No. 2</w:t>
            </w:r>
          </w:fldSimple>
          <w:r w:rsidR="00686025" w:rsidRPr="00D13BF9">
            <w:t xml:space="preserve">  |  </w:t>
          </w:r>
          <w:r w:rsidR="00686025" w:rsidRPr="00C9389A">
            <w:rPr>
              <w:noProof/>
              <w:position w:val="-8"/>
            </w:rPr>
            <w:drawing>
              <wp:inline distT="0" distB="0" distL="0" distR="0" wp14:anchorId="4064CAE3" wp14:editId="75C83057">
                <wp:extent cx="878400" cy="1980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38D199BF" w14:textId="02127F5A" w:rsidR="0012790E" w:rsidRPr="008B4D69" w:rsidRDefault="0012790E" w:rsidP="008B4D69">
    <w:pPr>
      <w:pStyle w:val="Header"/>
      <w:rPr>
        <w:sz w:val="2"/>
        <w:szCs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6B22" w14:textId="77777777" w:rsidR="008B4D69" w:rsidRPr="00AA5439" w:rsidRDefault="008B4D69" w:rsidP="008B4D6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8B4D69" w14:paraId="1E1DEE33" w14:textId="77777777" w:rsidTr="00B56499">
      <w:trPr>
        <w:trHeight w:hRule="exact" w:val="340"/>
      </w:trPr>
      <w:tc>
        <w:tcPr>
          <w:tcW w:w="7797" w:type="dxa"/>
        </w:tcPr>
        <w:p w14:paraId="0FA3E892" w14:textId="3C21FE02" w:rsidR="008B4D69" w:rsidRPr="008C56E1" w:rsidRDefault="008B4D69" w:rsidP="008B4D69">
          <w:pPr>
            <w:pStyle w:val="HeaderEven"/>
          </w:pPr>
          <w:r w:rsidRPr="00C9389A">
            <w:rPr>
              <w:noProof/>
              <w:position w:val="-8"/>
            </w:rPr>
            <w:drawing>
              <wp:inline distT="0" distB="0" distL="0" distR="0" wp14:anchorId="4A79C2B6" wp14:editId="3C2F9A1B">
                <wp:extent cx="878400" cy="1980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fldSimple w:instr=" TITLE   \* MERGEFORMAT ">
            <w:r w:rsidR="00260CB6">
              <w:t>Budget Paper No. 2</w:t>
            </w:r>
          </w:fldSimple>
        </w:p>
      </w:tc>
    </w:tr>
  </w:tbl>
  <w:p w14:paraId="29B840AA" w14:textId="0A2D04CA" w:rsidR="0012790E" w:rsidRPr="008B4D69" w:rsidRDefault="0012790E" w:rsidP="008B4D6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8EEC" w14:textId="313D0572" w:rsidR="0012790E" w:rsidRPr="00C83B27" w:rsidRDefault="00E85FF3" w:rsidP="54937204">
    <w:pPr>
      <w:pStyle w:val="HeaderOdd"/>
      <w:rPr>
        <w:lang w:val="en-US"/>
      </w:rPr>
    </w:pPr>
    <w:fldSimple w:instr=" TITLE  \* MERGEFORMAT ">
      <w:r w:rsidR="00260CB6" w:rsidRPr="00260CB6">
        <w:rPr>
          <w:lang w:val="en-US"/>
        </w:rPr>
        <w:t>Budget Paper No. 2</w:t>
      </w:r>
    </w:fldSimple>
    <w:r w:rsidR="54937204" w:rsidRPr="54937204">
      <w:rPr>
        <w:lang w:val="en-US"/>
      </w:rPr>
      <w:t xml:space="preserve">  |  </w:t>
    </w:r>
    <w:r w:rsidR="00756F8F" w:rsidRPr="00C9389A">
      <w:rPr>
        <w:noProof/>
        <w:position w:val="-8"/>
      </w:rPr>
      <w:drawing>
        <wp:inline distT="0" distB="0" distL="0" distR="0" wp14:anchorId="33EC934F" wp14:editId="2F2C7F9F">
          <wp:extent cx="878400" cy="198000"/>
          <wp:effectExtent l="0" t="0" r="0" b="0"/>
          <wp:docPr id="1617967248" name="Picture 1617967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7248" name="Picture 161796724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26A8" w14:textId="57F604AE" w:rsidR="0012790E" w:rsidRDefault="00756F8F" w:rsidP="00C83B27">
    <w:pPr>
      <w:pStyle w:val="HeaderEven"/>
    </w:pPr>
    <w:r w:rsidRPr="00C9389A">
      <w:rPr>
        <w:noProof/>
        <w:position w:val="-8"/>
      </w:rPr>
      <w:drawing>
        <wp:inline distT="0" distB="0" distL="0" distR="0" wp14:anchorId="0CF8B722" wp14:editId="5928D3D3">
          <wp:extent cx="878400" cy="198000"/>
          <wp:effectExtent l="0" t="0" r="0" b="0"/>
          <wp:docPr id="1617967249" name="Picture 1617967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7249" name="Picture 161796724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0012790E">
      <w:rPr>
        <w:noProof/>
      </w:rPr>
      <w:t xml:space="preserve">  |  </w:t>
    </w:r>
    <w:r w:rsidR="0012790E">
      <w:rPr>
        <w:noProof/>
      </w:rPr>
      <w:fldChar w:fldCharType="begin"/>
    </w:r>
    <w:r w:rsidR="0012790E">
      <w:rPr>
        <w:noProof/>
      </w:rPr>
      <w:instrText xml:space="preserve"> TITLE  \* MERGEFORMAT </w:instrText>
    </w:r>
    <w:r w:rsidR="0012790E">
      <w:rPr>
        <w:noProof/>
      </w:rPr>
      <w:fldChar w:fldCharType="separate"/>
    </w:r>
    <w:r w:rsidR="00260CB6">
      <w:rPr>
        <w:noProof/>
      </w:rPr>
      <w:t>Budget Paper No. 2</w:t>
    </w:r>
    <w:r w:rsidR="0012790E">
      <w:rPr>
        <w:noProof/>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54A1" w14:textId="77777777" w:rsidR="008B4D69" w:rsidRDefault="008B4D69" w:rsidP="008B4D69">
    <w:pPr>
      <w:pStyle w:val="Header"/>
      <w:rPr>
        <w:sz w:val="2"/>
        <w:szCs w:val="2"/>
      </w:rPr>
    </w:pPr>
  </w:p>
  <w:p w14:paraId="72805471" w14:textId="77777777" w:rsidR="008B4D69" w:rsidRDefault="008B4D69" w:rsidP="008B4D69">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86025" w14:paraId="0F868635" w14:textId="77777777" w:rsidTr="001B6931">
      <w:trPr>
        <w:trHeight w:hRule="exact" w:val="340"/>
      </w:trPr>
      <w:tc>
        <w:tcPr>
          <w:tcW w:w="7797" w:type="dxa"/>
          <w:tcMar>
            <w:left w:w="108" w:type="dxa"/>
            <w:right w:w="108" w:type="dxa"/>
          </w:tcMar>
        </w:tcPr>
        <w:p w14:paraId="40336A6C" w14:textId="6D86757E" w:rsidR="00686025" w:rsidRPr="00D13BF9" w:rsidRDefault="00E85FF3" w:rsidP="00686025">
          <w:pPr>
            <w:pStyle w:val="HeaderOdd"/>
          </w:pPr>
          <w:fldSimple w:instr=" TITLE   \* MERGEFORMAT ">
            <w:r w:rsidR="00260CB6">
              <w:t>Budget Paper No. 2</w:t>
            </w:r>
          </w:fldSimple>
          <w:r w:rsidR="00686025" w:rsidRPr="00D13BF9">
            <w:t xml:space="preserve">  |  </w:t>
          </w:r>
          <w:r w:rsidR="00686025" w:rsidRPr="00C9389A">
            <w:rPr>
              <w:noProof/>
              <w:position w:val="-8"/>
            </w:rPr>
            <w:drawing>
              <wp:inline distT="0" distB="0" distL="0" distR="0" wp14:anchorId="36D751FB" wp14:editId="7D70E2E5">
                <wp:extent cx="878400" cy="19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34B28735" w14:textId="5FCDDDE3" w:rsidR="0012790E" w:rsidRPr="008B4D69" w:rsidRDefault="0012790E" w:rsidP="008B4D69">
    <w:pPr>
      <w:pStyle w:val="Header"/>
      <w:rPr>
        <w:sz w:val="2"/>
        <w:szCs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D18D" w14:textId="77777777" w:rsidR="008B4D69" w:rsidRPr="00AA5439" w:rsidRDefault="008B4D69" w:rsidP="008B4D6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84F70" w14:paraId="047F1AC3" w14:textId="77777777" w:rsidTr="006B71E8">
      <w:trPr>
        <w:trHeight w:hRule="exact" w:val="340"/>
      </w:trPr>
      <w:tc>
        <w:tcPr>
          <w:tcW w:w="7797" w:type="dxa"/>
        </w:tcPr>
        <w:p w14:paraId="36DE2D5D" w14:textId="3FBB1B95" w:rsidR="00F84F70" w:rsidRPr="008C56E1" w:rsidRDefault="00F84F70" w:rsidP="00F84F70">
          <w:pPr>
            <w:pStyle w:val="HeaderEven"/>
          </w:pPr>
          <w:r w:rsidRPr="00C9389A">
            <w:rPr>
              <w:noProof/>
              <w:position w:val="-8"/>
            </w:rPr>
            <w:drawing>
              <wp:inline distT="0" distB="0" distL="0" distR="0" wp14:anchorId="1B325361" wp14:editId="74B56DFA">
                <wp:extent cx="878400" cy="198000"/>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fldSimple w:instr=" TITLE   \* MERGEFORMAT ">
            <w:r w:rsidR="00260CB6">
              <w:t>Budget Paper No. 2</w:t>
            </w:r>
          </w:fldSimple>
        </w:p>
      </w:tc>
    </w:tr>
  </w:tbl>
  <w:p w14:paraId="6FEA9B4A" w14:textId="140D2E02" w:rsidR="0012790E" w:rsidRPr="008B4D69" w:rsidRDefault="0012790E" w:rsidP="008B4D69">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7A7C" w14:textId="039DCF54" w:rsidR="0012790E" w:rsidRPr="00C83B27" w:rsidRDefault="00E85FF3" w:rsidP="54937204">
    <w:pPr>
      <w:pStyle w:val="HeaderOdd"/>
      <w:rPr>
        <w:lang w:val="en-US"/>
      </w:rPr>
    </w:pPr>
    <w:fldSimple w:instr=" TITLE  \* MERGEFORMAT ">
      <w:r w:rsidR="00260CB6" w:rsidRPr="00260CB6">
        <w:rPr>
          <w:lang w:val="en-US"/>
        </w:rPr>
        <w:t>Budget Paper No. 2</w:t>
      </w:r>
    </w:fldSimple>
    <w:r w:rsidR="54937204" w:rsidRPr="54937204">
      <w:rPr>
        <w:lang w:val="en-US"/>
      </w:rPr>
      <w:t xml:space="preserve">  |  </w:t>
    </w:r>
    <w:r w:rsidR="00756F8F" w:rsidRPr="00C9389A">
      <w:rPr>
        <w:noProof/>
        <w:position w:val="-8"/>
      </w:rPr>
      <w:drawing>
        <wp:inline distT="0" distB="0" distL="0" distR="0" wp14:anchorId="039F6551" wp14:editId="0E532710">
          <wp:extent cx="878400" cy="198000"/>
          <wp:effectExtent l="0" t="0" r="0" b="0"/>
          <wp:docPr id="1617967252" name="Picture 16179672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7252" name="Picture 161796725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0A75" w14:textId="7C2422C3" w:rsidR="0012790E" w:rsidRDefault="00756F8F" w:rsidP="00C83B27">
    <w:pPr>
      <w:pStyle w:val="HeaderEven"/>
    </w:pPr>
    <w:r w:rsidRPr="00C9389A">
      <w:rPr>
        <w:noProof/>
        <w:position w:val="-8"/>
      </w:rPr>
      <w:drawing>
        <wp:inline distT="0" distB="0" distL="0" distR="0" wp14:anchorId="06F94653" wp14:editId="216D0A35">
          <wp:extent cx="878400" cy="198000"/>
          <wp:effectExtent l="0" t="0" r="0" b="0"/>
          <wp:docPr id="1617967253" name="Picture 1617967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7253" name="Picture 161796725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0012790E">
      <w:rPr>
        <w:noProof/>
      </w:rPr>
      <w:t xml:space="preserve">  |  </w:t>
    </w:r>
    <w:r w:rsidR="0012790E">
      <w:rPr>
        <w:noProof/>
      </w:rPr>
      <w:fldChar w:fldCharType="begin"/>
    </w:r>
    <w:r w:rsidR="0012790E">
      <w:rPr>
        <w:noProof/>
      </w:rPr>
      <w:instrText xml:space="preserve"> TITLE  \* MERGEFORMAT </w:instrText>
    </w:r>
    <w:r w:rsidR="0012790E">
      <w:rPr>
        <w:noProof/>
      </w:rPr>
      <w:fldChar w:fldCharType="separate"/>
    </w:r>
    <w:r w:rsidR="00260CB6">
      <w:rPr>
        <w:noProof/>
      </w:rPr>
      <w:t>Budget Paper No. 2</w:t>
    </w:r>
    <w:r w:rsidR="0012790E">
      <w:rPr>
        <w:noProof/>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20B7" w14:textId="77777777" w:rsidR="008B4D69" w:rsidRDefault="008B4D69" w:rsidP="008B4D69">
    <w:pPr>
      <w:pStyle w:val="Header"/>
      <w:rPr>
        <w:sz w:val="2"/>
        <w:szCs w:val="2"/>
      </w:rPr>
    </w:pPr>
  </w:p>
  <w:p w14:paraId="614DDFA6" w14:textId="77777777" w:rsidR="008B4D69" w:rsidRDefault="008B4D69" w:rsidP="008B4D69">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586849" w14:paraId="660173B1" w14:textId="77777777" w:rsidTr="006B71E8">
      <w:trPr>
        <w:trHeight w:hRule="exact" w:val="340"/>
      </w:trPr>
      <w:tc>
        <w:tcPr>
          <w:tcW w:w="7797" w:type="dxa"/>
          <w:tcMar>
            <w:left w:w="108" w:type="dxa"/>
            <w:right w:w="108" w:type="dxa"/>
          </w:tcMar>
        </w:tcPr>
        <w:p w14:paraId="1F4CF28B" w14:textId="42F4ABEA" w:rsidR="00586849" w:rsidRPr="00D13BF9" w:rsidRDefault="00E85FF3" w:rsidP="00586849">
          <w:pPr>
            <w:pStyle w:val="HeaderOdd"/>
          </w:pPr>
          <w:fldSimple w:instr=" TITLE   \* MERGEFORMAT ">
            <w:r w:rsidR="00260CB6">
              <w:t>Budget Paper No. 2</w:t>
            </w:r>
          </w:fldSimple>
          <w:r w:rsidR="00586849" w:rsidRPr="00D13BF9">
            <w:t xml:space="preserve">  |  </w:t>
          </w:r>
          <w:r w:rsidR="00586849" w:rsidRPr="00C9389A">
            <w:rPr>
              <w:noProof/>
              <w:position w:val="-8"/>
            </w:rPr>
            <w:drawing>
              <wp:inline distT="0" distB="0" distL="0" distR="0" wp14:anchorId="60C04C27" wp14:editId="4C3661DD">
                <wp:extent cx="878400" cy="198000"/>
                <wp:effectExtent l="0" t="0" r="0" b="0"/>
                <wp:docPr id="1617967238" name="Picture 1617967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4BCED6F3" w14:textId="3DBEF1A7" w:rsidR="0012790E" w:rsidRPr="008B4D69" w:rsidRDefault="0012790E" w:rsidP="008B4D69">
    <w:pPr>
      <w:pStyle w:val="Header"/>
      <w:rPr>
        <w:sz w:val="2"/>
        <w:szCs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609B" w14:textId="77777777" w:rsidR="008B4D69" w:rsidRPr="00AA5439" w:rsidRDefault="008B4D69" w:rsidP="008B4D6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84F70" w14:paraId="3524F884" w14:textId="77777777" w:rsidTr="006B71E8">
      <w:trPr>
        <w:trHeight w:hRule="exact" w:val="340"/>
      </w:trPr>
      <w:tc>
        <w:tcPr>
          <w:tcW w:w="7797" w:type="dxa"/>
        </w:tcPr>
        <w:p w14:paraId="45003CB0" w14:textId="64092037" w:rsidR="00F84F70" w:rsidRPr="008C56E1" w:rsidRDefault="00F84F70" w:rsidP="00F84F70">
          <w:pPr>
            <w:pStyle w:val="HeaderEven"/>
          </w:pPr>
          <w:r w:rsidRPr="00C9389A">
            <w:rPr>
              <w:noProof/>
              <w:position w:val="-8"/>
            </w:rPr>
            <w:drawing>
              <wp:inline distT="0" distB="0" distL="0" distR="0" wp14:anchorId="665EABDA" wp14:editId="58F3CA79">
                <wp:extent cx="878400" cy="198000"/>
                <wp:effectExtent l="0" t="0" r="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fldSimple w:instr=" TITLE   \* MERGEFORMAT ">
            <w:r w:rsidR="00260CB6">
              <w:t>Budget Paper No. 2</w:t>
            </w:r>
          </w:fldSimple>
        </w:p>
      </w:tc>
    </w:tr>
  </w:tbl>
  <w:p w14:paraId="4F641F5C" w14:textId="02F5A6E5" w:rsidR="0012790E" w:rsidRPr="008B4D69" w:rsidRDefault="0012790E" w:rsidP="008B4D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C273FF" w14:paraId="782DAADA" w14:textId="77777777" w:rsidTr="006B71E8">
      <w:trPr>
        <w:trHeight w:hRule="exact" w:val="340"/>
      </w:trPr>
      <w:tc>
        <w:tcPr>
          <w:tcW w:w="7797" w:type="dxa"/>
          <w:tcMar>
            <w:left w:w="108" w:type="dxa"/>
            <w:right w:w="108" w:type="dxa"/>
          </w:tcMar>
        </w:tcPr>
        <w:bookmarkStart w:id="2" w:name="_Hlk166189401"/>
        <w:p w14:paraId="038DF647" w14:textId="791DB375" w:rsidR="00C273FF" w:rsidRPr="00D13BF9" w:rsidRDefault="00AB4423" w:rsidP="00C273FF">
          <w:pPr>
            <w:pStyle w:val="HeaderOdd"/>
          </w:pPr>
          <w:r>
            <w:fldChar w:fldCharType="begin"/>
          </w:r>
          <w:r>
            <w:instrText xml:space="preserve"> STYLEREF  PortfolioName  \* MERGEFORMAT </w:instrText>
          </w:r>
          <w:r>
            <w:fldChar w:fldCharType="separate"/>
          </w:r>
          <w:r w:rsidR="00FA26AB">
            <w:rPr>
              <w:noProof/>
            </w:rPr>
            <w:t>Treasury</w:t>
          </w:r>
          <w:r>
            <w:fldChar w:fldCharType="end"/>
          </w:r>
          <w:r w:rsidR="00C273FF" w:rsidRPr="00D13BF9">
            <w:t xml:space="preserve">  |  </w:t>
          </w:r>
          <w:r w:rsidR="00C273FF" w:rsidRPr="00C9389A">
            <w:rPr>
              <w:noProof/>
              <w:position w:val="-8"/>
            </w:rPr>
            <w:drawing>
              <wp:inline distT="0" distB="0" distL="0" distR="0" wp14:anchorId="0B005BB8" wp14:editId="27CB5253">
                <wp:extent cx="878400" cy="1980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bookmarkEnd w:id="2"/>
  </w:tbl>
  <w:p w14:paraId="6D0B0700" w14:textId="77777777" w:rsidR="008B4D69" w:rsidRDefault="008B4D69" w:rsidP="008B4D69">
    <w:pPr>
      <w:pStyle w:val="Header"/>
      <w:rPr>
        <w:sz w:val="2"/>
        <w:szCs w:val="2"/>
      </w:rPr>
    </w:pPr>
  </w:p>
  <w:p w14:paraId="5B186FDA" w14:textId="77777777" w:rsidR="008B4D69" w:rsidRDefault="008B4D69" w:rsidP="008B4D69">
    <w:pPr>
      <w:pStyle w:val="Header"/>
      <w:rPr>
        <w:sz w:val="2"/>
        <w:szCs w:val="2"/>
      </w:rPr>
    </w:pPr>
  </w:p>
  <w:p w14:paraId="52644A9C" w14:textId="1F85FB9D" w:rsidR="0012790E" w:rsidRPr="008B4D69" w:rsidRDefault="0012790E" w:rsidP="008B4D69">
    <w:pPr>
      <w:pStyle w:val="Header"/>
      <w:rPr>
        <w:sz w:val="2"/>
        <w:szCs w:val="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B089" w14:textId="3CE40F9F" w:rsidR="0012790E" w:rsidRPr="00C83B27" w:rsidRDefault="00E85FF3" w:rsidP="54937204">
    <w:pPr>
      <w:pStyle w:val="HeaderOdd"/>
      <w:rPr>
        <w:lang w:val="en-US"/>
      </w:rPr>
    </w:pPr>
    <w:fldSimple w:instr=" TITLE  \* MERGEFORMAT ">
      <w:r w:rsidR="00260CB6" w:rsidRPr="00260CB6">
        <w:rPr>
          <w:lang w:val="en-US"/>
        </w:rPr>
        <w:t>Budget Paper No. 2</w:t>
      </w:r>
    </w:fldSimple>
    <w:r w:rsidR="54937204" w:rsidRPr="54937204">
      <w:rPr>
        <w:lang w:val="en-US"/>
      </w:rPr>
      <w:t xml:space="preserve">  |  </w:t>
    </w:r>
    <w:r w:rsidR="00756F8F" w:rsidRPr="00C9389A">
      <w:rPr>
        <w:noProof/>
        <w:position w:val="-8"/>
      </w:rPr>
      <w:drawing>
        <wp:inline distT="0" distB="0" distL="0" distR="0" wp14:anchorId="6E07F160" wp14:editId="6F2D4B26">
          <wp:extent cx="878400" cy="198000"/>
          <wp:effectExtent l="0" t="0" r="0" b="0"/>
          <wp:docPr id="1617967256" name="Picture 16179672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7256" name="Picture 16179672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326D" w14:textId="49CB9428" w:rsidR="0012790E" w:rsidRDefault="00756F8F" w:rsidP="00C83B27">
    <w:pPr>
      <w:pStyle w:val="HeaderEven"/>
    </w:pPr>
    <w:r w:rsidRPr="00C9389A">
      <w:rPr>
        <w:noProof/>
        <w:position w:val="-8"/>
      </w:rPr>
      <w:drawing>
        <wp:inline distT="0" distB="0" distL="0" distR="0" wp14:anchorId="02F22091" wp14:editId="37A8DDFA">
          <wp:extent cx="878400" cy="198000"/>
          <wp:effectExtent l="0" t="0" r="0" b="0"/>
          <wp:docPr id="1617967258" name="Picture 1617967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7258" name="Picture 161796725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0012790E">
      <w:rPr>
        <w:noProof/>
      </w:rPr>
      <w:t xml:space="preserve">  |  </w:t>
    </w:r>
    <w:r w:rsidR="0012790E">
      <w:rPr>
        <w:noProof/>
      </w:rPr>
      <w:fldChar w:fldCharType="begin"/>
    </w:r>
    <w:r w:rsidR="0012790E">
      <w:rPr>
        <w:noProof/>
      </w:rPr>
      <w:instrText xml:space="preserve"> TITLE  \* MERGEFORMAT </w:instrText>
    </w:r>
    <w:r w:rsidR="0012790E">
      <w:rPr>
        <w:noProof/>
      </w:rPr>
      <w:fldChar w:fldCharType="separate"/>
    </w:r>
    <w:r w:rsidR="00260CB6">
      <w:rPr>
        <w:noProof/>
      </w:rPr>
      <w:t>Budget Paper No. 2</w:t>
    </w:r>
    <w:r w:rsidR="0012790E">
      <w:rPr>
        <w:noProof/>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41AD" w14:textId="77777777" w:rsidR="008B4D69" w:rsidRDefault="008B4D69" w:rsidP="008B4D69">
    <w:pPr>
      <w:pStyle w:val="Header"/>
      <w:rPr>
        <w:sz w:val="2"/>
        <w:szCs w:val="2"/>
      </w:rPr>
    </w:pPr>
  </w:p>
  <w:p w14:paraId="050A7825" w14:textId="77777777" w:rsidR="008B4D69" w:rsidRDefault="008B4D69" w:rsidP="008B4D69">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E41644" w14:paraId="1B2E87D7" w14:textId="77777777" w:rsidTr="006B71E8">
      <w:trPr>
        <w:trHeight w:hRule="exact" w:val="340"/>
      </w:trPr>
      <w:tc>
        <w:tcPr>
          <w:tcW w:w="7797" w:type="dxa"/>
          <w:tcMar>
            <w:left w:w="108" w:type="dxa"/>
            <w:right w:w="108" w:type="dxa"/>
          </w:tcMar>
        </w:tcPr>
        <w:p w14:paraId="6F188837" w14:textId="68EA79FB" w:rsidR="00E41644" w:rsidRPr="00D13BF9" w:rsidRDefault="00E85FF3" w:rsidP="00E41644">
          <w:pPr>
            <w:pStyle w:val="HeaderOdd"/>
          </w:pPr>
          <w:fldSimple w:instr=" TITLE   \* MERGEFORMAT ">
            <w:r w:rsidR="00260CB6">
              <w:t>Budget Paper No. 2</w:t>
            </w:r>
          </w:fldSimple>
          <w:r w:rsidR="00E41644" w:rsidRPr="00D13BF9">
            <w:t xml:space="preserve">  |  </w:t>
          </w:r>
          <w:r w:rsidR="00E41644" w:rsidRPr="00C9389A">
            <w:rPr>
              <w:noProof/>
              <w:position w:val="-8"/>
            </w:rPr>
            <w:drawing>
              <wp:inline distT="0" distB="0" distL="0" distR="0" wp14:anchorId="631DFF45" wp14:editId="10D6F4CD">
                <wp:extent cx="878400" cy="198000"/>
                <wp:effectExtent l="0" t="0" r="0" b="0"/>
                <wp:docPr id="1617967239" name="Picture 1617967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64D8BBB4" w14:textId="062266D3" w:rsidR="0012790E" w:rsidRPr="008B4D69" w:rsidRDefault="0012790E" w:rsidP="008B4D69">
    <w:pPr>
      <w:pStyle w:val="Header"/>
      <w:rPr>
        <w:sz w:val="2"/>
        <w:szCs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54B0" w14:textId="77777777" w:rsidR="008B4D69" w:rsidRPr="00AA5439" w:rsidRDefault="008B4D69" w:rsidP="008B4D6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8B4D69" w14:paraId="00297254" w14:textId="77777777" w:rsidTr="00B56499">
      <w:trPr>
        <w:trHeight w:hRule="exact" w:val="340"/>
      </w:trPr>
      <w:tc>
        <w:tcPr>
          <w:tcW w:w="7797" w:type="dxa"/>
        </w:tcPr>
        <w:p w14:paraId="420CCD36" w14:textId="3DDC83F2" w:rsidR="008B4D69" w:rsidRPr="008C56E1" w:rsidRDefault="008B4D69" w:rsidP="008B4D69">
          <w:pPr>
            <w:pStyle w:val="HeaderEven"/>
          </w:pPr>
          <w:r w:rsidRPr="00C9389A">
            <w:rPr>
              <w:noProof/>
              <w:position w:val="-8"/>
            </w:rPr>
            <w:drawing>
              <wp:inline distT="0" distB="0" distL="0" distR="0" wp14:anchorId="7B1DF241" wp14:editId="46E3AB90">
                <wp:extent cx="878400" cy="1980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fldSimple w:instr=" TITLE   \* MERGEFORMAT ">
            <w:r w:rsidR="00260CB6">
              <w:t>Budget Paper No. 2</w:t>
            </w:r>
          </w:fldSimple>
        </w:p>
      </w:tc>
    </w:tr>
  </w:tbl>
  <w:p w14:paraId="30ACF596" w14:textId="29BD5CBC" w:rsidR="0012790E" w:rsidRPr="008B4D69" w:rsidRDefault="0012790E" w:rsidP="008B4D69">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DF75" w14:textId="60DE90A8" w:rsidR="0012790E" w:rsidRPr="00C83B27" w:rsidRDefault="00E85FF3" w:rsidP="54937204">
    <w:pPr>
      <w:pStyle w:val="HeaderOdd"/>
      <w:rPr>
        <w:lang w:val="en-US"/>
      </w:rPr>
    </w:pPr>
    <w:fldSimple w:instr=" TITLE  \* MERGEFORMAT ">
      <w:r w:rsidR="00260CB6" w:rsidRPr="00260CB6">
        <w:rPr>
          <w:lang w:val="en-US"/>
        </w:rPr>
        <w:t>Budget Paper No. 2</w:t>
      </w:r>
    </w:fldSimple>
    <w:r w:rsidR="54937204" w:rsidRPr="54937204">
      <w:rPr>
        <w:lang w:val="en-US"/>
      </w:rPr>
      <w:t xml:space="preserve">  |  </w:t>
    </w:r>
    <w:r w:rsidR="00756F8F" w:rsidRPr="00C9389A">
      <w:rPr>
        <w:noProof/>
        <w:position w:val="-8"/>
      </w:rPr>
      <w:drawing>
        <wp:inline distT="0" distB="0" distL="0" distR="0" wp14:anchorId="1CCBBCF5" wp14:editId="64588C52">
          <wp:extent cx="878400" cy="198000"/>
          <wp:effectExtent l="0" t="0" r="0" b="0"/>
          <wp:docPr id="1617967261" name="Picture 1617967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7261" name="Picture 161796726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9B29" w14:textId="6DE8840D" w:rsidR="0012790E" w:rsidRDefault="00756F8F" w:rsidP="00C83B27">
    <w:pPr>
      <w:pStyle w:val="HeaderEven"/>
    </w:pPr>
    <w:r w:rsidRPr="00C9389A">
      <w:rPr>
        <w:noProof/>
        <w:position w:val="-8"/>
      </w:rPr>
      <w:drawing>
        <wp:inline distT="0" distB="0" distL="0" distR="0" wp14:anchorId="7B248CE2" wp14:editId="340C1116">
          <wp:extent cx="878400" cy="198000"/>
          <wp:effectExtent l="0" t="0" r="0" b="0"/>
          <wp:docPr id="1617967262" name="Picture 16179672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7262" name="Picture 161796726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0012790E">
      <w:rPr>
        <w:noProof/>
      </w:rPr>
      <w:t xml:space="preserve">  |  </w:t>
    </w:r>
    <w:r w:rsidR="0012790E">
      <w:rPr>
        <w:noProof/>
      </w:rPr>
      <w:fldChar w:fldCharType="begin"/>
    </w:r>
    <w:r w:rsidR="0012790E">
      <w:rPr>
        <w:noProof/>
      </w:rPr>
      <w:instrText xml:space="preserve"> TITLE  \* MERGEFORMAT </w:instrText>
    </w:r>
    <w:r w:rsidR="0012790E">
      <w:rPr>
        <w:noProof/>
      </w:rPr>
      <w:fldChar w:fldCharType="separate"/>
    </w:r>
    <w:r w:rsidR="00260CB6">
      <w:rPr>
        <w:noProof/>
      </w:rPr>
      <w:t>Budget Paper No. 2</w:t>
    </w:r>
    <w:r w:rsidR="0012790E">
      <w:rPr>
        <w:noProof/>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55A" w14:textId="77777777" w:rsidR="008B4D69" w:rsidRDefault="008B4D69" w:rsidP="008B4D69">
    <w:pPr>
      <w:pStyle w:val="Header"/>
      <w:rPr>
        <w:sz w:val="2"/>
        <w:szCs w:val="2"/>
      </w:rPr>
    </w:pPr>
  </w:p>
  <w:p w14:paraId="689FCE3F" w14:textId="77777777" w:rsidR="008B4D69" w:rsidRDefault="008B4D69" w:rsidP="008B4D69">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E41644" w14:paraId="678A72AB" w14:textId="77777777" w:rsidTr="006B71E8">
      <w:trPr>
        <w:trHeight w:hRule="exact" w:val="340"/>
      </w:trPr>
      <w:tc>
        <w:tcPr>
          <w:tcW w:w="7797" w:type="dxa"/>
          <w:tcMar>
            <w:left w:w="108" w:type="dxa"/>
            <w:right w:w="108" w:type="dxa"/>
          </w:tcMar>
        </w:tcPr>
        <w:p w14:paraId="12E49DE7" w14:textId="13E4F971" w:rsidR="00E41644" w:rsidRPr="00D13BF9" w:rsidRDefault="00E85FF3" w:rsidP="00E41644">
          <w:pPr>
            <w:pStyle w:val="HeaderOdd"/>
          </w:pPr>
          <w:fldSimple w:instr=" TITLE   \* MERGEFORMAT ">
            <w:r w:rsidR="00260CB6">
              <w:t>Budget Paper No. 2</w:t>
            </w:r>
          </w:fldSimple>
          <w:r w:rsidR="00E41644" w:rsidRPr="00D13BF9">
            <w:t xml:space="preserve">  |  </w:t>
          </w:r>
          <w:r w:rsidR="00E41644" w:rsidRPr="00C9389A">
            <w:rPr>
              <w:noProof/>
              <w:position w:val="-8"/>
            </w:rPr>
            <w:drawing>
              <wp:inline distT="0" distB="0" distL="0" distR="0" wp14:anchorId="455DFC76" wp14:editId="41AB1BC0">
                <wp:extent cx="878400" cy="198000"/>
                <wp:effectExtent l="0" t="0" r="0" b="0"/>
                <wp:docPr id="1617967242" name="Picture 1617967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48112DF9" w14:textId="31236A81" w:rsidR="0012790E" w:rsidRPr="008B4D69" w:rsidRDefault="0012790E" w:rsidP="008B4D69">
    <w:pPr>
      <w:pStyle w:val="Header"/>
      <w:rPr>
        <w:sz w:val="2"/>
        <w:szCs w:val="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50A2" w14:textId="77777777" w:rsidR="008B4D69" w:rsidRPr="00AA5439" w:rsidRDefault="008B4D69" w:rsidP="008B4D6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84F70" w14:paraId="4DD55C2F" w14:textId="77777777" w:rsidTr="006B71E8">
      <w:trPr>
        <w:trHeight w:hRule="exact" w:val="340"/>
      </w:trPr>
      <w:tc>
        <w:tcPr>
          <w:tcW w:w="7797" w:type="dxa"/>
        </w:tcPr>
        <w:p w14:paraId="59091E1E" w14:textId="4FD1E215" w:rsidR="00F84F70" w:rsidRPr="008C56E1" w:rsidRDefault="00F84F70" w:rsidP="00F84F70">
          <w:pPr>
            <w:pStyle w:val="HeaderEven"/>
          </w:pPr>
          <w:r w:rsidRPr="00C9389A">
            <w:rPr>
              <w:noProof/>
              <w:position w:val="-8"/>
            </w:rPr>
            <w:drawing>
              <wp:inline distT="0" distB="0" distL="0" distR="0" wp14:anchorId="0D3E5783" wp14:editId="2BAFE74D">
                <wp:extent cx="878400" cy="198000"/>
                <wp:effectExtent l="0" t="0" r="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fldSimple w:instr=" TITLE   \* MERGEFORMAT ">
            <w:r w:rsidR="00260CB6">
              <w:t>Budget Paper No. 2</w:t>
            </w:r>
          </w:fldSimple>
        </w:p>
      </w:tc>
    </w:tr>
  </w:tbl>
  <w:p w14:paraId="668AB355" w14:textId="1B4CFB9C" w:rsidR="0012790E" w:rsidRPr="008B4D69" w:rsidRDefault="0012790E" w:rsidP="008B4D69">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BC51" w14:textId="0BDD543F" w:rsidR="0012790E" w:rsidRPr="00C83B27" w:rsidRDefault="00E85FF3" w:rsidP="54937204">
    <w:pPr>
      <w:pStyle w:val="HeaderOdd"/>
      <w:rPr>
        <w:lang w:val="en-US"/>
      </w:rPr>
    </w:pPr>
    <w:fldSimple w:instr=" TITLE  \* MERGEFORMAT ">
      <w:r w:rsidR="00260CB6" w:rsidRPr="00260CB6">
        <w:rPr>
          <w:lang w:val="en-US"/>
        </w:rPr>
        <w:t>Budget Paper No. 2</w:t>
      </w:r>
    </w:fldSimple>
    <w:r w:rsidR="54937204" w:rsidRPr="54937204">
      <w:rPr>
        <w:lang w:val="en-US"/>
      </w:rPr>
      <w:t xml:space="preserve">  |  </w:t>
    </w:r>
    <w:r w:rsidR="00756F8F" w:rsidRPr="00C9389A">
      <w:rPr>
        <w:noProof/>
        <w:position w:val="-8"/>
      </w:rPr>
      <w:drawing>
        <wp:inline distT="0" distB="0" distL="0" distR="0" wp14:anchorId="01359D3F" wp14:editId="4FD3C0DA">
          <wp:extent cx="878400" cy="198000"/>
          <wp:effectExtent l="0" t="0" r="0" b="0"/>
          <wp:docPr id="1617967265" name="Picture 1617967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7265" name="Picture 161796726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1043" w14:textId="77777777" w:rsidR="008B4D69" w:rsidRPr="00AA5439" w:rsidRDefault="008B4D69" w:rsidP="008B4D6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84F70" w14:paraId="00DC3061" w14:textId="77777777" w:rsidTr="006B71E8">
      <w:trPr>
        <w:trHeight w:hRule="exact" w:val="340"/>
      </w:trPr>
      <w:tc>
        <w:tcPr>
          <w:tcW w:w="7797" w:type="dxa"/>
        </w:tcPr>
        <w:p w14:paraId="47E6EB42" w14:textId="1ED2EEC3" w:rsidR="00F84F70" w:rsidRPr="008C56E1" w:rsidRDefault="00F84F70" w:rsidP="00F84F70">
          <w:pPr>
            <w:pStyle w:val="HeaderEven"/>
          </w:pPr>
          <w:r w:rsidRPr="00C9389A">
            <w:rPr>
              <w:noProof/>
              <w:position w:val="-8"/>
            </w:rPr>
            <w:drawing>
              <wp:inline distT="0" distB="0" distL="0" distR="0" wp14:anchorId="1A389C3C" wp14:editId="08CE569C">
                <wp:extent cx="878400" cy="198000"/>
                <wp:effectExtent l="0" t="0" r="0" b="0"/>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fldSimple w:instr=" TITLE   \* MERGEFORMAT ">
            <w:r w:rsidR="00260CB6">
              <w:t>Budget Paper No. 2</w:t>
            </w:r>
          </w:fldSimple>
        </w:p>
      </w:tc>
    </w:tr>
  </w:tbl>
  <w:p w14:paraId="04882848" w14:textId="1B0FC707" w:rsidR="0012790E" w:rsidRPr="008B4D69" w:rsidRDefault="0012790E" w:rsidP="008B4D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748C" w14:textId="74AF11E8" w:rsidR="0012790E" w:rsidRDefault="0012790E" w:rsidP="00C83B27">
    <w:pPr>
      <w:pStyle w:val="HeaderEven"/>
    </w:pPr>
    <w:r w:rsidRPr="00C83B27">
      <w:rPr>
        <w:noProof/>
        <w:position w:val="-10"/>
        <w14:ligatures w14:val="standardContextual"/>
      </w:rPr>
      <w:drawing>
        <wp:inline distT="0" distB="0" distL="0" distR="0" wp14:anchorId="009144E5" wp14:editId="7E645B6E">
          <wp:extent cx="875631" cy="197511"/>
          <wp:effectExtent l="0" t="0" r="1270" b="0"/>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75631" cy="197511"/>
                  </a:xfrm>
                  <a:prstGeom prst="rect">
                    <a:avLst/>
                  </a:prstGeom>
                </pic:spPr>
              </pic:pic>
            </a:graphicData>
          </a:graphic>
        </wp:inline>
      </w:drawing>
    </w:r>
    <w:r>
      <w:rPr>
        <w:noProof/>
      </w:rPr>
      <w:t xml:space="preserve">  |  </w:t>
    </w:r>
    <w:r>
      <w:rPr>
        <w:noProof/>
      </w:rPr>
      <w:fldChar w:fldCharType="begin"/>
    </w:r>
    <w:r>
      <w:rPr>
        <w:noProof/>
      </w:rPr>
      <w:instrText xml:space="preserve"> TITLE  \* MERGEFORMAT </w:instrText>
    </w:r>
    <w:r>
      <w:rPr>
        <w:noProof/>
      </w:rPr>
      <w:fldChar w:fldCharType="separate"/>
    </w:r>
    <w:r w:rsidR="00260CB6">
      <w:rPr>
        <w:noProof/>
      </w:rPr>
      <w:t>Budget Paper No. 2</w:t>
    </w:r>
    <w:r>
      <w:rPr>
        <w:noProof/>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D43B" w14:textId="77777777" w:rsidR="008B4D69" w:rsidRDefault="008B4D69" w:rsidP="008B4D69">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0712B7" w14:paraId="513515E1" w14:textId="77777777" w:rsidTr="006B71E8">
      <w:trPr>
        <w:trHeight w:hRule="exact" w:val="340"/>
      </w:trPr>
      <w:tc>
        <w:tcPr>
          <w:tcW w:w="7797" w:type="dxa"/>
          <w:tcMar>
            <w:left w:w="108" w:type="dxa"/>
            <w:right w:w="108" w:type="dxa"/>
          </w:tcMar>
        </w:tcPr>
        <w:p w14:paraId="42DA7130" w14:textId="6DF44DF2" w:rsidR="000712B7" w:rsidRPr="00D13BF9" w:rsidRDefault="00E85FF3" w:rsidP="000712B7">
          <w:pPr>
            <w:pStyle w:val="HeaderOdd"/>
          </w:pPr>
          <w:fldSimple w:instr=" STYLEREF  PortfolioName  \* MERGEFORMAT ">
            <w:r w:rsidR="00FA26AB">
              <w:rPr>
                <w:noProof/>
              </w:rPr>
              <w:t>Education</w:t>
            </w:r>
          </w:fldSimple>
          <w:r w:rsidR="000712B7" w:rsidRPr="00D13BF9">
            <w:t xml:space="preserve">  |  </w:t>
          </w:r>
          <w:r w:rsidR="000712B7" w:rsidRPr="00C9389A">
            <w:rPr>
              <w:noProof/>
              <w:position w:val="-8"/>
            </w:rPr>
            <w:drawing>
              <wp:inline distT="0" distB="0" distL="0" distR="0" wp14:anchorId="7C95319A" wp14:editId="029CCB1F">
                <wp:extent cx="878400" cy="198000"/>
                <wp:effectExtent l="0" t="0" r="0" b="0"/>
                <wp:docPr id="1617967243" name="Picture 1617967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590D27A8" w14:textId="1B53591F" w:rsidR="0012790E" w:rsidRPr="008B4D69" w:rsidRDefault="0012790E" w:rsidP="008B4D69">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30B0" w14:textId="1DFD7A85" w:rsidR="0012790E" w:rsidRPr="00C83B27" w:rsidRDefault="00E85FF3" w:rsidP="54937204">
    <w:pPr>
      <w:pStyle w:val="HeaderOdd"/>
      <w:rPr>
        <w:lang w:val="en-US"/>
      </w:rPr>
    </w:pPr>
    <w:fldSimple w:instr=" TITLE  \* MERGEFORMAT ">
      <w:r w:rsidR="00260CB6" w:rsidRPr="00260CB6">
        <w:rPr>
          <w:lang w:val="en-US"/>
        </w:rPr>
        <w:t>Budget Paper No. 2</w:t>
      </w:r>
    </w:fldSimple>
    <w:r w:rsidR="54937204" w:rsidRPr="54937204">
      <w:rPr>
        <w:lang w:val="en-US"/>
      </w:rPr>
      <w:t xml:space="preserve">  |  </w:t>
    </w:r>
    <w:r w:rsidR="54937204">
      <w:rPr>
        <w:noProof/>
      </w:rPr>
      <w:drawing>
        <wp:inline distT="0" distB="0" distL="0" distR="0" wp14:anchorId="63E7205A" wp14:editId="5BAB47EC">
          <wp:extent cx="875631" cy="197511"/>
          <wp:effectExtent l="0" t="0" r="1270" b="0"/>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75631" cy="197511"/>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E012" w14:textId="77777777" w:rsidR="008B4D69" w:rsidRDefault="008B4D69" w:rsidP="008B4D6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C273FF" w14:paraId="5FCECB87" w14:textId="77777777" w:rsidTr="006B71E8">
      <w:trPr>
        <w:trHeight w:hRule="exact" w:val="340"/>
      </w:trPr>
      <w:tc>
        <w:tcPr>
          <w:tcW w:w="7797" w:type="dxa"/>
        </w:tcPr>
        <w:p w14:paraId="12263BBF" w14:textId="075DD23E" w:rsidR="00C273FF" w:rsidRPr="008C56E1" w:rsidRDefault="00C273FF" w:rsidP="00C273FF">
          <w:pPr>
            <w:pStyle w:val="HeaderEven"/>
          </w:pPr>
          <w:r w:rsidRPr="00C9389A">
            <w:rPr>
              <w:noProof/>
              <w:position w:val="-8"/>
            </w:rPr>
            <w:drawing>
              <wp:inline distT="0" distB="0" distL="0" distR="0" wp14:anchorId="1B62DC47" wp14:editId="3AA9484A">
                <wp:extent cx="878400" cy="19800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fldSimple w:instr=" TITLE   \* MERGEFORMAT ">
            <w:r w:rsidR="00260CB6">
              <w:t>Budget Paper No. 2</w:t>
            </w:r>
          </w:fldSimple>
        </w:p>
      </w:tc>
    </w:tr>
  </w:tbl>
  <w:p w14:paraId="6B624B65" w14:textId="6769A58C" w:rsidR="0012790E" w:rsidRPr="008B4D69" w:rsidRDefault="0012790E" w:rsidP="00C273F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2A06" w14:textId="7238253C" w:rsidR="0012790E" w:rsidRPr="00C83B27" w:rsidRDefault="00E85FF3" w:rsidP="54937204">
    <w:pPr>
      <w:pStyle w:val="HeaderOdd"/>
      <w:rPr>
        <w:lang w:val="en-US"/>
      </w:rPr>
    </w:pPr>
    <w:fldSimple w:instr=" TITLE  \* MERGEFORMAT ">
      <w:r w:rsidR="00260CB6" w:rsidRPr="00260CB6">
        <w:rPr>
          <w:lang w:val="en-US"/>
        </w:rPr>
        <w:t>Budget Paper No. 2</w:t>
      </w:r>
    </w:fldSimple>
    <w:r w:rsidR="54937204" w:rsidRPr="54937204">
      <w:rPr>
        <w:lang w:val="en-US"/>
      </w:rPr>
      <w:t xml:space="preserve">  |  </w:t>
    </w:r>
    <w:r w:rsidR="00B65FD0" w:rsidRPr="00C9389A">
      <w:rPr>
        <w:noProof/>
        <w:position w:val="-8"/>
      </w:rPr>
      <w:drawing>
        <wp:inline distT="0" distB="0" distL="0" distR="0" wp14:anchorId="3A5A8477" wp14:editId="25A0B635">
          <wp:extent cx="878400" cy="198000"/>
          <wp:effectExtent l="0" t="0" r="0" b="0"/>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86B3" w14:textId="723B23B6" w:rsidR="0012790E" w:rsidRDefault="00B65FD0" w:rsidP="00C83B27">
    <w:pPr>
      <w:pStyle w:val="HeaderEven"/>
    </w:pPr>
    <w:r w:rsidRPr="00C9389A">
      <w:rPr>
        <w:noProof/>
        <w:position w:val="-8"/>
      </w:rPr>
      <w:drawing>
        <wp:inline distT="0" distB="0" distL="0" distR="0" wp14:anchorId="06C1E4BF" wp14:editId="217ADB88">
          <wp:extent cx="878400" cy="198000"/>
          <wp:effectExtent l="0" t="0" r="0" b="0"/>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0012790E">
      <w:rPr>
        <w:noProof/>
      </w:rPr>
      <w:t xml:space="preserve">  |  </w:t>
    </w:r>
    <w:r w:rsidR="0012790E">
      <w:rPr>
        <w:noProof/>
      </w:rPr>
      <w:fldChar w:fldCharType="begin"/>
    </w:r>
    <w:r w:rsidR="0012790E">
      <w:rPr>
        <w:noProof/>
      </w:rPr>
      <w:instrText xml:space="preserve"> TITLE  \* MERGEFORMAT </w:instrText>
    </w:r>
    <w:r w:rsidR="0012790E">
      <w:rPr>
        <w:noProof/>
      </w:rPr>
      <w:fldChar w:fldCharType="separate"/>
    </w:r>
    <w:r w:rsidR="00260CB6">
      <w:rPr>
        <w:noProof/>
      </w:rPr>
      <w:t>Budget Paper No. 2</w:t>
    </w:r>
    <w:r w:rsidR="0012790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D8E4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F8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C8A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6C5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F4341E"/>
    <w:lvl w:ilvl="0">
      <w:start w:val="1"/>
      <w:numFmt w:val="bullet"/>
      <w:lvlText w:val=""/>
      <w:lvlJc w:val="left"/>
      <w:pPr>
        <w:tabs>
          <w:tab w:val="num" w:pos="1492"/>
        </w:tabs>
        <w:ind w:left="1492" w:hanging="360"/>
      </w:pPr>
      <w:rPr>
        <w:rFonts w:ascii="Book Antiqua" w:hAnsi="Book Antiqua" w:hint="default"/>
      </w:rPr>
    </w:lvl>
  </w:abstractNum>
  <w:abstractNum w:abstractNumId="5" w15:restartNumberingAfterBreak="0">
    <w:nsid w:val="FFFFFF81"/>
    <w:multiLevelType w:val="singleLevel"/>
    <w:tmpl w:val="637CFB36"/>
    <w:lvl w:ilvl="0">
      <w:start w:val="1"/>
      <w:numFmt w:val="bullet"/>
      <w:lvlText w:val=""/>
      <w:lvlJc w:val="left"/>
      <w:pPr>
        <w:tabs>
          <w:tab w:val="num" w:pos="1209"/>
        </w:tabs>
        <w:ind w:left="1209" w:hanging="360"/>
      </w:pPr>
      <w:rPr>
        <w:rFonts w:ascii="Book Antiqua" w:hAnsi="Book Antiqua" w:hint="default"/>
      </w:rPr>
    </w:lvl>
  </w:abstractNum>
  <w:abstractNum w:abstractNumId="6" w15:restartNumberingAfterBreak="0">
    <w:nsid w:val="FFFFFF82"/>
    <w:multiLevelType w:val="singleLevel"/>
    <w:tmpl w:val="70B68402"/>
    <w:lvl w:ilvl="0">
      <w:start w:val="1"/>
      <w:numFmt w:val="bullet"/>
      <w:lvlText w:val=""/>
      <w:lvlJc w:val="left"/>
      <w:pPr>
        <w:tabs>
          <w:tab w:val="num" w:pos="926"/>
        </w:tabs>
        <w:ind w:left="926" w:hanging="360"/>
      </w:pPr>
      <w:rPr>
        <w:rFonts w:ascii="Book Antiqua" w:hAnsi="Book Antiqua" w:hint="default"/>
      </w:rPr>
    </w:lvl>
  </w:abstractNum>
  <w:abstractNum w:abstractNumId="7" w15:restartNumberingAfterBreak="0">
    <w:nsid w:val="FFFFFF83"/>
    <w:multiLevelType w:val="singleLevel"/>
    <w:tmpl w:val="579423CC"/>
    <w:lvl w:ilvl="0">
      <w:start w:val="1"/>
      <w:numFmt w:val="bullet"/>
      <w:lvlText w:val=""/>
      <w:lvlJc w:val="left"/>
      <w:pPr>
        <w:tabs>
          <w:tab w:val="num" w:pos="643"/>
        </w:tabs>
        <w:ind w:left="643" w:hanging="360"/>
      </w:pPr>
      <w:rPr>
        <w:rFonts w:ascii="Book Antiqua" w:hAnsi="Book Antiqua" w:hint="default"/>
      </w:rPr>
    </w:lvl>
  </w:abstractNum>
  <w:abstractNum w:abstractNumId="8" w15:restartNumberingAfterBreak="0">
    <w:nsid w:val="FFFFFF88"/>
    <w:multiLevelType w:val="singleLevel"/>
    <w:tmpl w:val="6AE44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4A5BDC"/>
    <w:lvl w:ilvl="0">
      <w:start w:val="1"/>
      <w:numFmt w:val="bullet"/>
      <w:lvlText w:val=""/>
      <w:lvlJc w:val="left"/>
      <w:pPr>
        <w:tabs>
          <w:tab w:val="num" w:pos="360"/>
        </w:tabs>
        <w:ind w:left="360" w:hanging="360"/>
      </w:pPr>
      <w:rPr>
        <w:rFonts w:ascii="Book Antiqua" w:hAnsi="Book Antiqua" w:hint="default"/>
      </w:rPr>
    </w:lvl>
  </w:abstractNum>
  <w:abstractNum w:abstractNumId="10" w15:restartNumberingAfterBreak="0">
    <w:nsid w:val="01775260"/>
    <w:multiLevelType w:val="multilevel"/>
    <w:tmpl w:val="26A27A84"/>
    <w:lvl w:ilvl="0">
      <w:start w:val="1"/>
      <w:numFmt w:val="bullet"/>
      <w:lvlRestart w:val="0"/>
      <w:lvlText w:val=""/>
      <w:lvlJc w:val="left"/>
      <w:pPr>
        <w:tabs>
          <w:tab w:val="num" w:pos="283"/>
        </w:tabs>
        <w:ind w:left="283" w:hanging="283"/>
      </w:pPr>
      <w:rPr>
        <w:rFonts w:ascii="Symbol" w:hAnsi="Symbol" w:hint="default"/>
        <w:sz w:val="16"/>
      </w:rPr>
    </w:lvl>
    <w:lvl w:ilvl="1">
      <w:start w:val="1"/>
      <w:numFmt w:val="bullet"/>
      <w:lvlText w:val="–"/>
      <w:lvlJc w:val="left"/>
      <w:pPr>
        <w:tabs>
          <w:tab w:val="num" w:pos="567"/>
        </w:tabs>
        <w:ind w:left="567" w:hanging="284"/>
      </w:pPr>
      <w:rPr>
        <w:rFonts w:ascii="Arial" w:hAnsi="Arial" w:cs="Arial"/>
      </w:rPr>
    </w:lvl>
    <w:lvl w:ilvl="2">
      <w:start w:val="1"/>
      <w:numFmt w:val="bullet"/>
      <w:lvlText w:val=":"/>
      <w:lvlJc w:val="left"/>
      <w:pPr>
        <w:tabs>
          <w:tab w:val="num" w:pos="850"/>
        </w:tabs>
        <w:ind w:left="850" w:hanging="283"/>
      </w:pPr>
      <w:rPr>
        <w:rFonts w:ascii="Arial" w:hAnsi="Arial"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873012"/>
    <w:multiLevelType w:val="multilevel"/>
    <w:tmpl w:val="DD1E79DE"/>
    <w:lvl w:ilvl="0">
      <w:start w:val="1"/>
      <w:numFmt w:val="bullet"/>
      <w:lvlRestart w:val="0"/>
      <w:pStyle w:val="FootnoteBullet"/>
      <w:lvlText w:val="•"/>
      <w:lvlJc w:val="left"/>
      <w:pPr>
        <w:tabs>
          <w:tab w:val="num" w:pos="170"/>
        </w:tabs>
        <w:ind w:left="510" w:hanging="170"/>
      </w:pPr>
      <w:rPr>
        <w:rFonts w:ascii="Times New Roman" w:hAnsi="Times New Roman" w:cs="Times New Roman" w:hint="default"/>
        <w:b w:val="0"/>
        <w:i w:val="0"/>
        <w:color w:val="000000"/>
        <w:sz w:val="20"/>
      </w:rPr>
    </w:lvl>
    <w:lvl w:ilvl="1">
      <w:start w:val="1"/>
      <w:numFmt w:val="bullet"/>
      <w:lvlText w:val="–"/>
      <w:lvlJc w:val="left"/>
      <w:pPr>
        <w:tabs>
          <w:tab w:val="num" w:pos="510"/>
        </w:tabs>
        <w:ind w:left="510" w:hanging="284"/>
      </w:pPr>
      <w:rPr>
        <w:rFonts w:ascii="Times New Roman" w:hAnsi="Times New Roman" w:cs="Times New Roman" w:hint="default"/>
        <w:b w:val="0"/>
        <w:i w:val="0"/>
        <w:color w:val="000000"/>
      </w:rPr>
    </w:lvl>
    <w:lvl w:ilvl="2">
      <w:start w:val="1"/>
      <w:numFmt w:val="bullet"/>
      <w:lvlText w:val=":"/>
      <w:lvlJc w:val="left"/>
      <w:pPr>
        <w:tabs>
          <w:tab w:val="num" w:pos="793"/>
        </w:tabs>
        <w:ind w:left="793" w:hanging="283"/>
      </w:pPr>
      <w:rPr>
        <w:rFonts w:ascii="Times New Roman" w:hAnsi="Times New Roman" w:cs="Times New Roman" w:hint="default"/>
        <w:b w:val="0"/>
        <w:i w:val="0"/>
        <w:color w:val="000000"/>
      </w:rPr>
    </w:lvl>
    <w:lvl w:ilvl="3">
      <w:start w:val="1"/>
      <w:numFmt w:val="decimal"/>
      <w:lvlText w:val="%4"/>
      <w:lvlJc w:val="left"/>
      <w:pPr>
        <w:tabs>
          <w:tab w:val="num" w:pos="2211"/>
        </w:tabs>
        <w:ind w:left="2211" w:hanging="567"/>
      </w:pPr>
      <w:rPr>
        <w:rFonts w:ascii="Times New Roman" w:hAnsi="Times New Roman" w:cs="Times New Roman" w:hint="default"/>
        <w:b w:val="0"/>
        <w:i w:val="0"/>
        <w:color w:val="000000"/>
      </w:rPr>
    </w:lvl>
    <w:lvl w:ilvl="4">
      <w:start w:val="1"/>
      <w:numFmt w:val="decimal"/>
      <w:lvlText w:val="%5"/>
      <w:lvlJc w:val="left"/>
      <w:pPr>
        <w:tabs>
          <w:tab w:val="num" w:pos="2778"/>
        </w:tabs>
        <w:ind w:left="2778" w:hanging="567"/>
      </w:pPr>
      <w:rPr>
        <w:rFonts w:ascii="Times New Roman" w:hAnsi="Times New Roman" w:cs="Times New Roman" w:hint="default"/>
        <w:b w:val="0"/>
        <w:i w:val="0"/>
        <w:color w:val="000000"/>
      </w:rPr>
    </w:lvl>
    <w:lvl w:ilvl="5">
      <w:start w:val="1"/>
      <w:numFmt w:val="decimal"/>
      <w:lvlText w:val="%6"/>
      <w:lvlJc w:val="left"/>
      <w:pPr>
        <w:tabs>
          <w:tab w:val="num" w:pos="3345"/>
        </w:tabs>
        <w:ind w:left="3345" w:hanging="567"/>
      </w:pPr>
      <w:rPr>
        <w:rFonts w:ascii="Times New Roman" w:hAnsi="Times New Roman" w:cs="Times New Roman" w:hint="default"/>
        <w:b w:val="0"/>
        <w:i w:val="0"/>
        <w:color w:val="000000"/>
      </w:rPr>
    </w:lvl>
    <w:lvl w:ilvl="6">
      <w:start w:val="1"/>
      <w:numFmt w:val="decimal"/>
      <w:lvlText w:val="%7"/>
      <w:lvlJc w:val="left"/>
      <w:pPr>
        <w:tabs>
          <w:tab w:val="num" w:pos="3912"/>
        </w:tabs>
        <w:ind w:left="3912" w:hanging="567"/>
      </w:pPr>
      <w:rPr>
        <w:rFonts w:ascii="Times New Roman" w:hAnsi="Times New Roman" w:cs="Times New Roman" w:hint="default"/>
        <w:b w:val="0"/>
        <w:i w:val="0"/>
        <w:color w:val="000000"/>
      </w:rPr>
    </w:lvl>
    <w:lvl w:ilvl="7">
      <w:start w:val="1"/>
      <w:numFmt w:val="decimal"/>
      <w:lvlText w:val="%8"/>
      <w:lvlJc w:val="left"/>
      <w:pPr>
        <w:tabs>
          <w:tab w:val="num" w:pos="4479"/>
        </w:tabs>
        <w:ind w:left="4479" w:hanging="567"/>
      </w:pPr>
      <w:rPr>
        <w:rFonts w:ascii="Times New Roman" w:hAnsi="Times New Roman" w:cs="Times New Roman" w:hint="default"/>
        <w:b w:val="0"/>
        <w:i w:val="0"/>
        <w:color w:val="000000"/>
      </w:rPr>
    </w:lvl>
    <w:lvl w:ilvl="8">
      <w:start w:val="1"/>
      <w:numFmt w:val="decimal"/>
      <w:lvlText w:val="%9"/>
      <w:lvlJc w:val="left"/>
      <w:pPr>
        <w:tabs>
          <w:tab w:val="num" w:pos="5046"/>
        </w:tabs>
        <w:ind w:left="5046" w:hanging="567"/>
      </w:pPr>
      <w:rPr>
        <w:rFonts w:ascii="Times New Roman" w:hAnsi="Times New Roman" w:cs="Times New Roman" w:hint="default"/>
        <w:b w:val="0"/>
        <w:i w:val="0"/>
        <w:color w:val="000000"/>
      </w:rPr>
    </w:lvl>
  </w:abstractNum>
  <w:abstractNum w:abstractNumId="12" w15:restartNumberingAfterBreak="0">
    <w:nsid w:val="08747C41"/>
    <w:multiLevelType w:val="multilevel"/>
    <w:tmpl w:val="DB6444EE"/>
    <w:lvl w:ilvl="0">
      <w:start w:val="1"/>
      <w:numFmt w:val="bullet"/>
      <w:lvlRestart w:val="0"/>
      <w:pStyle w:val="Bullet"/>
      <w:lvlText w:val="•"/>
      <w:lvlJc w:val="left"/>
      <w:pPr>
        <w:tabs>
          <w:tab w:val="num" w:pos="283"/>
        </w:tabs>
        <w:ind w:left="283" w:hanging="283"/>
      </w:pPr>
      <w:rPr>
        <w:rFonts w:ascii="Times New Roman" w:hAnsi="Times New Roman" w:cs="Times New Roman"/>
        <w:b w:val="0"/>
        <w:i w:val="0"/>
        <w:color w:val="000000"/>
        <w:sz w:val="20"/>
      </w:rPr>
    </w:lvl>
    <w:lvl w:ilvl="1">
      <w:start w:val="1"/>
      <w:numFmt w:val="bullet"/>
      <w:pStyle w:val="Dash"/>
      <w:lvlText w:val="–"/>
      <w:lvlJc w:val="left"/>
      <w:pPr>
        <w:tabs>
          <w:tab w:val="num" w:pos="567"/>
        </w:tabs>
        <w:ind w:left="567" w:hanging="284"/>
      </w:pPr>
      <w:rPr>
        <w:rFonts w:ascii="Times New Roman" w:hAnsi="Times New Roman" w:cs="Times New Roman"/>
        <w:b w:val="0"/>
        <w:i w:val="0"/>
        <w:color w:val="000000"/>
      </w:rPr>
    </w:lvl>
    <w:lvl w:ilvl="2">
      <w:start w:val="1"/>
      <w:numFmt w:val="bullet"/>
      <w:pStyle w:val="DoubleDot"/>
      <w:lvlText w:val=":"/>
      <w:lvlJc w:val="left"/>
      <w:pPr>
        <w:tabs>
          <w:tab w:val="num" w:pos="850"/>
        </w:tabs>
        <w:ind w:left="850" w:hanging="283"/>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3" w15:restartNumberingAfterBreak="0">
    <w:nsid w:val="097B6AD3"/>
    <w:multiLevelType w:val="hybridMultilevel"/>
    <w:tmpl w:val="CE46E1DA"/>
    <w:lvl w:ilvl="0" w:tplc="0C090001">
      <w:start w:val="1"/>
      <w:numFmt w:val="bullet"/>
      <w:lvlText w:val=""/>
      <w:lvlJc w:val="left"/>
      <w:pPr>
        <w:ind w:left="805" w:hanging="360"/>
      </w:pPr>
      <w:rPr>
        <w:rFonts w:ascii="Symbol" w:hAnsi="Symbo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14" w15:restartNumberingAfterBreak="0">
    <w:nsid w:val="15FF79E4"/>
    <w:multiLevelType w:val="multilevel"/>
    <w:tmpl w:val="97FAD1C6"/>
    <w:lvl w:ilvl="0">
      <w:start w:val="1"/>
      <w:numFmt w:val="bullet"/>
      <w:lvlText w:val=""/>
      <w:lvlJc w:val="left"/>
      <w:pPr>
        <w:tabs>
          <w:tab w:val="num" w:pos="567"/>
        </w:tabs>
        <w:ind w:left="567" w:hanging="567"/>
      </w:pPr>
      <w:rPr>
        <w:rFonts w:ascii="Book Antiqua" w:hAnsi="Book Antiqua"/>
      </w:rPr>
    </w:lvl>
    <w:lvl w:ilvl="1">
      <w:start w:val="1"/>
      <w:numFmt w:val="bullet"/>
      <w:lvlText w:val="-"/>
      <w:lvlJc w:val="left"/>
      <w:pPr>
        <w:tabs>
          <w:tab w:val="num" w:pos="1134"/>
        </w:tabs>
        <w:ind w:left="1134" w:hanging="567"/>
      </w:pPr>
      <w:rPr>
        <w:rFonts w:ascii="Book Antiqua" w:hAnsi="Book Antiqua"/>
      </w:rPr>
    </w:lvl>
    <w:lvl w:ilvl="2">
      <w:start w:val="1"/>
      <w:numFmt w:val="bullet"/>
      <w:lvlText w:val=":"/>
      <w:lvlJc w:val="left"/>
      <w:pPr>
        <w:tabs>
          <w:tab w:val="num" w:pos="1701"/>
        </w:tabs>
        <w:ind w:left="1701" w:hanging="567"/>
      </w:pPr>
      <w:rPr>
        <w:rFonts w:ascii="Book Antiqua" w:hAnsi="Book Antiqua"/>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15:restartNumberingAfterBreak="0">
    <w:nsid w:val="171F44F2"/>
    <w:multiLevelType w:val="singleLevel"/>
    <w:tmpl w:val="B9D0F448"/>
    <w:name w:val="AlphaChartTableFootnoteSmallList"/>
    <w:lvl w:ilvl="0">
      <w:start w:val="1"/>
      <w:numFmt w:val="lowerLetter"/>
      <w:lvlRestart w:val="0"/>
      <w:lvlText w:val="(%1)"/>
      <w:lvlJc w:val="left"/>
      <w:pPr>
        <w:tabs>
          <w:tab w:val="num" w:pos="283"/>
        </w:tabs>
        <w:ind w:left="283" w:hanging="283"/>
      </w:pPr>
      <w:rPr>
        <w:rFonts w:ascii="Arial" w:hAnsi="Arial"/>
        <w:sz w:val="15"/>
      </w:rPr>
    </w:lvl>
  </w:abstractNum>
  <w:abstractNum w:abstractNumId="16" w15:restartNumberingAfterBreak="0">
    <w:nsid w:val="3A5F1653"/>
    <w:multiLevelType w:val="multilevel"/>
    <w:tmpl w:val="655E41D0"/>
    <w:lvl w:ilvl="0">
      <w:start w:val="1"/>
      <w:numFmt w:val="bullet"/>
      <w:lvlRestart w:val="0"/>
      <w:lvlText w:val=""/>
      <w:lvlJc w:val="left"/>
      <w:pPr>
        <w:tabs>
          <w:tab w:val="num" w:pos="283"/>
        </w:tabs>
        <w:ind w:left="360" w:hanging="360"/>
      </w:pPr>
      <w:rPr>
        <w:rFonts w:ascii="Symbol" w:hAnsi="Symbol" w:hint="default"/>
        <w:sz w:val="16"/>
      </w:rPr>
    </w:lvl>
    <w:lvl w:ilvl="1">
      <w:start w:val="1"/>
      <w:numFmt w:val="bullet"/>
      <w:lvlText w:val="–"/>
      <w:lvlJc w:val="left"/>
      <w:pPr>
        <w:tabs>
          <w:tab w:val="num" w:pos="567"/>
        </w:tabs>
        <w:ind w:left="567" w:hanging="284"/>
      </w:pPr>
      <w:rPr>
        <w:rFonts w:ascii="Arial" w:hAnsi="Arial"/>
      </w:rPr>
    </w:lvl>
    <w:lvl w:ilvl="2">
      <w:start w:val="1"/>
      <w:numFmt w:val="bullet"/>
      <w:lvlText w:val=":"/>
      <w:lvlJc w:val="left"/>
      <w:pPr>
        <w:tabs>
          <w:tab w:val="num" w:pos="850"/>
        </w:tabs>
        <w:ind w:left="850" w:hanging="283"/>
      </w:pPr>
      <w:rPr>
        <w:rFonts w:ascii="Arial" w:hAnsi="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8463CDB"/>
    <w:multiLevelType w:val="singleLevel"/>
    <w:tmpl w:val="C5525D34"/>
    <w:name w:val="AlphaChartTableFootnoteList"/>
    <w:lvl w:ilvl="0">
      <w:start w:val="1"/>
      <w:numFmt w:val="lowerLetter"/>
      <w:lvlRestart w:val="0"/>
      <w:lvlText w:val="(%1)"/>
      <w:lvlJc w:val="left"/>
      <w:pPr>
        <w:tabs>
          <w:tab w:val="num" w:pos="283"/>
        </w:tabs>
        <w:ind w:left="283" w:hanging="283"/>
      </w:pPr>
      <w:rPr>
        <w:rFonts w:ascii="Arial" w:hAnsi="Arial"/>
      </w:rPr>
    </w:lvl>
  </w:abstractNum>
  <w:abstractNum w:abstractNumId="18" w15:restartNumberingAfterBreak="0">
    <w:nsid w:val="66022277"/>
    <w:multiLevelType w:val="multilevel"/>
    <w:tmpl w:val="A4C8032C"/>
    <w:lvl w:ilvl="0">
      <w:start w:val="1"/>
      <w:numFmt w:val="lowerLetter"/>
      <w:pStyle w:val="ChartandTableFootnoteAlpha"/>
      <w:lvlText w:val="(%1)"/>
      <w:lvlJc w:val="left"/>
      <w:pPr>
        <w:ind w:left="360" w:hanging="360"/>
      </w:pPr>
      <w:rPr>
        <w:specVanish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FD20A93"/>
    <w:multiLevelType w:val="singleLevel"/>
    <w:tmpl w:val="1B3897BC"/>
    <w:lvl w:ilvl="0">
      <w:start w:val="1"/>
      <w:numFmt w:val="lowerLetter"/>
      <w:lvlRestart w:val="0"/>
      <w:lvlText w:val="(%1)"/>
      <w:lvlJc w:val="left"/>
      <w:pPr>
        <w:tabs>
          <w:tab w:val="num" w:pos="283"/>
        </w:tabs>
        <w:ind w:left="283" w:hanging="283"/>
      </w:pPr>
      <w:rPr>
        <w:rFonts w:ascii="Arial" w:hAnsi="Arial"/>
        <w:sz w:val="15"/>
      </w:rPr>
    </w:lvl>
  </w:abstractNum>
  <w:abstractNum w:abstractNumId="20" w15:restartNumberingAfterBreak="0">
    <w:nsid w:val="72945F08"/>
    <w:multiLevelType w:val="multilevel"/>
    <w:tmpl w:val="EC6EED50"/>
    <w:lvl w:ilvl="0">
      <w:start w:val="1"/>
      <w:numFmt w:val="bullet"/>
      <w:lvlText w:val=""/>
      <w:lvlJc w:val="left"/>
      <w:pPr>
        <w:tabs>
          <w:tab w:val="num" w:pos="567"/>
        </w:tabs>
        <w:ind w:left="567" w:hanging="567"/>
      </w:pPr>
      <w:rPr>
        <w:rFonts w:ascii="Symbol" w:hAnsi="Symbol"/>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FBF04E9"/>
    <w:multiLevelType w:val="multilevel"/>
    <w:tmpl w:val="97FAD1C6"/>
    <w:lvl w:ilvl="0">
      <w:start w:val="1"/>
      <w:numFmt w:val="bullet"/>
      <w:lvlText w:val=""/>
      <w:lvlJc w:val="left"/>
      <w:pPr>
        <w:tabs>
          <w:tab w:val="num" w:pos="567"/>
        </w:tabs>
        <w:ind w:left="567" w:hanging="567"/>
      </w:pPr>
      <w:rPr>
        <w:rFonts w:ascii="Book Antiqua" w:hAnsi="Book Antiqua"/>
      </w:rPr>
    </w:lvl>
    <w:lvl w:ilvl="1">
      <w:start w:val="1"/>
      <w:numFmt w:val="bullet"/>
      <w:lvlText w:val="-"/>
      <w:lvlJc w:val="left"/>
      <w:pPr>
        <w:tabs>
          <w:tab w:val="num" w:pos="1134"/>
        </w:tabs>
        <w:ind w:left="1134" w:hanging="567"/>
      </w:pPr>
      <w:rPr>
        <w:rFonts w:ascii="Book Antiqua" w:hAnsi="Book Antiqua"/>
      </w:rPr>
    </w:lvl>
    <w:lvl w:ilvl="2">
      <w:start w:val="1"/>
      <w:numFmt w:val="bullet"/>
      <w:lvlText w:val=":"/>
      <w:lvlJc w:val="left"/>
      <w:pPr>
        <w:tabs>
          <w:tab w:val="num" w:pos="1701"/>
        </w:tabs>
        <w:ind w:left="1701" w:hanging="567"/>
      </w:pPr>
      <w:rPr>
        <w:rFonts w:ascii="Book Antiqua" w:hAnsi="Book Antiqua"/>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16cid:durableId="1392194753">
    <w:abstractNumId w:val="16"/>
  </w:num>
  <w:num w:numId="2" w16cid:durableId="776101287">
    <w:abstractNumId w:val="9"/>
  </w:num>
  <w:num w:numId="3" w16cid:durableId="1699963363">
    <w:abstractNumId w:val="7"/>
  </w:num>
  <w:num w:numId="4" w16cid:durableId="753161329">
    <w:abstractNumId w:val="6"/>
  </w:num>
  <w:num w:numId="5" w16cid:durableId="986323827">
    <w:abstractNumId w:val="5"/>
  </w:num>
  <w:num w:numId="6" w16cid:durableId="1158381375">
    <w:abstractNumId w:val="4"/>
  </w:num>
  <w:num w:numId="7" w16cid:durableId="1749114262">
    <w:abstractNumId w:val="8"/>
  </w:num>
  <w:num w:numId="8" w16cid:durableId="788358372">
    <w:abstractNumId w:val="3"/>
  </w:num>
  <w:num w:numId="9" w16cid:durableId="1014764193">
    <w:abstractNumId w:val="2"/>
  </w:num>
  <w:num w:numId="10" w16cid:durableId="1406224580">
    <w:abstractNumId w:val="1"/>
  </w:num>
  <w:num w:numId="11" w16cid:durableId="222984088">
    <w:abstractNumId w:val="0"/>
  </w:num>
  <w:num w:numId="12" w16cid:durableId="1109475191">
    <w:abstractNumId w:val="14"/>
  </w:num>
  <w:num w:numId="13" w16cid:durableId="375619145">
    <w:abstractNumId w:val="21"/>
  </w:num>
  <w:num w:numId="14" w16cid:durableId="1180199345">
    <w:abstractNumId w:val="17"/>
  </w:num>
  <w:num w:numId="15" w16cid:durableId="275916959">
    <w:abstractNumId w:val="20"/>
  </w:num>
  <w:num w:numId="16" w16cid:durableId="1611858120">
    <w:abstractNumId w:val="10"/>
  </w:num>
  <w:num w:numId="17" w16cid:durableId="347371756">
    <w:abstractNumId w:val="18"/>
  </w:num>
  <w:num w:numId="18" w16cid:durableId="1559589296">
    <w:abstractNumId w:val="15"/>
  </w:num>
  <w:num w:numId="19" w16cid:durableId="1943293753">
    <w:abstractNumId w:val="19"/>
  </w:num>
  <w:num w:numId="20" w16cid:durableId="1228684191">
    <w:abstractNumId w:val="12"/>
  </w:num>
  <w:num w:numId="21" w16cid:durableId="1283153702">
    <w:abstractNumId w:val="11"/>
  </w:num>
  <w:num w:numId="22" w16cid:durableId="510335431">
    <w:abstractNumId w:val="12"/>
  </w:num>
  <w:num w:numId="23" w16cid:durableId="1494369514">
    <w:abstractNumId w:val="12"/>
  </w:num>
  <w:num w:numId="24" w16cid:durableId="1264995587">
    <w:abstractNumId w:val="12"/>
  </w:num>
  <w:num w:numId="25" w16cid:durableId="3889175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77834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defaultTabStop w:val="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5A"/>
    <w:rsid w:val="0000178B"/>
    <w:rsid w:val="00001A9D"/>
    <w:rsid w:val="0000490E"/>
    <w:rsid w:val="00007627"/>
    <w:rsid w:val="00010CC9"/>
    <w:rsid w:val="00011F56"/>
    <w:rsid w:val="0001327E"/>
    <w:rsid w:val="000142FC"/>
    <w:rsid w:val="00017CF1"/>
    <w:rsid w:val="00022527"/>
    <w:rsid w:val="000227AE"/>
    <w:rsid w:val="00023E6D"/>
    <w:rsid w:val="00025904"/>
    <w:rsid w:val="00030F0D"/>
    <w:rsid w:val="000329B7"/>
    <w:rsid w:val="00032E80"/>
    <w:rsid w:val="000349F2"/>
    <w:rsid w:val="00036A8E"/>
    <w:rsid w:val="00040A7B"/>
    <w:rsid w:val="00041D22"/>
    <w:rsid w:val="00041FE8"/>
    <w:rsid w:val="0004723E"/>
    <w:rsid w:val="00050D8B"/>
    <w:rsid w:val="00053324"/>
    <w:rsid w:val="00053B27"/>
    <w:rsid w:val="000545EF"/>
    <w:rsid w:val="00060F36"/>
    <w:rsid w:val="000631AC"/>
    <w:rsid w:val="000647D7"/>
    <w:rsid w:val="000712B7"/>
    <w:rsid w:val="000734DE"/>
    <w:rsid w:val="000752DD"/>
    <w:rsid w:val="0007555F"/>
    <w:rsid w:val="000827CB"/>
    <w:rsid w:val="0008449D"/>
    <w:rsid w:val="00084794"/>
    <w:rsid w:val="000916BF"/>
    <w:rsid w:val="000918B3"/>
    <w:rsid w:val="0009634A"/>
    <w:rsid w:val="000A08C8"/>
    <w:rsid w:val="000A0EF7"/>
    <w:rsid w:val="000A342B"/>
    <w:rsid w:val="000A40B8"/>
    <w:rsid w:val="000B17B1"/>
    <w:rsid w:val="000B2F0D"/>
    <w:rsid w:val="000B5739"/>
    <w:rsid w:val="000B7BEF"/>
    <w:rsid w:val="000C26F2"/>
    <w:rsid w:val="000C3D2E"/>
    <w:rsid w:val="000C4113"/>
    <w:rsid w:val="000C685C"/>
    <w:rsid w:val="000D0605"/>
    <w:rsid w:val="000D1D44"/>
    <w:rsid w:val="000D3386"/>
    <w:rsid w:val="000D6080"/>
    <w:rsid w:val="000E1FD2"/>
    <w:rsid w:val="000E41E9"/>
    <w:rsid w:val="000E6D84"/>
    <w:rsid w:val="000E7376"/>
    <w:rsid w:val="000E7AC6"/>
    <w:rsid w:val="000F04E1"/>
    <w:rsid w:val="000F114E"/>
    <w:rsid w:val="000F1ADB"/>
    <w:rsid w:val="000F33E0"/>
    <w:rsid w:val="000F470F"/>
    <w:rsid w:val="000F6895"/>
    <w:rsid w:val="000F6C53"/>
    <w:rsid w:val="00102D8B"/>
    <w:rsid w:val="00103754"/>
    <w:rsid w:val="00105A62"/>
    <w:rsid w:val="00106685"/>
    <w:rsid w:val="001075E2"/>
    <w:rsid w:val="00115F98"/>
    <w:rsid w:val="00116BD2"/>
    <w:rsid w:val="0012035B"/>
    <w:rsid w:val="0012790E"/>
    <w:rsid w:val="00132091"/>
    <w:rsid w:val="00136418"/>
    <w:rsid w:val="00137573"/>
    <w:rsid w:val="00140411"/>
    <w:rsid w:val="00140783"/>
    <w:rsid w:val="00142BD9"/>
    <w:rsid w:val="00144EC2"/>
    <w:rsid w:val="00151467"/>
    <w:rsid w:val="0015193C"/>
    <w:rsid w:val="00152D1A"/>
    <w:rsid w:val="00155A75"/>
    <w:rsid w:val="00157F7E"/>
    <w:rsid w:val="001631C5"/>
    <w:rsid w:val="00165B3D"/>
    <w:rsid w:val="001664EA"/>
    <w:rsid w:val="00170DB9"/>
    <w:rsid w:val="00170FAE"/>
    <w:rsid w:val="0017329B"/>
    <w:rsid w:val="00174119"/>
    <w:rsid w:val="00175AF8"/>
    <w:rsid w:val="001804F2"/>
    <w:rsid w:val="0018052B"/>
    <w:rsid w:val="00182B1A"/>
    <w:rsid w:val="00183AB4"/>
    <w:rsid w:val="00184BCE"/>
    <w:rsid w:val="00193FC5"/>
    <w:rsid w:val="001A00D2"/>
    <w:rsid w:val="001A0183"/>
    <w:rsid w:val="001A098A"/>
    <w:rsid w:val="001A3532"/>
    <w:rsid w:val="001B526E"/>
    <w:rsid w:val="001C07EB"/>
    <w:rsid w:val="001C27B4"/>
    <w:rsid w:val="001C58EC"/>
    <w:rsid w:val="001D2A48"/>
    <w:rsid w:val="001D377A"/>
    <w:rsid w:val="001D4026"/>
    <w:rsid w:val="001D408A"/>
    <w:rsid w:val="001D69DC"/>
    <w:rsid w:val="001E3CD1"/>
    <w:rsid w:val="001E5903"/>
    <w:rsid w:val="001E5FDB"/>
    <w:rsid w:val="001E7E55"/>
    <w:rsid w:val="001F291C"/>
    <w:rsid w:val="001F30EC"/>
    <w:rsid w:val="001F3494"/>
    <w:rsid w:val="00200AE7"/>
    <w:rsid w:val="002020D6"/>
    <w:rsid w:val="00202EA7"/>
    <w:rsid w:val="00203116"/>
    <w:rsid w:val="0020524F"/>
    <w:rsid w:val="00206032"/>
    <w:rsid w:val="00206423"/>
    <w:rsid w:val="002079A9"/>
    <w:rsid w:val="00213D7A"/>
    <w:rsid w:val="0021696C"/>
    <w:rsid w:val="00217472"/>
    <w:rsid w:val="00217C3D"/>
    <w:rsid w:val="00222675"/>
    <w:rsid w:val="00226EEA"/>
    <w:rsid w:val="00233085"/>
    <w:rsid w:val="00234240"/>
    <w:rsid w:val="00235977"/>
    <w:rsid w:val="00240F64"/>
    <w:rsid w:val="00242D55"/>
    <w:rsid w:val="00243960"/>
    <w:rsid w:val="00244B95"/>
    <w:rsid w:val="00245E01"/>
    <w:rsid w:val="00247381"/>
    <w:rsid w:val="00251C07"/>
    <w:rsid w:val="00254F5A"/>
    <w:rsid w:val="0025579D"/>
    <w:rsid w:val="0025655D"/>
    <w:rsid w:val="00257A87"/>
    <w:rsid w:val="00257AB4"/>
    <w:rsid w:val="00260CB6"/>
    <w:rsid w:val="00261C43"/>
    <w:rsid w:val="0026619C"/>
    <w:rsid w:val="002672E9"/>
    <w:rsid w:val="00267DD7"/>
    <w:rsid w:val="002710E4"/>
    <w:rsid w:val="00273AB3"/>
    <w:rsid w:val="0027465F"/>
    <w:rsid w:val="002819D5"/>
    <w:rsid w:val="0028421D"/>
    <w:rsid w:val="0028553C"/>
    <w:rsid w:val="00293B1C"/>
    <w:rsid w:val="002966A9"/>
    <w:rsid w:val="00297A33"/>
    <w:rsid w:val="002A02BD"/>
    <w:rsid w:val="002A0676"/>
    <w:rsid w:val="002B1C7A"/>
    <w:rsid w:val="002B69D8"/>
    <w:rsid w:val="002C041B"/>
    <w:rsid w:val="002C0CE2"/>
    <w:rsid w:val="002C10CA"/>
    <w:rsid w:val="002C1592"/>
    <w:rsid w:val="002C1D87"/>
    <w:rsid w:val="002C418E"/>
    <w:rsid w:val="002C67C7"/>
    <w:rsid w:val="002C6F5C"/>
    <w:rsid w:val="002D0A84"/>
    <w:rsid w:val="002D1267"/>
    <w:rsid w:val="002D4317"/>
    <w:rsid w:val="002D4688"/>
    <w:rsid w:val="002D4F5B"/>
    <w:rsid w:val="002D580F"/>
    <w:rsid w:val="002D6470"/>
    <w:rsid w:val="002D6DEE"/>
    <w:rsid w:val="002D7A4D"/>
    <w:rsid w:val="002E026E"/>
    <w:rsid w:val="002E7729"/>
    <w:rsid w:val="002F08F2"/>
    <w:rsid w:val="002F223A"/>
    <w:rsid w:val="002F2FDA"/>
    <w:rsid w:val="002F59C0"/>
    <w:rsid w:val="0030318E"/>
    <w:rsid w:val="00304F41"/>
    <w:rsid w:val="0030621F"/>
    <w:rsid w:val="00306775"/>
    <w:rsid w:val="00306BAB"/>
    <w:rsid w:val="00314E5C"/>
    <w:rsid w:val="003224EA"/>
    <w:rsid w:val="00322CE7"/>
    <w:rsid w:val="00325430"/>
    <w:rsid w:val="00326329"/>
    <w:rsid w:val="003270AB"/>
    <w:rsid w:val="00327441"/>
    <w:rsid w:val="00327A88"/>
    <w:rsid w:val="0033049B"/>
    <w:rsid w:val="00331E67"/>
    <w:rsid w:val="00332320"/>
    <w:rsid w:val="003331A0"/>
    <w:rsid w:val="0033750F"/>
    <w:rsid w:val="00337C73"/>
    <w:rsid w:val="00342EA4"/>
    <w:rsid w:val="003455B8"/>
    <w:rsid w:val="00350E9F"/>
    <w:rsid w:val="00351878"/>
    <w:rsid w:val="0035635A"/>
    <w:rsid w:val="003639E4"/>
    <w:rsid w:val="00371662"/>
    <w:rsid w:val="003747E2"/>
    <w:rsid w:val="00374D9A"/>
    <w:rsid w:val="00382790"/>
    <w:rsid w:val="003831E5"/>
    <w:rsid w:val="0038400E"/>
    <w:rsid w:val="0038644A"/>
    <w:rsid w:val="0039234F"/>
    <w:rsid w:val="003933A9"/>
    <w:rsid w:val="00393422"/>
    <w:rsid w:val="00393BB0"/>
    <w:rsid w:val="00394FE4"/>
    <w:rsid w:val="00397E99"/>
    <w:rsid w:val="003A22BB"/>
    <w:rsid w:val="003B0D31"/>
    <w:rsid w:val="003B1164"/>
    <w:rsid w:val="003B286F"/>
    <w:rsid w:val="003C22E9"/>
    <w:rsid w:val="003C2315"/>
    <w:rsid w:val="003C2746"/>
    <w:rsid w:val="003C35E6"/>
    <w:rsid w:val="003C3DC6"/>
    <w:rsid w:val="003C451D"/>
    <w:rsid w:val="003C4B9F"/>
    <w:rsid w:val="003C6482"/>
    <w:rsid w:val="003D34FD"/>
    <w:rsid w:val="003D4C83"/>
    <w:rsid w:val="003D68D6"/>
    <w:rsid w:val="003D783F"/>
    <w:rsid w:val="003E49B4"/>
    <w:rsid w:val="003E4EA1"/>
    <w:rsid w:val="003F02F4"/>
    <w:rsid w:val="003F1FFE"/>
    <w:rsid w:val="003F2548"/>
    <w:rsid w:val="00401A3A"/>
    <w:rsid w:val="0040225A"/>
    <w:rsid w:val="00403234"/>
    <w:rsid w:val="004039D8"/>
    <w:rsid w:val="004052D0"/>
    <w:rsid w:val="00412FAE"/>
    <w:rsid w:val="00413F88"/>
    <w:rsid w:val="0041768C"/>
    <w:rsid w:val="00422C36"/>
    <w:rsid w:val="0042327A"/>
    <w:rsid w:val="00424B86"/>
    <w:rsid w:val="00424F8C"/>
    <w:rsid w:val="0042777A"/>
    <w:rsid w:val="00431772"/>
    <w:rsid w:val="00431846"/>
    <w:rsid w:val="00432B07"/>
    <w:rsid w:val="0043596C"/>
    <w:rsid w:val="00440B39"/>
    <w:rsid w:val="00442B0C"/>
    <w:rsid w:val="00445C3C"/>
    <w:rsid w:val="00446864"/>
    <w:rsid w:val="004503C9"/>
    <w:rsid w:val="0045427C"/>
    <w:rsid w:val="004563D0"/>
    <w:rsid w:val="00456EA8"/>
    <w:rsid w:val="0046051E"/>
    <w:rsid w:val="004638BD"/>
    <w:rsid w:val="00467140"/>
    <w:rsid w:val="00475DD1"/>
    <w:rsid w:val="00483ADC"/>
    <w:rsid w:val="0049323E"/>
    <w:rsid w:val="004943F9"/>
    <w:rsid w:val="0049528F"/>
    <w:rsid w:val="004957F7"/>
    <w:rsid w:val="004A248C"/>
    <w:rsid w:val="004A3FDE"/>
    <w:rsid w:val="004A5C5C"/>
    <w:rsid w:val="004A5CC0"/>
    <w:rsid w:val="004B021C"/>
    <w:rsid w:val="004B6029"/>
    <w:rsid w:val="004C3E87"/>
    <w:rsid w:val="004C4CDF"/>
    <w:rsid w:val="004C4F59"/>
    <w:rsid w:val="004C68A8"/>
    <w:rsid w:val="004C7224"/>
    <w:rsid w:val="004D1D85"/>
    <w:rsid w:val="004D749D"/>
    <w:rsid w:val="004E3BF4"/>
    <w:rsid w:val="004E4E61"/>
    <w:rsid w:val="004E58E9"/>
    <w:rsid w:val="004F2FF8"/>
    <w:rsid w:val="004F4022"/>
    <w:rsid w:val="004F5FC4"/>
    <w:rsid w:val="004F6F95"/>
    <w:rsid w:val="0050012E"/>
    <w:rsid w:val="0050252C"/>
    <w:rsid w:val="00502B9E"/>
    <w:rsid w:val="00504CB5"/>
    <w:rsid w:val="00507A84"/>
    <w:rsid w:val="005104D1"/>
    <w:rsid w:val="00510FC0"/>
    <w:rsid w:val="00514234"/>
    <w:rsid w:val="00520569"/>
    <w:rsid w:val="00521B34"/>
    <w:rsid w:val="0052254D"/>
    <w:rsid w:val="00523D22"/>
    <w:rsid w:val="00523D89"/>
    <w:rsid w:val="005343BA"/>
    <w:rsid w:val="00540157"/>
    <w:rsid w:val="005451E1"/>
    <w:rsid w:val="005455BF"/>
    <w:rsid w:val="0054707D"/>
    <w:rsid w:val="00550460"/>
    <w:rsid w:val="005514C4"/>
    <w:rsid w:val="00552CB1"/>
    <w:rsid w:val="00553A48"/>
    <w:rsid w:val="0055707F"/>
    <w:rsid w:val="005579C5"/>
    <w:rsid w:val="0056551F"/>
    <w:rsid w:val="00571B7E"/>
    <w:rsid w:val="0057265E"/>
    <w:rsid w:val="0057404A"/>
    <w:rsid w:val="00580FB3"/>
    <w:rsid w:val="005811C2"/>
    <w:rsid w:val="00581722"/>
    <w:rsid w:val="005847C2"/>
    <w:rsid w:val="005859A0"/>
    <w:rsid w:val="00586849"/>
    <w:rsid w:val="00586FDB"/>
    <w:rsid w:val="0059055E"/>
    <w:rsid w:val="00593916"/>
    <w:rsid w:val="005941A4"/>
    <w:rsid w:val="005A175A"/>
    <w:rsid w:val="005A5608"/>
    <w:rsid w:val="005A5C6E"/>
    <w:rsid w:val="005B020A"/>
    <w:rsid w:val="005B4D8C"/>
    <w:rsid w:val="005C5576"/>
    <w:rsid w:val="005C70F5"/>
    <w:rsid w:val="005C77CF"/>
    <w:rsid w:val="005D1C79"/>
    <w:rsid w:val="005D3276"/>
    <w:rsid w:val="005D4F70"/>
    <w:rsid w:val="005D514C"/>
    <w:rsid w:val="005D770D"/>
    <w:rsid w:val="005F0F20"/>
    <w:rsid w:val="005F100B"/>
    <w:rsid w:val="005F2918"/>
    <w:rsid w:val="005F7D00"/>
    <w:rsid w:val="0060156C"/>
    <w:rsid w:val="00602754"/>
    <w:rsid w:val="00603657"/>
    <w:rsid w:val="00607126"/>
    <w:rsid w:val="00607C12"/>
    <w:rsid w:val="00615408"/>
    <w:rsid w:val="0061746A"/>
    <w:rsid w:val="006253A9"/>
    <w:rsid w:val="00625BDE"/>
    <w:rsid w:val="0062605C"/>
    <w:rsid w:val="00630F95"/>
    <w:rsid w:val="00634633"/>
    <w:rsid w:val="00641C25"/>
    <w:rsid w:val="006431B1"/>
    <w:rsid w:val="0064367F"/>
    <w:rsid w:val="0064430D"/>
    <w:rsid w:val="00651132"/>
    <w:rsid w:val="0065153F"/>
    <w:rsid w:val="006572CA"/>
    <w:rsid w:val="006607D1"/>
    <w:rsid w:val="00664182"/>
    <w:rsid w:val="00670569"/>
    <w:rsid w:val="0067147D"/>
    <w:rsid w:val="00672471"/>
    <w:rsid w:val="00672B11"/>
    <w:rsid w:val="00676A5E"/>
    <w:rsid w:val="0068211D"/>
    <w:rsid w:val="00684DB2"/>
    <w:rsid w:val="00686025"/>
    <w:rsid w:val="006872AA"/>
    <w:rsid w:val="00691867"/>
    <w:rsid w:val="0069233A"/>
    <w:rsid w:val="006957C1"/>
    <w:rsid w:val="006A4B04"/>
    <w:rsid w:val="006B40E4"/>
    <w:rsid w:val="006B5137"/>
    <w:rsid w:val="006B60E0"/>
    <w:rsid w:val="006B6352"/>
    <w:rsid w:val="006B7A83"/>
    <w:rsid w:val="006C1458"/>
    <w:rsid w:val="006C5294"/>
    <w:rsid w:val="006D2963"/>
    <w:rsid w:val="006D3046"/>
    <w:rsid w:val="006D38FF"/>
    <w:rsid w:val="006D4A91"/>
    <w:rsid w:val="006D6EB6"/>
    <w:rsid w:val="006E0B4A"/>
    <w:rsid w:val="006E6D7C"/>
    <w:rsid w:val="006F07E8"/>
    <w:rsid w:val="006F10F3"/>
    <w:rsid w:val="006F2F03"/>
    <w:rsid w:val="00704067"/>
    <w:rsid w:val="00705EEF"/>
    <w:rsid w:val="007109B3"/>
    <w:rsid w:val="00710E1A"/>
    <w:rsid w:val="0071252D"/>
    <w:rsid w:val="00712E0B"/>
    <w:rsid w:val="00714404"/>
    <w:rsid w:val="00714962"/>
    <w:rsid w:val="00714F36"/>
    <w:rsid w:val="00715BEE"/>
    <w:rsid w:val="007258DA"/>
    <w:rsid w:val="00732BF1"/>
    <w:rsid w:val="00732F80"/>
    <w:rsid w:val="00740428"/>
    <w:rsid w:val="00741687"/>
    <w:rsid w:val="007438BD"/>
    <w:rsid w:val="007455DE"/>
    <w:rsid w:val="00746657"/>
    <w:rsid w:val="00746901"/>
    <w:rsid w:val="0075069C"/>
    <w:rsid w:val="00751654"/>
    <w:rsid w:val="0075635E"/>
    <w:rsid w:val="00756F8F"/>
    <w:rsid w:val="007619D4"/>
    <w:rsid w:val="0077053C"/>
    <w:rsid w:val="00771DC2"/>
    <w:rsid w:val="007759F6"/>
    <w:rsid w:val="00777216"/>
    <w:rsid w:val="00781475"/>
    <w:rsid w:val="007947A2"/>
    <w:rsid w:val="007A11EA"/>
    <w:rsid w:val="007B023C"/>
    <w:rsid w:val="007B35D7"/>
    <w:rsid w:val="007B5476"/>
    <w:rsid w:val="007B7B36"/>
    <w:rsid w:val="007C2D3D"/>
    <w:rsid w:val="007C34D0"/>
    <w:rsid w:val="007C4581"/>
    <w:rsid w:val="007C686C"/>
    <w:rsid w:val="007D54E3"/>
    <w:rsid w:val="007D5D34"/>
    <w:rsid w:val="007D7BA4"/>
    <w:rsid w:val="007E136A"/>
    <w:rsid w:val="007E1FE9"/>
    <w:rsid w:val="007E215C"/>
    <w:rsid w:val="007E499A"/>
    <w:rsid w:val="007E5BC9"/>
    <w:rsid w:val="007E64AE"/>
    <w:rsid w:val="007E6ECB"/>
    <w:rsid w:val="007F03CD"/>
    <w:rsid w:val="007F3F44"/>
    <w:rsid w:val="007F3F59"/>
    <w:rsid w:val="007F47D8"/>
    <w:rsid w:val="007F5F04"/>
    <w:rsid w:val="00800860"/>
    <w:rsid w:val="008027F8"/>
    <w:rsid w:val="008056E2"/>
    <w:rsid w:val="00812FDE"/>
    <w:rsid w:val="008219EC"/>
    <w:rsid w:val="008231DA"/>
    <w:rsid w:val="00825C1A"/>
    <w:rsid w:val="00826BDC"/>
    <w:rsid w:val="00827241"/>
    <w:rsid w:val="00837AAB"/>
    <w:rsid w:val="0085273E"/>
    <w:rsid w:val="008542F5"/>
    <w:rsid w:val="00854852"/>
    <w:rsid w:val="008548E3"/>
    <w:rsid w:val="0085619F"/>
    <w:rsid w:val="0086071B"/>
    <w:rsid w:val="008667C4"/>
    <w:rsid w:val="00880C28"/>
    <w:rsid w:val="008819AB"/>
    <w:rsid w:val="0088563C"/>
    <w:rsid w:val="00886C7A"/>
    <w:rsid w:val="008903F3"/>
    <w:rsid w:val="00890B11"/>
    <w:rsid w:val="0089218E"/>
    <w:rsid w:val="00893730"/>
    <w:rsid w:val="00895BB1"/>
    <w:rsid w:val="008A0BBA"/>
    <w:rsid w:val="008A2289"/>
    <w:rsid w:val="008A2ECE"/>
    <w:rsid w:val="008A4712"/>
    <w:rsid w:val="008A7389"/>
    <w:rsid w:val="008B077A"/>
    <w:rsid w:val="008B4D69"/>
    <w:rsid w:val="008B63A9"/>
    <w:rsid w:val="008C00F1"/>
    <w:rsid w:val="008C313C"/>
    <w:rsid w:val="008C33FA"/>
    <w:rsid w:val="008C3EE5"/>
    <w:rsid w:val="008C5669"/>
    <w:rsid w:val="008D1173"/>
    <w:rsid w:val="008D2C0A"/>
    <w:rsid w:val="008D2E0C"/>
    <w:rsid w:val="008D3FCD"/>
    <w:rsid w:val="008D3FD6"/>
    <w:rsid w:val="008D466A"/>
    <w:rsid w:val="008D5AFB"/>
    <w:rsid w:val="008D68B6"/>
    <w:rsid w:val="008E1512"/>
    <w:rsid w:val="008E78E5"/>
    <w:rsid w:val="008F28CB"/>
    <w:rsid w:val="008F6896"/>
    <w:rsid w:val="008F7E48"/>
    <w:rsid w:val="009002B6"/>
    <w:rsid w:val="00900FA2"/>
    <w:rsid w:val="009137A0"/>
    <w:rsid w:val="00915BEB"/>
    <w:rsid w:val="00915D8B"/>
    <w:rsid w:val="009171BA"/>
    <w:rsid w:val="00922608"/>
    <w:rsid w:val="0092404C"/>
    <w:rsid w:val="00925168"/>
    <w:rsid w:val="00926C65"/>
    <w:rsid w:val="00927202"/>
    <w:rsid w:val="0093160C"/>
    <w:rsid w:val="00934A7E"/>
    <w:rsid w:val="00935CF9"/>
    <w:rsid w:val="00936931"/>
    <w:rsid w:val="00937FF8"/>
    <w:rsid w:val="00941336"/>
    <w:rsid w:val="009437A8"/>
    <w:rsid w:val="009451C7"/>
    <w:rsid w:val="00946208"/>
    <w:rsid w:val="0095438F"/>
    <w:rsid w:val="0095705D"/>
    <w:rsid w:val="00962A66"/>
    <w:rsid w:val="00962B6B"/>
    <w:rsid w:val="00971137"/>
    <w:rsid w:val="009711AD"/>
    <w:rsid w:val="00974065"/>
    <w:rsid w:val="009760D0"/>
    <w:rsid w:val="009804CA"/>
    <w:rsid w:val="00982184"/>
    <w:rsid w:val="0098458B"/>
    <w:rsid w:val="00987265"/>
    <w:rsid w:val="00987EAD"/>
    <w:rsid w:val="009918C2"/>
    <w:rsid w:val="00994AC8"/>
    <w:rsid w:val="00996225"/>
    <w:rsid w:val="009A0E66"/>
    <w:rsid w:val="009A4143"/>
    <w:rsid w:val="009A43BA"/>
    <w:rsid w:val="009A56BC"/>
    <w:rsid w:val="009A711E"/>
    <w:rsid w:val="009B132E"/>
    <w:rsid w:val="009B5B9F"/>
    <w:rsid w:val="009C5042"/>
    <w:rsid w:val="009C5B4B"/>
    <w:rsid w:val="009D4A9D"/>
    <w:rsid w:val="009D59DC"/>
    <w:rsid w:val="009E2AF6"/>
    <w:rsid w:val="009E41ED"/>
    <w:rsid w:val="009E639B"/>
    <w:rsid w:val="009E6BC9"/>
    <w:rsid w:val="009E7E61"/>
    <w:rsid w:val="009F1457"/>
    <w:rsid w:val="009F2D55"/>
    <w:rsid w:val="009F3F57"/>
    <w:rsid w:val="009F48EE"/>
    <w:rsid w:val="009F5C39"/>
    <w:rsid w:val="009F65C5"/>
    <w:rsid w:val="00A00338"/>
    <w:rsid w:val="00A010D4"/>
    <w:rsid w:val="00A01178"/>
    <w:rsid w:val="00A01367"/>
    <w:rsid w:val="00A021C5"/>
    <w:rsid w:val="00A12C2F"/>
    <w:rsid w:val="00A12FB9"/>
    <w:rsid w:val="00A155FB"/>
    <w:rsid w:val="00A16F85"/>
    <w:rsid w:val="00A20139"/>
    <w:rsid w:val="00A217A6"/>
    <w:rsid w:val="00A23EA5"/>
    <w:rsid w:val="00A241E2"/>
    <w:rsid w:val="00A315BA"/>
    <w:rsid w:val="00A34F5A"/>
    <w:rsid w:val="00A37879"/>
    <w:rsid w:val="00A41FE7"/>
    <w:rsid w:val="00A4530E"/>
    <w:rsid w:val="00A465FF"/>
    <w:rsid w:val="00A468EE"/>
    <w:rsid w:val="00A54958"/>
    <w:rsid w:val="00A55E6A"/>
    <w:rsid w:val="00A562CC"/>
    <w:rsid w:val="00A61079"/>
    <w:rsid w:val="00A65328"/>
    <w:rsid w:val="00A654BA"/>
    <w:rsid w:val="00A72159"/>
    <w:rsid w:val="00A72205"/>
    <w:rsid w:val="00A75C37"/>
    <w:rsid w:val="00A81DC2"/>
    <w:rsid w:val="00A822ED"/>
    <w:rsid w:val="00A83B7E"/>
    <w:rsid w:val="00A92D02"/>
    <w:rsid w:val="00A968C7"/>
    <w:rsid w:val="00A97334"/>
    <w:rsid w:val="00AA1067"/>
    <w:rsid w:val="00AA4CD3"/>
    <w:rsid w:val="00AA646C"/>
    <w:rsid w:val="00AB16EC"/>
    <w:rsid w:val="00AB2A44"/>
    <w:rsid w:val="00AB4423"/>
    <w:rsid w:val="00AB4479"/>
    <w:rsid w:val="00AB4D50"/>
    <w:rsid w:val="00AB4F88"/>
    <w:rsid w:val="00AC260C"/>
    <w:rsid w:val="00AC2FA9"/>
    <w:rsid w:val="00AC4C32"/>
    <w:rsid w:val="00AC4EEB"/>
    <w:rsid w:val="00AC7207"/>
    <w:rsid w:val="00AD3F98"/>
    <w:rsid w:val="00AD70AE"/>
    <w:rsid w:val="00AE01C8"/>
    <w:rsid w:val="00AE03D9"/>
    <w:rsid w:val="00AE09A0"/>
    <w:rsid w:val="00AE72C4"/>
    <w:rsid w:val="00AE736E"/>
    <w:rsid w:val="00AF5D32"/>
    <w:rsid w:val="00AF7A3D"/>
    <w:rsid w:val="00B01604"/>
    <w:rsid w:val="00B02BCC"/>
    <w:rsid w:val="00B04FCB"/>
    <w:rsid w:val="00B13EFA"/>
    <w:rsid w:val="00B15208"/>
    <w:rsid w:val="00B15705"/>
    <w:rsid w:val="00B16219"/>
    <w:rsid w:val="00B165EE"/>
    <w:rsid w:val="00B1714F"/>
    <w:rsid w:val="00B23410"/>
    <w:rsid w:val="00B263E3"/>
    <w:rsid w:val="00B26535"/>
    <w:rsid w:val="00B272C3"/>
    <w:rsid w:val="00B30E4A"/>
    <w:rsid w:val="00B34F9D"/>
    <w:rsid w:val="00B40BB9"/>
    <w:rsid w:val="00B40EAC"/>
    <w:rsid w:val="00B43E0A"/>
    <w:rsid w:val="00B57EA2"/>
    <w:rsid w:val="00B61CCA"/>
    <w:rsid w:val="00B62E25"/>
    <w:rsid w:val="00B64B56"/>
    <w:rsid w:val="00B65FD0"/>
    <w:rsid w:val="00B6695B"/>
    <w:rsid w:val="00B76CD4"/>
    <w:rsid w:val="00B83497"/>
    <w:rsid w:val="00B835B8"/>
    <w:rsid w:val="00B835EB"/>
    <w:rsid w:val="00B84A1F"/>
    <w:rsid w:val="00B8550E"/>
    <w:rsid w:val="00B85997"/>
    <w:rsid w:val="00B86D56"/>
    <w:rsid w:val="00B87B93"/>
    <w:rsid w:val="00B92B04"/>
    <w:rsid w:val="00B948D9"/>
    <w:rsid w:val="00B97A1C"/>
    <w:rsid w:val="00BA617F"/>
    <w:rsid w:val="00BA620F"/>
    <w:rsid w:val="00BA7D99"/>
    <w:rsid w:val="00BB0D8E"/>
    <w:rsid w:val="00BB1B68"/>
    <w:rsid w:val="00BB2CCE"/>
    <w:rsid w:val="00BB7517"/>
    <w:rsid w:val="00BC1667"/>
    <w:rsid w:val="00BC3C38"/>
    <w:rsid w:val="00BC6C5C"/>
    <w:rsid w:val="00BD146F"/>
    <w:rsid w:val="00BD2046"/>
    <w:rsid w:val="00BD33C8"/>
    <w:rsid w:val="00BD6391"/>
    <w:rsid w:val="00BD687F"/>
    <w:rsid w:val="00BE3475"/>
    <w:rsid w:val="00BE3482"/>
    <w:rsid w:val="00BE38C2"/>
    <w:rsid w:val="00BF08FD"/>
    <w:rsid w:val="00BF4482"/>
    <w:rsid w:val="00BF7F9A"/>
    <w:rsid w:val="00C03E24"/>
    <w:rsid w:val="00C14068"/>
    <w:rsid w:val="00C1440A"/>
    <w:rsid w:val="00C14839"/>
    <w:rsid w:val="00C16B95"/>
    <w:rsid w:val="00C20281"/>
    <w:rsid w:val="00C20CA8"/>
    <w:rsid w:val="00C22066"/>
    <w:rsid w:val="00C24516"/>
    <w:rsid w:val="00C273FF"/>
    <w:rsid w:val="00C30B8E"/>
    <w:rsid w:val="00C31F4B"/>
    <w:rsid w:val="00C33650"/>
    <w:rsid w:val="00C3708D"/>
    <w:rsid w:val="00C420BE"/>
    <w:rsid w:val="00C42418"/>
    <w:rsid w:val="00C432F3"/>
    <w:rsid w:val="00C46A4A"/>
    <w:rsid w:val="00C503FA"/>
    <w:rsid w:val="00C5419A"/>
    <w:rsid w:val="00C649B6"/>
    <w:rsid w:val="00C65D72"/>
    <w:rsid w:val="00C679B6"/>
    <w:rsid w:val="00C67E64"/>
    <w:rsid w:val="00C7002D"/>
    <w:rsid w:val="00C724B7"/>
    <w:rsid w:val="00C72D26"/>
    <w:rsid w:val="00C76022"/>
    <w:rsid w:val="00C77CB3"/>
    <w:rsid w:val="00C81848"/>
    <w:rsid w:val="00C825CF"/>
    <w:rsid w:val="00C8305E"/>
    <w:rsid w:val="00C83B27"/>
    <w:rsid w:val="00C8446B"/>
    <w:rsid w:val="00C84EBE"/>
    <w:rsid w:val="00C9074A"/>
    <w:rsid w:val="00C940F9"/>
    <w:rsid w:val="00C94796"/>
    <w:rsid w:val="00CA13C9"/>
    <w:rsid w:val="00CA1B18"/>
    <w:rsid w:val="00CA2181"/>
    <w:rsid w:val="00CA2CF7"/>
    <w:rsid w:val="00CA3054"/>
    <w:rsid w:val="00CA3AD2"/>
    <w:rsid w:val="00CA44BA"/>
    <w:rsid w:val="00CA752D"/>
    <w:rsid w:val="00CB052C"/>
    <w:rsid w:val="00CB42A4"/>
    <w:rsid w:val="00CB6FBB"/>
    <w:rsid w:val="00CC328E"/>
    <w:rsid w:val="00CC5BE2"/>
    <w:rsid w:val="00CD176E"/>
    <w:rsid w:val="00CD48A5"/>
    <w:rsid w:val="00CD5EFD"/>
    <w:rsid w:val="00CE1F16"/>
    <w:rsid w:val="00CE704C"/>
    <w:rsid w:val="00CF0474"/>
    <w:rsid w:val="00CF0E0F"/>
    <w:rsid w:val="00D00A46"/>
    <w:rsid w:val="00D00B6A"/>
    <w:rsid w:val="00D013FA"/>
    <w:rsid w:val="00D06D94"/>
    <w:rsid w:val="00D13161"/>
    <w:rsid w:val="00D13CDB"/>
    <w:rsid w:val="00D20DE7"/>
    <w:rsid w:val="00D243EA"/>
    <w:rsid w:val="00D2569F"/>
    <w:rsid w:val="00D32A49"/>
    <w:rsid w:val="00D34B96"/>
    <w:rsid w:val="00D362E0"/>
    <w:rsid w:val="00D40FD8"/>
    <w:rsid w:val="00D42511"/>
    <w:rsid w:val="00D42B10"/>
    <w:rsid w:val="00D42D1C"/>
    <w:rsid w:val="00D43175"/>
    <w:rsid w:val="00D47E27"/>
    <w:rsid w:val="00D52498"/>
    <w:rsid w:val="00D53C97"/>
    <w:rsid w:val="00D5473E"/>
    <w:rsid w:val="00D5489D"/>
    <w:rsid w:val="00D54FB1"/>
    <w:rsid w:val="00D622BC"/>
    <w:rsid w:val="00D62AE8"/>
    <w:rsid w:val="00D64DE3"/>
    <w:rsid w:val="00D66907"/>
    <w:rsid w:val="00D671FF"/>
    <w:rsid w:val="00D76B62"/>
    <w:rsid w:val="00D87DB0"/>
    <w:rsid w:val="00DA25B1"/>
    <w:rsid w:val="00DA38D1"/>
    <w:rsid w:val="00DA3DA5"/>
    <w:rsid w:val="00DA5740"/>
    <w:rsid w:val="00DA5FA4"/>
    <w:rsid w:val="00DA7AE8"/>
    <w:rsid w:val="00DB1222"/>
    <w:rsid w:val="00DB6C81"/>
    <w:rsid w:val="00DB6E25"/>
    <w:rsid w:val="00DB6FD8"/>
    <w:rsid w:val="00DC1822"/>
    <w:rsid w:val="00DC3C77"/>
    <w:rsid w:val="00DD77F0"/>
    <w:rsid w:val="00DD7A54"/>
    <w:rsid w:val="00DE1EB8"/>
    <w:rsid w:val="00DE1FA6"/>
    <w:rsid w:val="00DF47D9"/>
    <w:rsid w:val="00DF7B63"/>
    <w:rsid w:val="00DF7D3A"/>
    <w:rsid w:val="00DF7F1B"/>
    <w:rsid w:val="00E000F9"/>
    <w:rsid w:val="00E00F9E"/>
    <w:rsid w:val="00E04349"/>
    <w:rsid w:val="00E07C3D"/>
    <w:rsid w:val="00E100C1"/>
    <w:rsid w:val="00E12869"/>
    <w:rsid w:val="00E134AA"/>
    <w:rsid w:val="00E1392E"/>
    <w:rsid w:val="00E23642"/>
    <w:rsid w:val="00E257C7"/>
    <w:rsid w:val="00E25D48"/>
    <w:rsid w:val="00E323CA"/>
    <w:rsid w:val="00E329B0"/>
    <w:rsid w:val="00E41461"/>
    <w:rsid w:val="00E41644"/>
    <w:rsid w:val="00E450B8"/>
    <w:rsid w:val="00E545E6"/>
    <w:rsid w:val="00E551D1"/>
    <w:rsid w:val="00E567A1"/>
    <w:rsid w:val="00E572A6"/>
    <w:rsid w:val="00E61209"/>
    <w:rsid w:val="00E67D05"/>
    <w:rsid w:val="00E72F76"/>
    <w:rsid w:val="00E7487A"/>
    <w:rsid w:val="00E74F5F"/>
    <w:rsid w:val="00E84EC7"/>
    <w:rsid w:val="00E85FF3"/>
    <w:rsid w:val="00E87983"/>
    <w:rsid w:val="00E87D88"/>
    <w:rsid w:val="00E9524A"/>
    <w:rsid w:val="00EA1938"/>
    <w:rsid w:val="00EA2BDB"/>
    <w:rsid w:val="00EA4D44"/>
    <w:rsid w:val="00EA5BFE"/>
    <w:rsid w:val="00EB3AF1"/>
    <w:rsid w:val="00EB4E2D"/>
    <w:rsid w:val="00EB51B8"/>
    <w:rsid w:val="00EB5256"/>
    <w:rsid w:val="00EB5C52"/>
    <w:rsid w:val="00EC059F"/>
    <w:rsid w:val="00EC5615"/>
    <w:rsid w:val="00EC5873"/>
    <w:rsid w:val="00EC7151"/>
    <w:rsid w:val="00ED0A50"/>
    <w:rsid w:val="00ED3E53"/>
    <w:rsid w:val="00ED69F3"/>
    <w:rsid w:val="00EE1E14"/>
    <w:rsid w:val="00EE301C"/>
    <w:rsid w:val="00EE5538"/>
    <w:rsid w:val="00EE5EBA"/>
    <w:rsid w:val="00EF0609"/>
    <w:rsid w:val="00EF15D2"/>
    <w:rsid w:val="00EF62E9"/>
    <w:rsid w:val="00EF7E83"/>
    <w:rsid w:val="00F00B9D"/>
    <w:rsid w:val="00F07B6C"/>
    <w:rsid w:val="00F12766"/>
    <w:rsid w:val="00F1755F"/>
    <w:rsid w:val="00F175BE"/>
    <w:rsid w:val="00F2178E"/>
    <w:rsid w:val="00F30B84"/>
    <w:rsid w:val="00F319D9"/>
    <w:rsid w:val="00F40138"/>
    <w:rsid w:val="00F40D27"/>
    <w:rsid w:val="00F426BA"/>
    <w:rsid w:val="00F44A2C"/>
    <w:rsid w:val="00F53329"/>
    <w:rsid w:val="00F55B11"/>
    <w:rsid w:val="00F55FDF"/>
    <w:rsid w:val="00F60C3A"/>
    <w:rsid w:val="00F61607"/>
    <w:rsid w:val="00F616A8"/>
    <w:rsid w:val="00F62B3B"/>
    <w:rsid w:val="00F662C6"/>
    <w:rsid w:val="00F72746"/>
    <w:rsid w:val="00F727EA"/>
    <w:rsid w:val="00F73334"/>
    <w:rsid w:val="00F74503"/>
    <w:rsid w:val="00F84F70"/>
    <w:rsid w:val="00F86403"/>
    <w:rsid w:val="00F938A1"/>
    <w:rsid w:val="00F95E32"/>
    <w:rsid w:val="00FA26AB"/>
    <w:rsid w:val="00FA58B8"/>
    <w:rsid w:val="00FA6264"/>
    <w:rsid w:val="00FA79FC"/>
    <w:rsid w:val="00FA7B4F"/>
    <w:rsid w:val="00FB5475"/>
    <w:rsid w:val="00FB6289"/>
    <w:rsid w:val="00FB6743"/>
    <w:rsid w:val="00FB7996"/>
    <w:rsid w:val="00FC1214"/>
    <w:rsid w:val="00FC3029"/>
    <w:rsid w:val="00FC63E0"/>
    <w:rsid w:val="00FC6DE5"/>
    <w:rsid w:val="00FD05A7"/>
    <w:rsid w:val="00FD06B2"/>
    <w:rsid w:val="00FD2145"/>
    <w:rsid w:val="00FD231C"/>
    <w:rsid w:val="00FD2BFB"/>
    <w:rsid w:val="00FD3CF9"/>
    <w:rsid w:val="00FD58A6"/>
    <w:rsid w:val="00FE1184"/>
    <w:rsid w:val="00FE4254"/>
    <w:rsid w:val="00FE50F7"/>
    <w:rsid w:val="00FE606B"/>
    <w:rsid w:val="00FF158F"/>
    <w:rsid w:val="00FF6F0F"/>
    <w:rsid w:val="1CD83E36"/>
    <w:rsid w:val="3EF73987"/>
    <w:rsid w:val="54937204"/>
    <w:rsid w:val="55ACB4FA"/>
    <w:rsid w:val="6F38B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131A44"/>
  <w14:defaultImageDpi w14:val="96"/>
  <w15:docId w15:val="{58786373-D478-4C28-9A6A-0EC84904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3FF"/>
    <w:p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styleId="Heading1">
    <w:name w:val="heading 1"/>
    <w:basedOn w:val="HeadingBase"/>
    <w:next w:val="Normal"/>
    <w:link w:val="Heading1Char"/>
    <w:qFormat/>
    <w:rsid w:val="0012790E"/>
    <w:pPr>
      <w:spacing w:after="240"/>
      <w:outlineLvl w:val="0"/>
    </w:pPr>
    <w:rPr>
      <w:b/>
      <w:kern w:val="28"/>
      <w:sz w:val="36"/>
    </w:rPr>
  </w:style>
  <w:style w:type="paragraph" w:styleId="Heading2">
    <w:name w:val="heading 2"/>
    <w:basedOn w:val="HeadingBase"/>
    <w:next w:val="Normal"/>
    <w:link w:val="Heading2Char"/>
    <w:qFormat/>
    <w:rsid w:val="0012790E"/>
    <w:pPr>
      <w:keepNext/>
      <w:spacing w:before="240" w:after="240"/>
      <w:outlineLvl w:val="1"/>
    </w:pPr>
    <w:rPr>
      <w:b/>
      <w:color w:val="000000"/>
      <w:sz w:val="26"/>
    </w:rPr>
  </w:style>
  <w:style w:type="paragraph" w:styleId="Heading3">
    <w:name w:val="heading 3"/>
    <w:basedOn w:val="HeadingBase"/>
    <w:next w:val="Normal"/>
    <w:link w:val="Heading3Char"/>
    <w:qFormat/>
    <w:rsid w:val="0012790E"/>
    <w:pPr>
      <w:keepNext/>
      <w:spacing w:before="120" w:after="120"/>
      <w:outlineLvl w:val="2"/>
    </w:pPr>
    <w:rPr>
      <w:rFonts w:ascii="Arial Bold" w:hAnsi="Arial Bold"/>
      <w:b/>
      <w:color w:val="000000"/>
      <w:sz w:val="22"/>
    </w:rPr>
  </w:style>
  <w:style w:type="paragraph" w:styleId="Heading4">
    <w:name w:val="heading 4"/>
    <w:basedOn w:val="HeadingBase"/>
    <w:next w:val="Normal"/>
    <w:link w:val="Heading4Char"/>
    <w:qFormat/>
    <w:rsid w:val="0012790E"/>
    <w:pPr>
      <w:keepNext/>
      <w:spacing w:before="120" w:after="120"/>
      <w:outlineLvl w:val="3"/>
    </w:pPr>
    <w:rPr>
      <w:b/>
      <w:color w:val="000000"/>
      <w:sz w:val="22"/>
    </w:rPr>
  </w:style>
  <w:style w:type="paragraph" w:styleId="Heading5">
    <w:name w:val="heading 5"/>
    <w:basedOn w:val="HeadingBase"/>
    <w:next w:val="Normal"/>
    <w:link w:val="Heading5Char"/>
    <w:qFormat/>
    <w:rsid w:val="0012790E"/>
    <w:pPr>
      <w:keepNext/>
      <w:spacing w:before="240" w:after="120"/>
      <w:outlineLvl w:val="4"/>
    </w:pPr>
    <w:rPr>
      <w:b/>
      <w:color w:val="000000"/>
      <w:sz w:val="20"/>
    </w:rPr>
  </w:style>
  <w:style w:type="paragraph" w:styleId="Heading6">
    <w:name w:val="heading 6"/>
    <w:basedOn w:val="HeadingBase"/>
    <w:next w:val="Normal"/>
    <w:link w:val="Heading6Char"/>
    <w:qFormat/>
    <w:rsid w:val="0012790E"/>
    <w:pPr>
      <w:keepNext/>
      <w:spacing w:after="120"/>
      <w:outlineLvl w:val="5"/>
    </w:pPr>
    <w:rPr>
      <w:color w:val="000000"/>
      <w:sz w:val="20"/>
    </w:rPr>
  </w:style>
  <w:style w:type="paragraph" w:styleId="Heading7">
    <w:name w:val="heading 7"/>
    <w:basedOn w:val="HeadingBase"/>
    <w:next w:val="Normal"/>
    <w:link w:val="Heading7Char"/>
    <w:qFormat/>
    <w:rsid w:val="0012790E"/>
    <w:pPr>
      <w:spacing w:after="100"/>
      <w:outlineLvl w:val="6"/>
    </w:pPr>
    <w:rPr>
      <w:color w:val="000000"/>
      <w:sz w:val="18"/>
    </w:rPr>
  </w:style>
  <w:style w:type="paragraph" w:styleId="Heading8">
    <w:name w:val="heading 8"/>
    <w:basedOn w:val="Normal"/>
    <w:next w:val="Normal"/>
    <w:link w:val="Heading8Char"/>
    <w:qFormat/>
    <w:rsid w:val="0012790E"/>
    <w:pPr>
      <w:keepLines/>
      <w:autoSpaceDE/>
      <w:autoSpaceDN/>
      <w:adjustRightInd/>
      <w:spacing w:before="240" w:after="60" w:line="260" w:lineRule="exact"/>
      <w:jc w:val="both"/>
      <w:outlineLvl w:val="7"/>
    </w:pPr>
    <w:rPr>
      <w:rFonts w:cs="Times New Roman"/>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12790E"/>
    <w:pPr>
      <w:widowControl w:val="0"/>
      <w:tabs>
        <w:tab w:val="center" w:pos="3854"/>
      </w:tabs>
    </w:pPr>
  </w:style>
  <w:style w:type="character" w:customStyle="1" w:styleId="Heading1Char">
    <w:name w:val="Heading 1 Char"/>
    <w:link w:val="Heading1"/>
    <w:rsid w:val="0012790E"/>
    <w:rPr>
      <w:rFonts w:ascii="Arial" w:eastAsia="Times New Roman" w:hAnsi="Arial" w:cs="Times New Roman"/>
      <w:b/>
      <w:kern w:val="28"/>
      <w:sz w:val="36"/>
      <w:szCs w:val="20"/>
      <w14:ligatures w14:val="none"/>
    </w:rPr>
  </w:style>
  <w:style w:type="character" w:customStyle="1" w:styleId="Heading2Char">
    <w:name w:val="Heading 2 Char"/>
    <w:link w:val="Heading2"/>
    <w:rsid w:val="0012790E"/>
    <w:rPr>
      <w:rFonts w:ascii="Arial" w:eastAsia="Times New Roman" w:hAnsi="Arial" w:cs="Times New Roman"/>
      <w:b/>
      <w:color w:val="000000"/>
      <w:kern w:val="0"/>
      <w:sz w:val="26"/>
      <w:szCs w:val="20"/>
      <w14:ligatures w14:val="none"/>
    </w:rPr>
  </w:style>
  <w:style w:type="character" w:customStyle="1" w:styleId="Heading3Char">
    <w:name w:val="Heading 3 Char"/>
    <w:link w:val="Heading3"/>
    <w:rsid w:val="0012790E"/>
    <w:rPr>
      <w:rFonts w:ascii="Arial Bold" w:eastAsia="Times New Roman" w:hAnsi="Arial Bold" w:cs="Times New Roman"/>
      <w:b/>
      <w:color w:val="000000"/>
      <w:kern w:val="0"/>
      <w:szCs w:val="20"/>
      <w14:ligatures w14:val="none"/>
    </w:rPr>
  </w:style>
  <w:style w:type="character" w:customStyle="1" w:styleId="Heading4Char">
    <w:name w:val="Heading 4 Char"/>
    <w:link w:val="Heading4"/>
    <w:rsid w:val="0012790E"/>
    <w:rPr>
      <w:rFonts w:ascii="Arial" w:eastAsia="Times New Roman" w:hAnsi="Arial" w:cs="Times New Roman"/>
      <w:b/>
      <w:color w:val="000000"/>
      <w:kern w:val="0"/>
      <w:szCs w:val="20"/>
      <w14:ligatures w14:val="none"/>
    </w:rPr>
  </w:style>
  <w:style w:type="character" w:customStyle="1" w:styleId="Heading5Char">
    <w:name w:val="Heading 5 Char"/>
    <w:link w:val="Heading5"/>
    <w:rsid w:val="0012790E"/>
    <w:rPr>
      <w:rFonts w:ascii="Arial" w:eastAsia="Times New Roman" w:hAnsi="Arial" w:cs="Times New Roman"/>
      <w:b/>
      <w:color w:val="000000"/>
      <w:kern w:val="0"/>
      <w:sz w:val="20"/>
      <w:szCs w:val="20"/>
      <w14:ligatures w14:val="none"/>
    </w:rPr>
  </w:style>
  <w:style w:type="character" w:customStyle="1" w:styleId="Heading6Char">
    <w:name w:val="Heading 6 Char"/>
    <w:link w:val="Heading6"/>
    <w:rsid w:val="0012790E"/>
    <w:rPr>
      <w:rFonts w:ascii="Arial" w:eastAsia="Times New Roman" w:hAnsi="Arial" w:cs="Times New Roman"/>
      <w:color w:val="000000"/>
      <w:kern w:val="0"/>
      <w:sz w:val="20"/>
      <w:szCs w:val="20"/>
      <w14:ligatures w14:val="none"/>
    </w:rPr>
  </w:style>
  <w:style w:type="character" w:customStyle="1" w:styleId="Heading7Char">
    <w:name w:val="Heading 7 Char"/>
    <w:link w:val="Heading7"/>
    <w:rsid w:val="0012790E"/>
    <w:rPr>
      <w:rFonts w:ascii="Arial" w:eastAsia="Times New Roman" w:hAnsi="Arial" w:cs="Times New Roman"/>
      <w:color w:val="000000"/>
      <w:kern w:val="0"/>
      <w:sz w:val="18"/>
      <w:szCs w:val="20"/>
      <w14:ligatures w14:val="none"/>
    </w:rPr>
  </w:style>
  <w:style w:type="character" w:customStyle="1" w:styleId="Heading8Char">
    <w:name w:val="Heading 8 Char"/>
    <w:link w:val="Heading8"/>
    <w:rsid w:val="0012790E"/>
    <w:rPr>
      <w:rFonts w:ascii="Arial" w:eastAsia="Times New Roman" w:hAnsi="Arial" w:cs="Times New Roman"/>
      <w:i/>
      <w:kern w:val="0"/>
      <w:sz w:val="20"/>
      <w:szCs w:val="20"/>
      <w14:ligatures w14:val="none"/>
    </w:rPr>
  </w:style>
  <w:style w:type="paragraph" w:customStyle="1" w:styleId="BoxHeading">
    <w:name w:val="Box Heading"/>
    <w:basedOn w:val="HeadingBase"/>
    <w:next w:val="Normal"/>
    <w:rsid w:val="0012790E"/>
    <w:pPr>
      <w:spacing w:before="240" w:after="120"/>
    </w:pPr>
    <w:rPr>
      <w:rFonts w:ascii="Arial Bold" w:hAnsi="Arial Bold"/>
      <w:b/>
      <w:sz w:val="20"/>
    </w:rPr>
  </w:style>
  <w:style w:type="paragraph" w:customStyle="1" w:styleId="HeaderBase">
    <w:name w:val="Header Base"/>
    <w:rsid w:val="0012790E"/>
    <w:pPr>
      <w:spacing w:after="0" w:line="240" w:lineRule="auto"/>
    </w:pPr>
    <w:rPr>
      <w:rFonts w:ascii="Arial" w:eastAsia="Times New Roman" w:hAnsi="Arial" w:cs="Times New Roman"/>
      <w:color w:val="002B54"/>
      <w:kern w:val="0"/>
      <w:sz w:val="18"/>
      <w:szCs w:val="20"/>
      <w14:ligatures w14:val="none"/>
    </w:rPr>
  </w:style>
  <w:style w:type="paragraph" w:customStyle="1" w:styleId="FooterBase">
    <w:name w:val="Footer Base"/>
    <w:rsid w:val="0012790E"/>
    <w:pPr>
      <w:spacing w:after="0" w:line="240" w:lineRule="auto"/>
    </w:pPr>
    <w:rPr>
      <w:rFonts w:ascii="Arial" w:eastAsia="Times New Roman" w:hAnsi="Arial" w:cs="Times New Roman"/>
      <w:color w:val="002B54"/>
      <w:kern w:val="0"/>
      <w:sz w:val="18"/>
      <w:szCs w:val="20"/>
      <w14:ligatures w14:val="none"/>
    </w:rPr>
  </w:style>
  <w:style w:type="paragraph" w:customStyle="1" w:styleId="HeadingBase">
    <w:name w:val="Heading Base"/>
    <w:rsid w:val="0012790E"/>
    <w:pPr>
      <w:spacing w:after="0" w:line="240" w:lineRule="auto"/>
    </w:pPr>
    <w:rPr>
      <w:rFonts w:ascii="Arial" w:eastAsia="Times New Roman" w:hAnsi="Arial" w:cs="Times New Roman"/>
      <w:kern w:val="0"/>
      <w:sz w:val="24"/>
      <w:szCs w:val="20"/>
      <w14:ligatures w14:val="none"/>
    </w:rPr>
  </w:style>
  <w:style w:type="paragraph" w:customStyle="1" w:styleId="ChartandTableFootnote">
    <w:name w:val="Chart and Table Footnote"/>
    <w:basedOn w:val="HeadingBase"/>
    <w:next w:val="Normal"/>
    <w:rsid w:val="0012790E"/>
    <w:pPr>
      <w:ind w:left="283" w:hanging="283"/>
      <w:jc w:val="both"/>
    </w:pPr>
    <w:rPr>
      <w:color w:val="000000"/>
      <w:sz w:val="16"/>
    </w:rPr>
  </w:style>
  <w:style w:type="paragraph" w:customStyle="1" w:styleId="ChartGraphic">
    <w:name w:val="Chart Graphic"/>
    <w:basedOn w:val="HeadingBase"/>
    <w:next w:val="Normal"/>
    <w:rsid w:val="0012790E"/>
    <w:pPr>
      <w:jc w:val="center"/>
    </w:pPr>
    <w:rPr>
      <w:color w:val="000000"/>
      <w:sz w:val="20"/>
    </w:rPr>
  </w:style>
  <w:style w:type="paragraph" w:customStyle="1" w:styleId="ChartHeading">
    <w:name w:val="Chart Heading"/>
    <w:basedOn w:val="HeadingBase"/>
    <w:next w:val="ChartGraphic"/>
    <w:rsid w:val="0012790E"/>
    <w:pPr>
      <w:keepNext/>
      <w:spacing w:before="120"/>
      <w:jc w:val="center"/>
    </w:pPr>
    <w:rPr>
      <w:b/>
      <w:color w:val="000000"/>
      <w:sz w:val="20"/>
    </w:rPr>
  </w:style>
  <w:style w:type="paragraph" w:customStyle="1" w:styleId="ChartSecondHeading">
    <w:name w:val="Chart Second Heading"/>
    <w:basedOn w:val="ChartHeading"/>
    <w:next w:val="ChartGraphic"/>
    <w:rsid w:val="0012790E"/>
    <w:pPr>
      <w:spacing w:before="60"/>
    </w:pPr>
    <w:rPr>
      <w:b w:val="0"/>
    </w:rPr>
  </w:style>
  <w:style w:type="paragraph" w:customStyle="1" w:styleId="Classification">
    <w:name w:val="Classification"/>
    <w:basedOn w:val="HeadingBase"/>
    <w:rsid w:val="0012790E"/>
    <w:pPr>
      <w:jc w:val="center"/>
    </w:pPr>
    <w:rPr>
      <w:rFonts w:ascii="Arial Bold" w:hAnsi="Arial Bold"/>
      <w:b/>
      <w:caps/>
      <w:color w:val="000000"/>
    </w:rPr>
  </w:style>
  <w:style w:type="paragraph" w:customStyle="1" w:styleId="ContentsHeading">
    <w:name w:val="Contents Heading"/>
    <w:basedOn w:val="HeadingBase"/>
    <w:next w:val="Normal"/>
    <w:rsid w:val="0012790E"/>
    <w:pPr>
      <w:spacing w:after="720"/>
      <w:jc w:val="center"/>
    </w:pPr>
    <w:rPr>
      <w:rFonts w:ascii="Arial Bold" w:hAnsi="Arial Bold"/>
      <w:b/>
      <w:sz w:val="36"/>
      <w:lang w:val="en-US"/>
    </w:rPr>
  </w:style>
  <w:style w:type="paragraph" w:customStyle="1" w:styleId="ContentsSecondHeading">
    <w:name w:val="Contents Second Heading"/>
    <w:basedOn w:val="HeadingBase"/>
    <w:next w:val="Normal"/>
    <w:rsid w:val="0012790E"/>
    <w:pPr>
      <w:spacing w:after="360"/>
      <w:jc w:val="center"/>
    </w:pPr>
    <w:rPr>
      <w:color w:val="000000"/>
      <w:sz w:val="30"/>
    </w:rPr>
  </w:style>
  <w:style w:type="paragraph" w:styleId="Footer">
    <w:name w:val="footer"/>
    <w:basedOn w:val="FooterBase"/>
    <w:link w:val="FooterChar"/>
    <w:rsid w:val="0012790E"/>
    <w:pPr>
      <w:jc w:val="center"/>
    </w:pPr>
    <w:rPr>
      <w:color w:val="000000"/>
    </w:rPr>
  </w:style>
  <w:style w:type="character" w:customStyle="1" w:styleId="FooterChar">
    <w:name w:val="Footer Char"/>
    <w:link w:val="Footer"/>
    <w:rsid w:val="0012790E"/>
    <w:rPr>
      <w:rFonts w:ascii="Arial" w:eastAsia="Times New Roman" w:hAnsi="Arial" w:cs="Times New Roman"/>
      <w:color w:val="000000"/>
      <w:kern w:val="0"/>
      <w:sz w:val="18"/>
      <w:szCs w:val="20"/>
      <w14:ligatures w14:val="none"/>
    </w:rPr>
  </w:style>
  <w:style w:type="character" w:styleId="FootnoteReference">
    <w:name w:val="footnote reference"/>
    <w:semiHidden/>
    <w:rsid w:val="0012790E"/>
    <w:rPr>
      <w:rFonts w:ascii="Book Antiqua" w:hAnsi="Book Antiqua"/>
      <w:noProof w:val="0"/>
      <w:sz w:val="20"/>
      <w:vertAlign w:val="superscript"/>
      <w:lang w:val="en-AU"/>
    </w:rPr>
  </w:style>
  <w:style w:type="paragraph" w:styleId="FootnoteText">
    <w:name w:val="footnote text"/>
    <w:basedOn w:val="Normal"/>
    <w:link w:val="FootnoteTextChar"/>
    <w:semiHidden/>
    <w:rsid w:val="0012790E"/>
    <w:pPr>
      <w:keepLines/>
      <w:tabs>
        <w:tab w:val="left" w:pos="283"/>
      </w:tabs>
      <w:autoSpaceDE/>
      <w:autoSpaceDN/>
      <w:adjustRightInd/>
      <w:ind w:left="284" w:hanging="284"/>
      <w:jc w:val="both"/>
    </w:pPr>
    <w:rPr>
      <w:rFonts w:ascii="Book Antiqua" w:hAnsi="Book Antiqua" w:cs="Times New Roman"/>
      <w:color w:val="000000"/>
      <w:sz w:val="18"/>
      <w:lang w:val="en-AU"/>
    </w:rPr>
  </w:style>
  <w:style w:type="character" w:customStyle="1" w:styleId="FootnoteTextChar">
    <w:name w:val="Footnote Text Char"/>
    <w:link w:val="FootnoteText"/>
    <w:semiHidden/>
    <w:rsid w:val="0012790E"/>
    <w:rPr>
      <w:rFonts w:ascii="Book Antiqua" w:eastAsia="Times New Roman" w:hAnsi="Book Antiqua" w:cs="Times New Roman"/>
      <w:color w:val="000000"/>
      <w:kern w:val="0"/>
      <w:sz w:val="18"/>
      <w:szCs w:val="20"/>
      <w14:ligatures w14:val="none"/>
    </w:rPr>
  </w:style>
  <w:style w:type="paragraph" w:styleId="Header">
    <w:name w:val="header"/>
    <w:basedOn w:val="HeaderBase"/>
    <w:link w:val="HeaderChar"/>
    <w:rsid w:val="0012790E"/>
  </w:style>
  <w:style w:type="character" w:customStyle="1" w:styleId="HeaderChar">
    <w:name w:val="Header Char"/>
    <w:link w:val="Header"/>
    <w:rsid w:val="0012790E"/>
    <w:rPr>
      <w:rFonts w:ascii="Arial" w:eastAsia="Times New Roman" w:hAnsi="Arial" w:cs="Times New Roman"/>
      <w:color w:val="002B54"/>
      <w:kern w:val="0"/>
      <w:sz w:val="18"/>
      <w:szCs w:val="20"/>
      <w14:ligatures w14:val="none"/>
    </w:rPr>
  </w:style>
  <w:style w:type="paragraph" w:styleId="Index1">
    <w:name w:val="index 1"/>
    <w:basedOn w:val="Normal"/>
    <w:next w:val="Normal"/>
    <w:autoRedefine/>
    <w:semiHidden/>
    <w:rsid w:val="0012790E"/>
    <w:pPr>
      <w:keepLines/>
      <w:autoSpaceDE/>
      <w:autoSpaceDN/>
      <w:adjustRightInd/>
      <w:spacing w:after="240" w:line="260" w:lineRule="exact"/>
      <w:ind w:left="198" w:hanging="198"/>
      <w:jc w:val="both"/>
    </w:pPr>
    <w:rPr>
      <w:rFonts w:ascii="Book Antiqua" w:hAnsi="Book Antiqua" w:cs="Times New Roman"/>
      <w:color w:val="000000"/>
      <w:sz w:val="18"/>
      <w:lang w:val="en-AU"/>
    </w:rPr>
  </w:style>
  <w:style w:type="paragraph" w:styleId="Index2">
    <w:name w:val="index 2"/>
    <w:basedOn w:val="Normal"/>
    <w:next w:val="Normal"/>
    <w:autoRedefine/>
    <w:semiHidden/>
    <w:rsid w:val="0012790E"/>
    <w:pPr>
      <w:keepLines/>
      <w:autoSpaceDE/>
      <w:autoSpaceDN/>
      <w:adjustRightInd/>
      <w:spacing w:after="240" w:line="260" w:lineRule="exact"/>
      <w:ind w:left="396" w:hanging="198"/>
      <w:jc w:val="both"/>
    </w:pPr>
    <w:rPr>
      <w:rFonts w:ascii="Book Antiqua" w:hAnsi="Book Antiqua" w:cs="Times New Roman"/>
      <w:color w:val="000000"/>
      <w:sz w:val="18"/>
      <w:lang w:val="en-AU"/>
    </w:rPr>
  </w:style>
  <w:style w:type="paragraph" w:styleId="Index3">
    <w:name w:val="index 3"/>
    <w:basedOn w:val="Normal"/>
    <w:next w:val="Normal"/>
    <w:autoRedefine/>
    <w:semiHidden/>
    <w:rsid w:val="0012790E"/>
    <w:pPr>
      <w:keepLines/>
      <w:autoSpaceDE/>
      <w:autoSpaceDN/>
      <w:adjustRightInd/>
      <w:spacing w:after="240" w:line="260" w:lineRule="exact"/>
      <w:ind w:left="601" w:hanging="198"/>
      <w:jc w:val="both"/>
    </w:pPr>
    <w:rPr>
      <w:rFonts w:ascii="Book Antiqua" w:hAnsi="Book Antiqua" w:cs="Times New Roman"/>
      <w:color w:val="000000"/>
      <w:sz w:val="18"/>
      <w:lang w:val="en-AU"/>
    </w:rPr>
  </w:style>
  <w:style w:type="paragraph" w:styleId="IndexHeading">
    <w:name w:val="index heading"/>
    <w:basedOn w:val="Normal"/>
    <w:next w:val="Index1"/>
    <w:semiHidden/>
    <w:rsid w:val="0012790E"/>
    <w:pPr>
      <w:keepLines/>
      <w:autoSpaceDE/>
      <w:autoSpaceDN/>
      <w:adjustRightInd/>
      <w:spacing w:before="240" w:after="120" w:line="260" w:lineRule="exact"/>
      <w:jc w:val="center"/>
    </w:pPr>
    <w:rPr>
      <w:rFonts w:cs="Times New Roman"/>
      <w:b/>
      <w:color w:val="000000"/>
      <w:sz w:val="24"/>
      <w:lang w:val="en-AU"/>
    </w:rPr>
  </w:style>
  <w:style w:type="character" w:styleId="PageNumber">
    <w:name w:val="page number"/>
    <w:rsid w:val="0012790E"/>
  </w:style>
  <w:style w:type="paragraph" w:customStyle="1" w:styleId="TableHeading">
    <w:name w:val="Table Heading"/>
    <w:basedOn w:val="HeadingBase"/>
    <w:next w:val="Normal"/>
    <w:rsid w:val="0012790E"/>
    <w:pPr>
      <w:keepNext/>
      <w:spacing w:before="120" w:after="20"/>
    </w:pPr>
    <w:rPr>
      <w:b/>
      <w:color w:val="000000"/>
      <w:sz w:val="20"/>
    </w:rPr>
  </w:style>
  <w:style w:type="paragraph" w:customStyle="1" w:styleId="TableHeadingcontinued">
    <w:name w:val="Table Heading continued"/>
    <w:basedOn w:val="HeadingBase"/>
    <w:next w:val="TableGraphic"/>
    <w:rsid w:val="0012790E"/>
    <w:pPr>
      <w:keepNext/>
      <w:spacing w:before="120" w:after="20"/>
    </w:pPr>
    <w:rPr>
      <w:b/>
      <w:color w:val="000000"/>
      <w:sz w:val="20"/>
    </w:rPr>
  </w:style>
  <w:style w:type="paragraph" w:customStyle="1" w:styleId="TableGraphic">
    <w:name w:val="Table Graphic"/>
    <w:basedOn w:val="TableHeading"/>
    <w:next w:val="Normal"/>
    <w:rsid w:val="0012790E"/>
    <w:pPr>
      <w:keepNext w:val="0"/>
      <w:spacing w:before="0"/>
      <w:ind w:right="-113"/>
    </w:pPr>
    <w:rPr>
      <w:b w:val="0"/>
    </w:rPr>
  </w:style>
  <w:style w:type="paragraph" w:styleId="TOC1">
    <w:name w:val="toc 1"/>
    <w:basedOn w:val="HeadingBase"/>
    <w:next w:val="Normal"/>
    <w:autoRedefine/>
    <w:rsid w:val="0012790E"/>
    <w:pPr>
      <w:tabs>
        <w:tab w:val="right" w:leader="dot" w:pos="7699"/>
      </w:tabs>
      <w:spacing w:before="180"/>
      <w:ind w:right="851"/>
    </w:pPr>
    <w:rPr>
      <w:b/>
      <w:color w:val="000000"/>
      <w:sz w:val="20"/>
    </w:rPr>
  </w:style>
  <w:style w:type="paragraph" w:styleId="TOC2">
    <w:name w:val="toc 2"/>
    <w:basedOn w:val="Normal"/>
    <w:next w:val="Normal"/>
    <w:autoRedefine/>
    <w:rsid w:val="0012790E"/>
    <w:pPr>
      <w:keepLines/>
      <w:tabs>
        <w:tab w:val="right" w:leader="dot" w:pos="7699"/>
      </w:tabs>
      <w:autoSpaceDE/>
      <w:autoSpaceDN/>
      <w:adjustRightInd/>
      <w:spacing w:before="40"/>
      <w:ind w:right="851"/>
    </w:pPr>
    <w:rPr>
      <w:rFonts w:cs="Times New Roman"/>
      <w:lang w:val="en-AU"/>
    </w:rPr>
  </w:style>
  <w:style w:type="paragraph" w:styleId="TOC3">
    <w:name w:val="toc 3"/>
    <w:basedOn w:val="HeadingBase"/>
    <w:next w:val="Normal"/>
    <w:autoRedefine/>
    <w:rsid w:val="0012790E"/>
    <w:pPr>
      <w:tabs>
        <w:tab w:val="right" w:leader="dot" w:pos="7699"/>
      </w:tabs>
      <w:spacing w:before="180"/>
      <w:ind w:right="851"/>
    </w:pPr>
    <w:rPr>
      <w:b/>
      <w:color w:val="000000"/>
      <w:sz w:val="20"/>
    </w:rPr>
  </w:style>
  <w:style w:type="paragraph" w:customStyle="1" w:styleId="HeaderOdd">
    <w:name w:val="Header Odd"/>
    <w:basedOn w:val="HeaderBase"/>
    <w:rsid w:val="00EF0609"/>
    <w:pPr>
      <w:jc w:val="right"/>
    </w:pPr>
    <w:rPr>
      <w:sz w:val="16"/>
    </w:rPr>
  </w:style>
  <w:style w:type="paragraph" w:customStyle="1" w:styleId="HeaderEven">
    <w:name w:val="Header Even"/>
    <w:basedOn w:val="HeaderBase"/>
    <w:rsid w:val="00EF0609"/>
    <w:rPr>
      <w:sz w:val="16"/>
    </w:rPr>
  </w:style>
  <w:style w:type="paragraph" w:customStyle="1" w:styleId="FileProperties">
    <w:name w:val="File Properties"/>
    <w:basedOn w:val="Normal"/>
    <w:rsid w:val="0012790E"/>
    <w:pPr>
      <w:keepLines/>
      <w:autoSpaceDE/>
      <w:autoSpaceDN/>
      <w:adjustRightInd/>
      <w:spacing w:after="240" w:line="260" w:lineRule="exact"/>
      <w:jc w:val="both"/>
    </w:pPr>
    <w:rPr>
      <w:rFonts w:ascii="Book Antiqua" w:hAnsi="Book Antiqua" w:cs="Times New Roman"/>
      <w:i/>
      <w:color w:val="000000"/>
      <w:lang w:val="en-AU"/>
    </w:rPr>
  </w:style>
  <w:style w:type="character" w:customStyle="1" w:styleId="FramedHeader">
    <w:name w:val="Framed Header"/>
    <w:rsid w:val="0012790E"/>
    <w:rPr>
      <w:rFonts w:ascii="Book Antiqua" w:hAnsi="Book Antiqua"/>
      <w:i/>
      <w:dstrike w:val="0"/>
      <w:sz w:val="20"/>
      <w:szCs w:val="20"/>
      <w:vertAlign w:val="baseline"/>
    </w:rPr>
  </w:style>
  <w:style w:type="paragraph" w:styleId="TOC4">
    <w:name w:val="toc 4"/>
    <w:basedOn w:val="Normal"/>
    <w:next w:val="Normal"/>
    <w:autoRedefine/>
    <w:semiHidden/>
    <w:rsid w:val="0012790E"/>
    <w:pPr>
      <w:keepLines/>
      <w:tabs>
        <w:tab w:val="right" w:leader="dot" w:pos="7699"/>
      </w:tabs>
      <w:autoSpaceDE/>
      <w:autoSpaceDN/>
      <w:adjustRightInd/>
      <w:spacing w:before="40"/>
    </w:pPr>
    <w:rPr>
      <w:rFonts w:cs="Times New Roman"/>
      <w:lang w:val="en-AU"/>
    </w:rPr>
  </w:style>
  <w:style w:type="paragraph" w:customStyle="1" w:styleId="Bullet">
    <w:name w:val="Bullet"/>
    <w:basedOn w:val="Normal"/>
    <w:rsid w:val="0012790E"/>
    <w:pPr>
      <w:keepLines/>
      <w:numPr>
        <w:numId w:val="20"/>
      </w:numPr>
      <w:autoSpaceDE/>
      <w:autoSpaceDN/>
      <w:adjustRightInd/>
      <w:spacing w:before="120" w:after="120" w:line="240" w:lineRule="exact"/>
    </w:pPr>
    <w:rPr>
      <w:rFonts w:ascii="Book Antiqua" w:hAnsi="Book Antiqua" w:cs="Times New Roman"/>
      <w:sz w:val="19"/>
      <w:lang w:val="en-AU"/>
    </w:rPr>
  </w:style>
  <w:style w:type="paragraph" w:customStyle="1" w:styleId="OverviewParagraph">
    <w:name w:val="Overview Paragraph"/>
    <w:basedOn w:val="Normal"/>
    <w:rsid w:val="0012790E"/>
    <w:pPr>
      <w:keepLines/>
      <w:autoSpaceDE/>
      <w:autoSpaceDN/>
      <w:adjustRightInd/>
      <w:spacing w:before="120" w:after="120" w:line="260" w:lineRule="exact"/>
      <w:jc w:val="both"/>
    </w:pPr>
    <w:rPr>
      <w:rFonts w:ascii="Book Antiqua" w:hAnsi="Book Antiqua" w:cs="Times New Roman"/>
      <w:lang w:val="en-AU"/>
    </w:rPr>
  </w:style>
  <w:style w:type="paragraph" w:customStyle="1" w:styleId="AppendixHeading">
    <w:name w:val="Appendix Heading"/>
    <w:basedOn w:val="HeadingBase"/>
    <w:next w:val="Normal"/>
    <w:rsid w:val="0012790E"/>
    <w:pPr>
      <w:spacing w:before="240" w:after="240"/>
      <w:jc w:val="center"/>
    </w:pPr>
    <w:rPr>
      <w:b/>
      <w:bCs/>
      <w:sz w:val="26"/>
      <w:szCs w:val="26"/>
    </w:rPr>
  </w:style>
  <w:style w:type="paragraph" w:customStyle="1" w:styleId="DoubleDot">
    <w:name w:val="Double Dot"/>
    <w:basedOn w:val="Bullet"/>
    <w:rsid w:val="0012790E"/>
    <w:pPr>
      <w:numPr>
        <w:ilvl w:val="2"/>
      </w:numPr>
    </w:pPr>
  </w:style>
  <w:style w:type="paragraph" w:customStyle="1" w:styleId="Dash">
    <w:name w:val="Dash"/>
    <w:basedOn w:val="Bullet"/>
    <w:rsid w:val="0012790E"/>
    <w:pPr>
      <w:numPr>
        <w:ilvl w:val="1"/>
      </w:numPr>
    </w:pPr>
  </w:style>
  <w:style w:type="paragraph" w:customStyle="1" w:styleId="SingleParagraph">
    <w:name w:val="SingleParagraph"/>
    <w:basedOn w:val="Normal"/>
    <w:next w:val="Normal"/>
    <w:rsid w:val="0012790E"/>
    <w:pPr>
      <w:keepNext/>
      <w:keepLines/>
      <w:autoSpaceDE/>
      <w:autoSpaceDN/>
      <w:adjustRightInd/>
      <w:jc w:val="both"/>
    </w:pPr>
    <w:rPr>
      <w:rFonts w:ascii="Book Antiqua" w:hAnsi="Book Antiqua" w:cs="Times New Roman"/>
      <w:color w:val="000000"/>
      <w:lang w:val="en-AU"/>
    </w:rPr>
  </w:style>
  <w:style w:type="paragraph" w:customStyle="1" w:styleId="MeasureTableTextLeftAligned">
    <w:name w:val="Measure Table Text Left Aligned"/>
    <w:basedOn w:val="Normal"/>
    <w:rsid w:val="0012790E"/>
    <w:pPr>
      <w:keepNext/>
      <w:keepLines/>
      <w:autoSpaceDE/>
      <w:autoSpaceDN/>
      <w:adjustRightInd/>
      <w:spacing w:before="60" w:after="60"/>
    </w:pPr>
    <w:rPr>
      <w:rFonts w:cs="Times New Roman"/>
      <w:color w:val="000000"/>
      <w:sz w:val="16"/>
      <w:lang w:val="en-AU"/>
    </w:rPr>
  </w:style>
  <w:style w:type="paragraph" w:customStyle="1" w:styleId="ChartandTableFootnoteAlpha">
    <w:name w:val="Chart and Table Footnote Alpha"/>
    <w:basedOn w:val="ChartandTableFootnote"/>
    <w:next w:val="Normal"/>
    <w:rsid w:val="0012790E"/>
    <w:pPr>
      <w:numPr>
        <w:numId w:val="17"/>
      </w:numPr>
    </w:pPr>
    <w:rPr>
      <w:rFonts w:cs="Arial"/>
      <w:bCs/>
      <w:szCs w:val="24"/>
      <w:lang w:eastAsia="en-US"/>
    </w:rPr>
  </w:style>
  <w:style w:type="paragraph" w:customStyle="1" w:styleId="MeasureTableHeading">
    <w:name w:val="Measure Table Heading"/>
    <w:basedOn w:val="HeadingBase"/>
    <w:rsid w:val="0012790E"/>
    <w:pPr>
      <w:keepNext/>
    </w:pPr>
    <w:rPr>
      <w:sz w:val="16"/>
    </w:rPr>
  </w:style>
  <w:style w:type="paragraph" w:customStyle="1" w:styleId="MeasureTableTextRightAligned">
    <w:name w:val="Measure Table Text Right Aligned"/>
    <w:basedOn w:val="HeadingBase"/>
    <w:rsid w:val="0012790E"/>
    <w:pPr>
      <w:keepNext/>
      <w:spacing w:before="60" w:after="60"/>
      <w:ind w:right="57"/>
      <w:jc w:val="right"/>
    </w:pPr>
    <w:rPr>
      <w:sz w:val="16"/>
    </w:rPr>
  </w:style>
  <w:style w:type="paragraph" w:styleId="TOC5">
    <w:name w:val="toc 5"/>
    <w:basedOn w:val="Normal"/>
    <w:next w:val="Normal"/>
    <w:autoRedefine/>
    <w:semiHidden/>
    <w:rsid w:val="0012790E"/>
    <w:pPr>
      <w:keepLines/>
      <w:tabs>
        <w:tab w:val="right" w:leader="dot" w:pos="7700"/>
      </w:tabs>
      <w:autoSpaceDE/>
      <w:autoSpaceDN/>
      <w:adjustRightInd/>
      <w:spacing w:before="60"/>
      <w:ind w:left="567" w:right="851"/>
    </w:pPr>
    <w:rPr>
      <w:rFonts w:ascii="Book Antiqua" w:hAnsi="Book Antiqua" w:cs="Times New Roman"/>
      <w:lang w:val="en-AU"/>
    </w:rPr>
  </w:style>
  <w:style w:type="paragraph" w:styleId="TOC6">
    <w:name w:val="toc 6"/>
    <w:basedOn w:val="Normal"/>
    <w:next w:val="Normal"/>
    <w:autoRedefine/>
    <w:semiHidden/>
    <w:rsid w:val="0012790E"/>
    <w:pPr>
      <w:keepLines/>
      <w:autoSpaceDE/>
      <w:autoSpaceDN/>
      <w:adjustRightInd/>
      <w:spacing w:after="240" w:line="260" w:lineRule="exact"/>
      <w:ind w:left="1000"/>
      <w:jc w:val="both"/>
    </w:pPr>
    <w:rPr>
      <w:rFonts w:ascii="Book Antiqua" w:hAnsi="Book Antiqua" w:cs="Times New Roman"/>
      <w:lang w:val="en-AU"/>
    </w:rPr>
  </w:style>
  <w:style w:type="paragraph" w:styleId="TOC7">
    <w:name w:val="toc 7"/>
    <w:basedOn w:val="Normal"/>
    <w:next w:val="Normal"/>
    <w:autoRedefine/>
    <w:semiHidden/>
    <w:rsid w:val="0012790E"/>
    <w:pPr>
      <w:keepLines/>
      <w:autoSpaceDE/>
      <w:autoSpaceDN/>
      <w:adjustRightInd/>
      <w:spacing w:after="240" w:line="260" w:lineRule="exact"/>
      <w:ind w:left="1200"/>
      <w:jc w:val="both"/>
    </w:pPr>
    <w:rPr>
      <w:rFonts w:ascii="Book Antiqua" w:hAnsi="Book Antiqua" w:cs="Times New Roman"/>
      <w:lang w:val="en-AU"/>
    </w:rPr>
  </w:style>
  <w:style w:type="paragraph" w:styleId="TOC8">
    <w:name w:val="toc 8"/>
    <w:basedOn w:val="Normal"/>
    <w:next w:val="Normal"/>
    <w:autoRedefine/>
    <w:semiHidden/>
    <w:rsid w:val="0012790E"/>
    <w:pPr>
      <w:keepLines/>
      <w:autoSpaceDE/>
      <w:autoSpaceDN/>
      <w:adjustRightInd/>
      <w:spacing w:after="240" w:line="260" w:lineRule="exact"/>
      <w:ind w:left="1400"/>
      <w:jc w:val="both"/>
    </w:pPr>
    <w:rPr>
      <w:rFonts w:ascii="Book Antiqua" w:hAnsi="Book Antiqua" w:cs="Times New Roman"/>
      <w:lang w:val="en-AU"/>
    </w:rPr>
  </w:style>
  <w:style w:type="paragraph" w:styleId="TOC9">
    <w:name w:val="toc 9"/>
    <w:basedOn w:val="Normal"/>
    <w:next w:val="Normal"/>
    <w:autoRedefine/>
    <w:semiHidden/>
    <w:rsid w:val="0012790E"/>
    <w:pPr>
      <w:keepLines/>
      <w:autoSpaceDE/>
      <w:autoSpaceDN/>
      <w:adjustRightInd/>
      <w:spacing w:after="240" w:line="260" w:lineRule="exact"/>
      <w:ind w:left="1600"/>
      <w:jc w:val="both"/>
    </w:pPr>
    <w:rPr>
      <w:rFonts w:ascii="Book Antiqua" w:hAnsi="Book Antiqua" w:cs="Times New Roman"/>
      <w:lang w:val="en-AU"/>
    </w:rPr>
  </w:style>
  <w:style w:type="paragraph" w:customStyle="1" w:styleId="FigureHeading">
    <w:name w:val="Figure Heading"/>
    <w:basedOn w:val="HeadingBase"/>
    <w:next w:val="Normal"/>
    <w:rsid w:val="0012790E"/>
    <w:pPr>
      <w:keepNext/>
      <w:spacing w:before="120" w:after="20"/>
    </w:pPr>
    <w:rPr>
      <w:b/>
      <w:color w:val="000000"/>
      <w:sz w:val="20"/>
    </w:rPr>
  </w:style>
  <w:style w:type="paragraph" w:styleId="Closing">
    <w:name w:val="Closing"/>
    <w:basedOn w:val="Normal"/>
    <w:link w:val="ClosingChar"/>
    <w:rsid w:val="0012790E"/>
    <w:pPr>
      <w:keepLines/>
      <w:autoSpaceDE/>
      <w:autoSpaceDN/>
      <w:adjustRightInd/>
      <w:spacing w:after="240" w:line="260" w:lineRule="exact"/>
      <w:ind w:left="4252"/>
      <w:jc w:val="both"/>
    </w:pPr>
    <w:rPr>
      <w:rFonts w:ascii="Book Antiqua" w:hAnsi="Book Antiqua" w:cs="Times New Roman"/>
      <w:lang w:val="en-AU"/>
    </w:rPr>
  </w:style>
  <w:style w:type="character" w:customStyle="1" w:styleId="ClosingChar">
    <w:name w:val="Closing Char"/>
    <w:link w:val="Closing"/>
    <w:rsid w:val="0012790E"/>
    <w:rPr>
      <w:rFonts w:ascii="Book Antiqua" w:eastAsia="Times New Roman" w:hAnsi="Book Antiqua" w:cs="Times New Roman"/>
      <w:kern w:val="0"/>
      <w:sz w:val="20"/>
      <w:szCs w:val="20"/>
      <w14:ligatures w14:val="none"/>
    </w:rPr>
  </w:style>
  <w:style w:type="paragraph" w:customStyle="1" w:styleId="NoteTableHeading">
    <w:name w:val="Note Table Heading"/>
    <w:basedOn w:val="HeadingBase"/>
    <w:next w:val="Normal"/>
    <w:rsid w:val="0012790E"/>
    <w:pPr>
      <w:keepNext/>
      <w:spacing w:before="480"/>
    </w:pPr>
    <w:rPr>
      <w:b/>
      <w:color w:val="000000"/>
      <w:sz w:val="20"/>
    </w:rPr>
  </w:style>
  <w:style w:type="paragraph" w:customStyle="1" w:styleId="ChartandTableFootnoteSmall">
    <w:name w:val="Chart and Table Footnote Small"/>
    <w:basedOn w:val="ChartandTableFootnote"/>
    <w:rsid w:val="0012790E"/>
    <w:rPr>
      <w:sz w:val="15"/>
    </w:rPr>
  </w:style>
  <w:style w:type="paragraph" w:customStyle="1" w:styleId="ChartandTableFootnoteAlphaSmall">
    <w:name w:val="Chart and Table Footnote Alpha Small"/>
    <w:basedOn w:val="ChartandTableFootnoteAlpha"/>
    <w:rsid w:val="0012790E"/>
    <w:pPr>
      <w:numPr>
        <w:numId w:val="0"/>
      </w:numPr>
    </w:pPr>
    <w:rPr>
      <w:sz w:val="15"/>
    </w:rPr>
  </w:style>
  <w:style w:type="paragraph" w:customStyle="1" w:styleId="Source">
    <w:name w:val="Source"/>
    <w:basedOn w:val="HeadingBase"/>
    <w:next w:val="Normal"/>
    <w:rsid w:val="0012790E"/>
    <w:pPr>
      <w:jc w:val="both"/>
    </w:pPr>
    <w:rPr>
      <w:sz w:val="16"/>
    </w:rPr>
  </w:style>
  <w:style w:type="paragraph" w:customStyle="1" w:styleId="BlockedQuotation">
    <w:name w:val="Blocked Quotation"/>
    <w:basedOn w:val="Normal"/>
    <w:rsid w:val="0012790E"/>
    <w:pPr>
      <w:keepLines/>
      <w:autoSpaceDE/>
      <w:autoSpaceDN/>
      <w:adjustRightInd/>
      <w:spacing w:after="240" w:line="260" w:lineRule="exact"/>
      <w:ind w:left="567"/>
      <w:jc w:val="both"/>
    </w:pPr>
    <w:rPr>
      <w:rFonts w:ascii="Book Antiqua" w:hAnsi="Book Antiqua" w:cs="Times New Roman"/>
      <w:lang w:val="en-AU"/>
    </w:rPr>
  </w:style>
  <w:style w:type="paragraph" w:customStyle="1" w:styleId="Exactly">
    <w:name w:val="Exactly"/>
    <w:basedOn w:val="Normal"/>
    <w:next w:val="Normal"/>
    <w:rsid w:val="0012790E"/>
    <w:pPr>
      <w:keepLines/>
      <w:autoSpaceDE/>
      <w:autoSpaceDN/>
      <w:adjustRightInd/>
      <w:spacing w:after="240"/>
      <w:jc w:val="both"/>
    </w:pPr>
    <w:rPr>
      <w:rFonts w:ascii="Book Antiqua" w:hAnsi="Book Antiqua" w:cs="Times New Roman"/>
      <w:lang w:val="en-AU"/>
    </w:rPr>
  </w:style>
  <w:style w:type="paragraph" w:customStyle="1" w:styleId="TPHeading1">
    <w:name w:val="TP Heading 1"/>
    <w:basedOn w:val="HeadingBase"/>
    <w:rsid w:val="0012790E"/>
    <w:pPr>
      <w:keepNext/>
      <w:spacing w:before="60" w:after="60"/>
      <w:ind w:left="1134"/>
    </w:pPr>
    <w:rPr>
      <w:rFonts w:ascii="Arial Bold" w:hAnsi="Arial Bold"/>
      <w:b/>
      <w:caps/>
      <w:spacing w:val="-10"/>
      <w:sz w:val="28"/>
    </w:rPr>
  </w:style>
  <w:style w:type="paragraph" w:customStyle="1" w:styleId="TPHeading2">
    <w:name w:val="TP Heading 2"/>
    <w:basedOn w:val="HeadingBase"/>
    <w:rsid w:val="0012790E"/>
    <w:pPr>
      <w:keepNext/>
      <w:ind w:left="1134"/>
    </w:pPr>
    <w:rPr>
      <w:caps/>
      <w:spacing w:val="-10"/>
      <w:sz w:val="28"/>
    </w:rPr>
  </w:style>
  <w:style w:type="paragraph" w:customStyle="1" w:styleId="TPHeading3">
    <w:name w:val="TP Heading 3"/>
    <w:basedOn w:val="HeadingBase"/>
    <w:rsid w:val="0012790E"/>
    <w:pPr>
      <w:keepNext/>
      <w:ind w:left="1134"/>
    </w:pPr>
    <w:rPr>
      <w:caps/>
      <w:spacing w:val="-10"/>
    </w:rPr>
  </w:style>
  <w:style w:type="paragraph" w:customStyle="1" w:styleId="Table">
    <w:name w:val="Table"/>
    <w:basedOn w:val="Normal"/>
    <w:rsid w:val="0012790E"/>
    <w:pPr>
      <w:keepLines/>
      <w:autoSpaceDE/>
      <w:autoSpaceDN/>
      <w:adjustRightInd/>
      <w:spacing w:before="40" w:after="40"/>
    </w:pPr>
    <w:rPr>
      <w:rFonts w:cs="Times New Roman"/>
      <w:sz w:val="16"/>
      <w:lang w:val="en-AU"/>
    </w:rPr>
  </w:style>
  <w:style w:type="paragraph" w:customStyle="1" w:styleId="AgencyNamewith2ptsspacing">
    <w:name w:val="AgencyName with 2 pts spacing"/>
    <w:basedOn w:val="AgencyName"/>
    <w:rsid w:val="0012790E"/>
    <w:pPr>
      <w:spacing w:before="40" w:after="40"/>
    </w:pPr>
  </w:style>
  <w:style w:type="paragraph" w:customStyle="1" w:styleId="Summarytabletextleftaligned">
    <w:name w:val="Summary table text left aligned"/>
    <w:basedOn w:val="MeasureTableTextLeftAligned"/>
    <w:rsid w:val="0012790E"/>
    <w:pPr>
      <w:keepNext w:val="0"/>
      <w:keepLines w:val="0"/>
      <w:tabs>
        <w:tab w:val="left" w:pos="285"/>
      </w:tabs>
      <w:spacing w:before="20" w:after="20"/>
    </w:pPr>
    <w:rPr>
      <w:noProof/>
      <w:szCs w:val="16"/>
    </w:rPr>
  </w:style>
  <w:style w:type="paragraph" w:customStyle="1" w:styleId="SummaryThemeTitle-Election">
    <w:name w:val="Summary Theme Title - Election"/>
    <w:basedOn w:val="Summarytabletextleftaligned"/>
    <w:rsid w:val="0012790E"/>
    <w:pPr>
      <w:ind w:left="340" w:right="57" w:hanging="113"/>
    </w:pPr>
  </w:style>
  <w:style w:type="paragraph" w:customStyle="1" w:styleId="SummaryMeasureTitlewithTheme">
    <w:name w:val="Summary Measure Title with Theme"/>
    <w:basedOn w:val="Summarytabletextleftaligned"/>
    <w:rsid w:val="0012790E"/>
    <w:pPr>
      <w:ind w:left="340" w:right="57" w:hanging="113"/>
    </w:pPr>
  </w:style>
  <w:style w:type="paragraph" w:customStyle="1" w:styleId="Summarytabletextrightaligned">
    <w:name w:val="Summary table text right aligned"/>
    <w:basedOn w:val="MeasureTableTextRightAligned"/>
    <w:rsid w:val="0012790E"/>
    <w:pPr>
      <w:keepNext w:val="0"/>
      <w:spacing w:before="20" w:after="20"/>
    </w:pPr>
  </w:style>
  <w:style w:type="paragraph" w:customStyle="1" w:styleId="Summarytabletextrightalignedbold">
    <w:name w:val="Summary table text right aligned bold"/>
    <w:basedOn w:val="Normal"/>
    <w:rsid w:val="0012790E"/>
    <w:pPr>
      <w:autoSpaceDE/>
      <w:autoSpaceDN/>
      <w:adjustRightInd/>
      <w:spacing w:before="20" w:after="20"/>
      <w:ind w:right="57"/>
      <w:jc w:val="right"/>
    </w:pPr>
    <w:rPr>
      <w:rFonts w:cs="Times New Roman"/>
      <w:b/>
      <w:sz w:val="16"/>
      <w:lang w:val="en-AU"/>
    </w:rPr>
  </w:style>
  <w:style w:type="paragraph" w:customStyle="1" w:styleId="AgencyName">
    <w:name w:val="AgencyName"/>
    <w:basedOn w:val="Table"/>
    <w:rsid w:val="0012790E"/>
    <w:pPr>
      <w:spacing w:before="20" w:after="20"/>
      <w:ind w:right="113"/>
    </w:pPr>
    <w:rPr>
      <w:rFonts w:cs="Arial"/>
      <w:i/>
      <w:szCs w:val="16"/>
    </w:rPr>
  </w:style>
  <w:style w:type="paragraph" w:customStyle="1" w:styleId="MeasureType">
    <w:name w:val="MeasureType"/>
    <w:basedOn w:val="SummaryPortfolioTitle-BP2"/>
    <w:rsid w:val="0012790E"/>
  </w:style>
  <w:style w:type="paragraph" w:customStyle="1" w:styleId="SummaryAgencyTitle-BP2Theme">
    <w:name w:val="Summary Agency Title - BP2 Theme"/>
    <w:basedOn w:val="Normal"/>
    <w:rsid w:val="0012790E"/>
    <w:pPr>
      <w:keepLines/>
      <w:autoSpaceDE/>
      <w:autoSpaceDN/>
      <w:adjustRightInd/>
      <w:spacing w:before="20" w:after="20"/>
      <w:ind w:left="113" w:right="57" w:hanging="113"/>
    </w:pPr>
    <w:rPr>
      <w:i/>
      <w:sz w:val="16"/>
      <w:szCs w:val="16"/>
      <w:lang w:val="en-AU"/>
    </w:rPr>
  </w:style>
  <w:style w:type="paragraph" w:customStyle="1" w:styleId="SummaryMeasureTitle-BP2Theme">
    <w:name w:val="Summary Measure Title - BP2 Theme"/>
    <w:basedOn w:val="Summarytabletextleftaligned"/>
    <w:rsid w:val="0012790E"/>
    <w:pPr>
      <w:ind w:left="226" w:right="57" w:hanging="113"/>
    </w:pPr>
  </w:style>
  <w:style w:type="paragraph" w:customStyle="1" w:styleId="MeasureTableYearHeadings">
    <w:name w:val="Measure Table Year Headings"/>
    <w:basedOn w:val="Table"/>
    <w:rsid w:val="0012790E"/>
    <w:pPr>
      <w:jc w:val="right"/>
    </w:pPr>
  </w:style>
  <w:style w:type="paragraph" w:customStyle="1" w:styleId="SummaryThemeTotal">
    <w:name w:val="Summary Theme Total"/>
    <w:basedOn w:val="Summarytabletextleftaligned"/>
    <w:rsid w:val="0012790E"/>
    <w:rPr>
      <w:b/>
      <w:i/>
    </w:rPr>
  </w:style>
  <w:style w:type="paragraph" w:customStyle="1" w:styleId="MeasureTableHeadingleftalignedwith2ptsspacing">
    <w:name w:val="Measure Table Heading left aligned with 2 pts spacing"/>
    <w:basedOn w:val="MeasureTableYearHeadings"/>
    <w:rsid w:val="0012790E"/>
    <w:pPr>
      <w:jc w:val="left"/>
    </w:pPr>
  </w:style>
  <w:style w:type="paragraph" w:customStyle="1" w:styleId="MeasureTableYearHeadingsitalics">
    <w:name w:val="Measure Table Year Headings italics"/>
    <w:basedOn w:val="MeasureTableYearHeadings"/>
    <w:rsid w:val="0012790E"/>
    <w:rPr>
      <w:i/>
    </w:rPr>
  </w:style>
  <w:style w:type="paragraph" w:customStyle="1" w:styleId="Summarytabletextleftalignedbold">
    <w:name w:val="Summary table text left aligned bold"/>
    <w:basedOn w:val="Summarytabletextleftaligned"/>
    <w:rsid w:val="0012790E"/>
    <w:rPr>
      <w:b/>
    </w:rPr>
  </w:style>
  <w:style w:type="paragraph" w:customStyle="1" w:styleId="Summarytabletextleftalignedboldwith6ptsbefore">
    <w:name w:val="Summary table text left aligned bold with 6 pts before"/>
    <w:basedOn w:val="Summarytabletextleftaligned"/>
    <w:rsid w:val="0012790E"/>
    <w:pPr>
      <w:spacing w:before="120"/>
    </w:pPr>
    <w:rPr>
      <w:rFonts w:ascii="Helvetica" w:hAnsi="Helvetica"/>
      <w:b/>
    </w:rPr>
  </w:style>
  <w:style w:type="paragraph" w:customStyle="1" w:styleId="SummaryPortfolioTitle-BP2">
    <w:name w:val="Summary Portfolio Title - BP2"/>
    <w:aliases w:val="Theme"/>
    <w:basedOn w:val="Normal"/>
    <w:rsid w:val="0012790E"/>
    <w:pPr>
      <w:autoSpaceDE/>
      <w:autoSpaceDN/>
      <w:adjustRightInd/>
      <w:spacing w:before="120" w:after="20"/>
      <w:ind w:right="113"/>
    </w:pPr>
    <w:rPr>
      <w:rFonts w:cs="Times New Roman"/>
      <w:b/>
      <w:caps/>
      <w:sz w:val="16"/>
      <w:lang w:val="en-AU"/>
    </w:rPr>
  </w:style>
  <w:style w:type="paragraph" w:customStyle="1" w:styleId="Summarytabletotalsrightalignedbolditalic">
    <w:name w:val="Summary table totals right aligned bold italic"/>
    <w:basedOn w:val="Summarytabletextrightalignedbold"/>
    <w:rsid w:val="0012790E"/>
    <w:pPr>
      <w:keepNext/>
    </w:pPr>
    <w:rPr>
      <w:i/>
    </w:rPr>
  </w:style>
  <w:style w:type="paragraph" w:customStyle="1" w:styleId="SummaryTabletextrightalignedkwn">
    <w:name w:val="Summary Table text right aligned kwn"/>
    <w:basedOn w:val="Summarytabletextrightaligned"/>
    <w:rsid w:val="0012790E"/>
    <w:pPr>
      <w:keepNext/>
    </w:pPr>
  </w:style>
  <w:style w:type="paragraph" w:customStyle="1" w:styleId="MeasureTableFootnote">
    <w:name w:val="MeasureTableFootnote"/>
    <w:basedOn w:val="SingleParagraph"/>
    <w:next w:val="Normal"/>
    <w:rsid w:val="0012790E"/>
    <w:rPr>
      <w:rFonts w:ascii="Arial" w:hAnsi="Arial"/>
      <w:sz w:val="16"/>
      <w:szCs w:val="16"/>
    </w:rPr>
  </w:style>
  <w:style w:type="paragraph" w:customStyle="1" w:styleId="MeasureTableDataRightAlignedwith2ptsspacing">
    <w:name w:val="MeasureTableDataRightAligned with 2 pts spacing"/>
    <w:basedOn w:val="MeasureTableYearHeadings"/>
    <w:rsid w:val="0012790E"/>
  </w:style>
  <w:style w:type="paragraph" w:customStyle="1" w:styleId="Measuretabledatarightaligneditalics">
    <w:name w:val="Measure table data right aligned italics"/>
    <w:basedOn w:val="MeasureTableYearHeadingsitalics"/>
    <w:rsid w:val="0012790E"/>
  </w:style>
  <w:style w:type="paragraph" w:customStyle="1" w:styleId="Totalrowrightaligned">
    <w:name w:val="Total row right aligned"/>
    <w:basedOn w:val="MeasureTableDataRightAlignedwith2ptsspacing"/>
    <w:rsid w:val="0012790E"/>
  </w:style>
  <w:style w:type="paragraph" w:customStyle="1" w:styleId="Totalrowleftaligned">
    <w:name w:val="Total row left aligned"/>
    <w:basedOn w:val="MeasureTableHeadingleftalignedwith2ptsspacing"/>
    <w:rsid w:val="0012790E"/>
  </w:style>
  <w:style w:type="paragraph" w:customStyle="1" w:styleId="Totalrowitalicsrightaligned">
    <w:name w:val="Total row italics right aligned"/>
    <w:basedOn w:val="Measuretabledatarightaligneditalics"/>
    <w:rsid w:val="0012790E"/>
  </w:style>
  <w:style w:type="paragraph" w:customStyle="1" w:styleId="Totalrowitalicsleftaligned">
    <w:name w:val="Total row italics left aligned"/>
    <w:basedOn w:val="AgencyNamewith2ptsspacing"/>
    <w:rsid w:val="0012790E"/>
  </w:style>
  <w:style w:type="paragraph" w:customStyle="1" w:styleId="Totaldatarowrightaligned">
    <w:name w:val="Total data row right aligned"/>
    <w:basedOn w:val="MeasureTableDataRightAlignedwith2ptsspacing"/>
    <w:rsid w:val="0012790E"/>
  </w:style>
  <w:style w:type="paragraph" w:customStyle="1" w:styleId="Totaldatarowleftaligned">
    <w:name w:val="Total data row left aligned"/>
    <w:basedOn w:val="MeasureTableHeadingleftalignedwith2ptsspacing"/>
    <w:rsid w:val="0012790E"/>
  </w:style>
  <w:style w:type="paragraph" w:customStyle="1" w:styleId="MeasureTitle">
    <w:name w:val="MeasureTitle"/>
    <w:basedOn w:val="Heading5"/>
    <w:rsid w:val="00837AAB"/>
    <w:pPr>
      <w:spacing w:before="360"/>
      <w:outlineLvl w:val="2"/>
    </w:pPr>
  </w:style>
  <w:style w:type="paragraph" w:customStyle="1" w:styleId="PortfolioName">
    <w:name w:val="PortfolioName"/>
    <w:basedOn w:val="Heading3"/>
    <w:rsid w:val="00837AAB"/>
    <w:pPr>
      <w:spacing w:before="240" w:after="240"/>
      <w:outlineLvl w:val="1"/>
    </w:pPr>
    <w:rPr>
      <w:sz w:val="26"/>
    </w:rPr>
  </w:style>
  <w:style w:type="paragraph" w:customStyle="1" w:styleId="SummaryTableEndnoteSeparator">
    <w:name w:val="Summary Table Endnote Separator"/>
    <w:basedOn w:val="Normal"/>
    <w:rsid w:val="0012790E"/>
    <w:pPr>
      <w:keepLines/>
      <w:autoSpaceDE/>
      <w:autoSpaceDN/>
      <w:adjustRightInd/>
      <w:spacing w:line="20" w:lineRule="exact"/>
      <w:jc w:val="both"/>
    </w:pPr>
    <w:rPr>
      <w:rFonts w:ascii="Book Antiqua" w:hAnsi="Book Antiqua" w:cs="Times New Roman"/>
      <w:sz w:val="2"/>
      <w:lang w:val="en-AU"/>
    </w:rPr>
  </w:style>
  <w:style w:type="paragraph" w:customStyle="1" w:styleId="SubthemeTitle">
    <w:name w:val="Subtheme Title"/>
    <w:basedOn w:val="SummaryAgencyTitle-BP2Theme"/>
    <w:rsid w:val="0012790E"/>
    <w:pPr>
      <w:spacing w:before="120"/>
    </w:pPr>
    <w:rPr>
      <w:b/>
    </w:rPr>
  </w:style>
  <w:style w:type="paragraph" w:customStyle="1" w:styleId="SubthemeSubtotal">
    <w:name w:val="Subtheme Subtotal"/>
    <w:basedOn w:val="Summarytabletextleftalignedbold"/>
    <w:rsid w:val="0012790E"/>
  </w:style>
  <w:style w:type="paragraph" w:styleId="EndnoteText">
    <w:name w:val="endnote text"/>
    <w:basedOn w:val="ChartandTableFootnote"/>
    <w:link w:val="EndnoteTextChar"/>
    <w:rsid w:val="0012790E"/>
    <w:pPr>
      <w:spacing w:before="30"/>
      <w:ind w:left="397" w:hanging="284"/>
    </w:pPr>
  </w:style>
  <w:style w:type="character" w:customStyle="1" w:styleId="EndnoteTextChar">
    <w:name w:val="Endnote Text Char"/>
    <w:link w:val="EndnoteText"/>
    <w:rsid w:val="0012790E"/>
    <w:rPr>
      <w:rFonts w:ascii="Arial" w:eastAsia="Times New Roman" w:hAnsi="Arial" w:cs="Times New Roman"/>
      <w:color w:val="000000"/>
      <w:kern w:val="0"/>
      <w:sz w:val="16"/>
      <w:szCs w:val="20"/>
      <w14:ligatures w14:val="none"/>
    </w:rPr>
  </w:style>
  <w:style w:type="paragraph" w:customStyle="1" w:styleId="AgencyNameContinued">
    <w:name w:val="AgencyNameContinued"/>
    <w:basedOn w:val="SummaryPortfolioTitle-BP2"/>
    <w:next w:val="Normal"/>
    <w:rsid w:val="0012790E"/>
    <w:rPr>
      <w:rFonts w:ascii="Helvetica" w:hAnsi="Helvetica"/>
      <w:caps w:val="0"/>
      <w:szCs w:val="16"/>
    </w:rPr>
  </w:style>
  <w:style w:type="paragraph" w:customStyle="1" w:styleId="MeasureTypeHeading">
    <w:name w:val="MeasureTypeHeading"/>
    <w:basedOn w:val="MeasureType"/>
    <w:rsid w:val="0012790E"/>
  </w:style>
  <w:style w:type="paragraph" w:customStyle="1" w:styleId="TableSummaryHeading">
    <w:name w:val="TableSummaryHeading"/>
    <w:basedOn w:val="PortfolioName"/>
    <w:rsid w:val="0012790E"/>
  </w:style>
  <w:style w:type="character" w:styleId="EndnoteReference">
    <w:name w:val="endnote reference"/>
    <w:rsid w:val="0012790E"/>
    <w:rPr>
      <w:vertAlign w:val="baseline"/>
    </w:rPr>
  </w:style>
  <w:style w:type="paragraph" w:customStyle="1" w:styleId="SummaryAgencyTitle-BP2">
    <w:name w:val="Summary Agency Title - BP2"/>
    <w:aliases w:val="The"/>
    <w:basedOn w:val="Normal"/>
    <w:rsid w:val="0012790E"/>
    <w:pPr>
      <w:keepLines/>
      <w:autoSpaceDE/>
      <w:autoSpaceDN/>
      <w:adjustRightInd/>
      <w:spacing w:before="20" w:after="20"/>
      <w:ind w:left="113" w:right="113" w:hanging="113"/>
    </w:pPr>
    <w:rPr>
      <w:i/>
      <w:sz w:val="16"/>
      <w:szCs w:val="16"/>
      <w:lang w:val="en-AU"/>
    </w:rPr>
  </w:style>
  <w:style w:type="paragraph" w:customStyle="1" w:styleId="FootnoteBullet">
    <w:name w:val="Footnote Bullet"/>
    <w:basedOn w:val="Bullet"/>
    <w:rsid w:val="0012790E"/>
    <w:pPr>
      <w:numPr>
        <w:numId w:val="21"/>
      </w:numPr>
      <w:spacing w:after="0" w:line="240" w:lineRule="auto"/>
    </w:pPr>
    <w:rPr>
      <w:rFonts w:ascii="Arial" w:hAnsi="Arial"/>
      <w:i/>
      <w:sz w:val="16"/>
    </w:rPr>
  </w:style>
  <w:style w:type="paragraph" w:customStyle="1" w:styleId="MeasureTypeCont">
    <w:name w:val="MeasureTypeCont"/>
    <w:basedOn w:val="Normal"/>
    <w:rsid w:val="0012790E"/>
    <w:pPr>
      <w:autoSpaceDE/>
      <w:autoSpaceDN/>
      <w:adjustRightInd/>
      <w:spacing w:before="120" w:after="20"/>
      <w:ind w:right="113"/>
    </w:pPr>
    <w:rPr>
      <w:rFonts w:cs="Times New Roman"/>
      <w:b/>
      <w:caps/>
      <w:sz w:val="16"/>
      <w:lang w:val="en-AU"/>
    </w:rPr>
  </w:style>
  <w:style w:type="paragraph" w:customStyle="1" w:styleId="TPHeading3bold">
    <w:name w:val="TP Heading 3 bold"/>
    <w:basedOn w:val="TPHeading3"/>
    <w:rsid w:val="0012790E"/>
    <w:rPr>
      <w:rFonts w:cs="Arial"/>
      <w:b/>
      <w:sz w:val="22"/>
      <w:szCs w:val="22"/>
    </w:rPr>
  </w:style>
  <w:style w:type="paragraph" w:customStyle="1" w:styleId="TPHEADING3boldspace">
    <w:name w:val="TP HEADING 3 bold space"/>
    <w:basedOn w:val="TPHeading3bold"/>
    <w:rsid w:val="0012790E"/>
    <w:pPr>
      <w:spacing w:after="120"/>
    </w:pPr>
  </w:style>
  <w:style w:type="paragraph" w:customStyle="1" w:styleId="TPHEADING3space">
    <w:name w:val="TP HEADING 3 space"/>
    <w:basedOn w:val="TPHeading3"/>
    <w:rsid w:val="0012790E"/>
    <w:pPr>
      <w:spacing w:before="120" w:after="120"/>
    </w:pPr>
    <w:rPr>
      <w:rFonts w:cs="Arial"/>
      <w:sz w:val="22"/>
      <w:szCs w:val="22"/>
    </w:rPr>
  </w:style>
  <w:style w:type="paragraph" w:customStyle="1" w:styleId="TPHeading4">
    <w:name w:val="TP Heading 4"/>
    <w:basedOn w:val="TPHeading3"/>
    <w:rsid w:val="0012790E"/>
    <w:rPr>
      <w:sz w:val="20"/>
    </w:rPr>
  </w:style>
  <w:style w:type="paragraph" w:customStyle="1" w:styleId="TPHEADING4space">
    <w:name w:val="TP HEADING 4 space"/>
    <w:basedOn w:val="TPHEADING3space"/>
    <w:rsid w:val="0012790E"/>
  </w:style>
  <w:style w:type="paragraph" w:customStyle="1" w:styleId="SourceBox">
    <w:name w:val="Source Box"/>
    <w:basedOn w:val="Source"/>
    <w:rsid w:val="0012790E"/>
    <w:pPr>
      <w:tabs>
        <w:tab w:val="left" w:pos="284"/>
      </w:tabs>
      <w:spacing w:after="120"/>
    </w:pPr>
  </w:style>
  <w:style w:type="character" w:customStyle="1" w:styleId="A5">
    <w:name w:val="A5"/>
    <w:uiPriority w:val="99"/>
    <w:rsid w:val="0012790E"/>
    <w:rPr>
      <w:rFonts w:cs="Swiss 721 BT"/>
      <w:color w:val="000000"/>
      <w:sz w:val="20"/>
      <w:szCs w:val="20"/>
    </w:rPr>
  </w:style>
  <w:style w:type="character" w:styleId="Hyperlink">
    <w:name w:val="Hyperlink"/>
    <w:uiPriority w:val="99"/>
    <w:unhideWhenUsed/>
    <w:rsid w:val="0012790E"/>
    <w:rPr>
      <w:color w:val="0000FF"/>
      <w:u w:val="single"/>
    </w:rPr>
  </w:style>
  <w:style w:type="paragraph" w:styleId="BalloonText">
    <w:name w:val="Balloon Text"/>
    <w:basedOn w:val="Normal"/>
    <w:link w:val="BalloonTextChar"/>
    <w:rsid w:val="0012790E"/>
    <w:pPr>
      <w:autoSpaceDE/>
      <w:autoSpaceDN/>
      <w:adjustRightInd/>
      <w:jc w:val="both"/>
    </w:pPr>
    <w:rPr>
      <w:rFonts w:ascii="Tahoma" w:hAnsi="Tahoma" w:cs="Tahoma"/>
      <w:sz w:val="16"/>
      <w:szCs w:val="16"/>
      <w:lang w:val="en-AU"/>
    </w:rPr>
  </w:style>
  <w:style w:type="character" w:customStyle="1" w:styleId="BalloonTextChar">
    <w:name w:val="Balloon Text Char"/>
    <w:link w:val="BalloonText"/>
    <w:rsid w:val="0012790E"/>
    <w:rPr>
      <w:rFonts w:ascii="Tahoma" w:eastAsia="Times New Roman" w:hAnsi="Tahoma" w:cs="Tahoma"/>
      <w:kern w:val="0"/>
      <w:sz w:val="16"/>
      <w:szCs w:val="16"/>
      <w14:ligatures w14:val="none"/>
    </w:rPr>
  </w:style>
  <w:style w:type="paragraph" w:styleId="NormalWeb">
    <w:name w:val="Normal (Web)"/>
    <w:basedOn w:val="Normal"/>
    <w:rsid w:val="0012790E"/>
    <w:pPr>
      <w:keepLines/>
      <w:autoSpaceDE/>
      <w:autoSpaceDN/>
      <w:adjustRightInd/>
      <w:spacing w:after="240" w:line="260" w:lineRule="exact"/>
      <w:jc w:val="both"/>
    </w:pPr>
    <w:rPr>
      <w:rFonts w:ascii="Times New Roman" w:hAnsi="Times New Roman" w:cs="Times New Roman"/>
      <w:sz w:val="24"/>
      <w:szCs w:val="24"/>
      <w:lang w:val="en-AU"/>
    </w:rPr>
  </w:style>
  <w:style w:type="paragraph" w:customStyle="1" w:styleId="AgencyNameContinuedAllcaps">
    <w:name w:val="AgencyNameContinued + All caps"/>
    <w:basedOn w:val="AgencyNameContinued"/>
    <w:qFormat/>
    <w:rsid w:val="0012790E"/>
  </w:style>
  <w:style w:type="paragraph" w:customStyle="1" w:styleId="MeasureTableTextRightAlignedBefore6ptAfter1pt">
    <w:name w:val="Measure Table Text Right Aligned + Before:  6 pt After:  1 pt"/>
    <w:basedOn w:val="MeasureTableTextRightAligned"/>
    <w:rsid w:val="0012790E"/>
    <w:pPr>
      <w:spacing w:before="120" w:after="20"/>
    </w:pPr>
    <w:rPr>
      <w:iCs/>
      <w:noProof/>
      <w:color w:val="000000"/>
      <w:szCs w:val="16"/>
    </w:rPr>
  </w:style>
  <w:style w:type="paragraph" w:customStyle="1" w:styleId="SummarytabletextleftalignedHelveticaBoldAllcaps">
    <w:name w:val="Summary table text left aligned + Helvetica Bold All caps ..."/>
    <w:basedOn w:val="Summarytabletextleftaligned"/>
    <w:rsid w:val="0012790E"/>
    <w:pPr>
      <w:spacing w:before="120"/>
    </w:pPr>
    <w:rPr>
      <w:b/>
      <w:iCs/>
    </w:rPr>
  </w:style>
  <w:style w:type="paragraph" w:customStyle="1" w:styleId="SummarytabletextleftalignedRightRight01cm">
    <w:name w:val="Summary table text left aligned + Right Right:  0.1 cm"/>
    <w:basedOn w:val="Summarytabletextleftaligned"/>
    <w:rsid w:val="0012790E"/>
    <w:pPr>
      <w:ind w:right="57"/>
      <w:jc w:val="right"/>
    </w:pPr>
    <w:rPr>
      <w:iCs/>
    </w:rPr>
  </w:style>
  <w:style w:type="paragraph" w:customStyle="1" w:styleId="SummarytabletextleftalignedRight01cm">
    <w:name w:val="Summary table text left aligned + Right:  0.1 cm"/>
    <w:basedOn w:val="Summarytabletextleftaligned"/>
    <w:qFormat/>
    <w:rsid w:val="0012790E"/>
    <w:pPr>
      <w:widowControl w:val="0"/>
      <w:tabs>
        <w:tab w:val="center" w:pos="3853"/>
      </w:tabs>
    </w:pPr>
  </w:style>
  <w:style w:type="paragraph" w:customStyle="1" w:styleId="Normal2">
    <w:name w:val="Normal2"/>
    <w:qFormat/>
    <w:rsid w:val="0012790E"/>
    <w:pPr>
      <w:spacing w:before="120" w:after="120" w:line="240" w:lineRule="exact"/>
    </w:pPr>
    <w:rPr>
      <w:rFonts w:ascii="Book Antiqua" w:eastAsia="Times New Roman" w:hAnsi="Book Antiqua" w:cs="Times New Roman"/>
      <w:kern w:val="0"/>
      <w:sz w:val="19"/>
      <w:szCs w:val="20"/>
      <w14:ligatures w14:val="none"/>
    </w:rPr>
  </w:style>
  <w:style w:type="paragraph" w:customStyle="1" w:styleId="FooterOdd">
    <w:name w:val="Footer Odd"/>
    <w:basedOn w:val="FooterBase"/>
    <w:qFormat/>
    <w:rsid w:val="0012790E"/>
    <w:pPr>
      <w:pBdr>
        <w:top w:val="single" w:sz="4" w:space="10" w:color="293F5B"/>
      </w:pBdr>
      <w:tabs>
        <w:tab w:val="center" w:pos="4153"/>
        <w:tab w:val="right" w:pos="8306"/>
      </w:tabs>
      <w:jc w:val="right"/>
    </w:pPr>
  </w:style>
  <w:style w:type="paragraph" w:customStyle="1" w:styleId="FooterEven">
    <w:name w:val="Footer Even"/>
    <w:basedOn w:val="FooterOdd"/>
    <w:qFormat/>
    <w:rsid w:val="0012790E"/>
    <w:pPr>
      <w:jc w:val="left"/>
    </w:pPr>
  </w:style>
  <w:style w:type="paragraph" w:customStyle="1" w:styleId="Style16">
    <w:name w:val="Style16"/>
    <w:basedOn w:val="Normal"/>
    <w:uiPriority w:val="99"/>
    <w:rsid w:val="0012790E"/>
    <w:pPr>
      <w:widowControl w:val="0"/>
      <w:tabs>
        <w:tab w:val="right" w:pos="7646"/>
      </w:tabs>
    </w:pPr>
  </w:style>
  <w:style w:type="paragraph" w:styleId="Revision">
    <w:name w:val="Revision"/>
    <w:hidden/>
    <w:uiPriority w:val="99"/>
    <w:semiHidden/>
    <w:rsid w:val="000734DE"/>
    <w:pPr>
      <w:spacing w:after="0" w:line="240" w:lineRule="auto"/>
    </w:pPr>
    <w:rPr>
      <w:rFonts w:ascii="Arial" w:eastAsia="Times New Roman" w:hAnsi="Arial" w:cs="Arial"/>
      <w:kern w:val="0"/>
      <w:sz w:val="20"/>
      <w:szCs w:val="20"/>
      <w:lang w:val="en-US"/>
      <w14:ligatures w14:val="none"/>
    </w:rPr>
  </w:style>
  <w:style w:type="character" w:styleId="CommentReference">
    <w:name w:val="annotation reference"/>
    <w:basedOn w:val="DefaultParagraphFont"/>
    <w:uiPriority w:val="99"/>
    <w:semiHidden/>
    <w:unhideWhenUsed/>
    <w:rsid w:val="00184BCE"/>
    <w:rPr>
      <w:sz w:val="16"/>
      <w:szCs w:val="16"/>
    </w:rPr>
  </w:style>
  <w:style w:type="paragraph" w:styleId="CommentText">
    <w:name w:val="annotation text"/>
    <w:basedOn w:val="Normal"/>
    <w:link w:val="CommentTextChar"/>
    <w:uiPriority w:val="99"/>
    <w:unhideWhenUsed/>
    <w:rsid w:val="00184BCE"/>
  </w:style>
  <w:style w:type="character" w:customStyle="1" w:styleId="CommentTextChar">
    <w:name w:val="Comment Text Char"/>
    <w:basedOn w:val="DefaultParagraphFont"/>
    <w:link w:val="CommentText"/>
    <w:uiPriority w:val="99"/>
    <w:rsid w:val="00184BCE"/>
    <w:rPr>
      <w:rFonts w:ascii="Arial" w:eastAsia="Times New Roman" w:hAnsi="Arial" w:cs="Arial"/>
      <w:kern w:val="0"/>
      <w:sz w:val="20"/>
      <w:szCs w:val="20"/>
      <w:lang w:val="en-US"/>
      <w14:ligatures w14:val="none"/>
    </w:rPr>
  </w:style>
  <w:style w:type="table" w:styleId="TableGrid">
    <w:name w:val="Table Grid"/>
    <w:basedOn w:val="TableNormal"/>
    <w:rsid w:val="003C2746"/>
    <w:pPr>
      <w:spacing w:after="240" w:line="260" w:lineRule="exact"/>
    </w:pPr>
    <w:rPr>
      <w:rFonts w:ascii="Arial"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17C3D"/>
    <w:rPr>
      <w:b/>
      <w:bCs/>
    </w:rPr>
  </w:style>
  <w:style w:type="character" w:customStyle="1" w:styleId="CommentSubjectChar">
    <w:name w:val="Comment Subject Char"/>
    <w:basedOn w:val="CommentTextChar"/>
    <w:link w:val="CommentSubject"/>
    <w:uiPriority w:val="99"/>
    <w:semiHidden/>
    <w:rsid w:val="00217C3D"/>
    <w:rPr>
      <w:rFonts w:ascii="Arial" w:eastAsia="Times New Roman" w:hAnsi="Arial" w:cs="Arial"/>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44.xml"/><Relationship Id="rId21" Type="http://schemas.openxmlformats.org/officeDocument/2006/relationships/header" Target="header5.xml"/><Relationship Id="rId42" Type="http://schemas.openxmlformats.org/officeDocument/2006/relationships/header" Target="header14.xml"/><Relationship Id="rId63" Type="http://schemas.openxmlformats.org/officeDocument/2006/relationships/footer" Target="footer31.xml"/><Relationship Id="rId84" Type="http://schemas.openxmlformats.org/officeDocument/2006/relationships/footer" Target="footer44.xml"/><Relationship Id="rId16" Type="http://schemas.openxmlformats.org/officeDocument/2006/relationships/header" Target="header3.xml"/><Relationship Id="rId107" Type="http://schemas.openxmlformats.org/officeDocument/2006/relationships/header" Target="header40.xml"/><Relationship Id="rId11" Type="http://schemas.openxmlformats.org/officeDocument/2006/relationships/header" Target="header1.xml"/><Relationship Id="rId32" Type="http://schemas.openxmlformats.org/officeDocument/2006/relationships/header" Target="header10.xml"/><Relationship Id="rId37" Type="http://schemas.openxmlformats.org/officeDocument/2006/relationships/header" Target="header12.xml"/><Relationship Id="rId53" Type="http://schemas.openxmlformats.org/officeDocument/2006/relationships/footer" Target="footer25.xml"/><Relationship Id="rId58" Type="http://schemas.openxmlformats.org/officeDocument/2006/relationships/footer" Target="footer28.xml"/><Relationship Id="rId74" Type="http://schemas.openxmlformats.org/officeDocument/2006/relationships/footer" Target="footer38.xml"/><Relationship Id="rId79" Type="http://schemas.openxmlformats.org/officeDocument/2006/relationships/footer" Target="footer41.xml"/><Relationship Id="rId102" Type="http://schemas.openxmlformats.org/officeDocument/2006/relationships/header" Target="header38.xml"/><Relationship Id="rId123" Type="http://schemas.openxmlformats.org/officeDocument/2006/relationships/footer" Target="footer67.xml"/><Relationship Id="rId128" Type="http://schemas.openxmlformats.org/officeDocument/2006/relationships/footer" Target="footer70.xml"/><Relationship Id="rId5" Type="http://schemas.openxmlformats.org/officeDocument/2006/relationships/numbering" Target="numbering.xml"/><Relationship Id="rId90" Type="http://schemas.openxmlformats.org/officeDocument/2006/relationships/footer" Target="footer48.xml"/><Relationship Id="rId95" Type="http://schemas.openxmlformats.org/officeDocument/2006/relationships/footer" Target="footer51.xml"/><Relationship Id="rId22" Type="http://schemas.openxmlformats.org/officeDocument/2006/relationships/header" Target="header6.xml"/><Relationship Id="rId27" Type="http://schemas.openxmlformats.org/officeDocument/2006/relationships/header" Target="header8.xml"/><Relationship Id="rId43" Type="http://schemas.openxmlformats.org/officeDocument/2006/relationships/footer" Target="footer19.xml"/><Relationship Id="rId48" Type="http://schemas.openxmlformats.org/officeDocument/2006/relationships/footer" Target="footer22.xml"/><Relationship Id="rId64" Type="http://schemas.openxmlformats.org/officeDocument/2006/relationships/footer" Target="footer32.xml"/><Relationship Id="rId69" Type="http://schemas.openxmlformats.org/officeDocument/2006/relationships/footer" Target="footer35.xml"/><Relationship Id="rId113" Type="http://schemas.openxmlformats.org/officeDocument/2006/relationships/footer" Target="footer61.xml"/><Relationship Id="rId118" Type="http://schemas.openxmlformats.org/officeDocument/2006/relationships/footer" Target="footer64.xml"/><Relationship Id="rId134" Type="http://schemas.openxmlformats.org/officeDocument/2006/relationships/footer" Target="footer74.xml"/><Relationship Id="rId80" Type="http://schemas.openxmlformats.org/officeDocument/2006/relationships/footer" Target="footer42.xml"/><Relationship Id="rId85" Type="http://schemas.openxmlformats.org/officeDocument/2006/relationships/footer" Target="footer45.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footer" Target="footer13.xml"/><Relationship Id="rId38" Type="http://schemas.openxmlformats.org/officeDocument/2006/relationships/footer" Target="footer16.xml"/><Relationship Id="rId59" Type="http://schemas.openxmlformats.org/officeDocument/2006/relationships/footer" Target="footer29.xml"/><Relationship Id="rId103" Type="http://schemas.openxmlformats.org/officeDocument/2006/relationships/footer" Target="footer55.xml"/><Relationship Id="rId108" Type="http://schemas.openxmlformats.org/officeDocument/2006/relationships/footer" Target="footer58.xml"/><Relationship Id="rId124" Type="http://schemas.openxmlformats.org/officeDocument/2006/relationships/footer" Target="footer68.xml"/><Relationship Id="rId129" Type="http://schemas.openxmlformats.org/officeDocument/2006/relationships/footer" Target="footer71.xml"/><Relationship Id="rId54" Type="http://schemas.openxmlformats.org/officeDocument/2006/relationships/footer" Target="footer26.xml"/><Relationship Id="rId70" Type="http://schemas.openxmlformats.org/officeDocument/2006/relationships/footer" Target="footer36.xml"/><Relationship Id="rId75" Type="http://schemas.openxmlformats.org/officeDocument/2006/relationships/footer" Target="footer39.xml"/><Relationship Id="rId91" Type="http://schemas.openxmlformats.org/officeDocument/2006/relationships/header" Target="header33.xml"/><Relationship Id="rId96"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7.xml"/><Relationship Id="rId28" Type="http://schemas.openxmlformats.org/officeDocument/2006/relationships/footer" Target="footer10.xml"/><Relationship Id="rId49" Type="http://schemas.openxmlformats.org/officeDocument/2006/relationships/footer" Target="footer23.xml"/><Relationship Id="rId114" Type="http://schemas.openxmlformats.org/officeDocument/2006/relationships/footer" Target="footer62.xml"/><Relationship Id="rId119" Type="http://schemas.openxmlformats.org/officeDocument/2006/relationships/footer" Target="footer65.xml"/><Relationship Id="rId44" Type="http://schemas.openxmlformats.org/officeDocument/2006/relationships/footer" Target="footer20.xml"/><Relationship Id="rId60" Type="http://schemas.openxmlformats.org/officeDocument/2006/relationships/footer" Target="footer30.xml"/><Relationship Id="rId65" Type="http://schemas.openxmlformats.org/officeDocument/2006/relationships/footer" Target="footer33.xml"/><Relationship Id="rId81" Type="http://schemas.openxmlformats.org/officeDocument/2006/relationships/header" Target="header29.xml"/><Relationship Id="rId86" Type="http://schemas.openxmlformats.org/officeDocument/2006/relationships/header" Target="header31.xml"/><Relationship Id="rId130" Type="http://schemas.openxmlformats.org/officeDocument/2006/relationships/footer" Target="footer72.xml"/><Relationship Id="rId135" Type="http://schemas.openxmlformats.org/officeDocument/2006/relationships/footer" Target="footer75.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footer" Target="footer17.xml"/><Relationship Id="rId109" Type="http://schemas.openxmlformats.org/officeDocument/2006/relationships/footer" Target="footer59.xml"/><Relationship Id="rId34" Type="http://schemas.openxmlformats.org/officeDocument/2006/relationships/footer" Target="footer14.xml"/><Relationship Id="rId50" Type="http://schemas.openxmlformats.org/officeDocument/2006/relationships/footer" Target="footer24.xml"/><Relationship Id="rId55" Type="http://schemas.openxmlformats.org/officeDocument/2006/relationships/footer" Target="footer27.xml"/><Relationship Id="rId76" Type="http://schemas.openxmlformats.org/officeDocument/2006/relationships/header" Target="header27.xml"/><Relationship Id="rId97" Type="http://schemas.openxmlformats.org/officeDocument/2006/relationships/header" Target="header36.xml"/><Relationship Id="rId104" Type="http://schemas.openxmlformats.org/officeDocument/2006/relationships/footer" Target="footer56.xml"/><Relationship Id="rId120" Type="http://schemas.openxmlformats.org/officeDocument/2006/relationships/footer" Target="footer66.xml"/><Relationship Id="rId125" Type="http://schemas.openxmlformats.org/officeDocument/2006/relationships/footer" Target="footer69.xml"/><Relationship Id="rId7" Type="http://schemas.openxmlformats.org/officeDocument/2006/relationships/settings" Target="settings.xml"/><Relationship Id="rId71" Type="http://schemas.openxmlformats.org/officeDocument/2006/relationships/header" Target="header25.xml"/><Relationship Id="rId92" Type="http://schemas.openxmlformats.org/officeDocument/2006/relationships/header" Target="header34.xml"/><Relationship Id="rId2" Type="http://schemas.openxmlformats.org/officeDocument/2006/relationships/customXml" Target="../customXml/item2.xml"/><Relationship Id="rId29" Type="http://schemas.openxmlformats.org/officeDocument/2006/relationships/footer" Target="footer11.xml"/><Relationship Id="rId24" Type="http://schemas.openxmlformats.org/officeDocument/2006/relationships/footer" Target="footer8.xml"/><Relationship Id="rId40" Type="http://schemas.openxmlformats.org/officeDocument/2006/relationships/footer" Target="footer18.xml"/><Relationship Id="rId45" Type="http://schemas.openxmlformats.org/officeDocument/2006/relationships/footer" Target="footer21.xml"/><Relationship Id="rId66" Type="http://schemas.openxmlformats.org/officeDocument/2006/relationships/header" Target="header23.xml"/><Relationship Id="rId87" Type="http://schemas.openxmlformats.org/officeDocument/2006/relationships/header" Target="header32.xml"/><Relationship Id="rId110" Type="http://schemas.openxmlformats.org/officeDocument/2006/relationships/footer" Target="footer60.xml"/><Relationship Id="rId115" Type="http://schemas.openxmlformats.org/officeDocument/2006/relationships/footer" Target="footer63.xml"/><Relationship Id="rId131" Type="http://schemas.openxmlformats.org/officeDocument/2006/relationships/header" Target="header49.xml"/><Relationship Id="rId136" Type="http://schemas.openxmlformats.org/officeDocument/2006/relationships/fontTable" Target="fontTable.xml"/><Relationship Id="rId61" Type="http://schemas.openxmlformats.org/officeDocument/2006/relationships/header" Target="header21.xml"/><Relationship Id="rId82" Type="http://schemas.openxmlformats.org/officeDocument/2006/relationships/header" Target="header30.xml"/><Relationship Id="rId19" Type="http://schemas.openxmlformats.org/officeDocument/2006/relationships/footer" Target="footer5.xml"/><Relationship Id="rId14" Type="http://schemas.openxmlformats.org/officeDocument/2006/relationships/footer" Target="footer2.xml"/><Relationship Id="rId30" Type="http://schemas.openxmlformats.org/officeDocument/2006/relationships/footer" Target="footer12.xml"/><Relationship Id="rId35" Type="http://schemas.openxmlformats.org/officeDocument/2006/relationships/footer" Target="footer15.xml"/><Relationship Id="rId56" Type="http://schemas.openxmlformats.org/officeDocument/2006/relationships/header" Target="header19.xml"/><Relationship Id="rId77" Type="http://schemas.openxmlformats.org/officeDocument/2006/relationships/header" Target="header28.xml"/><Relationship Id="rId100" Type="http://schemas.openxmlformats.org/officeDocument/2006/relationships/footer" Target="footer54.xml"/><Relationship Id="rId105" Type="http://schemas.openxmlformats.org/officeDocument/2006/relationships/footer" Target="footer57.xml"/><Relationship Id="rId126" Type="http://schemas.openxmlformats.org/officeDocument/2006/relationships/header" Target="header47.xml"/><Relationship Id="rId8" Type="http://schemas.openxmlformats.org/officeDocument/2006/relationships/webSettings" Target="webSettings.xml"/><Relationship Id="rId51" Type="http://schemas.openxmlformats.org/officeDocument/2006/relationships/header" Target="header17.xml"/><Relationship Id="rId72" Type="http://schemas.openxmlformats.org/officeDocument/2006/relationships/header" Target="header26.xml"/><Relationship Id="rId93" Type="http://schemas.openxmlformats.org/officeDocument/2006/relationships/footer" Target="footer49.xml"/><Relationship Id="rId98" Type="http://schemas.openxmlformats.org/officeDocument/2006/relationships/footer" Target="footer52.xml"/><Relationship Id="rId121" Type="http://schemas.openxmlformats.org/officeDocument/2006/relationships/header" Target="header45.xml"/><Relationship Id="rId3" Type="http://schemas.openxmlformats.org/officeDocument/2006/relationships/customXml" Target="../customXml/item3.xml"/><Relationship Id="rId25" Type="http://schemas.openxmlformats.org/officeDocument/2006/relationships/footer" Target="footer9.xml"/><Relationship Id="rId46" Type="http://schemas.openxmlformats.org/officeDocument/2006/relationships/header" Target="header15.xml"/><Relationship Id="rId67" Type="http://schemas.openxmlformats.org/officeDocument/2006/relationships/header" Target="header24.xml"/><Relationship Id="rId116" Type="http://schemas.openxmlformats.org/officeDocument/2006/relationships/header" Target="header43.xml"/><Relationship Id="rId137"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header" Target="header13.xml"/><Relationship Id="rId62" Type="http://schemas.openxmlformats.org/officeDocument/2006/relationships/header" Target="header22.xml"/><Relationship Id="rId83" Type="http://schemas.openxmlformats.org/officeDocument/2006/relationships/footer" Target="footer43.xml"/><Relationship Id="rId88" Type="http://schemas.openxmlformats.org/officeDocument/2006/relationships/footer" Target="footer46.xml"/><Relationship Id="rId111" Type="http://schemas.openxmlformats.org/officeDocument/2006/relationships/header" Target="header41.xml"/><Relationship Id="rId132" Type="http://schemas.openxmlformats.org/officeDocument/2006/relationships/header" Target="header50.xml"/><Relationship Id="rId15" Type="http://schemas.openxmlformats.org/officeDocument/2006/relationships/footer" Target="footer3.xml"/><Relationship Id="rId36" Type="http://schemas.openxmlformats.org/officeDocument/2006/relationships/header" Target="header11.xml"/><Relationship Id="rId57" Type="http://schemas.openxmlformats.org/officeDocument/2006/relationships/header" Target="header20.xml"/><Relationship Id="rId106" Type="http://schemas.openxmlformats.org/officeDocument/2006/relationships/header" Target="header39.xml"/><Relationship Id="rId127" Type="http://schemas.openxmlformats.org/officeDocument/2006/relationships/header" Target="header48.xml"/><Relationship Id="rId10" Type="http://schemas.openxmlformats.org/officeDocument/2006/relationships/endnotes" Target="endnotes.xml"/><Relationship Id="rId31" Type="http://schemas.openxmlformats.org/officeDocument/2006/relationships/header" Target="header9.xml"/><Relationship Id="rId52" Type="http://schemas.openxmlformats.org/officeDocument/2006/relationships/header" Target="header18.xml"/><Relationship Id="rId73" Type="http://schemas.openxmlformats.org/officeDocument/2006/relationships/footer" Target="footer37.xml"/><Relationship Id="rId78" Type="http://schemas.openxmlformats.org/officeDocument/2006/relationships/footer" Target="footer40.xml"/><Relationship Id="rId94" Type="http://schemas.openxmlformats.org/officeDocument/2006/relationships/footer" Target="footer50.xml"/><Relationship Id="rId99" Type="http://schemas.openxmlformats.org/officeDocument/2006/relationships/footer" Target="footer53.xml"/><Relationship Id="rId101" Type="http://schemas.openxmlformats.org/officeDocument/2006/relationships/header" Target="header37.xml"/><Relationship Id="rId122" Type="http://schemas.openxmlformats.org/officeDocument/2006/relationships/header" Target="header46.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7.xml"/><Relationship Id="rId47" Type="http://schemas.openxmlformats.org/officeDocument/2006/relationships/header" Target="header16.xml"/><Relationship Id="rId68" Type="http://schemas.openxmlformats.org/officeDocument/2006/relationships/footer" Target="footer34.xml"/><Relationship Id="rId89" Type="http://schemas.openxmlformats.org/officeDocument/2006/relationships/footer" Target="footer47.xml"/><Relationship Id="rId112" Type="http://schemas.openxmlformats.org/officeDocument/2006/relationships/header" Target="header42.xml"/><Relationship Id="rId133" Type="http://schemas.openxmlformats.org/officeDocument/2006/relationships/footer" Target="footer7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3.png"/></Relationships>
</file>

<file path=word/_rels/header21.xml.rels><?xml version="1.0" encoding="UTF-8" standalone="yes"?>
<Relationships xmlns="http://schemas.openxmlformats.org/package/2006/relationships"><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3.png"/></Relationships>
</file>

<file path=word/_rels/header25.xml.rels><?xml version="1.0" encoding="UTF-8" standalone="yes"?>
<Relationships xmlns="http://schemas.openxmlformats.org/package/2006/relationships"><Relationship Id="rId1" Type="http://schemas.openxmlformats.org/officeDocument/2006/relationships/image" Target="media/image3.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3.png"/></Relationships>
</file>

<file path=word/_rels/header29.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3.png"/></Relationships>
</file>

<file path=word/_rels/header33.xml.rels><?xml version="1.0" encoding="UTF-8" standalone="yes"?>
<Relationships xmlns="http://schemas.openxmlformats.org/package/2006/relationships"><Relationship Id="rId1" Type="http://schemas.openxmlformats.org/officeDocument/2006/relationships/image" Target="media/image3.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3.png"/></Relationships>
</file>

<file path=word/_rels/header37.xml.rels><?xml version="1.0" encoding="UTF-8" standalone="yes"?>
<Relationships xmlns="http://schemas.openxmlformats.org/package/2006/relationships"><Relationship Id="rId1" Type="http://schemas.openxmlformats.org/officeDocument/2006/relationships/image" Target="media/image3.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3.png"/></Relationships>
</file>

<file path=word/_rels/header41.xml.rels><?xml version="1.0" encoding="UTF-8" standalone="yes"?>
<Relationships xmlns="http://schemas.openxmlformats.org/package/2006/relationships"><Relationship Id="rId1" Type="http://schemas.openxmlformats.org/officeDocument/2006/relationships/image" Target="media/image3.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3.png"/></Relationships>
</file>

<file path=word/_rels/header45.xml.rels><?xml version="1.0" encoding="UTF-8" standalone="yes"?>
<Relationships xmlns="http://schemas.openxmlformats.org/package/2006/relationships"><Relationship Id="rId1" Type="http://schemas.openxmlformats.org/officeDocument/2006/relationships/image" Target="media/image3.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3.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44fe85f-b655-4145-9b20-543b75dc1c24" xsi:nil="true"/>
    <lcf76f155ced4ddcb4097134ff3c332f xmlns="9115ddca-c623-419f-a3c0-6a1c58c4dac8">
      <Terms xmlns="http://schemas.microsoft.com/office/infopath/2007/PartnerControls"/>
    </lcf76f155ced4ddcb4097134ff3c332f>
    <_Flow_SignoffStatus xmlns="9115ddca-c623-419f-a3c0-6a1c58c4dac8" xsi:nil="true"/>
    <MudmapEVID xmlns="9115ddca-c623-419f-a3c0-6a1c58c4dac8" xsi:nil="true"/>
    <Status xmlns="9115ddca-c623-419f-a3c0-6a1c58c4dac8" xsi:nil="true"/>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34B04-DBDB-441A-9056-DE97E04CC197}">
  <ds:schemaRefs>
    <ds:schemaRef ds:uri="http://schemas.microsoft.com/sharepoint/v3/contenttype/forms"/>
  </ds:schemaRefs>
</ds:datastoreItem>
</file>

<file path=customXml/itemProps2.xml><?xml version="1.0" encoding="utf-8"?>
<ds:datastoreItem xmlns:ds="http://schemas.openxmlformats.org/officeDocument/2006/customXml" ds:itemID="{8FF52921-E9BD-46E5-80BE-4B11CB0DC418}">
  <ds:schemaRefs>
    <ds:schemaRef ds:uri="http://schemas.openxmlformats.org/officeDocument/2006/bibliography"/>
  </ds:schemaRefs>
</ds:datastoreItem>
</file>

<file path=customXml/itemProps3.xml><?xml version="1.0" encoding="utf-8"?>
<ds:datastoreItem xmlns:ds="http://schemas.openxmlformats.org/officeDocument/2006/customXml" ds:itemID="{2F1E0B44-D6B2-4918-8CB8-3010CEEF4530}">
  <ds:schemaRefs>
    <ds:schemaRef ds:uri="http://www.w3.org/XML/1998/namespace"/>
    <ds:schemaRef ds:uri="http://schemas.microsoft.com/office/2006/documentManagement/types"/>
    <ds:schemaRef ds:uri="http://schemas.microsoft.com/office/2006/metadata/properties"/>
    <ds:schemaRef ds:uri="244fe85f-b655-4145-9b20-543b75dc1c24"/>
    <ds:schemaRef ds:uri="http://schemas.openxmlformats.org/package/2006/metadata/core-properties"/>
    <ds:schemaRef ds:uri="http://schemas.microsoft.com/office/infopath/2007/PartnerControls"/>
    <ds:schemaRef ds:uri="9115ddca-c623-419f-a3c0-6a1c58c4dac8"/>
    <ds:schemaRef ds:uri="http://purl.org/dc/terms/"/>
    <ds:schemaRef ds:uri="http://purl.org/dc/elements/1.1/"/>
    <ds:schemaRef ds:uri="http://schemas.microsoft.com/sharepoint/v3"/>
    <ds:schemaRef ds:uri="http://purl.org/dc/dcmitype/"/>
  </ds:schemaRefs>
</ds:datastoreItem>
</file>

<file path=customXml/itemProps4.xml><?xml version="1.0" encoding="utf-8"?>
<ds:datastoreItem xmlns:ds="http://schemas.openxmlformats.org/officeDocument/2006/customXml" ds:itemID="{0FCE7DFE-7445-4F57-B531-0DB04F1E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89</Pages>
  <Words>54795</Words>
  <Characters>303020</Characters>
  <Application>Microsoft Office Word</Application>
  <DocSecurity>0</DocSecurity>
  <Lines>15948</Lines>
  <Paragraphs>12338</Paragraphs>
  <ScaleCrop>false</ScaleCrop>
  <HeadingPairs>
    <vt:vector size="2" baseType="variant">
      <vt:variant>
        <vt:lpstr>Title</vt:lpstr>
      </vt:variant>
      <vt:variant>
        <vt:i4>1</vt:i4>
      </vt:variant>
    </vt:vector>
  </HeadingPairs>
  <TitlesOfParts>
    <vt:vector size="1" baseType="lpstr">
      <vt:lpstr>Budget Paper No. 2</vt:lpstr>
    </vt:vector>
  </TitlesOfParts>
  <Company/>
  <LinksUpToDate>false</LinksUpToDate>
  <CharactersWithSpaces>345477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2</dc:title>
  <dc:subject>Budget Measures</dc:subject>
  <dc:creator>Australian Government</dc:creator>
  <cp:keywords/>
  <dc:description/>
  <cp:lastModifiedBy>van der Hoeven, Megan</cp:lastModifiedBy>
  <cp:revision>411</cp:revision>
  <cp:lastPrinted>2024-05-12T04:27:00Z</cp:lastPrinted>
  <dcterms:created xsi:type="dcterms:W3CDTF">2024-05-10T07:03:00Z</dcterms:created>
  <dcterms:modified xsi:type="dcterms:W3CDTF">2024-05-13T05:03:00Z</dcterms:modified>
  <cp:category/>
</cp:coreProperties>
</file>