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1077" w14:textId="03502F2C" w:rsidR="0075268B" w:rsidRPr="00033E8F" w:rsidRDefault="0075268B" w:rsidP="0075268B">
      <w:pPr>
        <w:spacing w:line="240" w:lineRule="auto"/>
      </w:pPr>
      <w:r w:rsidRPr="00033E8F">
        <w:rPr>
          <w:noProof/>
        </w:rPr>
        <w:drawing>
          <wp:inline distT="0" distB="0" distL="0" distR="0" wp14:anchorId="3C29924A" wp14:editId="7801BE04">
            <wp:extent cx="1271224" cy="1282941"/>
            <wp:effectExtent l="0" t="0" r="5715"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1224" cy="1282941"/>
                    </a:xfrm>
                    <a:prstGeom prst="rect">
                      <a:avLst/>
                    </a:prstGeom>
                  </pic:spPr>
                </pic:pic>
              </a:graphicData>
            </a:graphic>
          </wp:inline>
        </w:drawing>
      </w:r>
    </w:p>
    <w:p w14:paraId="5AD3910D" w14:textId="77777777" w:rsidR="0075268B" w:rsidRPr="00033E8F" w:rsidRDefault="0075268B" w:rsidP="0075268B">
      <w:pPr>
        <w:spacing w:after="720" w:line="240" w:lineRule="auto"/>
      </w:pPr>
    </w:p>
    <w:p w14:paraId="0170882D" w14:textId="77777777" w:rsidR="0075268B" w:rsidRPr="00033E8F" w:rsidRDefault="0075268B" w:rsidP="0075268B">
      <w:pPr>
        <w:keepNext/>
        <w:spacing w:before="0" w:after="0" w:line="240" w:lineRule="auto"/>
        <w:rPr>
          <w:rFonts w:asciiTheme="majorHAnsi" w:hAnsiTheme="majorHAnsi" w:cstheme="majorHAnsi"/>
          <w:b/>
          <w:bCs/>
          <w:sz w:val="32"/>
          <w:szCs w:val="32"/>
        </w:rPr>
      </w:pPr>
      <w:r w:rsidRPr="00033E8F">
        <w:rPr>
          <w:rFonts w:asciiTheme="majorHAnsi" w:hAnsiTheme="majorHAnsi" w:cstheme="majorHAnsi"/>
          <w:b/>
          <w:bCs/>
          <w:sz w:val="32"/>
          <w:szCs w:val="32"/>
        </w:rPr>
        <w:t>FEDERAL FINANCIAL RELATIONS</w:t>
      </w:r>
    </w:p>
    <w:p w14:paraId="5524E1C4" w14:textId="77777777" w:rsidR="0075268B" w:rsidRPr="00033E8F" w:rsidRDefault="0075268B" w:rsidP="0075268B">
      <w:pPr>
        <w:keepNext/>
        <w:spacing w:before="0" w:after="0" w:line="240" w:lineRule="auto"/>
        <w:rPr>
          <w:rFonts w:asciiTheme="majorHAnsi" w:hAnsiTheme="majorHAnsi" w:cstheme="majorHAnsi"/>
          <w:sz w:val="32"/>
          <w:szCs w:val="32"/>
        </w:rPr>
      </w:pPr>
      <w:r w:rsidRPr="00033E8F">
        <w:rPr>
          <w:rFonts w:asciiTheme="majorHAnsi" w:hAnsiTheme="majorHAnsi" w:cstheme="majorHAnsi"/>
          <w:sz w:val="32"/>
          <w:szCs w:val="32"/>
        </w:rPr>
        <w:t>BUDGET PAPER NO. 3</w:t>
      </w:r>
    </w:p>
    <w:p w14:paraId="02F5F79F" w14:textId="77777777" w:rsidR="0075268B" w:rsidRPr="00033E8F" w:rsidRDefault="0075268B" w:rsidP="0075268B">
      <w:pPr>
        <w:spacing w:before="3000" w:after="120" w:line="240" w:lineRule="auto"/>
        <w:rPr>
          <w:rFonts w:asciiTheme="majorHAnsi" w:hAnsiTheme="majorHAnsi" w:cstheme="majorHAnsi"/>
        </w:rPr>
      </w:pPr>
    </w:p>
    <w:p w14:paraId="31293E6B" w14:textId="77777777" w:rsidR="0075268B" w:rsidRPr="00033E8F" w:rsidRDefault="0075268B" w:rsidP="0075268B">
      <w:pPr>
        <w:keepNext/>
        <w:spacing w:before="120" w:after="120" w:line="240" w:lineRule="auto"/>
        <w:rPr>
          <w:rFonts w:asciiTheme="majorHAnsi" w:hAnsiTheme="majorHAnsi" w:cs="Arial"/>
          <w:sz w:val="20"/>
        </w:rPr>
      </w:pPr>
      <w:r w:rsidRPr="00033E8F">
        <w:rPr>
          <w:rFonts w:asciiTheme="majorHAnsi" w:hAnsiTheme="majorHAnsi" w:cs="Arial"/>
          <w:sz w:val="20"/>
        </w:rPr>
        <w:t>Circulated by</w:t>
      </w:r>
    </w:p>
    <w:p w14:paraId="164C566F" w14:textId="77777777" w:rsidR="0075268B" w:rsidRPr="00033E8F" w:rsidRDefault="0075268B" w:rsidP="0075268B">
      <w:pPr>
        <w:keepNext/>
        <w:spacing w:before="120" w:after="0" w:line="240" w:lineRule="auto"/>
        <w:rPr>
          <w:rFonts w:asciiTheme="majorHAnsi" w:hAnsiTheme="majorHAnsi" w:cs="Arial"/>
          <w:b/>
          <w:bCs/>
          <w:sz w:val="20"/>
        </w:rPr>
      </w:pPr>
      <w:r w:rsidRPr="00033E8F">
        <w:rPr>
          <w:rFonts w:asciiTheme="majorHAnsi" w:hAnsiTheme="majorHAnsi" w:cs="Arial"/>
          <w:b/>
          <w:bCs/>
          <w:sz w:val="20"/>
        </w:rPr>
        <w:t>The Honourable Jim Chalmers</w:t>
      </w:r>
      <w:r w:rsidRPr="00033E8F">
        <w:rPr>
          <w:rFonts w:asciiTheme="majorHAnsi" w:hAnsiTheme="majorHAnsi"/>
          <w:b/>
          <w:bCs/>
          <w:sz w:val="20"/>
        </w:rPr>
        <w:t xml:space="preserve"> </w:t>
      </w:r>
      <w:r w:rsidRPr="00033E8F">
        <w:rPr>
          <w:rFonts w:asciiTheme="majorHAnsi" w:hAnsiTheme="majorHAnsi" w:cs="Arial"/>
          <w:b/>
          <w:bCs/>
          <w:sz w:val="20"/>
        </w:rPr>
        <w:t>MP</w:t>
      </w:r>
    </w:p>
    <w:p w14:paraId="099C965A" w14:textId="77777777" w:rsidR="0075268B" w:rsidRPr="00033E8F" w:rsidRDefault="0075268B" w:rsidP="0075268B">
      <w:pPr>
        <w:keepNext/>
        <w:spacing w:before="0" w:after="120" w:line="240" w:lineRule="auto"/>
        <w:rPr>
          <w:rFonts w:asciiTheme="majorHAnsi" w:hAnsiTheme="majorHAnsi" w:cs="Arial"/>
          <w:sz w:val="20"/>
        </w:rPr>
      </w:pPr>
      <w:r w:rsidRPr="00033E8F">
        <w:rPr>
          <w:rFonts w:asciiTheme="majorHAnsi" w:hAnsiTheme="majorHAnsi" w:cs="Arial"/>
          <w:sz w:val="20"/>
        </w:rPr>
        <w:t>Treasurer of the Commonwealth of Australia</w:t>
      </w:r>
    </w:p>
    <w:p w14:paraId="5740ACBF" w14:textId="77777777" w:rsidR="0075268B" w:rsidRPr="00033E8F" w:rsidRDefault="0075268B" w:rsidP="0075268B">
      <w:pPr>
        <w:keepNext/>
        <w:spacing w:before="120" w:after="120" w:line="240" w:lineRule="auto"/>
        <w:rPr>
          <w:rFonts w:asciiTheme="majorHAnsi" w:hAnsiTheme="majorHAnsi" w:cs="Arial"/>
          <w:sz w:val="20"/>
        </w:rPr>
      </w:pPr>
      <w:r w:rsidRPr="00033E8F">
        <w:rPr>
          <w:rFonts w:asciiTheme="majorHAnsi" w:hAnsiTheme="majorHAnsi" w:cs="Arial"/>
          <w:sz w:val="20"/>
        </w:rPr>
        <w:t>and</w:t>
      </w:r>
    </w:p>
    <w:p w14:paraId="6730021D" w14:textId="77777777" w:rsidR="0075268B" w:rsidRPr="00033E8F" w:rsidRDefault="0075268B" w:rsidP="0075268B">
      <w:pPr>
        <w:keepNext/>
        <w:spacing w:before="120" w:after="0" w:line="240" w:lineRule="auto"/>
        <w:rPr>
          <w:rFonts w:asciiTheme="majorHAnsi" w:hAnsiTheme="majorHAnsi" w:cs="Arial"/>
          <w:b/>
          <w:bCs/>
          <w:sz w:val="20"/>
        </w:rPr>
      </w:pPr>
      <w:r w:rsidRPr="00033E8F">
        <w:rPr>
          <w:rFonts w:asciiTheme="majorHAnsi" w:hAnsiTheme="majorHAnsi" w:cs="Arial"/>
          <w:b/>
          <w:bCs/>
          <w:sz w:val="20"/>
        </w:rPr>
        <w:t>Senator the Honourable Katy Gallagher</w:t>
      </w:r>
    </w:p>
    <w:p w14:paraId="37CDED80" w14:textId="77777777" w:rsidR="0075268B" w:rsidRPr="00033E8F" w:rsidRDefault="0075268B" w:rsidP="0075268B">
      <w:pPr>
        <w:keepNext/>
        <w:spacing w:before="0" w:after="120" w:line="240" w:lineRule="auto"/>
        <w:rPr>
          <w:rFonts w:asciiTheme="majorHAnsi" w:hAnsiTheme="majorHAnsi" w:cs="Arial"/>
          <w:sz w:val="20"/>
        </w:rPr>
      </w:pPr>
      <w:r w:rsidRPr="00033E8F">
        <w:rPr>
          <w:rFonts w:asciiTheme="majorHAnsi" w:hAnsiTheme="majorHAnsi" w:cs="Arial"/>
          <w:sz w:val="20"/>
        </w:rPr>
        <w:t xml:space="preserve">Minister for Finance, Minister for Women, </w:t>
      </w:r>
      <w:r w:rsidRPr="00033E8F">
        <w:rPr>
          <w:rFonts w:asciiTheme="majorHAnsi" w:hAnsiTheme="majorHAnsi" w:cs="Arial"/>
          <w:sz w:val="20"/>
        </w:rPr>
        <w:br/>
        <w:t>Minister for the Public Service of the Commonwealth of Australia</w:t>
      </w:r>
    </w:p>
    <w:p w14:paraId="721D0E9B" w14:textId="77777777" w:rsidR="0075268B" w:rsidRPr="00033E8F" w:rsidRDefault="0075268B" w:rsidP="0075268B">
      <w:pPr>
        <w:keepNext/>
        <w:spacing w:before="0" w:after="0" w:line="240" w:lineRule="auto"/>
        <w:rPr>
          <w:rFonts w:asciiTheme="majorHAnsi" w:hAnsiTheme="majorHAnsi" w:cs="Arial"/>
          <w:sz w:val="20"/>
        </w:rPr>
      </w:pPr>
    </w:p>
    <w:p w14:paraId="5FC6389B" w14:textId="4E9533C8" w:rsidR="0075268B" w:rsidRPr="00033E8F" w:rsidRDefault="0075268B" w:rsidP="0075268B">
      <w:pPr>
        <w:keepNext/>
        <w:spacing w:before="0" w:after="120" w:line="240" w:lineRule="auto"/>
        <w:rPr>
          <w:rFonts w:asciiTheme="majorHAnsi" w:hAnsiTheme="majorHAnsi" w:cs="Arial"/>
          <w:sz w:val="20"/>
        </w:rPr>
      </w:pPr>
      <w:r w:rsidRPr="00033E8F">
        <w:rPr>
          <w:rFonts w:asciiTheme="majorHAnsi" w:hAnsiTheme="majorHAnsi" w:cs="Arial"/>
          <w:sz w:val="20"/>
        </w:rPr>
        <w:t>For the information of honourable members</w:t>
      </w:r>
      <w:r w:rsidRPr="00033E8F">
        <w:rPr>
          <w:rFonts w:asciiTheme="majorHAnsi" w:hAnsiTheme="majorHAnsi" w:cs="Arial"/>
          <w:sz w:val="20"/>
        </w:rPr>
        <w:br/>
        <w:t>on the occasion of the Budget 2024</w:t>
      </w:r>
      <w:r w:rsidRPr="00033E8F">
        <w:rPr>
          <w:rFonts w:asciiTheme="majorHAnsi" w:hAnsiTheme="majorHAnsi"/>
          <w:sz w:val="20"/>
        </w:rPr>
        <w:t>–</w:t>
      </w:r>
      <w:r w:rsidRPr="00033E8F">
        <w:rPr>
          <w:rFonts w:asciiTheme="majorHAnsi" w:hAnsiTheme="majorHAnsi" w:cs="Arial"/>
          <w:sz w:val="20"/>
        </w:rPr>
        <w:t>25</w:t>
      </w:r>
    </w:p>
    <w:p w14:paraId="52768C84" w14:textId="36276BFC" w:rsidR="0075268B" w:rsidRPr="00033E8F" w:rsidRDefault="0075268B" w:rsidP="0075268B">
      <w:pPr>
        <w:autoSpaceDE w:val="0"/>
        <w:autoSpaceDN w:val="0"/>
        <w:adjustRightInd w:val="0"/>
        <w:spacing w:before="120" w:after="120" w:line="240" w:lineRule="auto"/>
      </w:pPr>
      <w:r w:rsidRPr="00033E8F">
        <w:rPr>
          <w:rFonts w:asciiTheme="majorHAnsi" w:hAnsiTheme="majorHAnsi" w:cs="Arial"/>
          <w:b/>
          <w:bCs/>
          <w:spacing w:val="-10"/>
          <w:sz w:val="20"/>
        </w:rPr>
        <w:t>14 May 2024</w:t>
      </w:r>
    </w:p>
    <w:p w14:paraId="28F9879C" w14:textId="77777777" w:rsidR="0075268B" w:rsidRPr="00033E8F" w:rsidRDefault="0075268B" w:rsidP="0075268B">
      <w:pPr>
        <w:sectPr w:rsidR="0075268B" w:rsidRPr="00033E8F" w:rsidSect="00A72007">
          <w:headerReference w:type="even" r:id="rId12"/>
          <w:headerReference w:type="default" r:id="rId13"/>
          <w:footerReference w:type="even" r:id="rId14"/>
          <w:footerReference w:type="default" r:id="rId15"/>
          <w:pgSz w:w="11906" w:h="16838" w:code="9"/>
          <w:pgMar w:top="2835" w:right="2098" w:bottom="2466" w:left="2098" w:header="1814" w:footer="1814" w:gutter="0"/>
          <w:pgNumType w:fmt="lowerRoman"/>
          <w:cols w:space="708"/>
          <w:titlePg/>
          <w:docGrid w:linePitch="360"/>
        </w:sectPr>
      </w:pPr>
    </w:p>
    <w:p w14:paraId="07D4357B" w14:textId="3EDF29B1" w:rsidR="0075268B" w:rsidRPr="00033E8F" w:rsidRDefault="0075268B" w:rsidP="0075268B">
      <w:pPr>
        <w:spacing w:after="140"/>
        <w:rPr>
          <w:spacing w:val="-2"/>
        </w:rPr>
      </w:pPr>
      <w:r w:rsidRPr="00033E8F">
        <w:lastRenderedPageBreak/>
        <w:t>© Commonwealth of Australia 2024</w:t>
      </w:r>
    </w:p>
    <w:p w14:paraId="73145FEF" w14:textId="77777777" w:rsidR="0075268B" w:rsidRPr="00033E8F" w:rsidRDefault="0075268B" w:rsidP="00794079">
      <w:r w:rsidRPr="00033E8F">
        <w:t>ISSN 0728 7194 (print); 1326 4133 (online)</w:t>
      </w:r>
    </w:p>
    <w:p w14:paraId="6FB15320" w14:textId="18A8E315" w:rsidR="0075268B" w:rsidRPr="001F1D05" w:rsidRDefault="0075268B" w:rsidP="0075268B">
      <w:pPr>
        <w:spacing w:after="140"/>
        <w:rPr>
          <w:rStyle w:val="A5"/>
          <w:color w:val="auto"/>
          <w:spacing w:val="-2"/>
          <w:sz w:val="19"/>
          <w:szCs w:val="19"/>
        </w:rPr>
      </w:pPr>
      <w:r w:rsidRPr="001F1D05">
        <w:rPr>
          <w:rStyle w:val="A5"/>
          <w:rFonts w:cs="Calibri"/>
          <w:color w:val="auto"/>
          <w:spacing w:val="-2"/>
          <w:sz w:val="19"/>
          <w:szCs w:val="19"/>
        </w:rPr>
        <w:t xml:space="preserve">This publication is available for your use under </w:t>
      </w:r>
      <w:hyperlink r:id="rId16" w:history="1">
        <w:r w:rsidR="006A097B" w:rsidRPr="001F1D05">
          <w:rPr>
            <w:szCs w:val="19"/>
          </w:rPr>
          <w:t>Creative Commons Attribution 4.0 International</w:t>
        </w:r>
      </w:hyperlink>
      <w:r w:rsidR="006A097B" w:rsidRPr="001F1D05">
        <w:rPr>
          <w:szCs w:val="19"/>
        </w:rPr>
        <w:t xml:space="preserve"> </w:t>
      </w:r>
      <w:r w:rsidRPr="001F1D05">
        <w:rPr>
          <w:spacing w:val="-2"/>
          <w:szCs w:val="19"/>
        </w:rPr>
        <w:t xml:space="preserve">licence, </w:t>
      </w:r>
      <w:r w:rsidRPr="001F1D05">
        <w:rPr>
          <w:rStyle w:val="A5"/>
          <w:rFonts w:cs="Calibri"/>
          <w:color w:val="auto"/>
          <w:spacing w:val="-2"/>
          <w:sz w:val="19"/>
          <w:szCs w:val="19"/>
        </w:rPr>
        <w:t>with the exception of the Commonwealth Coat of Arms, third</w:t>
      </w:r>
      <w:r w:rsidR="008D52ED">
        <w:rPr>
          <w:rStyle w:val="A5"/>
          <w:rFonts w:cs="Calibri"/>
          <w:color w:val="auto"/>
          <w:spacing w:val="-2"/>
          <w:sz w:val="19"/>
          <w:szCs w:val="19"/>
        </w:rPr>
        <w:noBreakHyphen/>
      </w:r>
      <w:r w:rsidRPr="001F1D05">
        <w:rPr>
          <w:rStyle w:val="A5"/>
          <w:rFonts w:cs="Calibri"/>
          <w:color w:val="auto"/>
          <w:spacing w:val="-2"/>
          <w:sz w:val="19"/>
          <w:szCs w:val="19"/>
        </w:rPr>
        <w:t xml:space="preserve">party content and where otherwise stated. The full </w:t>
      </w:r>
      <w:r w:rsidRPr="001F1D05">
        <w:rPr>
          <w:spacing w:val="-2"/>
          <w:szCs w:val="19"/>
        </w:rPr>
        <w:t xml:space="preserve">licence terms are available from </w:t>
      </w:r>
      <w:hyperlink r:id="rId17" w:history="1">
        <w:r w:rsidR="004739D5" w:rsidRPr="001F1D05">
          <w:rPr>
            <w:rStyle w:val="Hyperlink"/>
            <w:szCs w:val="19"/>
          </w:rPr>
          <w:t>http://creativecommons.org/licenses/by/4.0/legalcode</w:t>
        </w:r>
      </w:hyperlink>
      <w:r w:rsidRPr="001F1D05">
        <w:rPr>
          <w:rStyle w:val="A5"/>
          <w:rFonts w:cs="Calibri"/>
          <w:color w:val="auto"/>
          <w:spacing w:val="-2"/>
          <w:sz w:val="19"/>
          <w:szCs w:val="19"/>
        </w:rPr>
        <w:t>.</w:t>
      </w:r>
    </w:p>
    <w:p w14:paraId="00CEE3D9" w14:textId="77777777" w:rsidR="0075268B" w:rsidRPr="00033E8F" w:rsidRDefault="0075268B" w:rsidP="0075268B">
      <w:pPr>
        <w:pStyle w:val="TableGraphic"/>
        <w:spacing w:before="120" w:after="120"/>
      </w:pPr>
      <w:r w:rsidRPr="00033E8F">
        <w:rPr>
          <w:noProof/>
        </w:rPr>
        <w:drawing>
          <wp:inline distT="0" distB="0" distL="0" distR="0" wp14:anchorId="59C35594" wp14:editId="35B6FC03">
            <wp:extent cx="887095" cy="307340"/>
            <wp:effectExtent l="0" t="0" r="8255"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7095" cy="307340"/>
                    </a:xfrm>
                    <a:prstGeom prst="rect">
                      <a:avLst/>
                    </a:prstGeom>
                    <a:noFill/>
                    <a:ln>
                      <a:noFill/>
                    </a:ln>
                  </pic:spPr>
                </pic:pic>
              </a:graphicData>
            </a:graphic>
          </wp:inline>
        </w:drawing>
      </w:r>
    </w:p>
    <w:p w14:paraId="1C079AA1" w14:textId="7C35199C" w:rsidR="0075268B" w:rsidRPr="00033E8F" w:rsidRDefault="0075268B" w:rsidP="0075268B">
      <w:pPr>
        <w:tabs>
          <w:tab w:val="left" w:pos="1650"/>
        </w:tabs>
        <w:spacing w:before="120" w:after="120"/>
        <w:rPr>
          <w:rFonts w:cs="Calibri"/>
          <w:spacing w:val="-2"/>
        </w:rPr>
      </w:pPr>
      <w:r w:rsidRPr="00033E8F">
        <w:rPr>
          <w:rFonts w:cs="Calibri"/>
          <w:spacing w:val="-2"/>
        </w:rPr>
        <w:t xml:space="preserve">Use of Commonwealth of Australia material under a </w:t>
      </w:r>
      <w:hyperlink r:id="rId19" w:history="1">
        <w:r w:rsidR="006A097B" w:rsidRPr="00033E8F">
          <w:t>Creative Commons Attribution 4.0 International</w:t>
        </w:r>
      </w:hyperlink>
      <w:r w:rsidRPr="00033E8F">
        <w:rPr>
          <w:spacing w:val="-2"/>
        </w:rPr>
        <w:t xml:space="preserve"> licence requires you to attribute the work </w:t>
      </w:r>
      <w:r w:rsidRPr="00033E8F">
        <w:rPr>
          <w:rFonts w:cs="Calibri"/>
          <w:spacing w:val="-2"/>
        </w:rPr>
        <w:t>(but not in any way that suggests that the Commonwealth of Australia endorses you or your use of the work).</w:t>
      </w:r>
    </w:p>
    <w:p w14:paraId="6AC3DF10" w14:textId="7229C807" w:rsidR="0075268B" w:rsidRPr="00033E8F" w:rsidRDefault="0075268B" w:rsidP="0075268B">
      <w:pPr>
        <w:spacing w:after="0"/>
        <w:rPr>
          <w:rFonts w:cs="Calibri"/>
          <w:b/>
          <w:iCs/>
          <w:spacing w:val="-2"/>
        </w:rPr>
      </w:pPr>
      <w:r w:rsidRPr="00033E8F">
        <w:rPr>
          <w:rFonts w:cs="Calibri"/>
          <w:b/>
          <w:iCs/>
          <w:spacing w:val="-2"/>
        </w:rPr>
        <w:t xml:space="preserve">Commonwealth of Australia material used </w:t>
      </w:r>
      <w:r w:rsidR="008D52ED">
        <w:rPr>
          <w:rFonts w:cs="Calibri"/>
          <w:b/>
          <w:iCs/>
          <w:spacing w:val="-2"/>
        </w:rPr>
        <w:t>‘</w:t>
      </w:r>
      <w:r w:rsidRPr="00033E8F">
        <w:rPr>
          <w:rFonts w:cs="Calibri"/>
          <w:b/>
          <w:iCs/>
          <w:spacing w:val="-2"/>
        </w:rPr>
        <w:t>as supplied</w:t>
      </w:r>
      <w:r w:rsidR="008D52ED">
        <w:rPr>
          <w:rFonts w:cs="Calibri"/>
          <w:b/>
          <w:iCs/>
          <w:spacing w:val="-2"/>
        </w:rPr>
        <w:t>’</w:t>
      </w:r>
      <w:r w:rsidRPr="00033E8F">
        <w:rPr>
          <w:rFonts w:cs="Calibri"/>
          <w:b/>
          <w:iCs/>
          <w:spacing w:val="-2"/>
        </w:rPr>
        <w:t>.</w:t>
      </w:r>
    </w:p>
    <w:p w14:paraId="77516694" w14:textId="77777777" w:rsidR="0075268B" w:rsidRPr="00033E8F" w:rsidRDefault="0075268B" w:rsidP="0075268B">
      <w:pPr>
        <w:spacing w:before="0" w:after="120"/>
        <w:rPr>
          <w:spacing w:val="-2"/>
        </w:rPr>
      </w:pPr>
      <w:r w:rsidRPr="00033E8F">
        <w:rPr>
          <w:spacing w:val="-2"/>
        </w:rPr>
        <w:t>Provided you have not modified or transformed Commonwealth of Australia material in any way including, for example, by changing the Commonwealth of Australia text; calculating percentage changes; graphing or charting data; or deriving new statistics from published statistics – then the Commonwealth of Australia prefers the following attribution:</w:t>
      </w:r>
    </w:p>
    <w:p w14:paraId="08D9245F" w14:textId="77777777" w:rsidR="0075268B" w:rsidRPr="00033E8F" w:rsidRDefault="0075268B" w:rsidP="0075268B">
      <w:pPr>
        <w:spacing w:before="120" w:after="140"/>
        <w:ind w:left="567"/>
        <w:rPr>
          <w:rFonts w:cs="Calibri"/>
          <w:spacing w:val="-2"/>
        </w:rPr>
      </w:pPr>
      <w:r w:rsidRPr="00033E8F">
        <w:rPr>
          <w:rFonts w:cs="Calibri"/>
          <w:spacing w:val="-2"/>
        </w:rPr>
        <w:t xml:space="preserve">Source: </w:t>
      </w:r>
      <w:r w:rsidRPr="001F1D05">
        <w:rPr>
          <w:rStyle w:val="Emphasis"/>
        </w:rPr>
        <w:t>The Commonwealth of Australia</w:t>
      </w:r>
      <w:r w:rsidRPr="00033E8F">
        <w:rPr>
          <w:rFonts w:cs="Calibri"/>
          <w:i/>
          <w:iCs/>
          <w:spacing w:val="-2"/>
        </w:rPr>
        <w:t>.</w:t>
      </w:r>
    </w:p>
    <w:p w14:paraId="0D54F382" w14:textId="77777777" w:rsidR="0075268B" w:rsidRPr="00033E8F" w:rsidRDefault="0075268B" w:rsidP="0075268B">
      <w:pPr>
        <w:spacing w:after="0"/>
        <w:rPr>
          <w:rFonts w:cs="Calibri"/>
          <w:b/>
          <w:iCs/>
          <w:spacing w:val="-2"/>
        </w:rPr>
      </w:pPr>
      <w:r w:rsidRPr="00033E8F">
        <w:rPr>
          <w:rFonts w:cs="Calibri"/>
          <w:b/>
          <w:iCs/>
          <w:spacing w:val="-2"/>
        </w:rPr>
        <w:t>Derivative material</w:t>
      </w:r>
    </w:p>
    <w:p w14:paraId="0F0E6F09" w14:textId="77777777" w:rsidR="0075268B" w:rsidRPr="00033E8F" w:rsidRDefault="0075268B" w:rsidP="0075268B">
      <w:pPr>
        <w:spacing w:before="0" w:after="120"/>
        <w:rPr>
          <w:rFonts w:cs="Calibri"/>
          <w:spacing w:val="-2"/>
        </w:rPr>
      </w:pPr>
      <w:r w:rsidRPr="00033E8F">
        <w:rPr>
          <w:rFonts w:cs="Calibri"/>
          <w:spacing w:val="-2"/>
        </w:rPr>
        <w:t>If you have modified or transformed Commonwealth of Australia material, or derived new material from those of the Commonwealth of Australia in any way, then the Commonwealth of Australia prefers the following attribution:</w:t>
      </w:r>
    </w:p>
    <w:p w14:paraId="37C67793" w14:textId="77777777" w:rsidR="0075268B" w:rsidRPr="00033E8F" w:rsidRDefault="0075268B" w:rsidP="0075268B">
      <w:pPr>
        <w:spacing w:before="120" w:after="140"/>
        <w:ind w:left="567"/>
        <w:rPr>
          <w:rFonts w:cs="Calibri"/>
          <w:i/>
          <w:spacing w:val="-2"/>
        </w:rPr>
      </w:pPr>
      <w:r w:rsidRPr="0029213F">
        <w:rPr>
          <w:rStyle w:val="Emphasis"/>
        </w:rPr>
        <w:t>Based on Commonwealth of Australia data</w:t>
      </w:r>
      <w:r w:rsidRPr="00033E8F">
        <w:rPr>
          <w:rFonts w:cs="Calibri"/>
          <w:i/>
          <w:spacing w:val="-2"/>
        </w:rPr>
        <w:t>.</w:t>
      </w:r>
    </w:p>
    <w:p w14:paraId="53E60AEF" w14:textId="77777777" w:rsidR="0075268B" w:rsidRPr="00033E8F" w:rsidRDefault="0075268B" w:rsidP="0075268B">
      <w:pPr>
        <w:spacing w:after="0"/>
        <w:rPr>
          <w:spacing w:val="-2"/>
        </w:rPr>
      </w:pPr>
      <w:r w:rsidRPr="00033E8F">
        <w:rPr>
          <w:rStyle w:val="A5"/>
          <w:rFonts w:cs="Calibri"/>
          <w:b/>
          <w:color w:val="auto"/>
          <w:spacing w:val="-2"/>
        </w:rPr>
        <w:t>Use of the Coat of Arms</w:t>
      </w:r>
    </w:p>
    <w:p w14:paraId="3B3E4612" w14:textId="004F163F" w:rsidR="0075268B" w:rsidRPr="00033E8F" w:rsidRDefault="0075268B" w:rsidP="0075268B">
      <w:pPr>
        <w:spacing w:before="0" w:after="120"/>
        <w:rPr>
          <w:spacing w:val="-2"/>
        </w:rPr>
      </w:pPr>
      <w:r w:rsidRPr="00033E8F">
        <w:rPr>
          <w:spacing w:val="-2"/>
        </w:rPr>
        <w:t xml:space="preserve">The terms under which the Coat of Arms can be used are set out on </w:t>
      </w:r>
      <w:r w:rsidRPr="00033E8F">
        <w:rPr>
          <w:spacing w:val="-2"/>
        </w:rPr>
        <w:br/>
        <w:t xml:space="preserve">the Department of the Prime Minister and Cabinet website (see </w:t>
      </w:r>
      <w:hyperlink r:id="rId20" w:history="1">
        <w:r w:rsidR="0029213F" w:rsidRPr="006E0E06">
          <w:rPr>
            <w:rStyle w:val="Hyperlink"/>
          </w:rPr>
          <w:t>www.pmc.gov.au/</w:t>
        </w:r>
        <w:r w:rsidR="0029213F" w:rsidRPr="006E0E06">
          <w:rPr>
            <w:rStyle w:val="Hyperlink"/>
          </w:rPr>
          <w:br/>
          <w:t>honours-and-symbols/commonwealth-coat-arms</w:t>
        </w:r>
      </w:hyperlink>
      <w:r w:rsidRPr="00033E8F">
        <w:rPr>
          <w:spacing w:val="-2"/>
        </w:rPr>
        <w:t>).</w:t>
      </w:r>
    </w:p>
    <w:p w14:paraId="5F12F2CF" w14:textId="77777777" w:rsidR="0075268B" w:rsidRPr="00033E8F" w:rsidRDefault="0075268B" w:rsidP="0075268B">
      <w:pPr>
        <w:spacing w:after="0"/>
        <w:rPr>
          <w:rStyle w:val="A5"/>
          <w:rFonts w:cs="Calibri"/>
          <w:b/>
          <w:color w:val="auto"/>
          <w:spacing w:val="-2"/>
        </w:rPr>
      </w:pPr>
      <w:r w:rsidRPr="00033E8F">
        <w:rPr>
          <w:rStyle w:val="A5"/>
          <w:rFonts w:cs="Calibri"/>
          <w:b/>
          <w:color w:val="auto"/>
          <w:spacing w:val="-2"/>
        </w:rPr>
        <w:t>Other uses</w:t>
      </w:r>
    </w:p>
    <w:p w14:paraId="74F9D9F8" w14:textId="77777777" w:rsidR="0075268B" w:rsidRPr="00033E8F" w:rsidRDefault="0075268B" w:rsidP="0075268B">
      <w:pPr>
        <w:spacing w:before="0" w:after="0"/>
        <w:rPr>
          <w:rFonts w:cs="Calibri"/>
          <w:i/>
          <w:spacing w:val="-2"/>
        </w:rPr>
      </w:pPr>
      <w:r w:rsidRPr="00033E8F">
        <w:rPr>
          <w:rFonts w:cs="Calibri"/>
          <w:spacing w:val="-2"/>
        </w:rPr>
        <w:t>Enquiries regarding this licence and any other use of this document are welcome at:</w:t>
      </w:r>
    </w:p>
    <w:p w14:paraId="302BF914" w14:textId="77777777" w:rsidR="0075268B" w:rsidRPr="00033E8F" w:rsidRDefault="0075268B" w:rsidP="0075268B">
      <w:pPr>
        <w:spacing w:after="140"/>
        <w:ind w:left="567"/>
        <w:rPr>
          <w:rFonts w:cs="Calibri"/>
          <w:spacing w:val="-2"/>
        </w:rPr>
      </w:pPr>
      <w:r w:rsidRPr="00033E8F">
        <w:rPr>
          <w:rFonts w:cs="Calibri"/>
          <w:spacing w:val="-2"/>
        </w:rPr>
        <w:t>Manager</w:t>
      </w:r>
      <w:r w:rsidRPr="00033E8F">
        <w:rPr>
          <w:rFonts w:cs="Calibri"/>
          <w:spacing w:val="-2"/>
        </w:rPr>
        <w:br/>
        <w:t>Media Unit</w:t>
      </w:r>
      <w:r w:rsidRPr="00033E8F">
        <w:rPr>
          <w:rFonts w:cs="Calibri"/>
          <w:spacing w:val="-2"/>
        </w:rPr>
        <w:br/>
        <w:t>The Treasury</w:t>
      </w:r>
      <w:r w:rsidRPr="00033E8F">
        <w:rPr>
          <w:rFonts w:cs="Calibri"/>
          <w:spacing w:val="-2"/>
        </w:rPr>
        <w:br/>
        <w:t xml:space="preserve">Langton Crescent </w:t>
      </w:r>
      <w:r w:rsidRPr="00033E8F">
        <w:rPr>
          <w:rFonts w:cs="Calibri"/>
          <w:spacing w:val="-2"/>
        </w:rPr>
        <w:br/>
        <w:t>Parkes  ACT  2600</w:t>
      </w:r>
      <w:r w:rsidRPr="00033E8F">
        <w:rPr>
          <w:rFonts w:cs="Calibri"/>
          <w:spacing w:val="-2"/>
        </w:rPr>
        <w:br/>
        <w:t xml:space="preserve">Email: </w:t>
      </w:r>
      <w:hyperlink r:id="rId21" w:history="1">
        <w:r w:rsidRPr="00033E8F">
          <w:rPr>
            <w:rStyle w:val="Hyperlink"/>
            <w:rFonts w:cs="Calibri"/>
            <w:spacing w:val="-2"/>
          </w:rPr>
          <w:t>media@treasury.gov.au</w:t>
        </w:r>
      </w:hyperlink>
    </w:p>
    <w:p w14:paraId="21FF4304" w14:textId="77777777" w:rsidR="0075268B" w:rsidRPr="00033E8F" w:rsidRDefault="0075268B" w:rsidP="0075268B">
      <w:pPr>
        <w:spacing w:after="0"/>
        <w:rPr>
          <w:rStyle w:val="A5"/>
          <w:rFonts w:cs="Calibri"/>
          <w:b/>
          <w:color w:val="auto"/>
          <w:spacing w:val="-2"/>
        </w:rPr>
      </w:pPr>
      <w:r w:rsidRPr="00033E8F">
        <w:rPr>
          <w:rStyle w:val="A5"/>
          <w:rFonts w:cs="Calibri"/>
          <w:b/>
          <w:color w:val="auto"/>
          <w:spacing w:val="-2"/>
        </w:rPr>
        <w:t>Internet</w:t>
      </w:r>
    </w:p>
    <w:p w14:paraId="58BAC69F" w14:textId="77777777" w:rsidR="0075268B" w:rsidRPr="00033E8F" w:rsidRDefault="0075268B" w:rsidP="0075268B">
      <w:pPr>
        <w:spacing w:before="0" w:after="0"/>
        <w:rPr>
          <w:spacing w:val="-2"/>
        </w:rPr>
      </w:pPr>
      <w:r w:rsidRPr="00033E8F">
        <w:rPr>
          <w:spacing w:val="-2"/>
        </w:rPr>
        <w:t xml:space="preserve">A copy of this document is available on the central Budget website at: </w:t>
      </w:r>
      <w:hyperlink r:id="rId22" w:history="1">
        <w:r w:rsidRPr="00033E8F">
          <w:rPr>
            <w:rStyle w:val="Hyperlink"/>
          </w:rPr>
          <w:t>www.budget.gov.au</w:t>
        </w:r>
      </w:hyperlink>
      <w:r w:rsidRPr="00033E8F">
        <w:rPr>
          <w:spacing w:val="-2"/>
        </w:rPr>
        <w:t>.</w:t>
      </w:r>
    </w:p>
    <w:p w14:paraId="10629742" w14:textId="77777777" w:rsidR="0075268B" w:rsidRPr="00033E8F" w:rsidRDefault="0075268B" w:rsidP="0075268B">
      <w:pPr>
        <w:spacing w:before="120"/>
      </w:pPr>
      <w:r w:rsidRPr="00033E8F">
        <w:t xml:space="preserve">Printed by CanPrint Communications Pty Ltd. </w:t>
      </w:r>
    </w:p>
    <w:p w14:paraId="31517C1F" w14:textId="77777777" w:rsidR="0075268B" w:rsidRPr="00033E8F" w:rsidRDefault="0075268B" w:rsidP="0075268B">
      <w:pPr>
        <w:sectPr w:rsidR="0075268B" w:rsidRPr="00033E8F" w:rsidSect="00A72007">
          <w:headerReference w:type="even" r:id="rId23"/>
          <w:footerReference w:type="default" r:id="rId24"/>
          <w:pgSz w:w="11906" w:h="16838" w:code="9"/>
          <w:pgMar w:top="2835" w:right="2098" w:bottom="2466" w:left="2098" w:header="1814" w:footer="1814" w:gutter="0"/>
          <w:cols w:space="708"/>
          <w:titlePg/>
          <w:docGrid w:linePitch="360"/>
        </w:sectPr>
      </w:pPr>
    </w:p>
    <w:p w14:paraId="1E136D22" w14:textId="77777777" w:rsidR="0075268B" w:rsidRPr="00033E8F" w:rsidRDefault="0075268B" w:rsidP="0075268B">
      <w:pPr>
        <w:pStyle w:val="Heading1"/>
      </w:pPr>
      <w:bookmarkStart w:id="0" w:name="_Toc117295140"/>
      <w:bookmarkStart w:id="1" w:name="_Toc134267368"/>
      <w:bookmarkStart w:id="2" w:name="_Toc166276173"/>
      <w:r w:rsidRPr="00033E8F">
        <w:lastRenderedPageBreak/>
        <w:t>Foreword</w:t>
      </w:r>
      <w:bookmarkEnd w:id="0"/>
      <w:bookmarkEnd w:id="1"/>
      <w:bookmarkEnd w:id="2"/>
    </w:p>
    <w:p w14:paraId="6A4E69D8" w14:textId="644ACBCB" w:rsidR="0075268B" w:rsidRPr="00033E8F" w:rsidRDefault="0075268B" w:rsidP="0075268B">
      <w:r w:rsidRPr="00033E8F">
        <w:t>This Budget Paper presents information on the Australian Government</w:t>
      </w:r>
      <w:r w:rsidR="008D52ED">
        <w:t>’</w:t>
      </w:r>
      <w:r w:rsidRPr="00033E8F">
        <w:t xml:space="preserve">s financial relations with state, territory and local governments. </w:t>
      </w:r>
    </w:p>
    <w:p w14:paraId="5D3F8205" w14:textId="77777777" w:rsidR="0075268B" w:rsidRPr="00033E8F" w:rsidRDefault="0075268B" w:rsidP="0075268B"/>
    <w:p w14:paraId="686BF200" w14:textId="77777777" w:rsidR="0075268B" w:rsidRPr="00033E8F" w:rsidRDefault="0075268B" w:rsidP="0075268B">
      <w:pPr>
        <w:sectPr w:rsidR="0075268B" w:rsidRPr="00033E8F" w:rsidSect="00A72007">
          <w:footerReference w:type="first" r:id="rId25"/>
          <w:type w:val="oddPage"/>
          <w:pgSz w:w="11906" w:h="16838" w:code="9"/>
          <w:pgMar w:top="2835" w:right="2098" w:bottom="2466" w:left="2098" w:header="1814" w:footer="1814" w:gutter="0"/>
          <w:pgNumType w:fmt="lowerRoman"/>
          <w:cols w:space="708"/>
          <w:titlePg/>
          <w:docGrid w:linePitch="360"/>
        </w:sectPr>
      </w:pPr>
    </w:p>
    <w:p w14:paraId="102FD154" w14:textId="77777777" w:rsidR="0075268B" w:rsidRDefault="0075268B" w:rsidP="0075268B">
      <w:pPr>
        <w:pStyle w:val="ContentsHeading"/>
      </w:pPr>
      <w:r w:rsidRPr="00033E8F">
        <w:lastRenderedPageBreak/>
        <w:t>Contents</w:t>
      </w:r>
    </w:p>
    <w:p w14:paraId="57176D68" w14:textId="16EDA5FA" w:rsidR="00AD32EA" w:rsidRPr="000A25F3" w:rsidRDefault="00303A9E" w:rsidP="000A25F3">
      <w:pPr>
        <w:pStyle w:val="GhostLine"/>
      </w:pPr>
      <w:r>
        <w:fldChar w:fldCharType="begin"/>
      </w:r>
      <w:r>
        <w:instrText xml:space="preserve"> RD  "01_BP3_Part 1_Overview.docx" \f </w:instrText>
      </w:r>
      <w:r>
        <w:fldChar w:fldCharType="end"/>
      </w:r>
      <w:r>
        <w:fldChar w:fldCharType="begin"/>
      </w:r>
      <w:r>
        <w:instrText xml:space="preserve"> RD  "02_BP3_Part 2_Overview.docx" \f </w:instrText>
      </w:r>
      <w:r>
        <w:fldChar w:fldCharType="end"/>
      </w:r>
      <w:r>
        <w:fldChar w:fldCharType="begin"/>
      </w:r>
      <w:r>
        <w:instrText xml:space="preserve"> RD  "03_BP3_Part 2_Health.docx" \f </w:instrText>
      </w:r>
      <w:r>
        <w:fldChar w:fldCharType="end"/>
      </w:r>
      <w:r>
        <w:fldChar w:fldCharType="begin"/>
      </w:r>
      <w:r>
        <w:instrText xml:space="preserve"> RD  "04_BP3_Part 2_Education.docx" \f </w:instrText>
      </w:r>
      <w:r>
        <w:fldChar w:fldCharType="end"/>
      </w:r>
      <w:r w:rsidR="003B3151">
        <w:fldChar w:fldCharType="begin"/>
      </w:r>
      <w:r w:rsidR="003B3151">
        <w:instrText xml:space="preserve"> RD  "05_BP3_Part 2_Skills.docx" \f </w:instrText>
      </w:r>
      <w:r w:rsidR="003B3151">
        <w:fldChar w:fldCharType="end"/>
      </w:r>
      <w:r w:rsidR="003B3151">
        <w:fldChar w:fldCharType="begin"/>
      </w:r>
      <w:r w:rsidR="003B3151">
        <w:instrText xml:space="preserve"> RD  "06_BP3_Part 2_Community.docx" \f </w:instrText>
      </w:r>
      <w:r w:rsidR="003B3151">
        <w:fldChar w:fldCharType="end"/>
      </w:r>
      <w:r w:rsidR="003B3151">
        <w:fldChar w:fldCharType="begin"/>
      </w:r>
      <w:r w:rsidR="003B3151">
        <w:instrText xml:space="preserve"> RD  "07_BP3_Part 2_Affordable.docx" \f </w:instrText>
      </w:r>
      <w:r w:rsidR="003B3151">
        <w:fldChar w:fldCharType="end"/>
      </w:r>
      <w:r w:rsidR="003B3151">
        <w:fldChar w:fldCharType="begin"/>
      </w:r>
      <w:r w:rsidR="003B3151">
        <w:instrText xml:space="preserve"> RD  "08_BP3_Part 2_Infrastructure.docx" \f </w:instrText>
      </w:r>
      <w:r w:rsidR="003B3151">
        <w:fldChar w:fldCharType="end"/>
      </w:r>
      <w:r w:rsidR="003B3151">
        <w:fldChar w:fldCharType="begin"/>
      </w:r>
      <w:r w:rsidR="003B3151">
        <w:instrText xml:space="preserve"> RD  "09_BP3_Part 2_Environment.docx" \f </w:instrText>
      </w:r>
      <w:r w:rsidR="003B3151">
        <w:fldChar w:fldCharType="end"/>
      </w:r>
      <w:r w:rsidR="003B3151">
        <w:fldChar w:fldCharType="begin"/>
      </w:r>
      <w:r w:rsidR="003B3151">
        <w:instrText xml:space="preserve"> RD  "10_BP3_Part 2_Contingent.docx" \f </w:instrText>
      </w:r>
      <w:r w:rsidR="003B3151">
        <w:fldChar w:fldCharType="end"/>
      </w:r>
      <w:r w:rsidR="003B3151">
        <w:fldChar w:fldCharType="begin"/>
      </w:r>
      <w:r w:rsidR="003B3151">
        <w:instrText xml:space="preserve"> RD  "11_BP3_Part 2_Other.docx" \f </w:instrText>
      </w:r>
      <w:r w:rsidR="003B3151">
        <w:fldChar w:fldCharType="end"/>
      </w:r>
      <w:r w:rsidR="003B3151">
        <w:fldChar w:fldCharType="begin"/>
      </w:r>
      <w:r w:rsidR="003B3151">
        <w:instrText xml:space="preserve"> RD  "12_BP3_Part 3_GeneralRevenueAssistance.docx" \f </w:instrText>
      </w:r>
      <w:r w:rsidR="003B3151">
        <w:fldChar w:fldCharType="end"/>
      </w:r>
      <w:r w:rsidR="003B3151">
        <w:fldChar w:fldCharType="begin"/>
      </w:r>
      <w:r w:rsidR="003B3151">
        <w:instrText xml:space="preserve"> RD  13_BP3_Appendix.docx \f </w:instrText>
      </w:r>
      <w:r w:rsidR="003B3151">
        <w:fldChar w:fldCharType="end"/>
      </w:r>
      <w:r w:rsidR="003B3151">
        <w:fldChar w:fldCharType="begin"/>
      </w:r>
      <w:r w:rsidR="003B3151">
        <w:instrText xml:space="preserve"> RD  14_BP3_Endnotes.docx \f </w:instrText>
      </w:r>
      <w:r w:rsidR="003B3151">
        <w:fldChar w:fldCharType="end"/>
      </w:r>
    </w:p>
    <w:p w14:paraId="671B5EAE" w14:textId="4495ACFA" w:rsidR="00D21E10" w:rsidRDefault="0075268B">
      <w:pPr>
        <w:pStyle w:val="TOC1"/>
        <w:rPr>
          <w:rFonts w:asciiTheme="minorHAnsi" w:eastAsiaTheme="minorEastAsia" w:hAnsiTheme="minorHAnsi" w:cstheme="minorBidi"/>
          <w:b w:val="0"/>
          <w:noProof/>
          <w:kern w:val="2"/>
          <w:sz w:val="22"/>
          <w:szCs w:val="22"/>
          <w14:ligatures w14:val="standardContextual"/>
        </w:rPr>
      </w:pPr>
      <w:r w:rsidRPr="00033E8F">
        <w:rPr>
          <w:b w:val="0"/>
          <w:sz w:val="22"/>
        </w:rPr>
        <w:fldChar w:fldCharType="begin"/>
      </w:r>
      <w:r w:rsidRPr="00033E8F">
        <w:rPr>
          <w:b w:val="0"/>
          <w:sz w:val="22"/>
        </w:rPr>
        <w:instrText xml:space="preserve"> TOC \o "1-2" </w:instrText>
      </w:r>
      <w:r w:rsidRPr="00033E8F">
        <w:rPr>
          <w:b w:val="0"/>
          <w:sz w:val="22"/>
        </w:rPr>
        <w:fldChar w:fldCharType="separate"/>
      </w:r>
      <w:r w:rsidR="00D21E10">
        <w:rPr>
          <w:noProof/>
        </w:rPr>
        <w:t>Foreword</w:t>
      </w:r>
      <w:r w:rsidR="00D21E10">
        <w:rPr>
          <w:noProof/>
        </w:rPr>
        <w:tab/>
      </w:r>
      <w:r w:rsidR="00D21E10">
        <w:rPr>
          <w:noProof/>
        </w:rPr>
        <w:fldChar w:fldCharType="begin"/>
      </w:r>
      <w:r w:rsidR="00D21E10">
        <w:rPr>
          <w:noProof/>
        </w:rPr>
        <w:instrText xml:space="preserve"> PAGEREF _Toc166276173 \h </w:instrText>
      </w:r>
      <w:r w:rsidR="00D21E10">
        <w:rPr>
          <w:noProof/>
        </w:rPr>
      </w:r>
      <w:r w:rsidR="00D21E10">
        <w:rPr>
          <w:noProof/>
        </w:rPr>
        <w:fldChar w:fldCharType="separate"/>
      </w:r>
      <w:r w:rsidR="0078329B">
        <w:rPr>
          <w:noProof/>
        </w:rPr>
        <w:t>iii</w:t>
      </w:r>
      <w:r w:rsidR="00D21E10">
        <w:rPr>
          <w:noProof/>
        </w:rPr>
        <w:fldChar w:fldCharType="end"/>
      </w:r>
    </w:p>
    <w:p w14:paraId="200C2C61" w14:textId="77777777" w:rsidR="00D21E10" w:rsidRDefault="00D21E10">
      <w:pPr>
        <w:pStyle w:val="TOC1"/>
        <w:rPr>
          <w:rFonts w:asciiTheme="minorHAnsi" w:eastAsiaTheme="minorEastAsia" w:hAnsiTheme="minorHAnsi" w:cstheme="minorBidi"/>
          <w:b w:val="0"/>
          <w:noProof/>
          <w:kern w:val="2"/>
          <w:sz w:val="22"/>
          <w:szCs w:val="22"/>
          <w14:ligatures w14:val="standardContextual"/>
        </w:rPr>
      </w:pPr>
      <w:r>
        <w:rPr>
          <w:noProof/>
        </w:rPr>
        <w:t>Part 1: Australia’s Federal Relations</w:t>
      </w:r>
      <w:r>
        <w:rPr>
          <w:noProof/>
        </w:rPr>
        <w:tab/>
        <w:t>1</w:t>
      </w:r>
    </w:p>
    <w:p w14:paraId="0E0F3FB0"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Overview</w:t>
      </w:r>
      <w:r>
        <w:rPr>
          <w:noProof/>
        </w:rPr>
        <w:tab/>
        <w:t>1</w:t>
      </w:r>
    </w:p>
    <w:p w14:paraId="7A0AEA1F"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Australian Government funding to the states</w:t>
      </w:r>
      <w:r>
        <w:rPr>
          <w:noProof/>
        </w:rPr>
        <w:tab/>
        <w:t>4</w:t>
      </w:r>
    </w:p>
    <w:p w14:paraId="0FC4A764"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Measures affecting payments to the states</w:t>
      </w:r>
      <w:r>
        <w:rPr>
          <w:noProof/>
        </w:rPr>
        <w:tab/>
        <w:t>10</w:t>
      </w:r>
    </w:p>
    <w:p w14:paraId="0656722F" w14:textId="77777777" w:rsidR="00D21E10" w:rsidRDefault="00D21E10">
      <w:pPr>
        <w:pStyle w:val="TOC1"/>
        <w:rPr>
          <w:rFonts w:asciiTheme="minorHAnsi" w:eastAsiaTheme="minorEastAsia" w:hAnsiTheme="minorHAnsi" w:cstheme="minorBidi"/>
          <w:b w:val="0"/>
          <w:noProof/>
          <w:kern w:val="2"/>
          <w:sz w:val="22"/>
          <w:szCs w:val="22"/>
          <w14:ligatures w14:val="standardContextual"/>
        </w:rPr>
      </w:pPr>
      <w:r>
        <w:rPr>
          <w:noProof/>
        </w:rPr>
        <w:t>Part 2: Payments for specific purposes</w:t>
      </w:r>
      <w:r>
        <w:rPr>
          <w:noProof/>
        </w:rPr>
        <w:tab/>
        <w:t>15</w:t>
      </w:r>
    </w:p>
    <w:p w14:paraId="3D673A29"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Overview</w:t>
      </w:r>
      <w:r>
        <w:rPr>
          <w:noProof/>
        </w:rPr>
        <w:tab/>
        <w:t>15</w:t>
      </w:r>
    </w:p>
    <w:p w14:paraId="3C2EFC81"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Health</w:t>
      </w:r>
      <w:r>
        <w:rPr>
          <w:noProof/>
        </w:rPr>
        <w:tab/>
        <w:t>19</w:t>
      </w:r>
    </w:p>
    <w:p w14:paraId="7199B0E2"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Education</w:t>
      </w:r>
      <w:r>
        <w:rPr>
          <w:noProof/>
        </w:rPr>
        <w:tab/>
        <w:t>45</w:t>
      </w:r>
    </w:p>
    <w:p w14:paraId="3023CE01"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Skills and workforce development</w:t>
      </w:r>
      <w:r>
        <w:rPr>
          <w:noProof/>
        </w:rPr>
        <w:tab/>
        <w:t>52</w:t>
      </w:r>
    </w:p>
    <w:p w14:paraId="68A2D899"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Community services</w:t>
      </w:r>
      <w:r>
        <w:rPr>
          <w:noProof/>
        </w:rPr>
        <w:tab/>
        <w:t>55</w:t>
      </w:r>
    </w:p>
    <w:p w14:paraId="4A5C566C"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Affordable housing</w:t>
      </w:r>
      <w:r>
        <w:rPr>
          <w:noProof/>
        </w:rPr>
        <w:tab/>
        <w:t>62</w:t>
      </w:r>
    </w:p>
    <w:p w14:paraId="536C5C34"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Infrastructure</w:t>
      </w:r>
      <w:r>
        <w:rPr>
          <w:noProof/>
        </w:rPr>
        <w:tab/>
        <w:t>66</w:t>
      </w:r>
    </w:p>
    <w:p w14:paraId="7F1A111A"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Environment, energy and water</w:t>
      </w:r>
      <w:r>
        <w:rPr>
          <w:noProof/>
        </w:rPr>
        <w:tab/>
        <w:t>83</w:t>
      </w:r>
    </w:p>
    <w:p w14:paraId="260F06F6"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Contingent payments</w:t>
      </w:r>
      <w:r>
        <w:rPr>
          <w:noProof/>
        </w:rPr>
        <w:tab/>
        <w:t>108</w:t>
      </w:r>
    </w:p>
    <w:p w14:paraId="298AD03A"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Other payments</w:t>
      </w:r>
      <w:r>
        <w:rPr>
          <w:noProof/>
        </w:rPr>
        <w:tab/>
        <w:t>110</w:t>
      </w:r>
    </w:p>
    <w:p w14:paraId="4D631823" w14:textId="77777777" w:rsidR="00D21E10" w:rsidRDefault="00D21E10">
      <w:pPr>
        <w:pStyle w:val="TOC1"/>
        <w:rPr>
          <w:rFonts w:asciiTheme="minorHAnsi" w:eastAsiaTheme="minorEastAsia" w:hAnsiTheme="minorHAnsi" w:cstheme="minorBidi"/>
          <w:b w:val="0"/>
          <w:noProof/>
          <w:kern w:val="2"/>
          <w:sz w:val="22"/>
          <w:szCs w:val="22"/>
          <w14:ligatures w14:val="standardContextual"/>
        </w:rPr>
      </w:pPr>
      <w:r>
        <w:rPr>
          <w:noProof/>
        </w:rPr>
        <w:t>Part 3: General revenue assistance</w:t>
      </w:r>
      <w:r>
        <w:rPr>
          <w:noProof/>
        </w:rPr>
        <w:tab/>
        <w:t>121</w:t>
      </w:r>
    </w:p>
    <w:p w14:paraId="6DA1D319"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Overview</w:t>
      </w:r>
      <w:r>
        <w:rPr>
          <w:noProof/>
        </w:rPr>
        <w:tab/>
        <w:t>121</w:t>
      </w:r>
    </w:p>
    <w:p w14:paraId="742C64DC"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GST payments</w:t>
      </w:r>
      <w:r>
        <w:rPr>
          <w:noProof/>
        </w:rPr>
        <w:tab/>
        <w:t>122</w:t>
      </w:r>
    </w:p>
    <w:p w14:paraId="662632A6"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Other general revenue assistance</w:t>
      </w:r>
      <w:r>
        <w:rPr>
          <w:noProof/>
        </w:rPr>
        <w:tab/>
        <w:t>126</w:t>
      </w:r>
    </w:p>
    <w:p w14:paraId="6271E557"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Mirror tax arrangements</w:t>
      </w:r>
      <w:r>
        <w:rPr>
          <w:noProof/>
        </w:rPr>
        <w:tab/>
        <w:t>127</w:t>
      </w:r>
    </w:p>
    <w:p w14:paraId="46782F0B" w14:textId="77777777" w:rsidR="00D21E10" w:rsidRDefault="00D21E10">
      <w:pPr>
        <w:pStyle w:val="TOC1"/>
        <w:rPr>
          <w:rFonts w:asciiTheme="minorHAnsi" w:eastAsiaTheme="minorEastAsia" w:hAnsiTheme="minorHAnsi" w:cstheme="minorBidi"/>
          <w:b w:val="0"/>
          <w:noProof/>
          <w:kern w:val="2"/>
          <w:sz w:val="22"/>
          <w:szCs w:val="22"/>
          <w14:ligatures w14:val="standardContextual"/>
        </w:rPr>
      </w:pPr>
      <w:r>
        <w:rPr>
          <w:noProof/>
        </w:rPr>
        <w:t>Appendix A: Parameters and further information</w:t>
      </w:r>
      <w:r>
        <w:rPr>
          <w:noProof/>
        </w:rPr>
        <w:tab/>
        <w:t>129</w:t>
      </w:r>
    </w:p>
    <w:p w14:paraId="0BB19D2E"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Population</w:t>
      </w:r>
      <w:r>
        <w:rPr>
          <w:noProof/>
        </w:rPr>
        <w:tab/>
        <w:t>129</w:t>
      </w:r>
    </w:p>
    <w:p w14:paraId="37E79B91"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Data sources</w:t>
      </w:r>
      <w:r>
        <w:rPr>
          <w:noProof/>
        </w:rPr>
        <w:tab/>
        <w:t>131</w:t>
      </w:r>
    </w:p>
    <w:p w14:paraId="4B47E9CF" w14:textId="77777777" w:rsidR="00D21E10" w:rsidRDefault="00D21E10">
      <w:pPr>
        <w:pStyle w:val="TOC2"/>
        <w:rPr>
          <w:rFonts w:asciiTheme="minorHAnsi" w:eastAsiaTheme="minorEastAsia" w:hAnsiTheme="minorHAnsi" w:cstheme="minorBidi"/>
          <w:noProof/>
          <w:kern w:val="2"/>
          <w:sz w:val="22"/>
          <w:szCs w:val="22"/>
          <w14:ligatures w14:val="standardContextual"/>
        </w:rPr>
      </w:pPr>
      <w:r>
        <w:rPr>
          <w:noProof/>
        </w:rPr>
        <w:t>Further information</w:t>
      </w:r>
      <w:r>
        <w:rPr>
          <w:noProof/>
        </w:rPr>
        <w:tab/>
        <w:t>132</w:t>
      </w:r>
    </w:p>
    <w:p w14:paraId="20E185C4" w14:textId="77777777" w:rsidR="00D21E10" w:rsidRDefault="00D21E10">
      <w:pPr>
        <w:pStyle w:val="TOC1"/>
        <w:rPr>
          <w:rFonts w:asciiTheme="minorHAnsi" w:eastAsiaTheme="minorEastAsia" w:hAnsiTheme="minorHAnsi" w:cstheme="minorBidi"/>
          <w:b w:val="0"/>
          <w:noProof/>
          <w:kern w:val="2"/>
          <w:sz w:val="22"/>
          <w:szCs w:val="22"/>
          <w14:ligatures w14:val="standardContextual"/>
        </w:rPr>
      </w:pPr>
      <w:r>
        <w:rPr>
          <w:noProof/>
        </w:rPr>
        <w:t>Notes</w:t>
      </w:r>
      <w:r>
        <w:rPr>
          <w:noProof/>
        </w:rPr>
        <w:tab/>
        <w:t>133</w:t>
      </w:r>
    </w:p>
    <w:p w14:paraId="070393D5" w14:textId="06D56255" w:rsidR="00160590" w:rsidRDefault="0075268B" w:rsidP="00160590">
      <w:pPr>
        <w:sectPr w:rsidR="00160590" w:rsidSect="00930E37">
          <w:headerReference w:type="even" r:id="rId26"/>
          <w:headerReference w:type="default" r:id="rId27"/>
          <w:footerReference w:type="even" r:id="rId28"/>
          <w:footerReference w:type="default" r:id="rId29"/>
          <w:headerReference w:type="first" r:id="rId30"/>
          <w:footerReference w:type="first" r:id="rId31"/>
          <w:type w:val="oddPage"/>
          <w:pgSz w:w="11906" w:h="16838" w:code="9"/>
          <w:pgMar w:top="2835" w:right="2098" w:bottom="2466" w:left="2098" w:header="1814" w:footer="1814" w:gutter="0"/>
          <w:pgNumType w:fmt="lowerRoman"/>
          <w:cols w:space="708"/>
          <w:titlePg/>
          <w:docGrid w:linePitch="360"/>
        </w:sectPr>
      </w:pPr>
      <w:r w:rsidRPr="00033E8F">
        <w:rPr>
          <w:rFonts w:ascii="Arial Bold" w:hAnsi="Arial Bold"/>
          <w:b/>
          <w:sz w:val="22"/>
        </w:rPr>
        <w:fldChar w:fldCharType="end"/>
      </w:r>
    </w:p>
    <w:p w14:paraId="2B451882" w14:textId="77777777" w:rsidR="00414A82" w:rsidRDefault="0075268B" w:rsidP="00117908">
      <w:pPr>
        <w:pStyle w:val="ContentsHeading"/>
        <w:ind w:left="993" w:hanging="993"/>
        <w:rPr>
          <w:noProof/>
        </w:rPr>
      </w:pPr>
      <w:r w:rsidRPr="00033E8F">
        <w:lastRenderedPageBreak/>
        <w:t>List of tables</w:t>
      </w:r>
      <w:r w:rsidRPr="00033E8F">
        <w:fldChar w:fldCharType="begin"/>
      </w:r>
      <w:r w:rsidRPr="00033E8F">
        <w:instrText xml:space="preserve"> TOC \f \t “Table Heading,3” </w:instrText>
      </w:r>
      <w:r w:rsidRPr="00033E8F">
        <w:fldChar w:fldCharType="separate"/>
      </w:r>
    </w:p>
    <w:p w14:paraId="14C9F7F0"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1.1: Australian Government payments to the states, 2023‍–‍24 to 2027‍–‍28</w:t>
      </w:r>
      <w:r>
        <w:rPr>
          <w:noProof/>
        </w:rPr>
        <w:tab/>
        <w:t>7</w:t>
      </w:r>
    </w:p>
    <w:p w14:paraId="23397B52"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1.2: Total Australian Government payments to the states as a proportion of GDP</w:t>
      </w:r>
      <w:r>
        <w:rPr>
          <w:noProof/>
        </w:rPr>
        <w:tab/>
        <w:t>8</w:t>
      </w:r>
    </w:p>
    <w:p w14:paraId="6F3CB70D"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1.3: Australian Government’s contribution to state expenditure</w:t>
      </w:r>
      <w:r>
        <w:rPr>
          <w:noProof/>
        </w:rPr>
        <w:tab/>
        <w:t>9</w:t>
      </w:r>
    </w:p>
    <w:p w14:paraId="07476BC1"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1.4: Measures affecting payments to the states</w:t>
      </w:r>
      <w:r>
        <w:rPr>
          <w:noProof/>
        </w:rPr>
        <w:tab/>
        <w:t>10</w:t>
      </w:r>
    </w:p>
    <w:p w14:paraId="59FD92AB"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2.1: Total payments for specific purposes by category, 2023–24 to 2027–28</w:t>
      </w:r>
      <w:r>
        <w:rPr>
          <w:noProof/>
        </w:rPr>
        <w:tab/>
        <w:t>16</w:t>
      </w:r>
    </w:p>
    <w:p w14:paraId="6FF095DE"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2.2: Payments for specific purposes by sector and category, 2023–24 to 2027–28</w:t>
      </w:r>
      <w:r>
        <w:rPr>
          <w:noProof/>
        </w:rPr>
        <w:tab/>
        <w:t>18</w:t>
      </w:r>
    </w:p>
    <w:p w14:paraId="7BB24720"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sidRPr="006A5B6C">
        <w:rPr>
          <w:rFonts w:cs="Arial"/>
          <w:noProof/>
        </w:rPr>
        <w:t>Table 2.3: Payments to support state health services</w:t>
      </w:r>
      <w:r>
        <w:rPr>
          <w:noProof/>
        </w:rPr>
        <w:tab/>
        <w:t>19</w:t>
      </w:r>
    </w:p>
    <w:p w14:paraId="015FA2F8"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2.3.1 Health services</w:t>
      </w:r>
      <w:r>
        <w:rPr>
          <w:noProof/>
        </w:rPr>
        <w:tab/>
        <w:t>22</w:t>
      </w:r>
    </w:p>
    <w:p w14:paraId="4CFBBFD0" w14:textId="2A511E2E"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2.3.2 Health infrastructure</w:t>
      </w:r>
      <w:r>
        <w:rPr>
          <w:noProof/>
        </w:rPr>
        <w:tab/>
        <w:t>33</w:t>
      </w:r>
    </w:p>
    <w:p w14:paraId="70FA5F7C"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2.3.3 First Nations health</w:t>
      </w:r>
      <w:r>
        <w:rPr>
          <w:noProof/>
        </w:rPr>
        <w:tab/>
        <w:t>37</w:t>
      </w:r>
    </w:p>
    <w:p w14:paraId="502E03F1"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2.3.4 Other health National Partnership payments</w:t>
      </w:r>
      <w:r>
        <w:rPr>
          <w:noProof/>
        </w:rPr>
        <w:tab/>
        <w:t>40</w:t>
      </w:r>
    </w:p>
    <w:p w14:paraId="105A23F9" w14:textId="5EB592E0"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2.4: Payments to support state education services</w:t>
      </w:r>
      <w:r>
        <w:rPr>
          <w:noProof/>
        </w:rPr>
        <w:tab/>
        <w:t>45</w:t>
      </w:r>
    </w:p>
    <w:p w14:paraId="4B40CAC0"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2.5: Payments to support state skills and workforce development services</w:t>
      </w:r>
      <w:r>
        <w:rPr>
          <w:noProof/>
        </w:rPr>
        <w:tab/>
        <w:t>52</w:t>
      </w:r>
    </w:p>
    <w:p w14:paraId="3E7D768B"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2.6: Payments to support state community services</w:t>
      </w:r>
      <w:r>
        <w:rPr>
          <w:noProof/>
        </w:rPr>
        <w:tab/>
        <w:t>55</w:t>
      </w:r>
    </w:p>
    <w:p w14:paraId="3DA05938"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2.7: Payments to support state affordable housing services</w:t>
      </w:r>
      <w:r>
        <w:rPr>
          <w:noProof/>
        </w:rPr>
        <w:tab/>
        <w:t>62</w:t>
      </w:r>
    </w:p>
    <w:p w14:paraId="6CFE3768"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2.8: Payments to support state infrastructure services</w:t>
      </w:r>
      <w:r>
        <w:rPr>
          <w:noProof/>
        </w:rPr>
        <w:tab/>
        <w:t>66</w:t>
      </w:r>
    </w:p>
    <w:p w14:paraId="33B0631D" w14:textId="47F49EA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2.9: Payments to support state environment, energy and water services</w:t>
      </w:r>
      <w:r>
        <w:rPr>
          <w:noProof/>
        </w:rPr>
        <w:tab/>
        <w:t>83</w:t>
      </w:r>
    </w:p>
    <w:p w14:paraId="60EB119E"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2.10: Contingent payments to the states</w:t>
      </w:r>
      <w:r>
        <w:rPr>
          <w:noProof/>
        </w:rPr>
        <w:tab/>
        <w:t>108</w:t>
      </w:r>
    </w:p>
    <w:p w14:paraId="2B75CA0C"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2.11: Payments to support other state services</w:t>
      </w:r>
      <w:r>
        <w:rPr>
          <w:noProof/>
        </w:rPr>
        <w:tab/>
        <w:t>110</w:t>
      </w:r>
    </w:p>
    <w:p w14:paraId="210107A7"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sidRPr="006A5B6C">
        <w:rPr>
          <w:rFonts w:cs="Arial"/>
          <w:noProof/>
        </w:rPr>
        <w:t>Table 3.1: General revenue assistance</w:t>
      </w:r>
      <w:r>
        <w:rPr>
          <w:noProof/>
        </w:rPr>
        <w:tab/>
        <w:t>121</w:t>
      </w:r>
    </w:p>
    <w:p w14:paraId="3F8F45AB"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sidRPr="006A5B6C">
        <w:rPr>
          <w:rFonts w:cs="Arial"/>
          <w:noProof/>
        </w:rPr>
        <w:t>Table 3.2: Reconciling GST revenue, GST entitlement and GST payments to the states</w:t>
      </w:r>
      <w:r>
        <w:rPr>
          <w:noProof/>
        </w:rPr>
        <w:tab/>
        <w:t>123</w:t>
      </w:r>
    </w:p>
    <w:p w14:paraId="76708D34" w14:textId="0CFB7410"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sidRPr="006A5B6C">
        <w:rPr>
          <w:rFonts w:cs="Arial"/>
          <w:noProof/>
        </w:rPr>
        <w:t xml:space="preserve">Table 3.3: Reconciliation of the GST entitlement estimates since the  </w:t>
      </w:r>
      <w:r w:rsidR="001969BB">
        <w:rPr>
          <w:rFonts w:cs="Arial"/>
          <w:noProof/>
        </w:rPr>
        <w:br/>
      </w:r>
      <w:r>
        <w:rPr>
          <w:noProof/>
        </w:rPr>
        <w:t>2023–24 MYEFO</w:t>
      </w:r>
      <w:r>
        <w:rPr>
          <w:noProof/>
        </w:rPr>
        <w:tab/>
        <w:t>123</w:t>
      </w:r>
    </w:p>
    <w:p w14:paraId="56E60D28"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3.4: Policy decisions since the 2023–24 MYEFO that affect the GST entitlement</w:t>
      </w:r>
      <w:r>
        <w:rPr>
          <w:noProof/>
        </w:rPr>
        <w:tab/>
        <w:t>124</w:t>
      </w:r>
    </w:p>
    <w:p w14:paraId="5293AEBE"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sidRPr="006A5B6C">
        <w:rPr>
          <w:rFonts w:cs="Arial"/>
          <w:noProof/>
        </w:rPr>
        <w:t>Table 3.5: Calculation of GST entitlements</w:t>
      </w:r>
      <w:r>
        <w:rPr>
          <w:noProof/>
        </w:rPr>
        <w:tab/>
        <w:t>125</w:t>
      </w:r>
    </w:p>
    <w:p w14:paraId="06A3887E"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sidRPr="006A5B6C">
        <w:rPr>
          <w:rFonts w:cs="Arial"/>
          <w:noProof/>
        </w:rPr>
        <w:t>Table 3.6: Reconciliation of the GST administration budget</w:t>
      </w:r>
      <w:r>
        <w:rPr>
          <w:noProof/>
        </w:rPr>
        <w:tab/>
        <w:t>126</w:t>
      </w:r>
    </w:p>
    <w:p w14:paraId="4AB7F89A"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sidRPr="006A5B6C">
        <w:rPr>
          <w:rFonts w:cs="Arial"/>
          <w:noProof/>
        </w:rPr>
        <w:t>Table 3.7: Other general revenue assistance</w:t>
      </w:r>
      <w:r>
        <w:rPr>
          <w:noProof/>
        </w:rPr>
        <w:tab/>
        <w:t>126</w:t>
      </w:r>
    </w:p>
    <w:p w14:paraId="0EC919F2"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sidRPr="006A5B6C">
        <w:rPr>
          <w:rFonts w:cs="Arial"/>
          <w:noProof/>
        </w:rPr>
        <w:t>Table 3.8: Mirror taxes accrued on behalf of the states</w:t>
      </w:r>
      <w:r>
        <w:rPr>
          <w:noProof/>
        </w:rPr>
        <w:tab/>
        <w:t>127</w:t>
      </w:r>
    </w:p>
    <w:p w14:paraId="53F4FEE7"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sidRPr="006A5B6C">
        <w:rPr>
          <w:rFonts w:cs="Arial"/>
          <w:noProof/>
        </w:rPr>
        <w:t>Table A.1: Population by state, at 31 December</w:t>
      </w:r>
      <w:r>
        <w:rPr>
          <w:noProof/>
        </w:rPr>
        <w:tab/>
        <w:t>129</w:t>
      </w:r>
    </w:p>
    <w:p w14:paraId="78E3C147"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sidRPr="006A5B6C">
        <w:rPr>
          <w:rFonts w:cs="Arial"/>
          <w:noProof/>
        </w:rPr>
        <w:t>Table A.2: Population by state, at 30 June</w:t>
      </w:r>
      <w:r>
        <w:rPr>
          <w:noProof/>
        </w:rPr>
        <w:tab/>
        <w:t>129</w:t>
      </w:r>
    </w:p>
    <w:p w14:paraId="547AA712"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A.3: Total fertility rate, for years ending 30 June</w:t>
      </w:r>
      <w:r>
        <w:rPr>
          <w:noProof/>
        </w:rPr>
        <w:tab/>
        <w:t>130</w:t>
      </w:r>
    </w:p>
    <w:p w14:paraId="00683522"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A.4: Projected life expectancy at birth, for years ending 30 June</w:t>
      </w:r>
      <w:r>
        <w:rPr>
          <w:noProof/>
        </w:rPr>
        <w:tab/>
        <w:t>130</w:t>
      </w:r>
    </w:p>
    <w:p w14:paraId="38CB19CA"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sidRPr="006A5B6C">
        <w:rPr>
          <w:rFonts w:cs="Arial"/>
          <w:noProof/>
        </w:rPr>
        <w:lastRenderedPageBreak/>
        <w:t>Table A.5: Net overseas migration, for years ending 30 June</w:t>
      </w:r>
      <w:r>
        <w:rPr>
          <w:noProof/>
        </w:rPr>
        <w:tab/>
        <w:t>130</w:t>
      </w:r>
    </w:p>
    <w:p w14:paraId="62A93C50"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A.6: Net interstate migration by state, for years ending 30 June</w:t>
      </w:r>
      <w:r>
        <w:rPr>
          <w:noProof/>
        </w:rPr>
        <w:tab/>
        <w:t>131</w:t>
      </w:r>
    </w:p>
    <w:p w14:paraId="117BC0CD" w14:textId="77777777" w:rsidR="00414A82" w:rsidRDefault="00414A82" w:rsidP="00117908">
      <w:pPr>
        <w:pStyle w:val="TOC3"/>
        <w:ind w:left="993" w:hanging="993"/>
        <w:rPr>
          <w:rFonts w:asciiTheme="minorHAnsi" w:eastAsiaTheme="minorEastAsia" w:hAnsiTheme="minorHAnsi" w:cstheme="minorBidi"/>
          <w:noProof/>
          <w:kern w:val="2"/>
          <w:sz w:val="22"/>
          <w:szCs w:val="22"/>
          <w14:ligatures w14:val="standardContextual"/>
        </w:rPr>
      </w:pPr>
      <w:r>
        <w:rPr>
          <w:noProof/>
        </w:rPr>
        <w:t>Table A.7: Wage cost indices</w:t>
      </w:r>
      <w:r>
        <w:rPr>
          <w:noProof/>
        </w:rPr>
        <w:tab/>
        <w:t>131</w:t>
      </w:r>
    </w:p>
    <w:p w14:paraId="6959614D" w14:textId="77777777" w:rsidR="0075268B" w:rsidRPr="00033E8F" w:rsidRDefault="0075268B" w:rsidP="0075268B">
      <w:r w:rsidRPr="00033E8F">
        <w:rPr>
          <w:noProof/>
        </w:rPr>
        <w:fldChar w:fldCharType="end"/>
      </w:r>
      <w:r w:rsidRPr="00033E8F">
        <w:rPr>
          <w:noProof/>
        </w:rPr>
        <w:br w:type="page"/>
      </w:r>
    </w:p>
    <w:p w14:paraId="2EB815E1" w14:textId="77777777" w:rsidR="006B10BB" w:rsidRDefault="0075268B" w:rsidP="0075268B">
      <w:pPr>
        <w:pStyle w:val="ContentsHeading"/>
        <w:rPr>
          <w:noProof/>
        </w:rPr>
      </w:pPr>
      <w:r w:rsidRPr="00033E8F">
        <w:lastRenderedPageBreak/>
        <w:t>List of charts</w:t>
      </w:r>
      <w:r w:rsidRPr="00033E8F">
        <w:fldChar w:fldCharType="begin"/>
      </w:r>
      <w:r w:rsidRPr="00033E8F">
        <w:instrText xml:space="preserve"> TOC \t "Chart Main Heading,2" </w:instrText>
      </w:r>
      <w:r w:rsidRPr="00033E8F">
        <w:fldChar w:fldCharType="separate"/>
      </w:r>
    </w:p>
    <w:p w14:paraId="672C23E4" w14:textId="77777777" w:rsidR="006B10BB" w:rsidRDefault="006B10BB">
      <w:pPr>
        <w:pStyle w:val="TOC2"/>
        <w:rPr>
          <w:rFonts w:asciiTheme="minorHAnsi" w:eastAsiaTheme="minorEastAsia" w:hAnsiTheme="minorHAnsi" w:cstheme="minorBidi"/>
          <w:noProof/>
          <w:kern w:val="2"/>
          <w:sz w:val="22"/>
          <w:szCs w:val="22"/>
          <w14:ligatures w14:val="standardContextual"/>
        </w:rPr>
      </w:pPr>
      <w:r>
        <w:rPr>
          <w:noProof/>
        </w:rPr>
        <w:t>Chart 1.1: Net operating balance as a share of GDP</w:t>
      </w:r>
      <w:r>
        <w:rPr>
          <w:noProof/>
        </w:rPr>
        <w:tab/>
        <w:t>2</w:t>
      </w:r>
    </w:p>
    <w:p w14:paraId="2369C2CA" w14:textId="77777777" w:rsidR="006B10BB" w:rsidRDefault="006B10BB">
      <w:pPr>
        <w:pStyle w:val="TOC2"/>
        <w:rPr>
          <w:rFonts w:asciiTheme="minorHAnsi" w:eastAsiaTheme="minorEastAsia" w:hAnsiTheme="minorHAnsi" w:cstheme="minorBidi"/>
          <w:noProof/>
          <w:kern w:val="2"/>
          <w:sz w:val="22"/>
          <w:szCs w:val="22"/>
          <w14:ligatures w14:val="standardContextual"/>
        </w:rPr>
      </w:pPr>
      <w:r>
        <w:rPr>
          <w:noProof/>
        </w:rPr>
        <w:t>Chart 1.2: Payments for specific purposes 2024–25, by sector</w:t>
      </w:r>
      <w:r>
        <w:rPr>
          <w:noProof/>
        </w:rPr>
        <w:tab/>
        <w:t>5</w:t>
      </w:r>
    </w:p>
    <w:p w14:paraId="2B627482" w14:textId="77777777" w:rsidR="006B10BB" w:rsidRDefault="006B10BB">
      <w:pPr>
        <w:pStyle w:val="TOC2"/>
        <w:rPr>
          <w:rFonts w:asciiTheme="minorHAnsi" w:eastAsiaTheme="minorEastAsia" w:hAnsiTheme="minorHAnsi" w:cstheme="minorBidi"/>
          <w:noProof/>
          <w:kern w:val="2"/>
          <w:sz w:val="22"/>
          <w:szCs w:val="22"/>
          <w14:ligatures w14:val="standardContextual"/>
        </w:rPr>
      </w:pPr>
      <w:r>
        <w:rPr>
          <w:noProof/>
        </w:rPr>
        <w:t>Chart 1.3: Total Australian Government payments to the states, 2024‍–‍25</w:t>
      </w:r>
      <w:r>
        <w:rPr>
          <w:noProof/>
        </w:rPr>
        <w:tab/>
        <w:t>8</w:t>
      </w:r>
    </w:p>
    <w:p w14:paraId="65680573" w14:textId="433E76A7" w:rsidR="00A11F5D" w:rsidRPr="0075268B" w:rsidRDefault="0075268B" w:rsidP="0075268B">
      <w:r w:rsidRPr="00033E8F">
        <w:fldChar w:fldCharType="end"/>
      </w:r>
    </w:p>
    <w:sectPr w:rsidR="00A11F5D" w:rsidRPr="0075268B" w:rsidSect="00930E37">
      <w:pgSz w:w="11906" w:h="16838" w:code="9"/>
      <w:pgMar w:top="2835" w:right="2098" w:bottom="2466" w:left="2098" w:header="1814" w:footer="1814"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4C04" w14:textId="77777777" w:rsidR="002A34FA" w:rsidRDefault="002A34FA" w:rsidP="00E40261">
      <w:pPr>
        <w:spacing w:after="0" w:line="240" w:lineRule="auto"/>
      </w:pPr>
      <w:r>
        <w:separator/>
      </w:r>
    </w:p>
  </w:endnote>
  <w:endnote w:type="continuationSeparator" w:id="0">
    <w:p w14:paraId="4D7764D6" w14:textId="77777777" w:rsidR="002A34FA" w:rsidRDefault="002A34FA" w:rsidP="00E4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2677" w14:textId="12DA9986" w:rsidR="0075268B" w:rsidRDefault="0075268B"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B37317">
      <w:fldChar w:fldCharType="begin"/>
    </w:r>
    <w:r w:rsidR="00B37317">
      <w:instrText xml:space="preserve"> SUBJECT   \* MERGEFORMAT </w:instrText>
    </w:r>
    <w:r w:rsidR="00B37317">
      <w:fldChar w:fldCharType="separate"/>
    </w:r>
    <w:r w:rsidR="0078329B">
      <w:t>Preliminaries</w:t>
    </w:r>
    <w:r w:rsidR="00B3731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AEC" w14:textId="2B3CD977" w:rsidR="0075268B" w:rsidRDefault="00B37317" w:rsidP="002A6A16">
    <w:pPr>
      <w:pStyle w:val="FooterOdd"/>
    </w:pPr>
    <w:r>
      <w:fldChar w:fldCharType="begin"/>
    </w:r>
    <w:r>
      <w:instrText xml:space="preserve"> SUBJECT   \* MERGEFORMAT </w:instrText>
    </w:r>
    <w:r>
      <w:fldChar w:fldCharType="separate"/>
    </w:r>
    <w:r w:rsidR="0078329B">
      <w:t>Preliminaries</w:t>
    </w:r>
    <w:r>
      <w:fldChar w:fldCharType="end"/>
    </w:r>
    <w:r w:rsidR="0075268B" w:rsidRPr="00B3705D">
      <w:t xml:space="preserve">  |  </w:t>
    </w:r>
    <w:r w:rsidR="0075268B" w:rsidRPr="00B3705D">
      <w:rPr>
        <w:b/>
        <w:bCs/>
      </w:rPr>
      <w:t xml:space="preserve">Page </w:t>
    </w:r>
    <w:r w:rsidR="0075268B" w:rsidRPr="00B3705D">
      <w:rPr>
        <w:b/>
        <w:bCs/>
      </w:rPr>
      <w:fldChar w:fldCharType="begin"/>
    </w:r>
    <w:r w:rsidR="0075268B" w:rsidRPr="00B3705D">
      <w:rPr>
        <w:b/>
        <w:bCs/>
      </w:rPr>
      <w:instrText xml:space="preserve"> PAGE  \* Arabic  \* MERGEFORMAT </w:instrText>
    </w:r>
    <w:r w:rsidR="0075268B" w:rsidRPr="00B3705D">
      <w:rPr>
        <w:b/>
        <w:bCs/>
      </w:rPr>
      <w:fldChar w:fldCharType="separate"/>
    </w:r>
    <w:r w:rsidR="0075268B">
      <w:rPr>
        <w:b/>
        <w:bCs/>
      </w:rPr>
      <w:t>1</w:t>
    </w:r>
    <w:r w:rsidR="0075268B"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D61D" w14:textId="77777777" w:rsidR="0075268B" w:rsidRPr="0036661A" w:rsidRDefault="0075268B" w:rsidP="004A3CF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9C79" w14:textId="77777777" w:rsidR="0075268B" w:rsidRPr="005B2F30" w:rsidRDefault="0075268B" w:rsidP="004A3CF3">
    <w:pPr>
      <w:pStyle w:val="FooterOdd"/>
    </w:pP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noProof/>
      </w:rPr>
      <w:t>vii</w:t>
    </w:r>
    <w:r>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9C73" w14:textId="575D1911" w:rsidR="00FB5DDD" w:rsidRDefault="00FB5DDD" w:rsidP="00360947">
    <w:pPr>
      <w:pStyle w:val="FooterEven"/>
    </w:pPr>
    <w:r w:rsidRPr="00B3705D">
      <w:rPr>
        <w:b/>
      </w:rPr>
      <w:t xml:space="preserve">Page </w:t>
    </w:r>
    <w:r w:rsidR="0075268B">
      <w:rPr>
        <w:b/>
        <w:bCs/>
      </w:rPr>
      <w:fldChar w:fldCharType="begin"/>
    </w:r>
    <w:r w:rsidR="0075268B">
      <w:rPr>
        <w:b/>
        <w:bCs/>
      </w:rPr>
      <w:instrText xml:space="preserve"> PAGE  \* roman  \* MERGEFORMAT </w:instrText>
    </w:r>
    <w:r w:rsidR="0075268B">
      <w:rPr>
        <w:b/>
        <w:bCs/>
      </w:rPr>
      <w:fldChar w:fldCharType="separate"/>
    </w:r>
    <w:r w:rsidR="0075268B">
      <w:rPr>
        <w:b/>
        <w:bCs/>
        <w:noProof/>
      </w:rPr>
      <w:t>ix</w:t>
    </w:r>
    <w:r w:rsidR="0075268B">
      <w:rP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0F06" w14:textId="2A973143" w:rsidR="00FB5DDD" w:rsidRDefault="00FB5DDD" w:rsidP="002A6A16">
    <w:pPr>
      <w:pStyle w:val="FooterOdd"/>
    </w:pPr>
    <w:r w:rsidRPr="00B3705D">
      <w:rPr>
        <w:b/>
        <w:bCs/>
      </w:rPr>
      <w:t xml:space="preserve">Page </w:t>
    </w:r>
    <w:r w:rsidR="0075268B">
      <w:rPr>
        <w:b/>
        <w:bCs/>
      </w:rPr>
      <w:fldChar w:fldCharType="begin"/>
    </w:r>
    <w:r w:rsidR="0075268B">
      <w:rPr>
        <w:b/>
        <w:bCs/>
      </w:rPr>
      <w:instrText xml:space="preserve"> PAGE  \* roman  \* MERGEFORMAT </w:instrText>
    </w:r>
    <w:r w:rsidR="0075268B">
      <w:rPr>
        <w:b/>
        <w:bCs/>
      </w:rPr>
      <w:fldChar w:fldCharType="separate"/>
    </w:r>
    <w:r w:rsidR="0075268B">
      <w:rPr>
        <w:b/>
        <w:bCs/>
        <w:noProof/>
      </w:rPr>
      <w:t>ix</w:t>
    </w:r>
    <w:r w:rsidR="0075268B">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FB83" w14:textId="17B9C278" w:rsidR="00FB5DDD" w:rsidRDefault="00FB5DDD" w:rsidP="00360947">
    <w:pPr>
      <w:pStyle w:val="FooterOdd"/>
    </w:pPr>
    <w:r w:rsidRPr="00B3705D">
      <w:rPr>
        <w:b/>
        <w:bCs/>
      </w:rPr>
      <w:t xml:space="preserve">Page </w:t>
    </w:r>
    <w:r w:rsidR="0075268B">
      <w:rPr>
        <w:b/>
        <w:bCs/>
      </w:rPr>
      <w:fldChar w:fldCharType="begin"/>
    </w:r>
    <w:r w:rsidR="0075268B">
      <w:rPr>
        <w:b/>
        <w:bCs/>
      </w:rPr>
      <w:instrText xml:space="preserve"> PAGE  \* roman  \* MERGEFORMAT </w:instrText>
    </w:r>
    <w:r w:rsidR="0075268B">
      <w:rPr>
        <w:b/>
        <w:bCs/>
      </w:rPr>
      <w:fldChar w:fldCharType="separate"/>
    </w:r>
    <w:r w:rsidR="0075268B">
      <w:rPr>
        <w:b/>
        <w:bCs/>
        <w:noProof/>
      </w:rPr>
      <w:t>v</w:t>
    </w:r>
    <w:r w:rsidR="0075268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1087" w14:textId="77777777" w:rsidR="002A34FA" w:rsidRPr="003C1CA4" w:rsidRDefault="002A34FA"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59FCFBE6" w14:textId="77777777" w:rsidR="002A34FA" w:rsidRDefault="002A34FA" w:rsidP="00E40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D27C" w14:textId="77777777" w:rsidR="0075268B" w:rsidRPr="00AA5439" w:rsidRDefault="0075268B"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5268B" w14:paraId="1A6F0326" w14:textId="77777777" w:rsidTr="002A6A16">
      <w:trPr>
        <w:trHeight w:hRule="exact" w:val="340"/>
      </w:trPr>
      <w:tc>
        <w:tcPr>
          <w:tcW w:w="7797" w:type="dxa"/>
        </w:tcPr>
        <w:p w14:paraId="300DBF42" w14:textId="2BB373B7" w:rsidR="0075268B" w:rsidRDefault="0075268B" w:rsidP="008F55F8">
          <w:pPr>
            <w:pStyle w:val="HeaderEven"/>
            <w:ind w:left="-113"/>
          </w:pPr>
          <w:r w:rsidRPr="00D47C6E">
            <w:rPr>
              <w:noProof/>
              <w:position w:val="-6"/>
            </w:rPr>
            <w:drawing>
              <wp:inline distT="0" distB="0" distL="0" distR="0" wp14:anchorId="5CC7C6EC" wp14:editId="7727421E">
                <wp:extent cx="1350000" cy="126000"/>
                <wp:effectExtent l="0" t="0" r="3175" b="762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26000"/>
                        </a:xfrm>
                        <a:prstGeom prst="rect">
                          <a:avLst/>
                        </a:prstGeom>
                      </pic:spPr>
                    </pic:pic>
                  </a:graphicData>
                </a:graphic>
              </wp:inline>
            </w:drawing>
          </w:r>
          <w:r>
            <w:t xml:space="preserve">  |  </w:t>
          </w:r>
          <w:r w:rsidR="00B37317">
            <w:fldChar w:fldCharType="begin"/>
          </w:r>
          <w:r w:rsidR="00B37317">
            <w:instrText xml:space="preserve"> TITLE   \* MERGEFORMAT </w:instrText>
          </w:r>
          <w:r w:rsidR="00B37317">
            <w:fldChar w:fldCharType="separate"/>
          </w:r>
          <w:r w:rsidR="0078329B">
            <w:t>Budget Paper No. 3</w:t>
          </w:r>
          <w:r w:rsidR="00B37317">
            <w:fldChar w:fldCharType="end"/>
          </w:r>
        </w:p>
      </w:tc>
    </w:tr>
  </w:tbl>
  <w:p w14:paraId="2FD876D0" w14:textId="77777777" w:rsidR="0075268B" w:rsidRPr="00AA5439" w:rsidRDefault="0075268B" w:rsidP="00AA5439">
    <w:pPr>
      <w:pStyle w:val="HeaderEven"/>
      <w:rPr>
        <w:sz w:val="2"/>
        <w:szCs w:val="4"/>
      </w:rPr>
    </w:pPr>
  </w:p>
  <w:p w14:paraId="1E52D145" w14:textId="77777777" w:rsidR="0075268B" w:rsidRPr="007703C7" w:rsidRDefault="0075268B"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0A34" w14:textId="77777777" w:rsidR="0075268B" w:rsidRPr="000635BE" w:rsidRDefault="0075268B"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5268B" w14:paraId="3FD2CF7E" w14:textId="77777777" w:rsidTr="002A6A16">
      <w:trPr>
        <w:trHeight w:hRule="exact" w:val="340"/>
      </w:trPr>
      <w:tc>
        <w:tcPr>
          <w:tcW w:w="7797" w:type="dxa"/>
        </w:tcPr>
        <w:p w14:paraId="5335538B" w14:textId="0AC5A1A8" w:rsidR="0075268B" w:rsidRDefault="00B37317" w:rsidP="000635BE">
          <w:pPr>
            <w:pStyle w:val="HeaderOdd"/>
          </w:pPr>
          <w:r>
            <w:fldChar w:fldCharType="begin"/>
          </w:r>
          <w:r>
            <w:instrText xml:space="preserve"> TITLE   \* MERGEFORMAT </w:instrText>
          </w:r>
          <w:r>
            <w:fldChar w:fldCharType="separate"/>
          </w:r>
          <w:r w:rsidR="0078329B">
            <w:t>Budget Paper No. 3</w:t>
          </w:r>
          <w:r>
            <w:fldChar w:fldCharType="end"/>
          </w:r>
          <w:r w:rsidR="0075268B">
            <w:t xml:space="preserve">  |  </w:t>
          </w:r>
          <w:r w:rsidR="0075268B" w:rsidRPr="00D47C6E">
            <w:rPr>
              <w:noProof/>
              <w:position w:val="-6"/>
            </w:rPr>
            <w:drawing>
              <wp:inline distT="0" distB="0" distL="0" distR="0" wp14:anchorId="382078CD" wp14:editId="50C72CB5">
                <wp:extent cx="1350000" cy="126000"/>
                <wp:effectExtent l="0" t="0" r="3175" b="762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26000"/>
                        </a:xfrm>
                        <a:prstGeom prst="rect">
                          <a:avLst/>
                        </a:prstGeom>
                      </pic:spPr>
                    </pic:pic>
                  </a:graphicData>
                </a:graphic>
              </wp:inline>
            </w:drawing>
          </w:r>
        </w:p>
      </w:tc>
    </w:tr>
  </w:tbl>
  <w:p w14:paraId="156EE001" w14:textId="77777777" w:rsidR="0075268B" w:rsidRPr="00AA5439" w:rsidRDefault="0075268B"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641B" w14:textId="77777777" w:rsidR="0075268B" w:rsidRDefault="0075268B" w:rsidP="002B3D6D">
    <w:pPr>
      <w:pStyle w:val="HeaderEven"/>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CAE8" w14:textId="11763FAB" w:rsidR="00FB5DDD" w:rsidRPr="00D06893" w:rsidRDefault="00FB5DDD" w:rsidP="00D068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CF18" w14:textId="1EA6CC0A" w:rsidR="00FB5DDD" w:rsidRPr="00D06893" w:rsidRDefault="00FB5DDD" w:rsidP="00D068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ADAA" w14:textId="0B2DE199" w:rsidR="00FB5DDD" w:rsidRPr="004E33CE" w:rsidRDefault="00FB5DDD" w:rsidP="004E3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3"/>
  </w:num>
  <w:num w:numId="2">
    <w:abstractNumId w:val="11"/>
  </w:num>
  <w:num w:numId="3">
    <w:abstractNumId w:val="10"/>
  </w:num>
  <w:num w:numId="4">
    <w:abstractNumId w:val="12"/>
  </w:num>
  <w:num w:numId="5">
    <w:abstractNumId w:val="14"/>
  </w:num>
  <w:num w:numId="6">
    <w:abstractNumId w:val="10"/>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75268B"/>
    <w:rsid w:val="000004EA"/>
    <w:rsid w:val="000021DC"/>
    <w:rsid w:val="00011DBB"/>
    <w:rsid w:val="00011FB3"/>
    <w:rsid w:val="00013EA8"/>
    <w:rsid w:val="00024BA4"/>
    <w:rsid w:val="00033E8F"/>
    <w:rsid w:val="00035D8D"/>
    <w:rsid w:val="000546EB"/>
    <w:rsid w:val="000622DA"/>
    <w:rsid w:val="000635BE"/>
    <w:rsid w:val="00065496"/>
    <w:rsid w:val="0008143A"/>
    <w:rsid w:val="0008399A"/>
    <w:rsid w:val="0008597F"/>
    <w:rsid w:val="000A25F3"/>
    <w:rsid w:val="000B38A8"/>
    <w:rsid w:val="000D78F4"/>
    <w:rsid w:val="000E011F"/>
    <w:rsid w:val="000E105B"/>
    <w:rsid w:val="000E149B"/>
    <w:rsid w:val="00103F65"/>
    <w:rsid w:val="0011175D"/>
    <w:rsid w:val="00117908"/>
    <w:rsid w:val="001472CA"/>
    <w:rsid w:val="00160590"/>
    <w:rsid w:val="00160928"/>
    <w:rsid w:val="00172CFE"/>
    <w:rsid w:val="0019115B"/>
    <w:rsid w:val="001969BB"/>
    <w:rsid w:val="001970E6"/>
    <w:rsid w:val="001A5A92"/>
    <w:rsid w:val="001A7712"/>
    <w:rsid w:val="001C29BA"/>
    <w:rsid w:val="001C5E21"/>
    <w:rsid w:val="001D33D6"/>
    <w:rsid w:val="001E6FD3"/>
    <w:rsid w:val="001F08E1"/>
    <w:rsid w:val="001F1D05"/>
    <w:rsid w:val="00206A05"/>
    <w:rsid w:val="00237F04"/>
    <w:rsid w:val="00242462"/>
    <w:rsid w:val="00242479"/>
    <w:rsid w:val="0024521A"/>
    <w:rsid w:val="00250208"/>
    <w:rsid w:val="00267200"/>
    <w:rsid w:val="00281716"/>
    <w:rsid w:val="002861BF"/>
    <w:rsid w:val="0029213F"/>
    <w:rsid w:val="002A34FA"/>
    <w:rsid w:val="002A6A16"/>
    <w:rsid w:val="002B6106"/>
    <w:rsid w:val="002C2097"/>
    <w:rsid w:val="002C3537"/>
    <w:rsid w:val="002C3DEB"/>
    <w:rsid w:val="002C596C"/>
    <w:rsid w:val="002D2A1E"/>
    <w:rsid w:val="002D789E"/>
    <w:rsid w:val="002E638A"/>
    <w:rsid w:val="002E7B71"/>
    <w:rsid w:val="002F40F3"/>
    <w:rsid w:val="00303A9E"/>
    <w:rsid w:val="00305105"/>
    <w:rsid w:val="003303B0"/>
    <w:rsid w:val="00336EFE"/>
    <w:rsid w:val="003421CD"/>
    <w:rsid w:val="003451F5"/>
    <w:rsid w:val="003478ED"/>
    <w:rsid w:val="003506C0"/>
    <w:rsid w:val="00360947"/>
    <w:rsid w:val="00362AB3"/>
    <w:rsid w:val="00376330"/>
    <w:rsid w:val="00377927"/>
    <w:rsid w:val="00381D29"/>
    <w:rsid w:val="00382E3D"/>
    <w:rsid w:val="00386122"/>
    <w:rsid w:val="003A3AC2"/>
    <w:rsid w:val="003B3151"/>
    <w:rsid w:val="003B3670"/>
    <w:rsid w:val="003C1580"/>
    <w:rsid w:val="003C1CA4"/>
    <w:rsid w:val="003F42F4"/>
    <w:rsid w:val="00410AC2"/>
    <w:rsid w:val="00414A82"/>
    <w:rsid w:val="00414D61"/>
    <w:rsid w:val="004233DE"/>
    <w:rsid w:val="00447E2C"/>
    <w:rsid w:val="00454B19"/>
    <w:rsid w:val="0046391C"/>
    <w:rsid w:val="004739D5"/>
    <w:rsid w:val="0048563A"/>
    <w:rsid w:val="0049384A"/>
    <w:rsid w:val="004C3F27"/>
    <w:rsid w:val="004E33CE"/>
    <w:rsid w:val="004F3FD9"/>
    <w:rsid w:val="004F60DD"/>
    <w:rsid w:val="00513FCE"/>
    <w:rsid w:val="005151D9"/>
    <w:rsid w:val="00532259"/>
    <w:rsid w:val="005476BD"/>
    <w:rsid w:val="00551E91"/>
    <w:rsid w:val="0055273E"/>
    <w:rsid w:val="005642C7"/>
    <w:rsid w:val="00580067"/>
    <w:rsid w:val="005A43A4"/>
    <w:rsid w:val="005A6F5F"/>
    <w:rsid w:val="005B2F30"/>
    <w:rsid w:val="005B3010"/>
    <w:rsid w:val="005D23CB"/>
    <w:rsid w:val="005D6ADA"/>
    <w:rsid w:val="005E4F85"/>
    <w:rsid w:val="005E792C"/>
    <w:rsid w:val="0060305C"/>
    <w:rsid w:val="00614554"/>
    <w:rsid w:val="00614FC4"/>
    <w:rsid w:val="00622CDB"/>
    <w:rsid w:val="00653D2B"/>
    <w:rsid w:val="006568AA"/>
    <w:rsid w:val="00664F1B"/>
    <w:rsid w:val="006759AD"/>
    <w:rsid w:val="00677EBB"/>
    <w:rsid w:val="00680768"/>
    <w:rsid w:val="00682D05"/>
    <w:rsid w:val="00692105"/>
    <w:rsid w:val="00692BED"/>
    <w:rsid w:val="006A097B"/>
    <w:rsid w:val="006B10BB"/>
    <w:rsid w:val="006C1494"/>
    <w:rsid w:val="006C3E1F"/>
    <w:rsid w:val="006C4809"/>
    <w:rsid w:val="006C4A90"/>
    <w:rsid w:val="006D4A4D"/>
    <w:rsid w:val="006D6E33"/>
    <w:rsid w:val="006E7F46"/>
    <w:rsid w:val="00702304"/>
    <w:rsid w:val="0072449F"/>
    <w:rsid w:val="0074527D"/>
    <w:rsid w:val="00746359"/>
    <w:rsid w:val="0075268B"/>
    <w:rsid w:val="00752C40"/>
    <w:rsid w:val="00754CF2"/>
    <w:rsid w:val="00755F34"/>
    <w:rsid w:val="007703C7"/>
    <w:rsid w:val="00773905"/>
    <w:rsid w:val="0078329B"/>
    <w:rsid w:val="00787DEE"/>
    <w:rsid w:val="00791275"/>
    <w:rsid w:val="007913DD"/>
    <w:rsid w:val="00792F0C"/>
    <w:rsid w:val="00794079"/>
    <w:rsid w:val="007D5AEF"/>
    <w:rsid w:val="00801FE2"/>
    <w:rsid w:val="00824E07"/>
    <w:rsid w:val="008253FB"/>
    <w:rsid w:val="00832F1A"/>
    <w:rsid w:val="008478D7"/>
    <w:rsid w:val="00881D59"/>
    <w:rsid w:val="00885620"/>
    <w:rsid w:val="008B204E"/>
    <w:rsid w:val="008B2450"/>
    <w:rsid w:val="008C2AAD"/>
    <w:rsid w:val="008C56E1"/>
    <w:rsid w:val="008D3CA1"/>
    <w:rsid w:val="008D3EF8"/>
    <w:rsid w:val="008D45DE"/>
    <w:rsid w:val="008D52ED"/>
    <w:rsid w:val="008D71E5"/>
    <w:rsid w:val="008E7225"/>
    <w:rsid w:val="008F55F8"/>
    <w:rsid w:val="00913F1F"/>
    <w:rsid w:val="00930E37"/>
    <w:rsid w:val="0093363A"/>
    <w:rsid w:val="009345C5"/>
    <w:rsid w:val="0094345F"/>
    <w:rsid w:val="00943C8B"/>
    <w:rsid w:val="00945C29"/>
    <w:rsid w:val="0095269D"/>
    <w:rsid w:val="009526DA"/>
    <w:rsid w:val="009775E1"/>
    <w:rsid w:val="009804F5"/>
    <w:rsid w:val="0098629D"/>
    <w:rsid w:val="00997029"/>
    <w:rsid w:val="009A553C"/>
    <w:rsid w:val="009A7DCC"/>
    <w:rsid w:val="009B2CFA"/>
    <w:rsid w:val="009C37E9"/>
    <w:rsid w:val="009C3A40"/>
    <w:rsid w:val="009C4905"/>
    <w:rsid w:val="009D44CF"/>
    <w:rsid w:val="009D7662"/>
    <w:rsid w:val="009E38E1"/>
    <w:rsid w:val="009E766A"/>
    <w:rsid w:val="009F4D67"/>
    <w:rsid w:val="009F7634"/>
    <w:rsid w:val="00A04475"/>
    <w:rsid w:val="00A10522"/>
    <w:rsid w:val="00A11F5D"/>
    <w:rsid w:val="00A26245"/>
    <w:rsid w:val="00A267BA"/>
    <w:rsid w:val="00A268AC"/>
    <w:rsid w:val="00A27919"/>
    <w:rsid w:val="00A36880"/>
    <w:rsid w:val="00A52AFA"/>
    <w:rsid w:val="00A60F54"/>
    <w:rsid w:val="00A673F7"/>
    <w:rsid w:val="00A72007"/>
    <w:rsid w:val="00A75A49"/>
    <w:rsid w:val="00A768EA"/>
    <w:rsid w:val="00A819BF"/>
    <w:rsid w:val="00A85845"/>
    <w:rsid w:val="00A87063"/>
    <w:rsid w:val="00A94D5E"/>
    <w:rsid w:val="00AA5439"/>
    <w:rsid w:val="00AA71F1"/>
    <w:rsid w:val="00AB5E51"/>
    <w:rsid w:val="00AB63E5"/>
    <w:rsid w:val="00AC2FED"/>
    <w:rsid w:val="00AD32EA"/>
    <w:rsid w:val="00AD68DA"/>
    <w:rsid w:val="00B051A6"/>
    <w:rsid w:val="00B26C0C"/>
    <w:rsid w:val="00B37317"/>
    <w:rsid w:val="00B62ED2"/>
    <w:rsid w:val="00B742E3"/>
    <w:rsid w:val="00B75873"/>
    <w:rsid w:val="00B826DE"/>
    <w:rsid w:val="00B91AED"/>
    <w:rsid w:val="00B96A23"/>
    <w:rsid w:val="00BA7246"/>
    <w:rsid w:val="00BB207D"/>
    <w:rsid w:val="00BB52EC"/>
    <w:rsid w:val="00BC4E72"/>
    <w:rsid w:val="00BE2420"/>
    <w:rsid w:val="00BE712B"/>
    <w:rsid w:val="00BF5E88"/>
    <w:rsid w:val="00C060D7"/>
    <w:rsid w:val="00C21110"/>
    <w:rsid w:val="00C33129"/>
    <w:rsid w:val="00C4293F"/>
    <w:rsid w:val="00C44195"/>
    <w:rsid w:val="00C461BE"/>
    <w:rsid w:val="00C465A8"/>
    <w:rsid w:val="00C601D0"/>
    <w:rsid w:val="00C64CC1"/>
    <w:rsid w:val="00C75ABC"/>
    <w:rsid w:val="00C93398"/>
    <w:rsid w:val="00C9389A"/>
    <w:rsid w:val="00C94AB7"/>
    <w:rsid w:val="00CB0E63"/>
    <w:rsid w:val="00CC6004"/>
    <w:rsid w:val="00CE1414"/>
    <w:rsid w:val="00D06893"/>
    <w:rsid w:val="00D13BF9"/>
    <w:rsid w:val="00D1656D"/>
    <w:rsid w:val="00D1685E"/>
    <w:rsid w:val="00D21E10"/>
    <w:rsid w:val="00D225F0"/>
    <w:rsid w:val="00D27078"/>
    <w:rsid w:val="00D270F4"/>
    <w:rsid w:val="00D47C6E"/>
    <w:rsid w:val="00D5569F"/>
    <w:rsid w:val="00D81A31"/>
    <w:rsid w:val="00D82B0F"/>
    <w:rsid w:val="00D856E1"/>
    <w:rsid w:val="00D93796"/>
    <w:rsid w:val="00DA1DFB"/>
    <w:rsid w:val="00DA42A3"/>
    <w:rsid w:val="00DA58C6"/>
    <w:rsid w:val="00DB513A"/>
    <w:rsid w:val="00DD1DAD"/>
    <w:rsid w:val="00DE504B"/>
    <w:rsid w:val="00DE71D2"/>
    <w:rsid w:val="00DF5A91"/>
    <w:rsid w:val="00E11FAE"/>
    <w:rsid w:val="00E20852"/>
    <w:rsid w:val="00E40261"/>
    <w:rsid w:val="00E404C5"/>
    <w:rsid w:val="00E4685E"/>
    <w:rsid w:val="00E47746"/>
    <w:rsid w:val="00E52EF5"/>
    <w:rsid w:val="00E66821"/>
    <w:rsid w:val="00E70282"/>
    <w:rsid w:val="00E71045"/>
    <w:rsid w:val="00E80210"/>
    <w:rsid w:val="00E85029"/>
    <w:rsid w:val="00EA52E4"/>
    <w:rsid w:val="00EB6597"/>
    <w:rsid w:val="00EE4527"/>
    <w:rsid w:val="00EF1B7E"/>
    <w:rsid w:val="00EF338C"/>
    <w:rsid w:val="00EF4C8A"/>
    <w:rsid w:val="00F11365"/>
    <w:rsid w:val="00F362DE"/>
    <w:rsid w:val="00F51DA2"/>
    <w:rsid w:val="00F60EA1"/>
    <w:rsid w:val="00F84F40"/>
    <w:rsid w:val="00FA7D31"/>
    <w:rsid w:val="00FB3189"/>
    <w:rsid w:val="00FB5DDD"/>
    <w:rsid w:val="00FB7342"/>
    <w:rsid w:val="00FC7371"/>
    <w:rsid w:val="00FE18B7"/>
    <w:rsid w:val="00FE4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8BD1A"/>
  <w15:chartTrackingRefBased/>
  <w15:docId w15:val="{12B8E180-9F28-49C5-8B4F-E1929C8C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49"/>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A75A4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75A49"/>
    <w:pPr>
      <w:spacing w:before="240" w:after="240"/>
      <w:outlineLvl w:val="1"/>
    </w:pPr>
    <w:rPr>
      <w:rFonts w:ascii="Arial Bold" w:hAnsi="Arial Bold"/>
      <w:b/>
      <w:sz w:val="26"/>
    </w:rPr>
  </w:style>
  <w:style w:type="paragraph" w:styleId="Heading3">
    <w:name w:val="heading 3"/>
    <w:basedOn w:val="HeadingBase"/>
    <w:next w:val="Normal"/>
    <w:link w:val="Heading3Char"/>
    <w:qFormat/>
    <w:rsid w:val="00A75A49"/>
    <w:pPr>
      <w:spacing w:before="120" w:after="120"/>
      <w:outlineLvl w:val="2"/>
    </w:pPr>
    <w:rPr>
      <w:rFonts w:ascii="Arial Bold" w:hAnsi="Arial Bold"/>
      <w:b/>
      <w:sz w:val="22"/>
    </w:rPr>
  </w:style>
  <w:style w:type="paragraph" w:styleId="Heading4">
    <w:name w:val="heading 4"/>
    <w:basedOn w:val="HeadingBase"/>
    <w:next w:val="Normal"/>
    <w:link w:val="Heading4Char"/>
    <w:qFormat/>
    <w:rsid w:val="00A75A49"/>
    <w:pPr>
      <w:spacing w:after="120"/>
      <w:outlineLvl w:val="3"/>
    </w:pPr>
    <w:rPr>
      <w:rFonts w:ascii="Arial Bold" w:hAnsi="Arial Bold"/>
      <w:b/>
      <w:sz w:val="20"/>
    </w:rPr>
  </w:style>
  <w:style w:type="paragraph" w:styleId="Heading5">
    <w:name w:val="heading 5"/>
    <w:basedOn w:val="HeadingBase"/>
    <w:next w:val="Normal"/>
    <w:link w:val="Heading5Char"/>
    <w:qFormat/>
    <w:rsid w:val="00A75A49"/>
    <w:pPr>
      <w:spacing w:after="120"/>
      <w:outlineLvl w:val="4"/>
    </w:pPr>
    <w:rPr>
      <w:bCs/>
      <w:i/>
      <w:iCs/>
      <w:sz w:val="20"/>
      <w:szCs w:val="26"/>
    </w:rPr>
  </w:style>
  <w:style w:type="paragraph" w:styleId="Heading6">
    <w:name w:val="heading 6"/>
    <w:basedOn w:val="HeadingBase"/>
    <w:next w:val="Normal"/>
    <w:link w:val="Heading6Char"/>
    <w:rsid w:val="00A75A49"/>
    <w:pPr>
      <w:spacing w:after="120"/>
      <w:outlineLvl w:val="5"/>
    </w:pPr>
    <w:rPr>
      <w:bCs/>
      <w:sz w:val="20"/>
      <w:szCs w:val="22"/>
    </w:rPr>
  </w:style>
  <w:style w:type="paragraph" w:styleId="Heading7">
    <w:name w:val="heading 7"/>
    <w:basedOn w:val="HeadingBase"/>
    <w:next w:val="Normal"/>
    <w:link w:val="Heading7Char"/>
    <w:rsid w:val="00A75A49"/>
    <w:pPr>
      <w:spacing w:before="120"/>
      <w:outlineLvl w:val="6"/>
    </w:pPr>
    <w:rPr>
      <w:sz w:val="20"/>
      <w:szCs w:val="24"/>
    </w:rPr>
  </w:style>
  <w:style w:type="paragraph" w:styleId="Heading8">
    <w:name w:val="heading 8"/>
    <w:basedOn w:val="HeadingBase"/>
    <w:next w:val="Normal"/>
    <w:link w:val="Heading8Char"/>
    <w:rsid w:val="00A75A4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A75A4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A75A49"/>
    <w:pPr>
      <w:tabs>
        <w:tab w:val="center" w:pos="4153"/>
        <w:tab w:val="right" w:pos="8306"/>
      </w:tabs>
    </w:pPr>
  </w:style>
  <w:style w:type="character" w:customStyle="1" w:styleId="HeaderChar">
    <w:name w:val="Header Char"/>
    <w:basedOn w:val="DefaultParagraphFont"/>
    <w:link w:val="Header"/>
    <w:rsid w:val="00A75A49"/>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A75A49"/>
    <w:pPr>
      <w:tabs>
        <w:tab w:val="center" w:pos="4153"/>
        <w:tab w:val="right" w:pos="8306"/>
      </w:tabs>
    </w:pPr>
  </w:style>
  <w:style w:type="character" w:customStyle="1" w:styleId="FooterChar">
    <w:name w:val="Footer Char"/>
    <w:basedOn w:val="DefaultParagraphFont"/>
    <w:link w:val="Footer"/>
    <w:rsid w:val="00A75A49"/>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A75A49"/>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A75A49"/>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A75A49"/>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A75A49"/>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A75A49"/>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A75A49"/>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A75A49"/>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A75A49"/>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A75A49"/>
    <w:pPr>
      <w:jc w:val="center"/>
    </w:pPr>
    <w:rPr>
      <w:rFonts w:ascii="Arial Bold" w:hAnsi="Arial Bold"/>
      <w:b/>
      <w:caps/>
      <w:sz w:val="22"/>
    </w:rPr>
  </w:style>
  <w:style w:type="paragraph" w:customStyle="1" w:styleId="FileProperties">
    <w:name w:val="File Properties"/>
    <w:basedOn w:val="Normal"/>
    <w:rsid w:val="00A75A49"/>
    <w:pPr>
      <w:spacing w:before="0"/>
    </w:pPr>
    <w:rPr>
      <w:i/>
    </w:rPr>
  </w:style>
  <w:style w:type="paragraph" w:customStyle="1" w:styleId="AlphaParagraph">
    <w:name w:val="Alpha Paragraph"/>
    <w:basedOn w:val="Normal"/>
    <w:rsid w:val="00A75A49"/>
    <w:pPr>
      <w:numPr>
        <w:numId w:val="1"/>
      </w:numPr>
      <w:tabs>
        <w:tab w:val="clear" w:pos="567"/>
        <w:tab w:val="num" w:pos="360"/>
      </w:tabs>
      <w:ind w:left="0" w:firstLine="0"/>
    </w:pPr>
  </w:style>
  <w:style w:type="paragraph" w:customStyle="1" w:styleId="HeadingBase">
    <w:name w:val="Heading Base"/>
    <w:rsid w:val="00A75A49"/>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A75A49"/>
    <w:rPr>
      <w:bCs/>
      <w:color w:val="002A54" w:themeColor="text2"/>
      <w:szCs w:val="52"/>
    </w:rPr>
  </w:style>
  <w:style w:type="paragraph" w:customStyle="1" w:styleId="BoxText">
    <w:name w:val="Box Text"/>
    <w:basedOn w:val="Normal"/>
    <w:link w:val="BoxTextChar"/>
    <w:qFormat/>
    <w:rsid w:val="00A75A49"/>
    <w:pPr>
      <w:spacing w:before="120" w:after="120" w:line="240" w:lineRule="auto"/>
    </w:pPr>
  </w:style>
  <w:style w:type="paragraph" w:customStyle="1" w:styleId="BoxBullet">
    <w:name w:val="Box Bullet"/>
    <w:basedOn w:val="BoxText"/>
    <w:rsid w:val="00A75A49"/>
    <w:pPr>
      <w:numPr>
        <w:numId w:val="2"/>
      </w:numPr>
    </w:pPr>
  </w:style>
  <w:style w:type="paragraph" w:customStyle="1" w:styleId="BoxHeading">
    <w:name w:val="Box Heading"/>
    <w:basedOn w:val="HeadingBase"/>
    <w:next w:val="BoxText"/>
    <w:rsid w:val="00A75A49"/>
    <w:pPr>
      <w:spacing w:before="120" w:after="120"/>
    </w:pPr>
    <w:rPr>
      <w:b/>
      <w:sz w:val="20"/>
    </w:rPr>
  </w:style>
  <w:style w:type="character" w:customStyle="1" w:styleId="Heading6Char">
    <w:name w:val="Heading 6 Char"/>
    <w:basedOn w:val="DefaultParagraphFont"/>
    <w:link w:val="Heading6"/>
    <w:rsid w:val="00A75A49"/>
    <w:rPr>
      <w:rFonts w:ascii="Arial" w:eastAsia="Times New Roman" w:hAnsi="Arial" w:cs="Times New Roman"/>
      <w:bCs/>
      <w:sz w:val="20"/>
      <w:lang w:eastAsia="en-AU"/>
    </w:rPr>
  </w:style>
  <w:style w:type="paragraph" w:customStyle="1" w:styleId="Bullet">
    <w:name w:val="Bullet"/>
    <w:basedOn w:val="Normal"/>
    <w:qFormat/>
    <w:rsid w:val="00A75A49"/>
    <w:pPr>
      <w:numPr>
        <w:numId w:val="3"/>
      </w:numPr>
      <w:spacing w:after="160"/>
      <w:ind w:left="284" w:hanging="284"/>
    </w:pPr>
  </w:style>
  <w:style w:type="paragraph" w:styleId="Caption">
    <w:name w:val="caption"/>
    <w:basedOn w:val="Normal"/>
    <w:next w:val="Normal"/>
    <w:rsid w:val="00A75A49"/>
    <w:rPr>
      <w:b/>
      <w:bCs/>
    </w:rPr>
  </w:style>
  <w:style w:type="paragraph" w:customStyle="1" w:styleId="ChartandTableFootnote">
    <w:name w:val="Chart and Table Footnote"/>
    <w:basedOn w:val="HeadingBase"/>
    <w:next w:val="Normal"/>
    <w:rsid w:val="00A75A49"/>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A75A49"/>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A75A49"/>
    <w:pPr>
      <w:keepNext w:val="0"/>
      <w:tabs>
        <w:tab w:val="left" w:pos="284"/>
      </w:tabs>
      <w:jc w:val="both"/>
    </w:pPr>
    <w:rPr>
      <w:color w:val="000000"/>
      <w:sz w:val="15"/>
    </w:rPr>
  </w:style>
  <w:style w:type="paragraph" w:customStyle="1" w:styleId="ChartGraphic">
    <w:name w:val="Chart Graphic"/>
    <w:basedOn w:val="HeadingBase"/>
    <w:rsid w:val="00A75A49"/>
    <w:rPr>
      <w:sz w:val="20"/>
    </w:rPr>
  </w:style>
  <w:style w:type="paragraph" w:customStyle="1" w:styleId="TableLine">
    <w:name w:val="Table Line"/>
    <w:basedOn w:val="Normal"/>
    <w:next w:val="Normal"/>
    <w:autoRedefine/>
    <w:rsid w:val="00A75A49"/>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A75A49"/>
    <w:pPr>
      <w:spacing w:after="60"/>
    </w:pPr>
    <w:rPr>
      <w:sz w:val="19"/>
    </w:rPr>
  </w:style>
  <w:style w:type="character" w:styleId="CommentReference">
    <w:name w:val="annotation reference"/>
    <w:basedOn w:val="DefaultParagraphFont"/>
    <w:semiHidden/>
    <w:rsid w:val="00A75A49"/>
    <w:rPr>
      <w:sz w:val="16"/>
      <w:szCs w:val="16"/>
    </w:rPr>
  </w:style>
  <w:style w:type="paragraph" w:styleId="CommentText">
    <w:name w:val="annotation text"/>
    <w:basedOn w:val="Normal"/>
    <w:link w:val="CommentTextChar"/>
    <w:semiHidden/>
    <w:rsid w:val="00A75A49"/>
  </w:style>
  <w:style w:type="character" w:customStyle="1" w:styleId="CommentTextChar">
    <w:name w:val="Comment Text Char"/>
    <w:basedOn w:val="DefaultParagraphFont"/>
    <w:link w:val="CommentText"/>
    <w:semiHidden/>
    <w:rsid w:val="00A75A49"/>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A75A49"/>
    <w:rPr>
      <w:b/>
      <w:bCs/>
    </w:rPr>
  </w:style>
  <w:style w:type="character" w:customStyle="1" w:styleId="CommentSubjectChar">
    <w:name w:val="Comment Subject Char"/>
    <w:basedOn w:val="CommentTextChar"/>
    <w:link w:val="CommentSubject"/>
    <w:semiHidden/>
    <w:rsid w:val="00A75A49"/>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A75A49"/>
    <w:pPr>
      <w:spacing w:after="720"/>
      <w:outlineLvl w:val="9"/>
    </w:pPr>
  </w:style>
  <w:style w:type="character" w:styleId="Strong">
    <w:name w:val="Strong"/>
    <w:basedOn w:val="DefaultParagraphFont"/>
    <w:uiPriority w:val="22"/>
    <w:qFormat/>
    <w:rsid w:val="00A75A49"/>
    <w:rPr>
      <w:b/>
      <w:bCs/>
      <w:color w:val="002A54" w:themeColor="text2"/>
    </w:rPr>
  </w:style>
  <w:style w:type="paragraph" w:customStyle="1" w:styleId="Dash">
    <w:name w:val="Dash"/>
    <w:basedOn w:val="Normal"/>
    <w:qFormat/>
    <w:rsid w:val="00A75A49"/>
    <w:pPr>
      <w:numPr>
        <w:ilvl w:val="1"/>
        <w:numId w:val="3"/>
      </w:numPr>
      <w:tabs>
        <w:tab w:val="left" w:pos="567"/>
      </w:tabs>
    </w:pPr>
  </w:style>
  <w:style w:type="paragraph" w:styleId="DocumentMap">
    <w:name w:val="Document Map"/>
    <w:basedOn w:val="Normal"/>
    <w:link w:val="DocumentMapChar"/>
    <w:semiHidden/>
    <w:rsid w:val="00A75A49"/>
    <w:pPr>
      <w:shd w:val="clear" w:color="auto" w:fill="000080"/>
    </w:pPr>
    <w:rPr>
      <w:rFonts w:ascii="Tahoma" w:hAnsi="Tahoma" w:cs="Tahoma"/>
    </w:rPr>
  </w:style>
  <w:style w:type="character" w:customStyle="1" w:styleId="DocumentMapChar">
    <w:name w:val="Document Map Char"/>
    <w:basedOn w:val="DefaultParagraphFont"/>
    <w:link w:val="DocumentMap"/>
    <w:semiHidden/>
    <w:rsid w:val="00A75A49"/>
    <w:rPr>
      <w:rFonts w:ascii="Tahoma" w:eastAsia="Times New Roman" w:hAnsi="Tahoma" w:cs="Tahoma"/>
      <w:sz w:val="19"/>
      <w:szCs w:val="20"/>
      <w:shd w:val="clear" w:color="auto" w:fill="000080"/>
      <w:lang w:eastAsia="en-AU"/>
    </w:rPr>
  </w:style>
  <w:style w:type="paragraph" w:customStyle="1" w:styleId="DoubleDot">
    <w:name w:val="Double Dot"/>
    <w:basedOn w:val="Normal"/>
    <w:rsid w:val="00A75A49"/>
    <w:pPr>
      <w:numPr>
        <w:ilvl w:val="2"/>
        <w:numId w:val="3"/>
      </w:numPr>
      <w:tabs>
        <w:tab w:val="clear" w:pos="850"/>
        <w:tab w:val="num" w:pos="360"/>
        <w:tab w:val="left" w:pos="851"/>
      </w:tabs>
    </w:pPr>
  </w:style>
  <w:style w:type="paragraph" w:customStyle="1" w:styleId="FigureHeading">
    <w:name w:val="Figure Heading"/>
    <w:basedOn w:val="HeadingBase"/>
    <w:next w:val="ChartGraphic"/>
    <w:rsid w:val="00A75A49"/>
    <w:pPr>
      <w:spacing w:before="120" w:after="20"/>
    </w:pPr>
    <w:rPr>
      <w:b/>
      <w:sz w:val="20"/>
    </w:rPr>
  </w:style>
  <w:style w:type="paragraph" w:customStyle="1" w:styleId="FooterBase">
    <w:name w:val="Footer Base"/>
    <w:rsid w:val="00A75A49"/>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A75A49"/>
    <w:pPr>
      <w:pBdr>
        <w:top w:val="single" w:sz="4" w:space="10" w:color="002A54" w:themeColor="text2"/>
      </w:pBdr>
      <w:jc w:val="left"/>
    </w:pPr>
    <w:rPr>
      <w:sz w:val="18"/>
    </w:rPr>
  </w:style>
  <w:style w:type="paragraph" w:customStyle="1" w:styleId="FooterOdd">
    <w:name w:val="Footer Odd"/>
    <w:basedOn w:val="Footer"/>
    <w:qFormat/>
    <w:rsid w:val="00A75A49"/>
    <w:pPr>
      <w:pBdr>
        <w:top w:val="single" w:sz="4" w:space="10" w:color="002A54" w:themeColor="text2"/>
      </w:pBdr>
      <w:jc w:val="right"/>
    </w:pPr>
    <w:rPr>
      <w:sz w:val="18"/>
    </w:rPr>
  </w:style>
  <w:style w:type="character" w:styleId="FootnoteReference">
    <w:name w:val="footnote reference"/>
    <w:basedOn w:val="DefaultParagraphFont"/>
    <w:rsid w:val="00A75A49"/>
    <w:rPr>
      <w:vertAlign w:val="superscript"/>
    </w:rPr>
  </w:style>
  <w:style w:type="paragraph" w:styleId="FootnoteText">
    <w:name w:val="footnote text"/>
    <w:basedOn w:val="Normal"/>
    <w:link w:val="FootnoteTextChar"/>
    <w:rsid w:val="00A75A49"/>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A75A49"/>
    <w:rPr>
      <w:rFonts w:ascii="Book Antiqua" w:eastAsia="Times New Roman" w:hAnsi="Book Antiqua" w:cs="Times New Roman"/>
      <w:sz w:val="18"/>
      <w:szCs w:val="20"/>
      <w:lang w:eastAsia="en-AU"/>
    </w:rPr>
  </w:style>
  <w:style w:type="character" w:customStyle="1" w:styleId="FramedHeader">
    <w:name w:val="Framed Header"/>
    <w:basedOn w:val="DefaultParagraphFont"/>
    <w:rsid w:val="00A75A49"/>
    <w:rPr>
      <w:rFonts w:ascii="Book Antiqua" w:hAnsi="Book Antiqua"/>
      <w:i/>
      <w:dstrike w:val="0"/>
      <w:color w:val="auto"/>
      <w:sz w:val="20"/>
      <w:vertAlign w:val="baseline"/>
    </w:rPr>
  </w:style>
  <w:style w:type="paragraph" w:customStyle="1" w:styleId="HeaderBase">
    <w:name w:val="Header Base"/>
    <w:rsid w:val="00A75A49"/>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A75A49"/>
  </w:style>
  <w:style w:type="paragraph" w:customStyle="1" w:styleId="HeaderOdd">
    <w:name w:val="Header Odd"/>
    <w:basedOn w:val="HeaderBase"/>
    <w:rsid w:val="00A75A49"/>
    <w:pPr>
      <w:jc w:val="right"/>
    </w:pPr>
  </w:style>
  <w:style w:type="character" w:customStyle="1" w:styleId="Heading1Char">
    <w:name w:val="Heading 1 Char"/>
    <w:basedOn w:val="DefaultParagraphFont"/>
    <w:link w:val="Heading1"/>
    <w:rsid w:val="00A75A4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A75A4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A75A49"/>
    <w:rPr>
      <w:rFonts w:ascii="Arial Bold" w:eastAsia="Times New Roman" w:hAnsi="Arial Bold" w:cs="Times New Roman"/>
      <w:b/>
      <w:szCs w:val="20"/>
      <w:lang w:eastAsia="en-AU"/>
    </w:rPr>
  </w:style>
  <w:style w:type="paragraph" w:customStyle="1" w:styleId="Heading3noTOC">
    <w:name w:val="Heading 3 no TOC"/>
    <w:basedOn w:val="Heading3"/>
    <w:rsid w:val="00A75A49"/>
    <w:pPr>
      <w:outlineLvl w:val="9"/>
    </w:pPr>
  </w:style>
  <w:style w:type="character" w:customStyle="1" w:styleId="Heading4Char">
    <w:name w:val="Heading 4 Char"/>
    <w:basedOn w:val="DefaultParagraphFont"/>
    <w:link w:val="Heading4"/>
    <w:rsid w:val="00A75A4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A75A4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A75A4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A75A49"/>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A75A49"/>
    <w:rPr>
      <w:rFonts w:ascii="Times New Roman" w:hAnsi="Times New Roman"/>
      <w:vanish/>
      <w:sz w:val="16"/>
    </w:rPr>
  </w:style>
  <w:style w:type="character" w:styleId="Hyperlink">
    <w:name w:val="Hyperlink"/>
    <w:basedOn w:val="DefaultParagraphFont"/>
    <w:uiPriority w:val="99"/>
    <w:unhideWhenUsed/>
    <w:rsid w:val="00A75A49"/>
    <w:rPr>
      <w:color w:val="auto"/>
      <w:u w:val="single"/>
    </w:rPr>
  </w:style>
  <w:style w:type="paragraph" w:styleId="Index4">
    <w:name w:val="index 4"/>
    <w:basedOn w:val="Normal"/>
    <w:next w:val="Normal"/>
    <w:autoRedefine/>
    <w:semiHidden/>
    <w:rsid w:val="00A75A49"/>
    <w:pPr>
      <w:ind w:left="800" w:hanging="200"/>
    </w:pPr>
  </w:style>
  <w:style w:type="paragraph" w:styleId="Index5">
    <w:name w:val="index 5"/>
    <w:basedOn w:val="Normal"/>
    <w:next w:val="Normal"/>
    <w:autoRedefine/>
    <w:semiHidden/>
    <w:rsid w:val="00A75A49"/>
    <w:pPr>
      <w:ind w:left="1000" w:hanging="200"/>
    </w:pPr>
  </w:style>
  <w:style w:type="paragraph" w:styleId="Index6">
    <w:name w:val="index 6"/>
    <w:basedOn w:val="Normal"/>
    <w:next w:val="Normal"/>
    <w:autoRedefine/>
    <w:semiHidden/>
    <w:rsid w:val="00A75A49"/>
    <w:pPr>
      <w:ind w:left="1200" w:hanging="200"/>
    </w:pPr>
  </w:style>
  <w:style w:type="paragraph" w:styleId="Index7">
    <w:name w:val="index 7"/>
    <w:basedOn w:val="Normal"/>
    <w:next w:val="Normal"/>
    <w:autoRedefine/>
    <w:semiHidden/>
    <w:rsid w:val="00A75A49"/>
    <w:pPr>
      <w:ind w:left="1400" w:hanging="200"/>
    </w:pPr>
  </w:style>
  <w:style w:type="paragraph" w:styleId="Index8">
    <w:name w:val="index 8"/>
    <w:basedOn w:val="Normal"/>
    <w:next w:val="Normal"/>
    <w:autoRedefine/>
    <w:semiHidden/>
    <w:rsid w:val="00A75A49"/>
    <w:pPr>
      <w:ind w:left="1600" w:hanging="200"/>
    </w:pPr>
  </w:style>
  <w:style w:type="paragraph" w:styleId="Index9">
    <w:name w:val="index 9"/>
    <w:basedOn w:val="Normal"/>
    <w:next w:val="Normal"/>
    <w:autoRedefine/>
    <w:semiHidden/>
    <w:rsid w:val="00A75A49"/>
    <w:pPr>
      <w:ind w:left="1800" w:hanging="200"/>
    </w:pPr>
  </w:style>
  <w:style w:type="paragraph" w:styleId="MacroText">
    <w:name w:val="macro"/>
    <w:link w:val="MacroTextChar"/>
    <w:unhideWhenUsed/>
    <w:rsid w:val="00A75A49"/>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A75A49"/>
    <w:rPr>
      <w:rFonts w:ascii="Courier New" w:eastAsia="Times New Roman" w:hAnsi="Courier New" w:cs="Courier New"/>
      <w:sz w:val="20"/>
      <w:szCs w:val="20"/>
      <w:lang w:eastAsia="en-AU"/>
    </w:rPr>
  </w:style>
  <w:style w:type="paragraph" w:styleId="NormalIndent">
    <w:name w:val="Normal Indent"/>
    <w:basedOn w:val="Normal"/>
    <w:rsid w:val="00A75A49"/>
    <w:pPr>
      <w:ind w:left="567"/>
    </w:pPr>
  </w:style>
  <w:style w:type="paragraph" w:customStyle="1" w:styleId="NoteTableHeading">
    <w:name w:val="Note Table Heading"/>
    <w:basedOn w:val="HeadingBase"/>
    <w:next w:val="Normal"/>
    <w:rsid w:val="00A75A49"/>
    <w:pPr>
      <w:spacing w:before="240"/>
    </w:pPr>
    <w:rPr>
      <w:b/>
      <w:sz w:val="20"/>
    </w:rPr>
  </w:style>
  <w:style w:type="paragraph" w:customStyle="1" w:styleId="OverviewParagraph">
    <w:name w:val="Overview Paragraph"/>
    <w:basedOn w:val="Normal"/>
    <w:rsid w:val="00A75A49"/>
    <w:pPr>
      <w:spacing w:before="120" w:after="120" w:line="240" w:lineRule="auto"/>
    </w:pPr>
  </w:style>
  <w:style w:type="character" w:styleId="PageNumber">
    <w:name w:val="page number"/>
    <w:basedOn w:val="DefaultParagraphFont"/>
    <w:rsid w:val="00A75A49"/>
    <w:rPr>
      <w:rFonts w:ascii="Arial" w:hAnsi="Arial" w:cs="Arial"/>
    </w:rPr>
  </w:style>
  <w:style w:type="paragraph" w:customStyle="1" w:styleId="SingleParagraph">
    <w:name w:val="Single Paragraph"/>
    <w:basedOn w:val="Normal"/>
    <w:rsid w:val="00A75A49"/>
    <w:pPr>
      <w:spacing w:before="0" w:after="0"/>
    </w:pPr>
  </w:style>
  <w:style w:type="paragraph" w:customStyle="1" w:styleId="Source">
    <w:name w:val="Source"/>
    <w:basedOn w:val="Normal"/>
    <w:rsid w:val="00A75A49"/>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A75A4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A75A49"/>
    <w:pPr>
      <w:jc w:val="center"/>
    </w:pPr>
  </w:style>
  <w:style w:type="paragraph" w:customStyle="1" w:styleId="TableColumnHeadingLeft">
    <w:name w:val="Table Column Heading Left"/>
    <w:basedOn w:val="TableColumnHeadingBase"/>
    <w:next w:val="Normal"/>
    <w:rsid w:val="00A75A49"/>
  </w:style>
  <w:style w:type="paragraph" w:customStyle="1" w:styleId="TableColumnHeadingRight">
    <w:name w:val="Table Column Heading Right"/>
    <w:basedOn w:val="TableColumnHeadingBase"/>
    <w:next w:val="Normal"/>
    <w:rsid w:val="00A75A49"/>
    <w:pPr>
      <w:jc w:val="right"/>
    </w:pPr>
  </w:style>
  <w:style w:type="paragraph" w:customStyle="1" w:styleId="TableGraphic">
    <w:name w:val="Table Graphic"/>
    <w:basedOn w:val="Normal"/>
    <w:next w:val="Normal"/>
    <w:link w:val="TableGraphicChar"/>
    <w:rsid w:val="00A75A49"/>
    <w:pPr>
      <w:spacing w:after="0" w:line="240" w:lineRule="auto"/>
      <w:ind w:right="-113"/>
    </w:pPr>
  </w:style>
  <w:style w:type="table" w:styleId="TableGrid">
    <w:name w:val="Table Grid"/>
    <w:basedOn w:val="TableNormal"/>
    <w:rsid w:val="00A75A49"/>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A75A49"/>
    <w:pPr>
      <w:spacing w:before="120" w:after="20"/>
    </w:pPr>
    <w:rPr>
      <w:b/>
      <w:sz w:val="20"/>
    </w:rPr>
  </w:style>
  <w:style w:type="paragraph" w:customStyle="1" w:styleId="TableHeadingcontinued">
    <w:name w:val="Table Heading continued"/>
    <w:basedOn w:val="HeadingBase"/>
    <w:next w:val="TableGraphic"/>
    <w:rsid w:val="00A75A49"/>
    <w:pPr>
      <w:spacing w:before="120" w:after="20"/>
    </w:pPr>
    <w:rPr>
      <w:rFonts w:ascii="Arial Bold" w:hAnsi="Arial Bold"/>
      <w:b/>
      <w:sz w:val="20"/>
    </w:rPr>
  </w:style>
  <w:style w:type="paragraph" w:styleId="TableofFigures">
    <w:name w:val="table of figures"/>
    <w:basedOn w:val="Normal"/>
    <w:next w:val="Normal"/>
    <w:rsid w:val="00A75A49"/>
  </w:style>
  <w:style w:type="paragraph" w:customStyle="1" w:styleId="TableTextBase">
    <w:name w:val="Table Text Base"/>
    <w:basedOn w:val="Normal"/>
    <w:rsid w:val="00A75A49"/>
    <w:pPr>
      <w:spacing w:before="20" w:after="20" w:line="240" w:lineRule="auto"/>
    </w:pPr>
    <w:rPr>
      <w:rFonts w:ascii="Arial" w:hAnsi="Arial"/>
      <w:sz w:val="16"/>
    </w:rPr>
  </w:style>
  <w:style w:type="paragraph" w:customStyle="1" w:styleId="TableTextCentred">
    <w:name w:val="Table Text Centred"/>
    <w:basedOn w:val="TableTextBase"/>
    <w:rsid w:val="00A75A49"/>
    <w:pPr>
      <w:jc w:val="center"/>
    </w:pPr>
  </w:style>
  <w:style w:type="paragraph" w:customStyle="1" w:styleId="TableTextIndented">
    <w:name w:val="Table Text Indented"/>
    <w:basedOn w:val="TableTextBase"/>
    <w:rsid w:val="00A75A49"/>
    <w:pPr>
      <w:ind w:left="284"/>
    </w:pPr>
  </w:style>
  <w:style w:type="paragraph" w:customStyle="1" w:styleId="TableTextLeft">
    <w:name w:val="Table Text Left"/>
    <w:basedOn w:val="TableTextBase"/>
    <w:rsid w:val="00A75A49"/>
  </w:style>
  <w:style w:type="paragraph" w:customStyle="1" w:styleId="TableTextRight">
    <w:name w:val="Table Text Right"/>
    <w:basedOn w:val="TableTextBase"/>
    <w:rsid w:val="00A75A49"/>
    <w:pPr>
      <w:jc w:val="right"/>
    </w:pPr>
  </w:style>
  <w:style w:type="paragraph" w:styleId="TOAHeading">
    <w:name w:val="toa heading"/>
    <w:basedOn w:val="Normal"/>
    <w:next w:val="Normal"/>
    <w:rsid w:val="00A75A49"/>
    <w:pPr>
      <w:spacing w:before="120"/>
    </w:pPr>
    <w:rPr>
      <w:rFonts w:ascii="Arial" w:hAnsi="Arial" w:cs="Arial"/>
      <w:b/>
      <w:bCs/>
      <w:sz w:val="24"/>
      <w:szCs w:val="24"/>
    </w:rPr>
  </w:style>
  <w:style w:type="paragraph" w:styleId="TOC1">
    <w:name w:val="toc 1"/>
    <w:basedOn w:val="HeaderBase"/>
    <w:next w:val="Normal"/>
    <w:uiPriority w:val="39"/>
    <w:rsid w:val="00A75A49"/>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0A25F3"/>
    <w:pPr>
      <w:keepNext w:val="0"/>
      <w:tabs>
        <w:tab w:val="right" w:leader="dot" w:pos="7700"/>
      </w:tabs>
      <w:spacing w:before="60" w:after="60"/>
      <w:ind w:right="851"/>
    </w:pPr>
    <w:rPr>
      <w:sz w:val="18"/>
    </w:rPr>
  </w:style>
  <w:style w:type="paragraph" w:styleId="TOC3">
    <w:name w:val="toc 3"/>
    <w:basedOn w:val="HeadingBase"/>
    <w:next w:val="Normal"/>
    <w:uiPriority w:val="39"/>
    <w:unhideWhenUsed/>
    <w:rsid w:val="00A75A49"/>
    <w:pPr>
      <w:tabs>
        <w:tab w:val="right" w:leader="dot" w:pos="7700"/>
      </w:tabs>
      <w:spacing w:before="40"/>
      <w:ind w:right="851"/>
    </w:pPr>
    <w:rPr>
      <w:sz w:val="20"/>
    </w:rPr>
  </w:style>
  <w:style w:type="paragraph" w:styleId="TOC4">
    <w:name w:val="toc 4"/>
    <w:basedOn w:val="HeadingBase"/>
    <w:next w:val="Normal"/>
    <w:uiPriority w:val="2"/>
    <w:unhideWhenUsed/>
    <w:rsid w:val="00A75A49"/>
    <w:pPr>
      <w:tabs>
        <w:tab w:val="right" w:leader="dot" w:pos="7700"/>
      </w:tabs>
      <w:spacing w:before="40"/>
      <w:ind w:right="851"/>
    </w:pPr>
    <w:rPr>
      <w:sz w:val="20"/>
    </w:rPr>
  </w:style>
  <w:style w:type="paragraph" w:styleId="TOC5">
    <w:name w:val="toc 5"/>
    <w:basedOn w:val="Normal"/>
    <w:next w:val="Normal"/>
    <w:autoRedefine/>
    <w:uiPriority w:val="2"/>
    <w:semiHidden/>
    <w:rsid w:val="00A75A49"/>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A75A49"/>
    <w:pPr>
      <w:tabs>
        <w:tab w:val="left" w:pos="851"/>
      </w:tabs>
      <w:ind w:left="851" w:hanging="851"/>
    </w:pPr>
    <w:rPr>
      <w:color w:val="000000"/>
    </w:rPr>
  </w:style>
  <w:style w:type="paragraph" w:styleId="TOC7">
    <w:name w:val="toc 7"/>
    <w:basedOn w:val="Normal"/>
    <w:next w:val="Normal"/>
    <w:autoRedefine/>
    <w:uiPriority w:val="2"/>
    <w:semiHidden/>
    <w:rsid w:val="00A75A49"/>
    <w:pPr>
      <w:ind w:left="1200"/>
    </w:pPr>
  </w:style>
  <w:style w:type="paragraph" w:styleId="TOC8">
    <w:name w:val="toc 8"/>
    <w:basedOn w:val="Normal"/>
    <w:next w:val="Normal"/>
    <w:autoRedefine/>
    <w:uiPriority w:val="2"/>
    <w:semiHidden/>
    <w:rsid w:val="00A75A49"/>
    <w:pPr>
      <w:ind w:left="1400"/>
    </w:pPr>
  </w:style>
  <w:style w:type="paragraph" w:styleId="TOC9">
    <w:name w:val="toc 9"/>
    <w:basedOn w:val="Normal"/>
    <w:next w:val="Normal"/>
    <w:autoRedefine/>
    <w:uiPriority w:val="2"/>
    <w:semiHidden/>
    <w:rsid w:val="00A75A49"/>
    <w:pPr>
      <w:ind w:left="1600"/>
    </w:pPr>
  </w:style>
  <w:style w:type="paragraph" w:customStyle="1" w:styleId="TPHeading1">
    <w:name w:val="TP Heading 1"/>
    <w:basedOn w:val="HeadingBase"/>
    <w:semiHidden/>
    <w:rsid w:val="00A75A49"/>
    <w:pPr>
      <w:spacing w:before="60" w:after="60"/>
      <w:ind w:left="1134"/>
    </w:pPr>
    <w:rPr>
      <w:rFonts w:ascii="Arial Bold" w:hAnsi="Arial Bold"/>
      <w:b/>
      <w:caps/>
      <w:spacing w:val="-10"/>
      <w:sz w:val="28"/>
    </w:rPr>
  </w:style>
  <w:style w:type="paragraph" w:customStyle="1" w:styleId="TPHeading2">
    <w:name w:val="TP Heading 2"/>
    <w:basedOn w:val="HeadingBase"/>
    <w:semiHidden/>
    <w:rsid w:val="00A75A49"/>
    <w:pPr>
      <w:ind w:left="1134"/>
    </w:pPr>
    <w:rPr>
      <w:caps/>
      <w:spacing w:val="-10"/>
      <w:sz w:val="28"/>
    </w:rPr>
  </w:style>
  <w:style w:type="paragraph" w:customStyle="1" w:styleId="TPHeading3">
    <w:name w:val="TP Heading 3"/>
    <w:basedOn w:val="HeadingBase"/>
    <w:semiHidden/>
    <w:rsid w:val="00A75A49"/>
    <w:pPr>
      <w:ind w:left="1134"/>
    </w:pPr>
    <w:rPr>
      <w:caps/>
      <w:spacing w:val="-10"/>
    </w:rPr>
  </w:style>
  <w:style w:type="paragraph" w:customStyle="1" w:styleId="TPHeading3bold">
    <w:name w:val="TP Heading 3 bold"/>
    <w:basedOn w:val="TPHeading3"/>
    <w:semiHidden/>
    <w:rsid w:val="00A75A49"/>
    <w:rPr>
      <w:rFonts w:cs="Arial"/>
      <w:b/>
      <w:sz w:val="22"/>
      <w:szCs w:val="22"/>
    </w:rPr>
  </w:style>
  <w:style w:type="paragraph" w:customStyle="1" w:styleId="TPHEADING3boldspace">
    <w:name w:val="TP HEADING 3 bold space"/>
    <w:basedOn w:val="TPHeading3bold"/>
    <w:semiHidden/>
    <w:rsid w:val="00A75A49"/>
    <w:pPr>
      <w:spacing w:after="120"/>
    </w:pPr>
  </w:style>
  <w:style w:type="paragraph" w:customStyle="1" w:styleId="TPHEADING3space">
    <w:name w:val="TP HEADING 3 space"/>
    <w:basedOn w:val="TPHeading3"/>
    <w:semiHidden/>
    <w:rsid w:val="00A75A49"/>
    <w:pPr>
      <w:spacing w:before="120" w:after="120"/>
    </w:pPr>
    <w:rPr>
      <w:rFonts w:cs="Arial"/>
      <w:sz w:val="22"/>
      <w:szCs w:val="22"/>
    </w:rPr>
  </w:style>
  <w:style w:type="paragraph" w:customStyle="1" w:styleId="TPHeading4">
    <w:name w:val="TP Heading 4"/>
    <w:basedOn w:val="TPHeading3"/>
    <w:semiHidden/>
    <w:rsid w:val="00A75A49"/>
    <w:rPr>
      <w:sz w:val="20"/>
    </w:rPr>
  </w:style>
  <w:style w:type="paragraph" w:customStyle="1" w:styleId="TPHEADING4space">
    <w:name w:val="TP HEADING 4 space"/>
    <w:basedOn w:val="TPHEADING3space"/>
    <w:semiHidden/>
    <w:rsid w:val="00A75A49"/>
  </w:style>
  <w:style w:type="paragraph" w:customStyle="1" w:styleId="ChartLine">
    <w:name w:val="Chart Line"/>
    <w:basedOn w:val="Normal"/>
    <w:autoRedefine/>
    <w:qFormat/>
    <w:rsid w:val="00A75A49"/>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A75A49"/>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A75A49"/>
    <w:rPr>
      <w:sz w:val="16"/>
    </w:rPr>
  </w:style>
  <w:style w:type="paragraph" w:customStyle="1" w:styleId="Box-continuedon">
    <w:name w:val="Box - continued on"/>
    <w:basedOn w:val="Normal"/>
    <w:qFormat/>
    <w:rsid w:val="00A75A49"/>
    <w:pPr>
      <w:jc w:val="right"/>
    </w:pPr>
    <w:rPr>
      <w:rFonts w:asciiTheme="majorHAnsi" w:hAnsiTheme="majorHAnsi" w:cstheme="majorHAnsi"/>
      <w:i/>
      <w:iCs/>
      <w:sz w:val="18"/>
      <w:szCs w:val="24"/>
    </w:rPr>
  </w:style>
  <w:style w:type="paragraph" w:customStyle="1" w:styleId="BoxHeading2">
    <w:name w:val="Box Heading 2"/>
    <w:basedOn w:val="BoxHeading"/>
    <w:autoRedefine/>
    <w:rsid w:val="00A75A49"/>
    <w:pPr>
      <w:spacing w:after="0"/>
    </w:pPr>
    <w:rPr>
      <w:b w:val="0"/>
      <w:bCs/>
      <w:szCs w:val="14"/>
    </w:rPr>
  </w:style>
  <w:style w:type="character" w:customStyle="1" w:styleId="Heading9Char">
    <w:name w:val="Heading 9 Char"/>
    <w:basedOn w:val="DefaultParagraphFont"/>
    <w:link w:val="Heading9"/>
    <w:uiPriority w:val="9"/>
    <w:rsid w:val="00A75A49"/>
    <w:rPr>
      <w:rFonts w:ascii="Cambria" w:eastAsia="Times New Roman" w:hAnsi="Cambria" w:cs="Times New Roman"/>
      <w:lang w:eastAsia="en-AU"/>
    </w:rPr>
  </w:style>
  <w:style w:type="paragraph" w:customStyle="1" w:styleId="GhostLine">
    <w:name w:val="Ghost Line"/>
    <w:basedOn w:val="NoSpacing"/>
    <w:qFormat/>
    <w:rsid w:val="00A75A49"/>
    <w:pPr>
      <w:jc w:val="both"/>
    </w:pPr>
    <w:rPr>
      <w:rFonts w:ascii="Book Antiqua" w:hAnsi="Book Antiqua"/>
      <w:sz w:val="2"/>
    </w:rPr>
  </w:style>
  <w:style w:type="paragraph" w:styleId="NoSpacing">
    <w:name w:val="No Spacing"/>
    <w:uiPriority w:val="1"/>
    <w:qFormat/>
    <w:rsid w:val="00A75A49"/>
    <w:pPr>
      <w:spacing w:after="0" w:line="240" w:lineRule="auto"/>
    </w:pPr>
    <w:rPr>
      <w:rFonts w:eastAsia="Times New Roman" w:cs="Times New Roman"/>
      <w:sz w:val="19"/>
      <w:szCs w:val="20"/>
      <w:lang w:eastAsia="en-AU"/>
    </w:rPr>
  </w:style>
  <w:style w:type="character" w:customStyle="1" w:styleId="TableGraphicChar">
    <w:name w:val="Table Graphic Char"/>
    <w:link w:val="TableGraphic"/>
    <w:rsid w:val="0075268B"/>
    <w:rPr>
      <w:rFonts w:ascii="Book Antiqua" w:eastAsia="Times New Roman" w:hAnsi="Book Antiqua" w:cs="Times New Roman"/>
      <w:sz w:val="19"/>
      <w:szCs w:val="20"/>
      <w:lang w:eastAsia="en-AU"/>
    </w:rPr>
  </w:style>
  <w:style w:type="character" w:customStyle="1" w:styleId="A5">
    <w:name w:val="A5"/>
    <w:uiPriority w:val="99"/>
    <w:rsid w:val="0075268B"/>
    <w:rPr>
      <w:rFonts w:cs="Swiss 721 BT"/>
      <w:color w:val="000000"/>
      <w:sz w:val="20"/>
      <w:szCs w:val="20"/>
    </w:rPr>
  </w:style>
  <w:style w:type="paragraph" w:customStyle="1" w:styleId="Normal2">
    <w:name w:val="Normal2"/>
    <w:qFormat/>
    <w:rsid w:val="0075268B"/>
    <w:pPr>
      <w:spacing w:before="240" w:after="240" w:line="240" w:lineRule="exact"/>
    </w:pPr>
    <w:rPr>
      <w:rFonts w:ascii="Book Antiqua" w:eastAsia="Times New Roman" w:hAnsi="Book Antiqua" w:cs="Times New Roman"/>
      <w:sz w:val="19"/>
      <w:szCs w:val="20"/>
      <w:lang w:eastAsia="en-AU"/>
    </w:rPr>
  </w:style>
  <w:style w:type="character" w:customStyle="1" w:styleId="BoxTextChar">
    <w:name w:val="Box Text Char"/>
    <w:basedOn w:val="DefaultParagraphFont"/>
    <w:link w:val="BoxText"/>
    <w:rsid w:val="00A75A49"/>
    <w:rPr>
      <w:rFonts w:ascii="Book Antiqua" w:eastAsia="Times New Roman" w:hAnsi="Book Antiqua" w:cs="Times New Roman"/>
      <w:sz w:val="19"/>
      <w:szCs w:val="20"/>
      <w:lang w:eastAsia="en-AU"/>
    </w:rPr>
  </w:style>
  <w:style w:type="paragraph" w:styleId="Revision">
    <w:name w:val="Revision"/>
    <w:hidden/>
    <w:uiPriority w:val="99"/>
    <w:semiHidden/>
    <w:rsid w:val="004E33CE"/>
    <w:pPr>
      <w:spacing w:after="0" w:line="240" w:lineRule="auto"/>
    </w:pPr>
    <w:rPr>
      <w:rFonts w:ascii="Book Antiqua" w:eastAsia="Times New Roman" w:hAnsi="Book Antiqua" w:cs="Times New Roman"/>
      <w:sz w:val="19"/>
      <w:szCs w:val="20"/>
      <w:lang w:eastAsia="en-AU"/>
    </w:rPr>
  </w:style>
  <w:style w:type="character" w:styleId="Emphasis">
    <w:name w:val="Emphasis"/>
    <w:basedOn w:val="DefaultParagraphFont"/>
    <w:uiPriority w:val="20"/>
    <w:rsid w:val="001F1D05"/>
    <w:rPr>
      <w:i/>
      <w:iCs/>
    </w:rPr>
  </w:style>
  <w:style w:type="paragraph" w:styleId="NormalWeb">
    <w:name w:val="Normal (Web)"/>
    <w:basedOn w:val="Normal"/>
    <w:uiPriority w:val="99"/>
    <w:semiHidden/>
    <w:unhideWhenUsed/>
    <w:rsid w:val="008D52ED"/>
    <w:rPr>
      <w:rFonts w:ascii="Times New Roman" w:hAnsi="Times New Roman"/>
      <w:sz w:val="24"/>
      <w:szCs w:val="24"/>
    </w:rPr>
  </w:style>
  <w:style w:type="character" w:styleId="UnresolvedMention">
    <w:name w:val="Unresolved Mention"/>
    <w:basedOn w:val="DefaultParagraphFont"/>
    <w:uiPriority w:val="99"/>
    <w:semiHidden/>
    <w:unhideWhenUsed/>
    <w:rsid w:val="00292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media@treasury.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creativecommons.org/licenses/by/4.0/legalcode"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www.pmc.gov.au/honours-and-symbols/commonwealth-coat-arm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budget.gov.au" TargetMode="Externa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Props1.xml><?xml version="1.0" encoding="utf-8"?>
<ds:datastoreItem xmlns:ds="http://schemas.openxmlformats.org/officeDocument/2006/customXml" ds:itemID="{98CA72E8-C054-48DA-9644-F755D5C26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3.xml><?xml version="1.0" encoding="utf-8"?>
<ds:datastoreItem xmlns:ds="http://schemas.openxmlformats.org/officeDocument/2006/customXml" ds:itemID="{A479818E-BE05-4B26-B08A-49A0906B8CE5}">
  <ds:schemaRefs>
    <ds:schemaRef ds:uri="http://schemas.microsoft.com/sharepoint/v3/contenttype/forms"/>
  </ds:schemaRefs>
</ds:datastoreItem>
</file>

<file path=customXml/itemProps4.xml><?xml version="1.0" encoding="utf-8"?>
<ds:datastoreItem xmlns:ds="http://schemas.openxmlformats.org/officeDocument/2006/customXml" ds:itemID="{9D361793-EF26-4284-BA90-A1BFBFE94623}">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244fe85f-b655-4145-9b20-543b75dc1c24"/>
    <ds:schemaRef ds:uri="http://www.w3.org/XML/1998/namespace"/>
    <ds:schemaRef ds:uri="http://purl.org/dc/elements/1.1/"/>
    <ds:schemaRef ds:uri="http://schemas.microsoft.com/office/2006/metadata/properties"/>
    <ds:schemaRef ds:uri="9115ddca-c623-419f-a3c0-6a1c58c4dac8"/>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Budget Template.dotm</Template>
  <TotalTime>72</TotalTime>
  <Pages>8</Pages>
  <Words>831</Words>
  <Characters>4609</Characters>
  <Application>Microsoft Office Word</Application>
  <DocSecurity>0</DocSecurity>
  <Lines>138</Lines>
  <Paragraphs>96</Paragraphs>
  <ScaleCrop>false</ScaleCrop>
  <HeadingPairs>
    <vt:vector size="2" baseType="variant">
      <vt:variant>
        <vt:lpstr>Title</vt:lpstr>
      </vt:variant>
      <vt:variant>
        <vt:i4>1</vt:i4>
      </vt:variant>
    </vt:vector>
  </HeadingPairs>
  <TitlesOfParts>
    <vt:vector size="1" baseType="lpstr">
      <vt:lpstr>Budget Paper No. 3</vt:lpstr>
    </vt:vector>
  </TitlesOfParts>
  <Company>Australian Government - The Treasury</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3</dc:title>
  <dc:subject>Preliminaries</dc:subject>
  <dc:creator>Australian Government</dc:creator>
  <cp:keywords/>
  <dc:description/>
  <cp:lastModifiedBy>Hill, Christine</cp:lastModifiedBy>
  <cp:revision>67</cp:revision>
  <cp:lastPrinted>2024-05-11T14:11:00Z</cp:lastPrinted>
  <dcterms:created xsi:type="dcterms:W3CDTF">2024-02-28T04:01:00Z</dcterms:created>
  <dcterms:modified xsi:type="dcterms:W3CDTF">2024-05-13T01:42:00Z</dcterms:modified>
</cp:coreProperties>
</file>