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11E4" w14:textId="5B81E79E" w:rsidR="0075201B" w:rsidRPr="00C94004" w:rsidRDefault="00E70A32" w:rsidP="003B737B">
      <w:pPr>
        <w:pStyle w:val="Heading1"/>
      </w:pPr>
      <w:r w:rsidRPr="00C94004">
        <w:t>Part </w:t>
      </w:r>
      <w:r w:rsidR="0075201B" w:rsidRPr="00C94004">
        <w:t>1: Australia</w:t>
      </w:r>
      <w:r w:rsidR="004D7064" w:rsidRPr="00C94004">
        <w:t>’</w:t>
      </w:r>
      <w:r w:rsidR="0075201B" w:rsidRPr="00C94004">
        <w:t>s Federal Relations</w:t>
      </w:r>
    </w:p>
    <w:p w14:paraId="7D6E157E" w14:textId="77777777" w:rsidR="0075201B" w:rsidRPr="00C94004" w:rsidRDefault="0075201B" w:rsidP="0075201B">
      <w:pPr>
        <w:pStyle w:val="Heading2"/>
      </w:pPr>
      <w:bookmarkStart w:id="0" w:name="_Toc4765132"/>
      <w:r w:rsidRPr="00C94004">
        <w:t>Overview</w:t>
      </w:r>
      <w:bookmarkEnd w:id="0"/>
      <w:r w:rsidRPr="00C94004">
        <w:t xml:space="preserve"> </w:t>
      </w:r>
    </w:p>
    <w:p w14:paraId="033B6F6C" w14:textId="13B9E1C4" w:rsidR="0075201B" w:rsidRPr="00C94004" w:rsidRDefault="0075201B" w:rsidP="0075201B">
      <w:r w:rsidRPr="00C94004">
        <w:t>In 202</w:t>
      </w:r>
      <w:r w:rsidR="003F5AB0" w:rsidRPr="00C94004">
        <w:t>4</w:t>
      </w:r>
      <w:r w:rsidRPr="00C94004">
        <w:t>–2</w:t>
      </w:r>
      <w:r w:rsidR="003F5AB0" w:rsidRPr="00C94004">
        <w:t>5</w:t>
      </w:r>
      <w:r w:rsidRPr="00C94004">
        <w:t>, the Australian Government will provide state and territory governments (states) with $</w:t>
      </w:r>
      <w:r w:rsidR="00561545" w:rsidRPr="00C94004">
        <w:t>18</w:t>
      </w:r>
      <w:r w:rsidR="002C0871" w:rsidRPr="00C94004">
        <w:t>5</w:t>
      </w:r>
      <w:r w:rsidR="004501E0" w:rsidRPr="00C94004">
        <w:t>.</w:t>
      </w:r>
      <w:r w:rsidR="002C0871" w:rsidRPr="00C94004">
        <w:t>9</w:t>
      </w:r>
      <w:r w:rsidR="00E2325D" w:rsidRPr="00C94004">
        <w:t> billion</w:t>
      </w:r>
      <w:r w:rsidRPr="00C94004">
        <w:t xml:space="preserve"> in total payments</w:t>
      </w:r>
      <w:r w:rsidR="00321991" w:rsidRPr="00C94004">
        <w:t>,</w:t>
      </w:r>
      <w:r w:rsidR="00295A9A" w:rsidRPr="00C94004">
        <w:t xml:space="preserve"> estimated to be 25.3 per cent of total Australian Government expenditure</w:t>
      </w:r>
      <w:r w:rsidR="00F05999" w:rsidRPr="00C94004">
        <w:t xml:space="preserve">. This </w:t>
      </w:r>
      <w:r w:rsidR="009D15BD" w:rsidRPr="00C94004">
        <w:t>includes</w:t>
      </w:r>
      <w:r w:rsidRPr="00C94004">
        <w:t xml:space="preserve"> payments of $</w:t>
      </w:r>
      <w:r w:rsidR="006E0716" w:rsidRPr="00C94004">
        <w:t>91.</w:t>
      </w:r>
      <w:r w:rsidR="00B9590A" w:rsidRPr="00C94004">
        <w:t>5</w:t>
      </w:r>
      <w:r w:rsidR="00E2325D" w:rsidRPr="00C94004">
        <w:t> billion</w:t>
      </w:r>
      <w:r w:rsidRPr="00C94004">
        <w:t xml:space="preserve"> for specific purposes including for schools and hospitals, and general revenue assistance of $</w:t>
      </w:r>
      <w:r w:rsidR="00340C25" w:rsidRPr="00C94004">
        <w:t>94.4</w:t>
      </w:r>
      <w:r w:rsidR="00E2325D" w:rsidRPr="00C94004">
        <w:t> billion</w:t>
      </w:r>
      <w:r w:rsidRPr="00C94004">
        <w:t>.</w:t>
      </w:r>
    </w:p>
    <w:p w14:paraId="1A2E4466" w14:textId="6A2BC1B0" w:rsidR="0075201B" w:rsidRPr="00C94004" w:rsidRDefault="0075201B" w:rsidP="0075201B">
      <w:r w:rsidRPr="00C94004">
        <w:t>Through its payments to the states, the Australian Government is:</w:t>
      </w:r>
    </w:p>
    <w:p w14:paraId="7C02BF71" w14:textId="590CF12F" w:rsidR="0075201B" w:rsidRPr="00C94004" w:rsidRDefault="0075201B" w:rsidP="0075201B">
      <w:pPr>
        <w:pStyle w:val="Bullet"/>
      </w:pPr>
      <w:r w:rsidRPr="00C94004">
        <w:t>contributing $</w:t>
      </w:r>
      <w:r w:rsidR="00D16FA6" w:rsidRPr="00C94004">
        <w:t>133.0</w:t>
      </w:r>
      <w:r w:rsidR="00E2325D" w:rsidRPr="00C94004">
        <w:t> billion</w:t>
      </w:r>
      <w:r w:rsidRPr="00C94004">
        <w:t xml:space="preserve"> from 202</w:t>
      </w:r>
      <w:r w:rsidR="00CE4350" w:rsidRPr="00C94004">
        <w:t>4</w:t>
      </w:r>
      <w:r w:rsidRPr="00C94004">
        <w:t>–2</w:t>
      </w:r>
      <w:r w:rsidR="00CE4350" w:rsidRPr="00C94004">
        <w:t>5</w:t>
      </w:r>
      <w:r w:rsidRPr="00C94004">
        <w:t xml:space="preserve"> to 202</w:t>
      </w:r>
      <w:r w:rsidR="00C7416B" w:rsidRPr="00C94004">
        <w:t>7</w:t>
      </w:r>
      <w:r w:rsidRPr="00C94004">
        <w:t>–2</w:t>
      </w:r>
      <w:r w:rsidR="00C7416B" w:rsidRPr="00C94004">
        <w:t>8</w:t>
      </w:r>
      <w:r w:rsidRPr="00C94004">
        <w:t xml:space="preserve"> for public health and hospital</w:t>
      </w:r>
      <w:r w:rsidR="00C75F8C" w:rsidRPr="00C94004">
        <w:t> </w:t>
      </w:r>
      <w:r w:rsidRPr="00C94004">
        <w:t xml:space="preserve">services </w:t>
      </w:r>
    </w:p>
    <w:p w14:paraId="10774059" w14:textId="51E099F6" w:rsidR="0075201B" w:rsidRPr="00C94004" w:rsidRDefault="0075201B" w:rsidP="0075201B">
      <w:pPr>
        <w:pStyle w:val="Bullet"/>
      </w:pPr>
      <w:r w:rsidRPr="00C94004">
        <w:t>investing $</w:t>
      </w:r>
      <w:r w:rsidR="00A51F8A" w:rsidRPr="00C94004">
        <w:t>1</w:t>
      </w:r>
      <w:r w:rsidR="00E402BA" w:rsidRPr="00C94004">
        <w:t xml:space="preserve">27.9 </w:t>
      </w:r>
      <w:r w:rsidR="00E2325D" w:rsidRPr="00C94004">
        <w:t>billion</w:t>
      </w:r>
      <w:r w:rsidRPr="00C94004">
        <w:t xml:space="preserve"> in Quality Schools funding from 202</w:t>
      </w:r>
      <w:r w:rsidR="001F764E" w:rsidRPr="00C94004">
        <w:t>4</w:t>
      </w:r>
      <w:r w:rsidRPr="00C94004">
        <w:t>–2</w:t>
      </w:r>
      <w:r w:rsidR="001F764E" w:rsidRPr="00C94004">
        <w:t>5</w:t>
      </w:r>
      <w:r w:rsidRPr="00C94004">
        <w:t xml:space="preserve"> to 202</w:t>
      </w:r>
      <w:r w:rsidR="001F764E" w:rsidRPr="00C94004">
        <w:t>7</w:t>
      </w:r>
      <w:r w:rsidRPr="00C94004">
        <w:t>–2</w:t>
      </w:r>
      <w:r w:rsidR="001F764E" w:rsidRPr="00C94004">
        <w:t>8</w:t>
      </w:r>
    </w:p>
    <w:p w14:paraId="30039289" w14:textId="70A30064" w:rsidR="00D60EB6" w:rsidRPr="00C94004" w:rsidRDefault="0075201B" w:rsidP="00D60EB6">
      <w:pPr>
        <w:pStyle w:val="Bullet"/>
      </w:pPr>
      <w:r w:rsidRPr="00C94004">
        <w:t>committing $</w:t>
      </w:r>
      <w:r w:rsidR="00BD0849" w:rsidRPr="00C94004">
        <w:t>57.8</w:t>
      </w:r>
      <w:r w:rsidR="00E2325D" w:rsidRPr="00C94004">
        <w:t> billion</w:t>
      </w:r>
      <w:r w:rsidRPr="00C94004">
        <w:t xml:space="preserve"> from 202</w:t>
      </w:r>
      <w:r w:rsidR="001F764E" w:rsidRPr="00C94004">
        <w:t>4</w:t>
      </w:r>
      <w:r w:rsidRPr="00C94004">
        <w:t>–2</w:t>
      </w:r>
      <w:r w:rsidR="001F764E" w:rsidRPr="00C94004">
        <w:t>5</w:t>
      </w:r>
      <w:r w:rsidRPr="00C94004">
        <w:t xml:space="preserve"> to 202</w:t>
      </w:r>
      <w:r w:rsidR="001F764E" w:rsidRPr="00C94004">
        <w:t>7</w:t>
      </w:r>
      <w:r w:rsidRPr="00C94004">
        <w:t>–2</w:t>
      </w:r>
      <w:r w:rsidR="001F764E" w:rsidRPr="00C94004">
        <w:t>8</w:t>
      </w:r>
      <w:r w:rsidRPr="00C94004">
        <w:t xml:space="preserve"> to invest in nation</w:t>
      </w:r>
      <w:r w:rsidR="00BE2E8A" w:rsidRPr="00C94004">
        <w:noBreakHyphen/>
      </w:r>
      <w:r w:rsidRPr="00C94004">
        <w:t>building infrastructure</w:t>
      </w:r>
    </w:p>
    <w:p w14:paraId="36134C2E" w14:textId="56B68892" w:rsidR="00D34B73" w:rsidRPr="00C94004" w:rsidRDefault="000779FF" w:rsidP="0075201B">
      <w:pPr>
        <w:pStyle w:val="Bullet"/>
      </w:pPr>
      <w:r w:rsidRPr="00C94004">
        <w:t>committing</w:t>
      </w:r>
      <w:r w:rsidR="0065251C" w:rsidRPr="00C94004">
        <w:t xml:space="preserve"> </w:t>
      </w:r>
      <w:r w:rsidR="00654A52" w:rsidRPr="00C94004">
        <w:t>$3.</w:t>
      </w:r>
      <w:r w:rsidR="006404E8" w:rsidRPr="00C94004">
        <w:t>9</w:t>
      </w:r>
      <w:r w:rsidR="00654A52" w:rsidRPr="00C94004">
        <w:t xml:space="preserve"> billion </w:t>
      </w:r>
      <w:r w:rsidR="00621B2E" w:rsidRPr="00C94004">
        <w:t>from 2024</w:t>
      </w:r>
      <w:r w:rsidR="00A05116" w:rsidRPr="00C94004">
        <w:t>–</w:t>
      </w:r>
      <w:r w:rsidR="00621B2E" w:rsidRPr="00C94004">
        <w:t>25 to 20</w:t>
      </w:r>
      <w:r w:rsidR="001C47DF" w:rsidRPr="00C94004">
        <w:t>25</w:t>
      </w:r>
      <w:r w:rsidR="005A5E65" w:rsidRPr="00C94004">
        <w:t>–</w:t>
      </w:r>
      <w:r w:rsidR="001C47DF" w:rsidRPr="00C94004">
        <w:t xml:space="preserve">26 </w:t>
      </w:r>
      <w:r w:rsidR="00E95D68" w:rsidRPr="00C94004">
        <w:t>through the</w:t>
      </w:r>
      <w:r w:rsidR="008B6298" w:rsidRPr="00C94004">
        <w:t xml:space="preserve"> </w:t>
      </w:r>
      <w:r w:rsidR="00D34B73" w:rsidRPr="00C94004">
        <w:t xml:space="preserve">Energy </w:t>
      </w:r>
      <w:r w:rsidR="00EC4C8A" w:rsidRPr="00C94004">
        <w:t xml:space="preserve">Bill </w:t>
      </w:r>
      <w:r w:rsidR="00E7291C" w:rsidRPr="00C94004">
        <w:t>R</w:t>
      </w:r>
      <w:r w:rsidR="00EC4C8A" w:rsidRPr="00C94004">
        <w:t xml:space="preserve">elief </w:t>
      </w:r>
      <w:r w:rsidR="00A900B4" w:rsidRPr="00C94004">
        <w:t>Fund</w:t>
      </w:r>
      <w:r w:rsidR="00046861" w:rsidRPr="00C94004">
        <w:t>, including</w:t>
      </w:r>
      <w:r w:rsidR="009C7BF1" w:rsidRPr="00C94004">
        <w:t xml:space="preserve"> an additional $</w:t>
      </w:r>
      <w:r w:rsidR="00F0776E" w:rsidRPr="00C94004">
        <w:t>3.5 billion</w:t>
      </w:r>
      <w:r w:rsidR="00EC4C8A" w:rsidRPr="00C94004">
        <w:t xml:space="preserve"> </w:t>
      </w:r>
      <w:r w:rsidR="00046861" w:rsidRPr="00C94004">
        <w:t xml:space="preserve">for </w:t>
      </w:r>
      <w:r w:rsidR="00C85A90" w:rsidRPr="00C94004">
        <w:t>a</w:t>
      </w:r>
      <w:r w:rsidR="00046861" w:rsidRPr="00C94004">
        <w:t xml:space="preserve"> one</w:t>
      </w:r>
      <w:r w:rsidR="00BE2E8A" w:rsidRPr="00C94004">
        <w:noBreakHyphen/>
      </w:r>
      <w:r w:rsidR="00046861" w:rsidRPr="00C94004">
        <w:t xml:space="preserve">year extension </w:t>
      </w:r>
      <w:r w:rsidR="00667F41" w:rsidRPr="00C94004">
        <w:t xml:space="preserve">to </w:t>
      </w:r>
      <w:r w:rsidR="00D22C3F" w:rsidRPr="00C94004">
        <w:t xml:space="preserve">provide cost of living relief </w:t>
      </w:r>
      <w:r w:rsidR="00880FD8" w:rsidRPr="00C94004">
        <w:t xml:space="preserve">to </w:t>
      </w:r>
      <w:r w:rsidR="00580B59" w:rsidRPr="00C94004">
        <w:t xml:space="preserve">all </w:t>
      </w:r>
      <w:r w:rsidR="00D65B2F" w:rsidRPr="00C94004">
        <w:t xml:space="preserve">Australian households </w:t>
      </w:r>
      <w:r w:rsidR="00D97508" w:rsidRPr="00C94004">
        <w:t>(more than ten million) and around one million small businesses</w:t>
      </w:r>
    </w:p>
    <w:p w14:paraId="5548879F" w14:textId="677C9874" w:rsidR="004B336C" w:rsidRPr="00C94004" w:rsidRDefault="00CE2D84" w:rsidP="0075201B">
      <w:pPr>
        <w:pStyle w:val="Bullet"/>
      </w:pPr>
      <w:r w:rsidRPr="00C94004">
        <w:t>making available</w:t>
      </w:r>
      <w:r w:rsidR="008D0C36" w:rsidRPr="00C94004">
        <w:t xml:space="preserve"> </w:t>
      </w:r>
      <w:r w:rsidR="008C362F" w:rsidRPr="00C94004">
        <w:t>a further $1</w:t>
      </w:r>
      <w:r w:rsidR="00A537A0" w:rsidRPr="00C94004">
        <w:t> </w:t>
      </w:r>
      <w:r w:rsidR="008075AE" w:rsidRPr="00C94004">
        <w:t xml:space="preserve">billion </w:t>
      </w:r>
      <w:r w:rsidR="001F6581" w:rsidRPr="00C94004">
        <w:t xml:space="preserve">through the Housing Support Program </w:t>
      </w:r>
      <w:r w:rsidR="00904554" w:rsidRPr="00C94004">
        <w:t>in 2023</w:t>
      </w:r>
      <w:r w:rsidR="0064696F" w:rsidRPr="00C94004">
        <w:t>–</w:t>
      </w:r>
      <w:r w:rsidR="00904554" w:rsidRPr="00C94004">
        <w:t>24</w:t>
      </w:r>
      <w:r w:rsidR="00604B85" w:rsidRPr="00C94004">
        <w:t xml:space="preserve">, </w:t>
      </w:r>
      <w:r w:rsidR="008075AE" w:rsidRPr="00C94004">
        <w:t xml:space="preserve">to </w:t>
      </w:r>
      <w:r w:rsidR="00865CA5" w:rsidRPr="00C94004">
        <w:t>fund urgent</w:t>
      </w:r>
      <w:r w:rsidR="002070BD" w:rsidRPr="00C94004">
        <w:t xml:space="preserve"> and significant</w:t>
      </w:r>
      <w:r w:rsidR="00800265" w:rsidRPr="00C94004">
        <w:t xml:space="preserve"> infr</w:t>
      </w:r>
      <w:r w:rsidR="00841AE3" w:rsidRPr="00C94004">
        <w:t xml:space="preserve">astructure projects </w:t>
      </w:r>
      <w:r w:rsidR="007231B1" w:rsidRPr="00C94004">
        <w:t xml:space="preserve">in order to build </w:t>
      </w:r>
      <w:r w:rsidR="00EC3EB9" w:rsidRPr="00C94004">
        <w:t>more homes for Australians</w:t>
      </w:r>
      <w:r w:rsidR="00841AE3" w:rsidRPr="00C94004">
        <w:t xml:space="preserve"> in well</w:t>
      </w:r>
      <w:r w:rsidR="00BE2E8A" w:rsidRPr="00C94004">
        <w:noBreakHyphen/>
      </w:r>
      <w:r w:rsidR="00841AE3" w:rsidRPr="00C94004">
        <w:t xml:space="preserve">located </w:t>
      </w:r>
      <w:r w:rsidR="00733E73" w:rsidRPr="00C94004">
        <w:t xml:space="preserve">areas. </w:t>
      </w:r>
      <w:r w:rsidR="00604B85" w:rsidRPr="00C94004">
        <w:t xml:space="preserve">This is in addition to the existing </w:t>
      </w:r>
      <w:r w:rsidR="00017F2F" w:rsidRPr="00C94004">
        <w:t xml:space="preserve">Housing Support Program streams, which are providing </w:t>
      </w:r>
      <w:r w:rsidR="00604B85" w:rsidRPr="00C94004">
        <w:t xml:space="preserve">$500.0 million </w:t>
      </w:r>
      <w:r w:rsidR="00CE0AC2" w:rsidRPr="00C94004">
        <w:t>through</w:t>
      </w:r>
      <w:r w:rsidR="00604B85" w:rsidRPr="00C94004">
        <w:t xml:space="preserve"> 2024</w:t>
      </w:r>
      <w:r w:rsidR="00E051C0" w:rsidRPr="00C94004">
        <w:t>–</w:t>
      </w:r>
      <w:r w:rsidR="00604B85" w:rsidRPr="00C94004">
        <w:t>25</w:t>
      </w:r>
      <w:r w:rsidR="00017F2F" w:rsidRPr="00C94004">
        <w:t xml:space="preserve"> </w:t>
      </w:r>
      <w:r w:rsidR="00CF5564" w:rsidRPr="00C94004">
        <w:t>to fund enabling infrastructure</w:t>
      </w:r>
      <w:r w:rsidR="00604B85" w:rsidRPr="00C94004">
        <w:t>,</w:t>
      </w:r>
      <w:r w:rsidR="00017F2F" w:rsidRPr="00C94004">
        <w:t xml:space="preserve"> community amenit</w:t>
      </w:r>
      <w:r w:rsidR="00271263">
        <w:t>ies</w:t>
      </w:r>
      <w:r w:rsidR="00017F2F" w:rsidRPr="00C94004">
        <w:t xml:space="preserve"> and planning capability</w:t>
      </w:r>
    </w:p>
    <w:p w14:paraId="3A0CEE7C" w14:textId="116D70D1" w:rsidR="00E113C3" w:rsidRPr="00C94004" w:rsidRDefault="00E113C3" w:rsidP="0075201B">
      <w:pPr>
        <w:pStyle w:val="Bullet"/>
      </w:pPr>
      <w:r w:rsidRPr="00C94004">
        <w:t>providing an estimated $20.4 billion in horizontal fiscal equalisation (HFE) transition</w:t>
      </w:r>
      <w:r w:rsidR="006161D1" w:rsidRPr="00C94004">
        <w:t xml:space="preserve"> </w:t>
      </w:r>
      <w:r w:rsidRPr="00C94004">
        <w:t xml:space="preserve">payments </w:t>
      </w:r>
      <w:r w:rsidR="006161D1" w:rsidRPr="00C94004">
        <w:rPr>
          <w:rStyle w:val="ui-provider"/>
        </w:rPr>
        <w:t>(also known as the No Worse Off guarantee)</w:t>
      </w:r>
      <w:r w:rsidRPr="00C94004">
        <w:t xml:space="preserve"> from 2024–25 to 2027–28 to support the transition to the new HFE system</w:t>
      </w:r>
    </w:p>
    <w:p w14:paraId="0B00430B" w14:textId="7E5EDAE7" w:rsidR="0075201B" w:rsidRPr="00C179A5" w:rsidRDefault="0075201B" w:rsidP="0075201B">
      <w:pPr>
        <w:pStyle w:val="Bullet"/>
      </w:pPr>
      <w:r w:rsidRPr="00C94004">
        <w:t xml:space="preserve">permanently boosting the size of the GST pool that is distributed among the states each year. From 2021–22, the Australian Government </w:t>
      </w:r>
      <w:r w:rsidR="00305EDE" w:rsidRPr="00C94004">
        <w:t xml:space="preserve">has </w:t>
      </w:r>
      <w:r w:rsidRPr="00C94004">
        <w:t>inject</w:t>
      </w:r>
      <w:r w:rsidR="00305EDE" w:rsidRPr="00C94004">
        <w:t>ed</w:t>
      </w:r>
      <w:r w:rsidRPr="00C94004">
        <w:t xml:space="preserve"> $600.0</w:t>
      </w:r>
      <w:r w:rsidR="00E2325D" w:rsidRPr="00C94004">
        <w:t> million</w:t>
      </w:r>
      <w:r w:rsidRPr="00C94004">
        <w:t xml:space="preserve"> annually into the GST pool, </w:t>
      </w:r>
      <w:r w:rsidR="00456EB2" w:rsidRPr="00C94004">
        <w:t xml:space="preserve">with this amount growing each year in line with the underlying growth of the GST. </w:t>
      </w:r>
      <w:r w:rsidR="00613153" w:rsidRPr="00C94004">
        <w:t>From</w:t>
      </w:r>
      <w:r w:rsidR="00456EB2" w:rsidRPr="00C94004">
        <w:t xml:space="preserve"> 2024</w:t>
      </w:r>
      <w:r w:rsidR="00E2325D" w:rsidRPr="00C94004">
        <w:t>–</w:t>
      </w:r>
      <w:r w:rsidR="00456EB2" w:rsidRPr="00C94004">
        <w:t xml:space="preserve">25 </w:t>
      </w:r>
      <w:r w:rsidR="00E51F21" w:rsidRPr="00C94004">
        <w:t xml:space="preserve">the Australian Government will </w:t>
      </w:r>
      <w:r w:rsidR="00271263">
        <w:t xml:space="preserve">further </w:t>
      </w:r>
      <w:r w:rsidR="00E51F21" w:rsidRPr="00C94004">
        <w:t>boost the GST pool</w:t>
      </w:r>
      <w:r w:rsidR="00456EB2" w:rsidRPr="00C94004">
        <w:t xml:space="preserve"> </w:t>
      </w:r>
      <w:r w:rsidR="006012CF" w:rsidRPr="00C94004">
        <w:t xml:space="preserve">by </w:t>
      </w:r>
      <w:r w:rsidR="007A1BE5" w:rsidRPr="00C94004">
        <w:t>an additional</w:t>
      </w:r>
      <w:r w:rsidRPr="00C94004">
        <w:t xml:space="preserve"> $250.0</w:t>
      </w:r>
      <w:r w:rsidR="00E2325D" w:rsidRPr="00C94004">
        <w:t> million</w:t>
      </w:r>
      <w:r w:rsidR="00ED00ED" w:rsidRPr="00C94004">
        <w:t xml:space="preserve"> annually</w:t>
      </w:r>
      <w:r w:rsidR="007A1BE5" w:rsidRPr="00C94004">
        <w:t>, bringing the total in 2024</w:t>
      </w:r>
      <w:r w:rsidR="00E2325D" w:rsidRPr="00C94004">
        <w:t>–</w:t>
      </w:r>
      <w:r w:rsidR="007A1BE5" w:rsidRPr="00C94004">
        <w:t xml:space="preserve">25 to </w:t>
      </w:r>
      <w:r w:rsidR="00386AA8" w:rsidRPr="00C94004">
        <w:t>$</w:t>
      </w:r>
      <w:r w:rsidR="00343CC8" w:rsidRPr="00C94004">
        <w:t>964</w:t>
      </w:r>
      <w:r w:rsidR="00821C24" w:rsidRPr="00C94004">
        <w:t>.1</w:t>
      </w:r>
      <w:r w:rsidR="00E2325D" w:rsidRPr="00C94004">
        <w:t> million</w:t>
      </w:r>
      <w:r w:rsidR="000D0573" w:rsidRPr="00C94004">
        <w:t>.</w:t>
      </w:r>
      <w:r w:rsidR="00481CFC" w:rsidRPr="00C94004">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75201B" w:rsidRPr="0089547E" w14:paraId="6599E82F" w14:textId="77777777" w:rsidTr="41F0ACE1">
        <w:trPr>
          <w:cantSplit/>
        </w:trPr>
        <w:tc>
          <w:tcPr>
            <w:tcW w:w="5000" w:type="pct"/>
            <w:shd w:val="clear" w:color="auto" w:fill="E6F2FF"/>
          </w:tcPr>
          <w:p w14:paraId="644D8B93" w14:textId="67B03289" w:rsidR="0075201B" w:rsidRPr="00C94004" w:rsidRDefault="0075201B">
            <w:pPr>
              <w:pStyle w:val="BoxHeading"/>
            </w:pPr>
            <w:r w:rsidRPr="00C94004">
              <w:lastRenderedPageBreak/>
              <w:t xml:space="preserve">Box 1.1: </w:t>
            </w:r>
            <w:r w:rsidR="004D58BD" w:rsidRPr="00C94004">
              <w:t>Fiscal pressures across the federation</w:t>
            </w:r>
          </w:p>
          <w:p w14:paraId="6E7DF200" w14:textId="7923A650" w:rsidR="002916F0" w:rsidRPr="00C94004" w:rsidRDefault="003A095D" w:rsidP="000D7EF0">
            <w:pPr>
              <w:pStyle w:val="BoxText"/>
            </w:pPr>
            <w:r w:rsidRPr="00C94004">
              <w:t xml:space="preserve">The Commonwealth and the </w:t>
            </w:r>
            <w:r w:rsidR="0026379B" w:rsidRPr="00C94004">
              <w:t>s</w:t>
            </w:r>
            <w:r w:rsidRPr="00C94004">
              <w:t xml:space="preserve">tates and </w:t>
            </w:r>
            <w:r w:rsidR="0026379B" w:rsidRPr="00C94004">
              <w:t>t</w:t>
            </w:r>
            <w:r w:rsidRPr="00C94004">
              <w:t xml:space="preserve">erritories (the states) </w:t>
            </w:r>
            <w:r w:rsidRPr="00C94004" w:rsidDel="000D2E07">
              <w:t xml:space="preserve">are </w:t>
            </w:r>
            <w:r w:rsidR="002F01A8" w:rsidRPr="00C94004">
              <w:t>all</w:t>
            </w:r>
            <w:r w:rsidR="002F01A8" w:rsidRPr="00C94004" w:rsidDel="003F326F">
              <w:t xml:space="preserve"> </w:t>
            </w:r>
            <w:r w:rsidRPr="00C94004" w:rsidDel="000D2E07">
              <w:t xml:space="preserve">facing </w:t>
            </w:r>
            <w:r w:rsidR="0081775F" w:rsidRPr="00C94004">
              <w:t>significant</w:t>
            </w:r>
            <w:r w:rsidR="00007043" w:rsidRPr="00C94004">
              <w:t xml:space="preserve"> </w:t>
            </w:r>
            <w:r w:rsidR="000821D9" w:rsidRPr="00C94004">
              <w:t xml:space="preserve">fiscal </w:t>
            </w:r>
            <w:r w:rsidR="00007043" w:rsidRPr="00C94004">
              <w:t xml:space="preserve">pressures, </w:t>
            </w:r>
            <w:r w:rsidR="00646CA2" w:rsidRPr="00C94004">
              <w:t xml:space="preserve">which </w:t>
            </w:r>
            <w:r w:rsidR="00FD1F09" w:rsidRPr="00C94004">
              <w:t>are</w:t>
            </w:r>
            <w:r w:rsidR="00646CA2" w:rsidRPr="00C94004">
              <w:t xml:space="preserve"> </w:t>
            </w:r>
            <w:r w:rsidR="00B850D9" w:rsidRPr="00C94004">
              <w:t>driven by</w:t>
            </w:r>
            <w:r w:rsidR="00CC4EAA" w:rsidRPr="00C94004">
              <w:t xml:space="preserve"> current spending pressures </w:t>
            </w:r>
            <w:r w:rsidR="00E3077D" w:rsidRPr="00C94004">
              <w:t>and</w:t>
            </w:r>
            <w:r w:rsidR="00010EB0" w:rsidRPr="00C94004">
              <w:t xml:space="preserve"> </w:t>
            </w:r>
            <w:r w:rsidR="000A41C1" w:rsidRPr="00C94004">
              <w:t xml:space="preserve">the </w:t>
            </w:r>
            <w:r w:rsidR="00A73BD9" w:rsidRPr="00C94004">
              <w:t xml:space="preserve">fiscal legacy of </w:t>
            </w:r>
            <w:r w:rsidR="00D87FF7" w:rsidRPr="00C94004">
              <w:t xml:space="preserve">the </w:t>
            </w:r>
            <w:r w:rsidRPr="00C94004">
              <w:t>COVID</w:t>
            </w:r>
            <w:r w:rsidR="00BE2E8A" w:rsidRPr="00C94004">
              <w:noBreakHyphen/>
            </w:r>
            <w:r w:rsidRPr="00C94004">
              <w:t>19 pandemic</w:t>
            </w:r>
            <w:r w:rsidR="00CF0E0C" w:rsidRPr="00C94004">
              <w:t xml:space="preserve">. </w:t>
            </w:r>
          </w:p>
          <w:p w14:paraId="313312C9" w14:textId="5C437E95" w:rsidR="003A095D" w:rsidRPr="00C94004" w:rsidRDefault="003A095D" w:rsidP="000D7EF0">
            <w:pPr>
              <w:pStyle w:val="BoxText"/>
            </w:pPr>
            <w:r w:rsidRPr="00C94004">
              <w:t xml:space="preserve">Current major spending pressures </w:t>
            </w:r>
            <w:r w:rsidR="00297184" w:rsidRPr="00C94004">
              <w:t xml:space="preserve">for the Commonwealth </w:t>
            </w:r>
            <w:r w:rsidRPr="00C94004">
              <w:t>include health and aged care, the National Disability Insurance Scheme</w:t>
            </w:r>
            <w:r w:rsidR="00C10D9C" w:rsidRPr="00C94004">
              <w:t xml:space="preserve">, </w:t>
            </w:r>
            <w:r w:rsidRPr="00C94004">
              <w:t>defence</w:t>
            </w:r>
            <w:r w:rsidR="00C10D9C" w:rsidRPr="00C94004">
              <w:t xml:space="preserve"> </w:t>
            </w:r>
            <w:r w:rsidR="008D0787" w:rsidRPr="00C94004">
              <w:t xml:space="preserve">and </w:t>
            </w:r>
            <w:r w:rsidR="00D814A1" w:rsidRPr="00C94004">
              <w:t>interest payments on Government debt</w:t>
            </w:r>
            <w:r w:rsidRPr="00C94004">
              <w:t xml:space="preserve">. </w:t>
            </w:r>
            <w:r w:rsidR="001A5314" w:rsidRPr="00C94004">
              <w:t xml:space="preserve">In the 2023 </w:t>
            </w:r>
            <w:r w:rsidR="000E7715" w:rsidRPr="00C94004">
              <w:t>Intergenerational Report</w:t>
            </w:r>
            <w:r w:rsidR="001A5314" w:rsidRPr="00C94004">
              <w:t>, t</w:t>
            </w:r>
            <w:r w:rsidRPr="00C94004">
              <w:t xml:space="preserve">hese </w:t>
            </w:r>
            <w:r w:rsidR="006B43B9" w:rsidRPr="00C94004">
              <w:t>we</w:t>
            </w:r>
            <w:r w:rsidRPr="00C94004">
              <w:t>re projected to rise from 8.8</w:t>
            </w:r>
            <w:r w:rsidR="008D46F2" w:rsidRPr="00C94004">
              <w:t> </w:t>
            </w:r>
            <w:r w:rsidR="00E2325D" w:rsidRPr="00C94004">
              <w:t>per c</w:t>
            </w:r>
            <w:r w:rsidRPr="00C94004">
              <w:t xml:space="preserve">ent of GDP </w:t>
            </w:r>
            <w:r w:rsidR="0073257E" w:rsidRPr="00C94004">
              <w:t>in 2022</w:t>
            </w:r>
            <w:r w:rsidR="00C72391" w:rsidRPr="00C94004">
              <w:t>–</w:t>
            </w:r>
            <w:r w:rsidR="0073257E" w:rsidRPr="00C94004">
              <w:t xml:space="preserve">23 </w:t>
            </w:r>
            <w:r w:rsidRPr="00C94004">
              <w:t>to around 14.4</w:t>
            </w:r>
            <w:r w:rsidR="00E2325D" w:rsidRPr="00C94004">
              <w:t> per c</w:t>
            </w:r>
            <w:r w:rsidRPr="00C94004">
              <w:t>ent in 2062–63. Health and aged care expenditure is expected to grow significantly with around 40</w:t>
            </w:r>
            <w:r w:rsidR="00E2325D" w:rsidRPr="00C94004">
              <w:t> per c</w:t>
            </w:r>
            <w:r w:rsidRPr="00C94004">
              <w:t xml:space="preserve">ent of the projected increase in </w:t>
            </w:r>
            <w:r w:rsidR="00AD77BB" w:rsidRPr="00C94004">
              <w:t xml:space="preserve">Commonwealth </w:t>
            </w:r>
            <w:r w:rsidRPr="00C94004">
              <w:t>expenditure from 2022–23 to 2062–63 being attributed to demographic ageing.</w:t>
            </w:r>
            <w:r w:rsidR="006F7A6D" w:rsidRPr="00C94004">
              <w:t xml:space="preserve"> </w:t>
            </w:r>
            <w:r w:rsidR="007E2DC2" w:rsidRPr="00C94004">
              <w:br w:type="page"/>
            </w:r>
            <w:r w:rsidR="006F7A6D" w:rsidRPr="00C94004">
              <w:t xml:space="preserve">The states are also </w:t>
            </w:r>
            <w:r w:rsidR="006B43B9" w:rsidRPr="00C94004">
              <w:t>affected by</w:t>
            </w:r>
            <w:r w:rsidR="002315FF" w:rsidRPr="00C94004">
              <w:t xml:space="preserve"> </w:t>
            </w:r>
            <w:r w:rsidR="0097202A" w:rsidRPr="00C94004">
              <w:t xml:space="preserve">fiscal </w:t>
            </w:r>
            <w:r w:rsidR="002315FF" w:rsidRPr="00C94004">
              <w:t>pressures, particular</w:t>
            </w:r>
            <w:r w:rsidR="00972692" w:rsidRPr="00C94004">
              <w:t>ly</w:t>
            </w:r>
            <w:r w:rsidR="002315FF" w:rsidRPr="00C94004">
              <w:t xml:space="preserve"> health</w:t>
            </w:r>
            <w:r w:rsidR="00236927" w:rsidRPr="00C94004">
              <w:t xml:space="preserve"> and in</w:t>
            </w:r>
            <w:r w:rsidR="00B42D60" w:rsidRPr="00C94004">
              <w:t>terest payments on their own debt.</w:t>
            </w:r>
            <w:r w:rsidR="006F7A6D" w:rsidRPr="00C94004">
              <w:t xml:space="preserve"> </w:t>
            </w:r>
          </w:p>
          <w:p w14:paraId="5EE3FA3D" w14:textId="7F84055A" w:rsidR="00AD598C" w:rsidRPr="00C94004" w:rsidRDefault="00400C68" w:rsidP="000D7EF0">
            <w:pPr>
              <w:pStyle w:val="BoxText"/>
            </w:pPr>
            <w:r w:rsidRPr="00C94004">
              <w:t xml:space="preserve">The Commonwealth and the states are carrying higher levels </w:t>
            </w:r>
            <w:r w:rsidR="00806A91" w:rsidRPr="00C94004">
              <w:t>of debt compared to pre</w:t>
            </w:r>
            <w:r w:rsidR="00BE2E8A" w:rsidRPr="00C94004">
              <w:noBreakHyphen/>
            </w:r>
            <w:r w:rsidR="00806A91" w:rsidRPr="00C94004">
              <w:t xml:space="preserve">pandemic. </w:t>
            </w:r>
            <w:r w:rsidR="003A095D" w:rsidRPr="00C94004">
              <w:t>Both levels of government used debt to fund the response to the pandemic, resulting in debt levels which were high by historical standards.</w:t>
            </w:r>
            <w:r w:rsidR="00EB3FE3" w:rsidRPr="00C94004">
              <w:t xml:space="preserve"> The Commonwealth </w:t>
            </w:r>
            <w:r w:rsidR="00D150FD" w:rsidRPr="00C94004">
              <w:t>funded a larger share of pandemic</w:t>
            </w:r>
            <w:r w:rsidR="00BE2E8A" w:rsidRPr="00C94004">
              <w:noBreakHyphen/>
            </w:r>
            <w:r w:rsidR="00D150FD" w:rsidRPr="00C94004">
              <w:t>related expenditure</w:t>
            </w:r>
            <w:r w:rsidR="00285EE3" w:rsidRPr="00C94004">
              <w:t>, as it</w:t>
            </w:r>
            <w:r w:rsidR="00D150FD" w:rsidRPr="00C94004">
              <w:t xml:space="preserve"> </w:t>
            </w:r>
            <w:r w:rsidR="00EB3FE3" w:rsidRPr="00C94004">
              <w:t xml:space="preserve">is responsible for social security and </w:t>
            </w:r>
            <w:r w:rsidR="00636B3A" w:rsidRPr="00C94004">
              <w:t>almost 60 per cent</w:t>
            </w:r>
            <w:r w:rsidR="00DF0899" w:rsidRPr="00C94004">
              <w:t xml:space="preserve"> of health funding</w:t>
            </w:r>
            <w:r w:rsidR="00EB3FE3" w:rsidRPr="00C94004">
              <w:t>.</w:t>
            </w:r>
            <w:r w:rsidR="003A095D" w:rsidRPr="00C94004">
              <w:t xml:space="preserve"> </w:t>
            </w:r>
          </w:p>
          <w:p w14:paraId="29432CC7" w14:textId="7642D458" w:rsidR="00974C52" w:rsidRPr="00C94004" w:rsidRDefault="003A095D" w:rsidP="002552A8">
            <w:pPr>
              <w:pStyle w:val="BoxText"/>
            </w:pPr>
            <w:r w:rsidRPr="00C94004">
              <w:t xml:space="preserve">Despite these </w:t>
            </w:r>
            <w:r w:rsidR="00211FA9" w:rsidRPr="00C94004">
              <w:t xml:space="preserve">current and </w:t>
            </w:r>
            <w:r w:rsidR="00EF09B5" w:rsidRPr="00C94004">
              <w:t>legacy</w:t>
            </w:r>
            <w:r w:rsidR="00211FA9" w:rsidRPr="00C94004">
              <w:t xml:space="preserve"> </w:t>
            </w:r>
            <w:r w:rsidRPr="00C94004">
              <w:t>pressures, the states are expecting their budget balances to recover over the forward</w:t>
            </w:r>
            <w:r w:rsidR="00037EB3" w:rsidRPr="00C94004">
              <w:t xml:space="preserve"> estimates</w:t>
            </w:r>
            <w:r w:rsidRPr="00C94004">
              <w:t>, with most states reaching an operating surplus by 2026</w:t>
            </w:r>
            <w:r w:rsidR="00E2325D" w:rsidRPr="00C94004">
              <w:t>–</w:t>
            </w:r>
            <w:r w:rsidRPr="00C94004">
              <w:t>27</w:t>
            </w:r>
            <w:r w:rsidR="00B14F6A" w:rsidRPr="00C94004">
              <w:t xml:space="preserve"> (Chart 1.</w:t>
            </w:r>
            <w:r w:rsidR="00980CF9" w:rsidRPr="00C94004">
              <w:t>1</w:t>
            </w:r>
            <w:r w:rsidR="00B14F6A" w:rsidRPr="00C94004">
              <w:t>)</w:t>
            </w:r>
            <w:r w:rsidRPr="00C94004">
              <w:t>.</w:t>
            </w:r>
            <w:r w:rsidR="001B6CAF" w:rsidRPr="00C94004">
              <w:t xml:space="preserve"> </w:t>
            </w:r>
            <w:r w:rsidRPr="00C94004">
              <w:t>The states forecast that the aggregate net operating position</w:t>
            </w:r>
            <w:r w:rsidR="00F870A9" w:rsidRPr="00C94004">
              <w:t>, which incorporates Commonwealth transfers,</w:t>
            </w:r>
            <w:r w:rsidRPr="00C94004">
              <w:t xml:space="preserve"> will be balanced on average across the forward</w:t>
            </w:r>
            <w:r w:rsidR="00075D9D" w:rsidRPr="00C94004">
              <w:t xml:space="preserve"> estimates</w:t>
            </w:r>
            <w:r w:rsidR="004C5390" w:rsidRPr="00C94004">
              <w:t>.</w:t>
            </w:r>
            <w:r w:rsidRPr="00C94004">
              <w:t xml:space="preserve"> </w:t>
            </w:r>
            <w:r w:rsidR="00370B97" w:rsidRPr="00C94004">
              <w:t xml:space="preserve">The Commonwealth </w:t>
            </w:r>
            <w:r w:rsidR="007A2596" w:rsidRPr="00C94004">
              <w:t xml:space="preserve">is forecast to </w:t>
            </w:r>
            <w:r w:rsidR="00E15397" w:rsidRPr="00C94004">
              <w:t>r</w:t>
            </w:r>
            <w:r w:rsidR="00C07DAE" w:rsidRPr="00C94004">
              <w:t xml:space="preserve">emain in an operating deficit </w:t>
            </w:r>
            <w:r w:rsidR="00444062" w:rsidRPr="00C94004">
              <w:t>over the same period</w:t>
            </w:r>
            <w:r w:rsidR="00BE2E8A" w:rsidRPr="00C94004">
              <w:t xml:space="preserve">. </w:t>
            </w:r>
          </w:p>
          <w:p w14:paraId="14036ACD" w14:textId="77777777" w:rsidR="00314337" w:rsidRPr="00C94004" w:rsidRDefault="00314337" w:rsidP="00314337">
            <w:pPr>
              <w:pStyle w:val="ChartMainHeading"/>
            </w:pPr>
            <w:r w:rsidRPr="00C94004">
              <w:t>Chart 1.1: Net operating balance as a share of GDP</w:t>
            </w:r>
          </w:p>
          <w:p w14:paraId="6224F417" w14:textId="3B38A212" w:rsidR="00314337" w:rsidRPr="00C94004" w:rsidRDefault="00EF4F00" w:rsidP="00FF045D">
            <w:pPr>
              <w:pStyle w:val="ChartGraphic"/>
            </w:pPr>
            <w:r>
              <w:pict w14:anchorId="436CA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art compares the Commonwealth and total State and Territory (State) net operating balances as a share of GDP, over the period 2012-13 to 2027-28 for the Commonwealth, and 2012-13 to 2026-27 for total State. The Commonwealth net operating balance is negative between 2012-13 and 2017-18 averaging -1.8 per cent, before rising to a peak of 0.4 per cent in 2018-19. The Commonwealth net operating balance then falls to a low of -6.2 per cent in 2020-21 before rising to a peak of 1.2 per cent in 2022-23. The operating balance moves negative in 2024-25 and remains negative for the rest of the period. Total state net operating balance rises from -0.5 per cent of GDP in 2012-13 to 0.6 per cent in 2016-17, before falling to -1.3 per cent in 2019-20. The state net operating balance then recovers steadily, turning positive in 2024-25 and remaining positive for the rest of the period." style="width:365.25pt;height:149.25pt">
                  <v:imagedata r:id="rId11" o:title=""/>
                </v:shape>
              </w:pict>
            </w:r>
          </w:p>
          <w:p w14:paraId="3EB50A58" w14:textId="23C1724B" w:rsidR="00314337" w:rsidRPr="00C94004" w:rsidRDefault="00314337" w:rsidP="00314337">
            <w:pPr>
              <w:pStyle w:val="ChartandTableFootnote"/>
              <w:rPr>
                <w:color w:val="auto"/>
              </w:rPr>
            </w:pPr>
            <w:r w:rsidRPr="00C94004">
              <w:rPr>
                <w:color w:val="auto"/>
              </w:rPr>
              <w:t xml:space="preserve">Source: </w:t>
            </w:r>
            <w:r w:rsidR="00533543" w:rsidRPr="00C94004">
              <w:rPr>
                <w:color w:val="auto"/>
              </w:rPr>
              <w:tab/>
            </w:r>
            <w:r w:rsidRPr="00C94004">
              <w:rPr>
                <w:color w:val="auto"/>
              </w:rPr>
              <w:t xml:space="preserve">Treasury calculations based on ABS Government Finance Statistics (GFS), State and Territory </w:t>
            </w:r>
            <w:r w:rsidR="00BF1690" w:rsidRPr="00C94004">
              <w:rPr>
                <w:color w:val="auto"/>
              </w:rPr>
              <w:t>MYEFOs</w:t>
            </w:r>
            <w:r w:rsidRPr="00C94004">
              <w:rPr>
                <w:color w:val="auto"/>
              </w:rPr>
              <w:t xml:space="preserve">, and Budget Paper No.1, </w:t>
            </w:r>
            <w:r w:rsidRPr="00C94004">
              <w:rPr>
                <w:rStyle w:val="Emphasis"/>
                <w:color w:val="auto"/>
              </w:rPr>
              <w:t>Budget Strategy and Outlook 2024–25, Statement 11: Historical Australian Government Data</w:t>
            </w:r>
            <w:r w:rsidRPr="00C94004">
              <w:rPr>
                <w:rStyle w:val="ui-provider"/>
                <w:color w:val="auto"/>
              </w:rPr>
              <w:t>.</w:t>
            </w:r>
          </w:p>
          <w:p w14:paraId="4BE8B632" w14:textId="77777777" w:rsidR="00B6107F" w:rsidRPr="00C94004" w:rsidRDefault="00B6107F" w:rsidP="00B6107F">
            <w:pPr>
              <w:pStyle w:val="ChartLine"/>
            </w:pPr>
          </w:p>
          <w:p w14:paraId="2B07CEEB" w14:textId="08622EB5" w:rsidR="00162380" w:rsidRPr="00C94004" w:rsidRDefault="00F536D0" w:rsidP="008535B3">
            <w:pPr>
              <w:pStyle w:val="Box-continuedon"/>
            </w:pPr>
            <w:r w:rsidRPr="00C94004">
              <w:rPr>
                <w:rStyle w:val="BoxHeading-Continued"/>
                <w:sz w:val="18"/>
              </w:rPr>
              <w:t>continued over next page</w:t>
            </w:r>
          </w:p>
        </w:tc>
      </w:tr>
      <w:tr w:rsidR="00602396" w14:paraId="0C78DB6B" w14:textId="77777777" w:rsidTr="007B7017">
        <w:tblPrEx>
          <w:tblLook w:val="01E0" w:firstRow="1" w:lastRow="1" w:firstColumn="1" w:lastColumn="1" w:noHBand="0" w:noVBand="0"/>
        </w:tblPrEx>
        <w:trPr>
          <w:cantSplit/>
        </w:trPr>
        <w:tc>
          <w:tcPr>
            <w:tcW w:w="5000" w:type="pct"/>
            <w:shd w:val="clear" w:color="auto" w:fill="E6F2FF"/>
          </w:tcPr>
          <w:p w14:paraId="3BFA285D" w14:textId="4C7A1672" w:rsidR="008D531E" w:rsidRPr="00C94004" w:rsidRDefault="008D531E" w:rsidP="007A3848">
            <w:pPr>
              <w:pStyle w:val="BoxHeading"/>
            </w:pPr>
            <w:r w:rsidRPr="00C94004">
              <w:lastRenderedPageBreak/>
              <w:t xml:space="preserve">Box 1.1: Fiscal pressures </w:t>
            </w:r>
            <w:r w:rsidRPr="00C94004">
              <w:rPr>
                <w:rStyle w:val="BoxHeading-Continued"/>
                <w:sz w:val="20"/>
              </w:rPr>
              <w:t>across</w:t>
            </w:r>
            <w:r w:rsidRPr="00C94004">
              <w:t xml:space="preserve"> the federation (continued)</w:t>
            </w:r>
          </w:p>
          <w:p w14:paraId="586185E7" w14:textId="38E45A48" w:rsidR="00265196" w:rsidRPr="00C94004" w:rsidRDefault="00602396" w:rsidP="00B32B0C">
            <w:pPr>
              <w:pStyle w:val="BoxText"/>
            </w:pPr>
            <w:r w:rsidRPr="00C94004">
              <w:t xml:space="preserve">Commonwealth </w:t>
            </w:r>
            <w:r w:rsidR="00A80380" w:rsidRPr="00C94004">
              <w:t xml:space="preserve">support ensures </w:t>
            </w:r>
            <w:r w:rsidRPr="00C94004">
              <w:t>the states can fund essential services</w:t>
            </w:r>
            <w:r w:rsidR="00254A22" w:rsidRPr="00C94004">
              <w:t xml:space="preserve">. The states are estimated to receive </w:t>
            </w:r>
            <w:r w:rsidR="008D12EF" w:rsidRPr="00C94004">
              <w:t xml:space="preserve">$193.7 billion in </w:t>
            </w:r>
            <w:r w:rsidR="002A3D82" w:rsidRPr="00C94004">
              <w:t xml:space="preserve">annual </w:t>
            </w:r>
            <w:r w:rsidR="00254A22" w:rsidRPr="00C94004">
              <w:t xml:space="preserve">Commonwealth payments </w:t>
            </w:r>
            <w:r w:rsidR="000447B8" w:rsidRPr="00C94004">
              <w:t>on average</w:t>
            </w:r>
            <w:r w:rsidR="005777C9" w:rsidRPr="00C94004">
              <w:t xml:space="preserve"> </w:t>
            </w:r>
            <w:r w:rsidR="00A42082" w:rsidRPr="00C94004">
              <w:t>over the forward</w:t>
            </w:r>
            <w:r w:rsidR="00EC7C84" w:rsidRPr="00C94004">
              <w:t xml:space="preserve"> estimates</w:t>
            </w:r>
            <w:r w:rsidR="00254A22" w:rsidRPr="00C94004">
              <w:t xml:space="preserve">. </w:t>
            </w:r>
            <w:r w:rsidR="001B39BA" w:rsidRPr="00C94004">
              <w:t xml:space="preserve">The Commonwealth </w:t>
            </w:r>
            <w:r w:rsidR="003667E2" w:rsidRPr="00C94004">
              <w:t xml:space="preserve">has </w:t>
            </w:r>
            <w:r w:rsidR="0059794B" w:rsidRPr="00C94004">
              <w:t>recently increased funding in key areas</w:t>
            </w:r>
            <w:r w:rsidR="0021450A" w:rsidRPr="00C94004">
              <w:t xml:space="preserve"> of shared </w:t>
            </w:r>
            <w:r w:rsidR="009C6E31" w:rsidRPr="00C94004">
              <w:t>responsibility</w:t>
            </w:r>
            <w:r w:rsidR="000E65F0" w:rsidRPr="00C94004">
              <w:t>, including</w:t>
            </w:r>
            <w:r w:rsidR="007E4635" w:rsidRPr="00C94004">
              <w:t>:</w:t>
            </w:r>
            <w:r w:rsidR="00321FA3" w:rsidRPr="00C94004">
              <w:t xml:space="preserve"> </w:t>
            </w:r>
          </w:p>
          <w:p w14:paraId="3230CD54" w14:textId="3B3BD46F" w:rsidR="005B13DC" w:rsidRPr="00C94004" w:rsidRDefault="00245558" w:rsidP="000D7EF0">
            <w:pPr>
              <w:pStyle w:val="BoxBullet"/>
            </w:pPr>
            <w:r w:rsidRPr="00C94004">
              <w:t>an additional $</w:t>
            </w:r>
            <w:r w:rsidR="00965E62" w:rsidRPr="00C94004">
              <w:t>7</w:t>
            </w:r>
            <w:r w:rsidRPr="00C94004">
              <w:t xml:space="preserve"> billion in new commitments to the states for housing since </w:t>
            </w:r>
            <w:r w:rsidR="002150CC" w:rsidRPr="00C94004">
              <w:t>May</w:t>
            </w:r>
            <w:r w:rsidR="00037EB3" w:rsidRPr="00C94004">
              <w:t> </w:t>
            </w:r>
            <w:r w:rsidRPr="00C94004">
              <w:t xml:space="preserve">2022, taking total payments to the states for housing to </w:t>
            </w:r>
            <w:r w:rsidR="00F5766E" w:rsidRPr="00C94004">
              <w:t>more than</w:t>
            </w:r>
            <w:r w:rsidRPr="00C94004">
              <w:t xml:space="preserve"> $</w:t>
            </w:r>
            <w:r w:rsidR="00BD534B" w:rsidRPr="00C94004">
              <w:t>17</w:t>
            </w:r>
            <w:r w:rsidRPr="00C94004">
              <w:t xml:space="preserve"> billion over </w:t>
            </w:r>
            <w:r w:rsidR="002150CC" w:rsidRPr="00C94004">
              <w:t>ten</w:t>
            </w:r>
            <w:r w:rsidRPr="00C94004">
              <w:t xml:space="preserve"> years</w:t>
            </w:r>
            <w:r w:rsidR="00343AC6" w:rsidRPr="00C94004">
              <w:t>; not including the Housing Australia Future Fund, under which states can apply for funding for social and affordable housing</w:t>
            </w:r>
            <w:r w:rsidR="121D0787" w:rsidRPr="00C94004">
              <w:t xml:space="preserve"> </w:t>
            </w:r>
          </w:p>
          <w:p w14:paraId="42E837B5" w14:textId="5F5D50C5" w:rsidR="000E65F0" w:rsidRPr="00C94004" w:rsidRDefault="00C017CC" w:rsidP="000D7EF0">
            <w:pPr>
              <w:pStyle w:val="BoxBullet"/>
            </w:pPr>
            <w:r w:rsidRPr="00C94004">
              <w:t>extend</w:t>
            </w:r>
            <w:r w:rsidR="000E65F0" w:rsidRPr="00C94004">
              <w:t>ing</w:t>
            </w:r>
            <w:r w:rsidRPr="00C94004">
              <w:t xml:space="preserve"> the </w:t>
            </w:r>
            <w:r w:rsidR="00CF6BAE" w:rsidRPr="00C94004">
              <w:t xml:space="preserve">GST No Worse Off guarantee </w:t>
            </w:r>
            <w:r w:rsidR="000F7743" w:rsidRPr="00C94004">
              <w:t>(NoWO)</w:t>
            </w:r>
            <w:r w:rsidR="00706144" w:rsidRPr="00C94004">
              <w:t xml:space="preserve"> </w:t>
            </w:r>
            <w:r w:rsidR="00602396" w:rsidRPr="00C94004">
              <w:t xml:space="preserve">by three years </w:t>
            </w:r>
            <w:r w:rsidR="00BE6EE3" w:rsidRPr="00C94004">
              <w:t xml:space="preserve">to </w:t>
            </w:r>
            <w:r w:rsidR="00602396" w:rsidRPr="00C94004">
              <w:t>2029</w:t>
            </w:r>
            <w:r w:rsidR="00E2325D" w:rsidRPr="00C94004">
              <w:t>–</w:t>
            </w:r>
            <w:r w:rsidR="00602396" w:rsidRPr="00C94004">
              <w:t>30</w:t>
            </w:r>
            <w:r w:rsidR="00CF6BAE" w:rsidRPr="00C94004">
              <w:t xml:space="preserve"> to provide funding certainty to states</w:t>
            </w:r>
            <w:r w:rsidR="00323557" w:rsidRPr="00C94004">
              <w:t xml:space="preserve">. </w:t>
            </w:r>
            <w:r w:rsidR="00D508FA" w:rsidRPr="00C94004">
              <w:t>It</w:t>
            </w:r>
            <w:r w:rsidR="00132D95" w:rsidRPr="00C94004">
              <w:t xml:space="preserve"> </w:t>
            </w:r>
            <w:r w:rsidR="00CA2B70" w:rsidRPr="00C94004">
              <w:t>is</w:t>
            </w:r>
            <w:r w:rsidR="00A82C00" w:rsidRPr="00C94004">
              <w:t xml:space="preserve"> estimated </w:t>
            </w:r>
            <w:r w:rsidR="00971F83" w:rsidRPr="00C94004">
              <w:t xml:space="preserve">the </w:t>
            </w:r>
            <w:r w:rsidR="00222E89" w:rsidRPr="00C94004">
              <w:t xml:space="preserve">total </w:t>
            </w:r>
            <w:r w:rsidR="00E835BF" w:rsidRPr="00C94004">
              <w:t xml:space="preserve">cost </w:t>
            </w:r>
            <w:r w:rsidR="00222E89" w:rsidRPr="00C94004">
              <w:t xml:space="preserve">of the 2018 GST </w:t>
            </w:r>
            <w:r w:rsidR="00E356A8" w:rsidRPr="00C94004">
              <w:t xml:space="preserve">distribution </w:t>
            </w:r>
            <w:r w:rsidR="00222E89" w:rsidRPr="00C94004">
              <w:t>reforms</w:t>
            </w:r>
            <w:r w:rsidR="001610BA" w:rsidRPr="00C94004">
              <w:t xml:space="preserve">, </w:t>
            </w:r>
            <w:r w:rsidR="00B3690C" w:rsidRPr="00C94004">
              <w:t xml:space="preserve">which include </w:t>
            </w:r>
            <w:r w:rsidR="001610BA" w:rsidRPr="00C94004">
              <w:t xml:space="preserve">the NoWO, </w:t>
            </w:r>
            <w:r w:rsidR="00976C60" w:rsidRPr="00C94004">
              <w:t xml:space="preserve">annual </w:t>
            </w:r>
            <w:r w:rsidR="006F69D1" w:rsidRPr="00C94004">
              <w:t>pool boost</w:t>
            </w:r>
            <w:r w:rsidR="00AD4BC7" w:rsidRPr="00C94004">
              <w:t xml:space="preserve"> and top</w:t>
            </w:r>
            <w:r w:rsidR="00BE2E8A" w:rsidRPr="00C94004">
              <w:noBreakHyphen/>
            </w:r>
            <w:r w:rsidR="00AD4BC7" w:rsidRPr="00C94004">
              <w:t>up transitional payments</w:t>
            </w:r>
            <w:r w:rsidR="00B3690C" w:rsidRPr="00C94004">
              <w:t xml:space="preserve">, </w:t>
            </w:r>
            <w:r w:rsidR="00222E89" w:rsidRPr="00C94004">
              <w:t xml:space="preserve">will be </w:t>
            </w:r>
            <w:r w:rsidR="00A82C00" w:rsidRPr="00C94004">
              <w:t>$</w:t>
            </w:r>
            <w:r w:rsidR="00953FB3" w:rsidRPr="00C94004">
              <w:t>52.9</w:t>
            </w:r>
            <w:r w:rsidR="00E2325D" w:rsidRPr="00C94004">
              <w:t> billion</w:t>
            </w:r>
            <w:r w:rsidR="003823D6" w:rsidRPr="00C94004">
              <w:t xml:space="preserve"> </w:t>
            </w:r>
            <w:r w:rsidR="00222E89" w:rsidRPr="00C94004">
              <w:t>from 2019</w:t>
            </w:r>
            <w:r w:rsidR="002106B9" w:rsidRPr="00C94004">
              <w:t>–</w:t>
            </w:r>
            <w:r w:rsidR="00222E89" w:rsidRPr="00C94004">
              <w:t xml:space="preserve">20 to </w:t>
            </w:r>
            <w:r w:rsidR="000C40EB" w:rsidRPr="00C94004">
              <w:t>2029</w:t>
            </w:r>
            <w:r w:rsidR="002106B9" w:rsidRPr="00C94004">
              <w:t>–</w:t>
            </w:r>
            <w:r w:rsidR="000C40EB" w:rsidRPr="00C94004">
              <w:t>30</w:t>
            </w:r>
            <w:r w:rsidR="00EA0DCB" w:rsidRPr="00C94004">
              <w:t xml:space="preserve"> </w:t>
            </w:r>
          </w:p>
          <w:p w14:paraId="5E6BA5E5" w14:textId="4518CF9D" w:rsidR="00602396" w:rsidRPr="00C94004" w:rsidRDefault="0063223C" w:rsidP="00602396">
            <w:pPr>
              <w:pStyle w:val="BoxBullet"/>
            </w:pPr>
            <w:r w:rsidRPr="00C94004">
              <w:t>increas</w:t>
            </w:r>
            <w:r w:rsidR="000E65F0" w:rsidRPr="00C94004">
              <w:t>ing infrastructure payments</w:t>
            </w:r>
            <w:r w:rsidR="00441617" w:rsidRPr="00C94004">
              <w:t xml:space="preserve">, with annual payments </w:t>
            </w:r>
            <w:r w:rsidRPr="00C94004">
              <w:t>for infrastructure services forecast to average $</w:t>
            </w:r>
            <w:r w:rsidR="00D776F5" w:rsidRPr="00C94004">
              <w:t>14.4</w:t>
            </w:r>
            <w:r w:rsidR="00E2325D" w:rsidRPr="00C94004">
              <w:t> billion</w:t>
            </w:r>
            <w:r w:rsidR="00192E61" w:rsidRPr="00C94004">
              <w:t xml:space="preserve"> from 2024</w:t>
            </w:r>
            <w:r w:rsidR="00E2325D" w:rsidRPr="00C94004">
              <w:t>–</w:t>
            </w:r>
            <w:r w:rsidR="00192E61" w:rsidRPr="00C94004">
              <w:t>25 to 2027</w:t>
            </w:r>
            <w:r w:rsidR="00E2325D" w:rsidRPr="00C94004">
              <w:t>–</w:t>
            </w:r>
            <w:r w:rsidR="00192E61" w:rsidRPr="00C94004">
              <w:t>28</w:t>
            </w:r>
            <w:r w:rsidR="00B80A08" w:rsidRPr="00C94004">
              <w:t>.</w:t>
            </w:r>
            <w:r w:rsidR="00F87D34" w:rsidRPr="00C94004">
              <w:t xml:space="preserve"> </w:t>
            </w:r>
          </w:p>
          <w:p w14:paraId="01B13656" w14:textId="6EA62470" w:rsidR="00DF35D6" w:rsidRPr="00C94004" w:rsidRDefault="00DF35D6" w:rsidP="006B6F14">
            <w:pPr>
              <w:pStyle w:val="BoxText"/>
            </w:pPr>
            <w:r w:rsidRPr="00C94004">
              <w:t xml:space="preserve">The Commonwealth and the states have been discussing the implications of the recent High Court decision in </w:t>
            </w:r>
            <w:r w:rsidRPr="00C94004">
              <w:rPr>
                <w:rStyle w:val="Emphasis"/>
              </w:rPr>
              <w:t>Vanderstock &amp; Anor v State of Victoria</w:t>
            </w:r>
            <w:r w:rsidRPr="00C94004">
              <w:t>. The Commonwealth has been working with the states to ensure they have secure own</w:t>
            </w:r>
            <w:r w:rsidRPr="00C94004">
              <w:noBreakHyphen/>
              <w:t xml:space="preserve">source revenue bases, and will continue to explore options, including legislative options, to protect state revenue sources. </w:t>
            </w:r>
          </w:p>
          <w:p w14:paraId="300A0BF1" w14:textId="723DA0C9" w:rsidR="008535B3" w:rsidRPr="00C94004" w:rsidRDefault="00DF35D6" w:rsidP="006B6F14">
            <w:pPr>
              <w:pStyle w:val="BoxText"/>
            </w:pPr>
            <w:r w:rsidRPr="00C94004">
              <w:t>Tackling fiscal pressures across the federation will require collaborative solutions and can be complemented by actions of individual governments to ensure essential service delivery and fiscal sustainability.</w:t>
            </w:r>
          </w:p>
        </w:tc>
      </w:tr>
    </w:tbl>
    <w:p w14:paraId="583DADB0" w14:textId="77777777" w:rsidR="006D548E" w:rsidRPr="00E849D7" w:rsidRDefault="006D548E" w:rsidP="00E849D7">
      <w:bookmarkStart w:id="1" w:name="_Toc4765133"/>
      <w:r>
        <w:rPr>
          <w:rFonts w:ascii="Arial Bold" w:hAnsi="Arial Bold"/>
          <w:b/>
          <w:sz w:val="26"/>
        </w:rPr>
        <w:br w:type="page"/>
      </w:r>
    </w:p>
    <w:p w14:paraId="66EBBB94" w14:textId="033E8BFB" w:rsidR="0075201B" w:rsidRPr="00C94004" w:rsidRDefault="0075201B" w:rsidP="0075201B">
      <w:pPr>
        <w:pStyle w:val="Heading2"/>
      </w:pPr>
      <w:r w:rsidRPr="00C94004">
        <w:lastRenderedPageBreak/>
        <w:t>Australian Government funding to the states</w:t>
      </w:r>
      <w:bookmarkEnd w:id="1"/>
    </w:p>
    <w:p w14:paraId="7C880FC7" w14:textId="4D6991AB" w:rsidR="0075201B" w:rsidRPr="00C94004" w:rsidRDefault="0075201B" w:rsidP="0075201B">
      <w:r w:rsidRPr="00C94004">
        <w:t>The Australian Government provides substantial funding to the states in key sectors such as health, education and community services, and supports important productivity</w:t>
      </w:r>
      <w:r w:rsidR="7E166E95" w:rsidRPr="00C94004">
        <w:t xml:space="preserve"> </w:t>
      </w:r>
      <w:r w:rsidRPr="00C94004">
        <w:t>enhancing projects and reforms, such as investments in infrastructure and skills. In</w:t>
      </w:r>
      <w:r w:rsidR="00E868A1" w:rsidRPr="00C94004">
        <w:t> </w:t>
      </w:r>
      <w:r w:rsidRPr="00C94004">
        <w:t xml:space="preserve">addition, the Australian Government provides general revenue assistance that states can spend according to their own budget priorities. </w:t>
      </w:r>
    </w:p>
    <w:p w14:paraId="0AD23E88" w14:textId="37C65584" w:rsidR="0075201B" w:rsidRPr="00C94004" w:rsidRDefault="0075201B" w:rsidP="0075201B">
      <w:r w:rsidRPr="00C94004">
        <w:t>The states are estimated to receive total Australian Government payments of $</w:t>
      </w:r>
      <w:r w:rsidR="00165D51" w:rsidRPr="00C94004">
        <w:t>1</w:t>
      </w:r>
      <w:r w:rsidR="00F67F9F" w:rsidRPr="00C94004">
        <w:t>85.9</w:t>
      </w:r>
      <w:r w:rsidR="00E2325D" w:rsidRPr="00C94004">
        <w:t> billion</w:t>
      </w:r>
      <w:r w:rsidRPr="00C94004">
        <w:t xml:space="preserve"> in 202</w:t>
      </w:r>
      <w:r w:rsidR="0069232A" w:rsidRPr="00C94004">
        <w:t>4</w:t>
      </w:r>
      <w:r w:rsidRPr="00C94004">
        <w:t>–2</w:t>
      </w:r>
      <w:r w:rsidR="0069232A" w:rsidRPr="00C94004">
        <w:t>5</w:t>
      </w:r>
      <w:r w:rsidRPr="00C94004">
        <w:t xml:space="preserve">. </w:t>
      </w:r>
    </w:p>
    <w:p w14:paraId="3EB596FC" w14:textId="3557EABF" w:rsidR="0075201B" w:rsidRPr="00C94004" w:rsidRDefault="0075201B" w:rsidP="0075201B">
      <w:r w:rsidRPr="00C94004">
        <w:t>Payments to the states in 202</w:t>
      </w:r>
      <w:r w:rsidR="0069232A" w:rsidRPr="00C94004">
        <w:t>4</w:t>
      </w:r>
      <w:r w:rsidRPr="00C94004">
        <w:t>–2</w:t>
      </w:r>
      <w:r w:rsidR="0069232A" w:rsidRPr="00C94004">
        <w:t>5</w:t>
      </w:r>
      <w:r w:rsidRPr="00C94004">
        <w:t xml:space="preserve"> are estimated to be </w:t>
      </w:r>
      <w:r w:rsidR="00157F58" w:rsidRPr="00C94004">
        <w:t>25.3</w:t>
      </w:r>
      <w:r w:rsidR="00E2325D" w:rsidRPr="00C94004">
        <w:t> per c</w:t>
      </w:r>
      <w:r w:rsidRPr="00C94004">
        <w:t xml:space="preserve">ent of total Australian Government expenditure and </w:t>
      </w:r>
      <w:r w:rsidR="00C63A60" w:rsidRPr="00C94004">
        <w:t>6.7</w:t>
      </w:r>
      <w:r w:rsidR="00E2325D" w:rsidRPr="00C94004">
        <w:t> per c</w:t>
      </w:r>
      <w:r w:rsidRPr="00C94004">
        <w:t xml:space="preserve">ent of GDP. </w:t>
      </w:r>
    </w:p>
    <w:p w14:paraId="576E287F" w14:textId="77777777" w:rsidR="0075201B" w:rsidRPr="00C94004" w:rsidRDefault="0075201B" w:rsidP="00B23E7E">
      <w:r w:rsidRPr="00C94004">
        <w:br w:type="page"/>
      </w:r>
    </w:p>
    <w:p w14:paraId="38148001" w14:textId="77777777" w:rsidR="0075201B" w:rsidRPr="00C94004" w:rsidRDefault="0075201B" w:rsidP="0075201B">
      <w:pPr>
        <w:pStyle w:val="Heading3"/>
      </w:pPr>
      <w:r w:rsidRPr="00C94004">
        <w:lastRenderedPageBreak/>
        <w:t xml:space="preserve">Payments for specific purposes </w:t>
      </w:r>
    </w:p>
    <w:p w14:paraId="057F8779" w14:textId="083AFE80" w:rsidR="0075201B" w:rsidRPr="00C94004" w:rsidRDefault="0075201B" w:rsidP="0075201B">
      <w:r w:rsidRPr="00C94004">
        <w:t>In 202</w:t>
      </w:r>
      <w:r w:rsidR="00003C08" w:rsidRPr="00C94004">
        <w:t>4</w:t>
      </w:r>
      <w:r w:rsidRPr="00C94004">
        <w:t>–2</w:t>
      </w:r>
      <w:r w:rsidR="00003C08" w:rsidRPr="00C94004">
        <w:t>5</w:t>
      </w:r>
      <w:r w:rsidRPr="00C94004">
        <w:t xml:space="preserve">, the Australian Government will provide the states with </w:t>
      </w:r>
      <w:r w:rsidR="00030B0A" w:rsidRPr="00C94004">
        <w:t>$</w:t>
      </w:r>
      <w:r w:rsidR="00FD54EC" w:rsidRPr="00C94004">
        <w:t>91.5</w:t>
      </w:r>
      <w:r w:rsidR="00E2325D" w:rsidRPr="00C94004">
        <w:t> billion</w:t>
      </w:r>
      <w:r w:rsidRPr="00C94004">
        <w:t xml:space="preserve"> in payments for specific purposes. This represents an increase of </w:t>
      </w:r>
      <w:r w:rsidR="00030B0A" w:rsidRPr="00C94004">
        <w:t>$</w:t>
      </w:r>
      <w:r w:rsidR="007D5BA5" w:rsidRPr="00C94004">
        <w:t>7</w:t>
      </w:r>
      <w:r w:rsidR="00030B0A" w:rsidRPr="00C94004">
        <w:t>.</w:t>
      </w:r>
      <w:r w:rsidR="007D5BA5" w:rsidRPr="00C94004">
        <w:t>6</w:t>
      </w:r>
      <w:r w:rsidR="00E2325D" w:rsidRPr="00C94004">
        <w:t> billion</w:t>
      </w:r>
      <w:r w:rsidRPr="00C94004">
        <w:t xml:space="preserve"> or </w:t>
      </w:r>
      <w:r w:rsidR="0037548A" w:rsidRPr="00C94004">
        <w:t>9.0</w:t>
      </w:r>
      <w:r w:rsidR="00E2325D" w:rsidRPr="00C94004">
        <w:t> per c</w:t>
      </w:r>
      <w:r w:rsidRPr="00C94004">
        <w:t>ent compared with the 202</w:t>
      </w:r>
      <w:r w:rsidR="00297010" w:rsidRPr="00C94004">
        <w:t>3</w:t>
      </w:r>
      <w:r w:rsidRPr="00C94004">
        <w:t>–2</w:t>
      </w:r>
      <w:r w:rsidR="00297010" w:rsidRPr="00C94004">
        <w:t>4</w:t>
      </w:r>
      <w:r w:rsidRPr="00C94004">
        <w:t xml:space="preserve"> estimate</w:t>
      </w:r>
      <w:r w:rsidR="00B075AF" w:rsidRPr="00C94004">
        <w:t>,</w:t>
      </w:r>
      <w:r w:rsidRPr="00C94004">
        <w:t xml:space="preserve"> primarily due to </w:t>
      </w:r>
      <w:r w:rsidR="0057000A" w:rsidRPr="00C94004">
        <w:t xml:space="preserve">the </w:t>
      </w:r>
      <w:r w:rsidR="00240205" w:rsidRPr="00C94004">
        <w:t xml:space="preserve">expansion of </w:t>
      </w:r>
      <w:r w:rsidR="00A22D6C" w:rsidRPr="00C94004">
        <w:t xml:space="preserve">the </w:t>
      </w:r>
      <w:r w:rsidR="0057000A" w:rsidRPr="00C94004">
        <w:t>Energy Bill Relief</w:t>
      </w:r>
      <w:r w:rsidR="00240205" w:rsidRPr="00C94004">
        <w:t xml:space="preserve"> </w:t>
      </w:r>
      <w:r w:rsidR="00A22D6C" w:rsidRPr="00C94004">
        <w:t>Fund</w:t>
      </w:r>
      <w:r w:rsidR="0057000A" w:rsidRPr="00C94004">
        <w:t xml:space="preserve">, </w:t>
      </w:r>
      <w:r w:rsidR="003547EF" w:rsidRPr="00C94004">
        <w:t xml:space="preserve">and </w:t>
      </w:r>
      <w:r w:rsidR="00EE0166" w:rsidRPr="00C94004">
        <w:t>increases in</w:t>
      </w:r>
      <w:r w:rsidR="003547EF" w:rsidRPr="00C94004">
        <w:t xml:space="preserve"> </w:t>
      </w:r>
      <w:r w:rsidR="00F306BC" w:rsidRPr="00C94004">
        <w:t xml:space="preserve">National Health Reform </w:t>
      </w:r>
      <w:r w:rsidR="003547EF" w:rsidRPr="00C94004">
        <w:t>and Quality Schools</w:t>
      </w:r>
      <w:r w:rsidR="00EE0166" w:rsidRPr="00C94004">
        <w:t xml:space="preserve"> funding</w:t>
      </w:r>
      <w:r w:rsidRPr="00C94004">
        <w:t xml:space="preserve">. Payments for specific purposes are estimated to make up </w:t>
      </w:r>
      <w:r w:rsidR="00BB0DCD" w:rsidRPr="00C94004">
        <w:t>12.5</w:t>
      </w:r>
      <w:r w:rsidR="00E2325D" w:rsidRPr="00C94004">
        <w:t> per c</w:t>
      </w:r>
      <w:r w:rsidRPr="00C94004">
        <w:t>ent of total Australian</w:t>
      </w:r>
      <w:r w:rsidR="0000249A" w:rsidRPr="00C94004">
        <w:t> </w:t>
      </w:r>
      <w:r w:rsidRPr="00C94004">
        <w:t>Government expenditure in 202</w:t>
      </w:r>
      <w:r w:rsidR="00F06B2A" w:rsidRPr="00C94004">
        <w:t>4</w:t>
      </w:r>
      <w:r w:rsidRPr="00C94004">
        <w:t>–2</w:t>
      </w:r>
      <w:r w:rsidR="00F06B2A" w:rsidRPr="00C94004">
        <w:t>5</w:t>
      </w:r>
      <w:r w:rsidRPr="00C94004">
        <w:t xml:space="preserve"> and be </w:t>
      </w:r>
      <w:r w:rsidR="00C11F13" w:rsidRPr="00C94004">
        <w:t>3</w:t>
      </w:r>
      <w:r w:rsidRPr="00C94004">
        <w:t>.</w:t>
      </w:r>
      <w:r w:rsidR="00C11F13" w:rsidRPr="00C94004">
        <w:t>3</w:t>
      </w:r>
      <w:r w:rsidR="00E2325D" w:rsidRPr="00C94004">
        <w:t> per c</w:t>
      </w:r>
      <w:r w:rsidRPr="00C94004">
        <w:t>ent of GDP.</w:t>
      </w:r>
    </w:p>
    <w:p w14:paraId="087CF006" w14:textId="461B8702" w:rsidR="0075201B" w:rsidRPr="00C94004" w:rsidRDefault="00B81CCB" w:rsidP="0075201B">
      <w:r w:rsidRPr="00C94004">
        <w:t xml:space="preserve">Payments for skills and workforce development activities (including through the new </w:t>
      </w:r>
      <w:r w:rsidR="0075201B" w:rsidRPr="00C94004">
        <w:t xml:space="preserve">National </w:t>
      </w:r>
      <w:r w:rsidRPr="00C94004">
        <w:t>Skills Agreement</w:t>
      </w:r>
      <w:r w:rsidR="0075201B" w:rsidRPr="00C94004">
        <w:t xml:space="preserve">), National Health Reform, the National </w:t>
      </w:r>
      <w:r w:rsidR="00EE314D" w:rsidRPr="00C94004">
        <w:t xml:space="preserve">Agreement on Social Housing and </w:t>
      </w:r>
      <w:r w:rsidR="0075201B" w:rsidRPr="00C94004">
        <w:t>Homelessness</w:t>
      </w:r>
      <w:r w:rsidR="00B34A79" w:rsidRPr="00C94004">
        <w:t>,</w:t>
      </w:r>
      <w:r w:rsidR="0075201B" w:rsidRPr="00C94004">
        <w:t xml:space="preserve"> and Quality Schools funding are expected to total $</w:t>
      </w:r>
      <w:r w:rsidR="00594872" w:rsidRPr="00C94004">
        <w:t>6</w:t>
      </w:r>
      <w:r w:rsidR="005D66E1" w:rsidRPr="00C94004">
        <w:t>4</w:t>
      </w:r>
      <w:r w:rsidR="00594872" w:rsidRPr="00C94004">
        <w:t>.5</w:t>
      </w:r>
      <w:r w:rsidR="00E2325D" w:rsidRPr="00C94004">
        <w:t> billion</w:t>
      </w:r>
      <w:r w:rsidR="0075201B" w:rsidRPr="00C94004">
        <w:t xml:space="preserve"> in 202</w:t>
      </w:r>
      <w:r w:rsidR="00F06B2A" w:rsidRPr="00C94004">
        <w:t>4</w:t>
      </w:r>
      <w:r w:rsidR="0075201B" w:rsidRPr="00C94004">
        <w:t>–2</w:t>
      </w:r>
      <w:r w:rsidR="00F06B2A" w:rsidRPr="00C94004">
        <w:t>5</w:t>
      </w:r>
      <w:r w:rsidR="0075201B" w:rsidRPr="00C94004">
        <w:t>.</w:t>
      </w:r>
    </w:p>
    <w:p w14:paraId="3C10B919" w14:textId="2D4FC035" w:rsidR="0075201B" w:rsidRPr="00C94004" w:rsidRDefault="0075201B" w:rsidP="0075201B">
      <w:r w:rsidRPr="00C94004">
        <w:t xml:space="preserve">National Partnership payments are expected to be </w:t>
      </w:r>
      <w:r w:rsidR="00F06B2A" w:rsidRPr="00C94004">
        <w:t>$</w:t>
      </w:r>
      <w:r w:rsidR="0042286E" w:rsidRPr="00C94004">
        <w:t>24.0</w:t>
      </w:r>
      <w:r w:rsidR="00E2325D" w:rsidRPr="00C94004">
        <w:t> billion</w:t>
      </w:r>
      <w:r w:rsidRPr="00C94004">
        <w:t xml:space="preserve"> in 202</w:t>
      </w:r>
      <w:r w:rsidR="00F06B2A" w:rsidRPr="00C94004">
        <w:t>4</w:t>
      </w:r>
      <w:r w:rsidR="00E2325D" w:rsidRPr="00C94004">
        <w:rPr>
          <w:rFonts w:ascii="Times New Roman" w:hAnsi="Times New Roman"/>
        </w:rPr>
        <w:t>‍</w:t>
      </w:r>
      <w:r w:rsidR="00E2325D" w:rsidRPr="00C94004">
        <w:rPr>
          <w:rFonts w:cs="Book Antiqua"/>
        </w:rPr>
        <w:t>–</w:t>
      </w:r>
      <w:r w:rsidR="00E2325D" w:rsidRPr="00C94004">
        <w:rPr>
          <w:rFonts w:ascii="Times New Roman" w:hAnsi="Times New Roman"/>
        </w:rPr>
        <w:t>‍</w:t>
      </w:r>
      <w:r w:rsidRPr="00C94004">
        <w:t>2</w:t>
      </w:r>
      <w:r w:rsidR="00F06B2A" w:rsidRPr="00C94004">
        <w:t>5</w:t>
      </w:r>
      <w:r w:rsidRPr="00C94004">
        <w:t>.</w:t>
      </w:r>
    </w:p>
    <w:p w14:paraId="6899C048" w14:textId="31F1940D" w:rsidR="0075201B" w:rsidRPr="00C94004" w:rsidRDefault="0075201B" w:rsidP="0075201B">
      <w:r w:rsidRPr="00C94004">
        <w:t>Chart 1.</w:t>
      </w:r>
      <w:r w:rsidR="00654C9C">
        <w:t>2</w:t>
      </w:r>
      <w:r w:rsidR="0097734D" w:rsidRPr="00C94004">
        <w:t xml:space="preserve"> </w:t>
      </w:r>
      <w:r w:rsidRPr="00C94004">
        <w:t>shows estimated specific purpose payments to the states in 202</w:t>
      </w:r>
      <w:r w:rsidR="001365E5" w:rsidRPr="00C94004">
        <w:t>4</w:t>
      </w:r>
      <w:r w:rsidR="00E2325D" w:rsidRPr="00C94004">
        <w:rPr>
          <w:rFonts w:ascii="Times New Roman" w:hAnsi="Times New Roman"/>
        </w:rPr>
        <w:t>‍</w:t>
      </w:r>
      <w:r w:rsidR="00E2325D" w:rsidRPr="00C94004">
        <w:rPr>
          <w:rFonts w:cs="Book Antiqua"/>
        </w:rPr>
        <w:t>–</w:t>
      </w:r>
      <w:r w:rsidR="00E2325D" w:rsidRPr="00C94004">
        <w:rPr>
          <w:rFonts w:ascii="Times New Roman" w:hAnsi="Times New Roman"/>
        </w:rPr>
        <w:t>‍</w:t>
      </w:r>
      <w:r w:rsidRPr="00C94004">
        <w:t>2</w:t>
      </w:r>
      <w:r w:rsidR="001365E5" w:rsidRPr="00C94004">
        <w:t>5</w:t>
      </w:r>
      <w:r w:rsidRPr="00C94004">
        <w:t xml:space="preserve"> by sector.</w:t>
      </w:r>
    </w:p>
    <w:p w14:paraId="6D727FF1" w14:textId="4463AEC0" w:rsidR="0075201B" w:rsidRPr="00C94004" w:rsidRDefault="00E70A32" w:rsidP="0075201B">
      <w:r w:rsidRPr="00C94004">
        <w:t>Part </w:t>
      </w:r>
      <w:r w:rsidR="0075201B" w:rsidRPr="00C94004">
        <w:t xml:space="preserve">2 of this Budget Paper provides further information on payments to the states for specific purposes. </w:t>
      </w:r>
    </w:p>
    <w:p w14:paraId="5CA32F12" w14:textId="3715EEFF" w:rsidR="0075201B" w:rsidRPr="00C94004" w:rsidRDefault="0075201B" w:rsidP="0075201B">
      <w:r w:rsidRPr="00C94004">
        <w:t xml:space="preserve">The conditions for payments to states for specific purposes are documented in agreements between the Commonwealth and the states. The Federation Funding Agreement (FFA) Framework sets out the governance arrangements for these agreements. Further information on the FFA Framework can be found on the Federal Financial Relations website at </w:t>
      </w:r>
      <w:hyperlink r:id="rId12" w:history="1">
        <w:r w:rsidRPr="00C94004">
          <w:rPr>
            <w:rStyle w:val="Hyperlink"/>
            <w:u w:val="none"/>
          </w:rPr>
          <w:t>www.federalfinancialrelations.gov.au</w:t>
        </w:r>
      </w:hyperlink>
      <w:r w:rsidRPr="00C94004">
        <w:t>.</w:t>
      </w:r>
      <w:r w:rsidRPr="00C94004">
        <w:rPr>
          <w:b/>
        </w:rPr>
        <w:t xml:space="preserve"> </w:t>
      </w:r>
    </w:p>
    <w:p w14:paraId="4A3126AC" w14:textId="3AA26662" w:rsidR="004D3B2D" w:rsidRDefault="0075201B" w:rsidP="008A13E0">
      <w:pPr>
        <w:pStyle w:val="ChartMainHeading"/>
      </w:pPr>
      <w:r w:rsidRPr="007009CC">
        <w:t>Chart 1.</w:t>
      </w:r>
      <w:r w:rsidR="00CB6D8C" w:rsidRPr="007009CC">
        <w:t>2</w:t>
      </w:r>
      <w:r w:rsidRPr="007009CC">
        <w:t>: Payments for specific purposes 202</w:t>
      </w:r>
      <w:r w:rsidR="001365E5" w:rsidRPr="007009CC">
        <w:t>4</w:t>
      </w:r>
      <w:r w:rsidRPr="007009CC">
        <w:t>–2</w:t>
      </w:r>
      <w:r w:rsidR="001365E5" w:rsidRPr="007009CC">
        <w:t>5</w:t>
      </w:r>
      <w:r w:rsidRPr="007009CC">
        <w:t>, by sector</w:t>
      </w:r>
    </w:p>
    <w:p w14:paraId="7B519C61" w14:textId="2859B0E7" w:rsidR="0075201B" w:rsidRPr="00C94004" w:rsidRDefault="00EF4F00" w:rsidP="004D3B2D">
      <w:pPr>
        <w:pStyle w:val="ChartGraphic"/>
      </w:pPr>
      <w:r>
        <w:pict w14:anchorId="4D03DD9D">
          <v:shape id="_x0000_i1026" type="#_x0000_t75" alt="Total payments for specific purposes in 2024-25, by sector. Total payments are $91.5 billion, comprising $31.3 billion for Health, $30.8 billion for Education, $2.5 billion for Skills and workforce development, $0.2 billion for Community services, $2.6 billion for Affordable housing, $15.3 billion for Infrastructure, $4.8 billion for Environment, energy and water, and $4.0 billion for Other. " style="width:365.25pt;height:200.25pt">
            <v:imagedata r:id="rId13" o:title=""/>
          </v:shape>
        </w:pict>
      </w:r>
    </w:p>
    <w:p w14:paraId="04E92316" w14:textId="7EF42063" w:rsidR="0075201B" w:rsidRPr="00C94004" w:rsidRDefault="0075201B" w:rsidP="0075201B">
      <w:pPr>
        <w:pStyle w:val="ChartGraphic"/>
      </w:pPr>
    </w:p>
    <w:p w14:paraId="7EF3C18E" w14:textId="77777777" w:rsidR="0075201B" w:rsidRPr="00C94004" w:rsidRDefault="0075201B" w:rsidP="00314337">
      <w:pPr>
        <w:pStyle w:val="ChartLine"/>
      </w:pPr>
    </w:p>
    <w:p w14:paraId="2D22A110" w14:textId="7976DF7F" w:rsidR="0075201B" w:rsidRPr="00C94004" w:rsidRDefault="0075201B" w:rsidP="0075201B">
      <w:pPr>
        <w:pStyle w:val="Heading3"/>
      </w:pPr>
      <w:r w:rsidRPr="00C94004">
        <w:lastRenderedPageBreak/>
        <w:t xml:space="preserve">General revenue assistance </w:t>
      </w:r>
    </w:p>
    <w:p w14:paraId="2489A9B2" w14:textId="1B4CE37A" w:rsidR="0075201B" w:rsidRPr="00C94004" w:rsidRDefault="0075201B" w:rsidP="0075201B">
      <w:r w:rsidRPr="00C94004">
        <w:t>General revenue assistance, which principally comprises the states</w:t>
      </w:r>
      <w:r w:rsidR="00BE2E8A" w:rsidRPr="00C94004">
        <w:t>’</w:t>
      </w:r>
      <w:r w:rsidRPr="00C94004">
        <w:t xml:space="preserve"> GST entitlement, provides untied funding to support the states</w:t>
      </w:r>
      <w:r w:rsidR="00BE2E8A" w:rsidRPr="00C94004">
        <w:t>’</w:t>
      </w:r>
      <w:r w:rsidRPr="00C94004">
        <w:t xml:space="preserve"> delivery of services.</w:t>
      </w:r>
    </w:p>
    <w:p w14:paraId="503FE50F" w14:textId="48B1DACD" w:rsidR="0075201B" w:rsidRPr="00C94004" w:rsidRDefault="0075201B" w:rsidP="0075201B">
      <w:r w:rsidRPr="00C94004">
        <w:t>In 202</w:t>
      </w:r>
      <w:r w:rsidR="00E17361" w:rsidRPr="00C94004">
        <w:t>4</w:t>
      </w:r>
      <w:r w:rsidRPr="00C94004">
        <w:t>–2</w:t>
      </w:r>
      <w:r w:rsidR="00E17361" w:rsidRPr="00C94004">
        <w:t>5</w:t>
      </w:r>
      <w:r w:rsidRPr="00C94004">
        <w:t>, the states are expected to receive $</w:t>
      </w:r>
      <w:r w:rsidR="00E066B3" w:rsidRPr="00C94004">
        <w:t>94.4</w:t>
      </w:r>
      <w:r w:rsidR="00E2325D" w:rsidRPr="00C94004">
        <w:t> billion</w:t>
      </w:r>
      <w:r w:rsidRPr="00C94004">
        <w:t xml:space="preserve"> in general revenue assistance, including $</w:t>
      </w:r>
      <w:r w:rsidR="006C215C" w:rsidRPr="00C94004">
        <w:t>88.5</w:t>
      </w:r>
      <w:r w:rsidR="00E2325D" w:rsidRPr="00C94004">
        <w:t> billion</w:t>
      </w:r>
      <w:r w:rsidRPr="00C94004">
        <w:t xml:space="preserve"> for the GST entitlement. General revenue assistance to the states is estimated to represent </w:t>
      </w:r>
      <w:r w:rsidR="00754FBD" w:rsidRPr="00C94004">
        <w:t>12.9</w:t>
      </w:r>
      <w:r w:rsidR="00E2325D" w:rsidRPr="00C94004">
        <w:t> per c</w:t>
      </w:r>
      <w:r w:rsidRPr="00C94004">
        <w:t>ent of total Australian Government expenditure in</w:t>
      </w:r>
      <w:r w:rsidR="00302A60" w:rsidRPr="00C94004">
        <w:t> </w:t>
      </w:r>
      <w:r w:rsidRPr="00C94004">
        <w:t>202</w:t>
      </w:r>
      <w:r w:rsidR="00881C9A" w:rsidRPr="00C94004">
        <w:t>4</w:t>
      </w:r>
      <w:r w:rsidR="00E2325D" w:rsidRPr="00C94004">
        <w:rPr>
          <w:rFonts w:ascii="Times New Roman" w:hAnsi="Times New Roman"/>
        </w:rPr>
        <w:t>‍</w:t>
      </w:r>
      <w:r w:rsidR="00E2325D" w:rsidRPr="00C94004">
        <w:rPr>
          <w:rFonts w:cs="Book Antiqua"/>
        </w:rPr>
        <w:t>–</w:t>
      </w:r>
      <w:r w:rsidR="00E2325D" w:rsidRPr="00C94004">
        <w:rPr>
          <w:rFonts w:ascii="Times New Roman" w:hAnsi="Times New Roman"/>
        </w:rPr>
        <w:t>‍</w:t>
      </w:r>
      <w:r w:rsidRPr="00C94004">
        <w:t>2</w:t>
      </w:r>
      <w:r w:rsidR="00881C9A" w:rsidRPr="00C94004">
        <w:t>5</w:t>
      </w:r>
      <w:r w:rsidRPr="00C94004">
        <w:t xml:space="preserve"> and be </w:t>
      </w:r>
      <w:r w:rsidR="00D03288" w:rsidRPr="00C94004">
        <w:t>3</w:t>
      </w:r>
      <w:r w:rsidR="00881C9A" w:rsidRPr="00C94004">
        <w:t>.</w:t>
      </w:r>
      <w:r w:rsidR="00A86CAD" w:rsidRPr="00C94004">
        <w:t>4</w:t>
      </w:r>
      <w:r w:rsidR="00E2325D" w:rsidRPr="00C94004">
        <w:t> per c</w:t>
      </w:r>
      <w:r w:rsidRPr="00C94004">
        <w:t>ent of GDP.</w:t>
      </w:r>
    </w:p>
    <w:p w14:paraId="3E4350A8" w14:textId="127B7876" w:rsidR="0075201B" w:rsidRPr="00C94004" w:rsidRDefault="00E70A32" w:rsidP="0075201B">
      <w:r w:rsidRPr="00C94004">
        <w:t>Part </w:t>
      </w:r>
      <w:r w:rsidR="0075201B" w:rsidRPr="00C94004">
        <w:t>3 of this Budget Paper contains further details of general revenue assistance to</w:t>
      </w:r>
      <w:r w:rsidR="00416465" w:rsidRPr="00C94004">
        <w:t xml:space="preserve"> </w:t>
      </w:r>
      <w:r w:rsidR="0075201B" w:rsidRPr="00C94004">
        <w:t>the</w:t>
      </w:r>
      <w:r w:rsidR="00416465" w:rsidRPr="00C94004">
        <w:t> </w:t>
      </w:r>
      <w:r w:rsidR="0075201B" w:rsidRPr="00C94004">
        <w:t>states.</w:t>
      </w:r>
    </w:p>
    <w:p w14:paraId="377A1F90" w14:textId="193D0D26" w:rsidR="0075201B" w:rsidRPr="00C94004" w:rsidRDefault="0075201B" w:rsidP="009E21E5">
      <w:r w:rsidRPr="00C94004">
        <w:br w:type="page"/>
      </w:r>
    </w:p>
    <w:p w14:paraId="6319ABAE" w14:textId="15064665" w:rsidR="0075201B" w:rsidRPr="00C94004" w:rsidRDefault="0075201B" w:rsidP="0075201B">
      <w:pPr>
        <w:pStyle w:val="Heading3"/>
      </w:pPr>
      <w:r w:rsidRPr="00C94004">
        <w:lastRenderedPageBreak/>
        <w:t xml:space="preserve">Payments to the states </w:t>
      </w:r>
    </w:p>
    <w:p w14:paraId="6ADC2047" w14:textId="77777777" w:rsidR="0075201B" w:rsidRPr="00C94004" w:rsidRDefault="0075201B" w:rsidP="0075201B">
      <w:r w:rsidRPr="00C94004">
        <w:t>Total Australian Government payments to the states are shown in Table 1.1 and as a proportion of GDP in Table 1.2.</w:t>
      </w:r>
    </w:p>
    <w:p w14:paraId="2221110D" w14:textId="33371663" w:rsidR="00CB1621" w:rsidRPr="00C94004" w:rsidRDefault="0075201B" w:rsidP="00CB1621">
      <w:pPr>
        <w:pStyle w:val="TableHeading"/>
        <w:rPr>
          <w:rFonts w:eastAsiaTheme="minorHAnsi"/>
        </w:rPr>
      </w:pPr>
      <w:bookmarkStart w:id="2" w:name="_1744639858"/>
      <w:bookmarkEnd w:id="2"/>
      <w:r w:rsidRPr="00C94004">
        <w:t>Table 1.1: Australian Government payments to the states, 202</w:t>
      </w:r>
      <w:r w:rsidR="00EA1C8E" w:rsidRPr="00C94004">
        <w:t>3</w:t>
      </w:r>
      <w:r w:rsidR="00E2325D" w:rsidRPr="00C94004">
        <w:t>‍–‍</w:t>
      </w:r>
      <w:r w:rsidRPr="00C94004">
        <w:t>2</w:t>
      </w:r>
      <w:r w:rsidR="00EA1C8E" w:rsidRPr="00C94004">
        <w:t>4</w:t>
      </w:r>
      <w:r w:rsidRPr="00C94004">
        <w:t xml:space="preserve"> to 202</w:t>
      </w:r>
      <w:r w:rsidR="00EA1C8E" w:rsidRPr="00C94004">
        <w:t>7</w:t>
      </w:r>
      <w:r w:rsidR="00E2325D" w:rsidRPr="00C94004">
        <w:t>‍–‍</w:t>
      </w:r>
      <w:r w:rsidRPr="00C94004">
        <w:t>2</w:t>
      </w:r>
      <w:r w:rsidR="00EA1C8E" w:rsidRPr="00C94004">
        <w:t>8</w:t>
      </w:r>
    </w:p>
    <w:tbl>
      <w:tblPr>
        <w:tblW w:w="5000" w:type="pct"/>
        <w:tblCellMar>
          <w:left w:w="0" w:type="dxa"/>
          <w:right w:w="28" w:type="dxa"/>
        </w:tblCellMar>
        <w:tblLook w:val="04A0" w:firstRow="1" w:lastRow="0" w:firstColumn="1" w:lastColumn="0" w:noHBand="0" w:noVBand="1"/>
      </w:tblPr>
      <w:tblGrid>
        <w:gridCol w:w="2215"/>
        <w:gridCol w:w="608"/>
        <w:gridCol w:w="608"/>
        <w:gridCol w:w="606"/>
        <w:gridCol w:w="606"/>
        <w:gridCol w:w="606"/>
        <w:gridCol w:w="564"/>
        <w:gridCol w:w="564"/>
        <w:gridCol w:w="564"/>
        <w:gridCol w:w="769"/>
      </w:tblGrid>
      <w:tr w:rsidR="00CB1621" w:rsidRPr="00C94004" w14:paraId="52173F67" w14:textId="77777777" w:rsidTr="00CB1621">
        <w:trPr>
          <w:trHeight w:hRule="exact" w:val="225"/>
        </w:trPr>
        <w:tc>
          <w:tcPr>
            <w:tcW w:w="1436" w:type="pct"/>
            <w:tcBorders>
              <w:top w:val="single" w:sz="4" w:space="0" w:color="293F5B"/>
              <w:left w:val="nil"/>
              <w:bottom w:val="nil"/>
              <w:right w:val="nil"/>
            </w:tcBorders>
            <w:shd w:val="clear" w:color="000000" w:fill="FFFFFF"/>
            <w:noWrap/>
            <w:vAlign w:val="center"/>
            <w:hideMark/>
          </w:tcPr>
          <w:p w14:paraId="7BE94353" w14:textId="2DC60E58"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$million</w:t>
            </w:r>
          </w:p>
        </w:tc>
        <w:tc>
          <w:tcPr>
            <w:tcW w:w="394" w:type="pct"/>
            <w:tcBorders>
              <w:top w:val="single" w:sz="4" w:space="0" w:color="293F5B"/>
              <w:left w:val="nil"/>
              <w:bottom w:val="single" w:sz="4" w:space="0" w:color="293F5B"/>
              <w:right w:val="nil"/>
            </w:tcBorders>
            <w:shd w:val="clear" w:color="000000" w:fill="FFFFFF"/>
            <w:noWrap/>
            <w:vAlign w:val="center"/>
            <w:hideMark/>
          </w:tcPr>
          <w:p w14:paraId="3EC8BC6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NSW</w:t>
            </w:r>
          </w:p>
        </w:tc>
        <w:tc>
          <w:tcPr>
            <w:tcW w:w="394" w:type="pct"/>
            <w:tcBorders>
              <w:top w:val="single" w:sz="4" w:space="0" w:color="293F5B"/>
              <w:left w:val="nil"/>
              <w:bottom w:val="single" w:sz="4" w:space="0" w:color="293F5B"/>
              <w:right w:val="nil"/>
            </w:tcBorders>
            <w:shd w:val="clear" w:color="000000" w:fill="FFFFFF"/>
            <w:noWrap/>
            <w:vAlign w:val="center"/>
            <w:hideMark/>
          </w:tcPr>
          <w:p w14:paraId="35F112B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VIC</w:t>
            </w:r>
          </w:p>
        </w:tc>
        <w:tc>
          <w:tcPr>
            <w:tcW w:w="393" w:type="pct"/>
            <w:tcBorders>
              <w:top w:val="single" w:sz="4" w:space="0" w:color="293F5B"/>
              <w:left w:val="nil"/>
              <w:bottom w:val="single" w:sz="4" w:space="0" w:color="293F5B"/>
              <w:right w:val="nil"/>
            </w:tcBorders>
            <w:shd w:val="clear" w:color="000000" w:fill="FFFFFF"/>
            <w:noWrap/>
            <w:vAlign w:val="center"/>
            <w:hideMark/>
          </w:tcPr>
          <w:p w14:paraId="7C66BE2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QLD</w:t>
            </w:r>
          </w:p>
        </w:tc>
        <w:tc>
          <w:tcPr>
            <w:tcW w:w="393" w:type="pct"/>
            <w:tcBorders>
              <w:top w:val="single" w:sz="4" w:space="0" w:color="293F5B"/>
              <w:left w:val="nil"/>
              <w:bottom w:val="single" w:sz="4" w:space="0" w:color="293F5B"/>
              <w:right w:val="nil"/>
            </w:tcBorders>
            <w:shd w:val="clear" w:color="000000" w:fill="FFFFFF"/>
            <w:noWrap/>
            <w:vAlign w:val="center"/>
            <w:hideMark/>
          </w:tcPr>
          <w:p w14:paraId="0C99E4A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WA</w:t>
            </w:r>
          </w:p>
        </w:tc>
        <w:tc>
          <w:tcPr>
            <w:tcW w:w="393" w:type="pct"/>
            <w:tcBorders>
              <w:top w:val="single" w:sz="4" w:space="0" w:color="293F5B"/>
              <w:left w:val="nil"/>
              <w:bottom w:val="single" w:sz="4" w:space="0" w:color="293F5B"/>
              <w:right w:val="nil"/>
            </w:tcBorders>
            <w:shd w:val="clear" w:color="000000" w:fill="FFFFFF"/>
            <w:noWrap/>
            <w:vAlign w:val="center"/>
            <w:hideMark/>
          </w:tcPr>
          <w:p w14:paraId="06E6296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SA</w:t>
            </w:r>
          </w:p>
        </w:tc>
        <w:tc>
          <w:tcPr>
            <w:tcW w:w="366" w:type="pct"/>
            <w:tcBorders>
              <w:top w:val="single" w:sz="4" w:space="0" w:color="293F5B"/>
              <w:left w:val="nil"/>
              <w:bottom w:val="single" w:sz="4" w:space="0" w:color="293F5B"/>
              <w:right w:val="nil"/>
            </w:tcBorders>
            <w:shd w:val="clear" w:color="000000" w:fill="FFFFFF"/>
            <w:noWrap/>
            <w:vAlign w:val="center"/>
            <w:hideMark/>
          </w:tcPr>
          <w:p w14:paraId="46CEE72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TAS</w:t>
            </w:r>
          </w:p>
        </w:tc>
        <w:tc>
          <w:tcPr>
            <w:tcW w:w="366" w:type="pct"/>
            <w:tcBorders>
              <w:top w:val="single" w:sz="4" w:space="0" w:color="293F5B"/>
              <w:left w:val="nil"/>
              <w:bottom w:val="single" w:sz="4" w:space="0" w:color="293F5B"/>
              <w:right w:val="nil"/>
            </w:tcBorders>
            <w:shd w:val="clear" w:color="000000" w:fill="FFFFFF"/>
            <w:noWrap/>
            <w:vAlign w:val="center"/>
            <w:hideMark/>
          </w:tcPr>
          <w:p w14:paraId="0A86866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ACT</w:t>
            </w:r>
          </w:p>
        </w:tc>
        <w:tc>
          <w:tcPr>
            <w:tcW w:w="366" w:type="pct"/>
            <w:tcBorders>
              <w:top w:val="single" w:sz="4" w:space="0" w:color="293F5B"/>
              <w:left w:val="nil"/>
              <w:bottom w:val="single" w:sz="4" w:space="0" w:color="293F5B"/>
              <w:right w:val="nil"/>
            </w:tcBorders>
            <w:shd w:val="clear" w:color="000000" w:fill="FFFFFF"/>
            <w:noWrap/>
            <w:vAlign w:val="center"/>
            <w:hideMark/>
          </w:tcPr>
          <w:p w14:paraId="65DE0E7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NT</w:t>
            </w:r>
          </w:p>
        </w:tc>
        <w:tc>
          <w:tcPr>
            <w:tcW w:w="499" w:type="pct"/>
            <w:tcBorders>
              <w:top w:val="single" w:sz="4" w:space="0" w:color="293F5B"/>
              <w:left w:val="nil"/>
              <w:bottom w:val="single" w:sz="4" w:space="0" w:color="293F5B"/>
              <w:right w:val="nil"/>
            </w:tcBorders>
            <w:shd w:val="clear" w:color="000000" w:fill="FFFFFF"/>
            <w:noWrap/>
            <w:vAlign w:val="center"/>
            <w:hideMark/>
          </w:tcPr>
          <w:p w14:paraId="12DD627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Total</w:t>
            </w:r>
          </w:p>
        </w:tc>
      </w:tr>
      <w:tr w:rsidR="00CB1621" w:rsidRPr="00C94004" w14:paraId="5191761A"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60E839E4" w14:textId="08A837CD" w:rsidR="00CB1621" w:rsidRPr="00C94004" w:rsidRDefault="00CB1621" w:rsidP="00CB1621">
            <w:pPr>
              <w:spacing w:before="0" w:after="0" w:line="240" w:lineRule="auto"/>
              <w:rPr>
                <w:rFonts w:ascii="Arial" w:hAnsi="Arial" w:cs="Arial"/>
                <w:b/>
                <w:bCs/>
                <w:sz w:val="16"/>
                <w:szCs w:val="16"/>
              </w:rPr>
            </w:pPr>
            <w:r w:rsidRPr="00C94004">
              <w:rPr>
                <w:rFonts w:ascii="Arial" w:hAnsi="Arial" w:cs="Arial"/>
                <w:b/>
                <w:bCs/>
                <w:sz w:val="16"/>
                <w:szCs w:val="16"/>
              </w:rPr>
              <w:t>2023</w:t>
            </w:r>
            <w:r w:rsidR="004D7064" w:rsidRPr="00C94004">
              <w:rPr>
                <w:rFonts w:ascii="Arial" w:hAnsi="Arial" w:cs="Arial"/>
                <w:b/>
                <w:bCs/>
                <w:sz w:val="16"/>
                <w:szCs w:val="16"/>
              </w:rPr>
              <w:noBreakHyphen/>
            </w:r>
            <w:r w:rsidRPr="00C94004">
              <w:rPr>
                <w:rFonts w:ascii="Arial" w:hAnsi="Arial" w:cs="Arial"/>
                <w:b/>
                <w:bCs/>
                <w:sz w:val="16"/>
                <w:szCs w:val="16"/>
              </w:rPr>
              <w:t>24</w:t>
            </w:r>
          </w:p>
        </w:tc>
        <w:tc>
          <w:tcPr>
            <w:tcW w:w="394" w:type="pct"/>
            <w:tcBorders>
              <w:top w:val="nil"/>
              <w:left w:val="nil"/>
              <w:bottom w:val="nil"/>
              <w:right w:val="nil"/>
            </w:tcBorders>
            <w:shd w:val="clear" w:color="000000" w:fill="FFFFFF"/>
            <w:noWrap/>
            <w:vAlign w:val="center"/>
            <w:hideMark/>
          </w:tcPr>
          <w:p w14:paraId="4801DA1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0A194EC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07F0ADC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37481BB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645CF71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5D7F96C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02C91CD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7863A92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225C7F6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1B4D408F"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546CA6CD"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Payments for specific</w:t>
            </w:r>
          </w:p>
        </w:tc>
        <w:tc>
          <w:tcPr>
            <w:tcW w:w="394" w:type="pct"/>
            <w:tcBorders>
              <w:top w:val="nil"/>
              <w:left w:val="nil"/>
              <w:bottom w:val="nil"/>
              <w:right w:val="nil"/>
            </w:tcBorders>
            <w:shd w:val="clear" w:color="000000" w:fill="FFFFFF"/>
            <w:noWrap/>
            <w:vAlign w:val="center"/>
            <w:hideMark/>
          </w:tcPr>
          <w:p w14:paraId="6747DAC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4AA0784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09341FC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2FB3EE2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24C45EB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1C7207F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5DA964A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468647A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2877E9B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1EC4EDBF"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7DB28131"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purposes(a)</w:t>
            </w:r>
          </w:p>
        </w:tc>
        <w:tc>
          <w:tcPr>
            <w:tcW w:w="394" w:type="pct"/>
            <w:tcBorders>
              <w:top w:val="nil"/>
              <w:left w:val="nil"/>
              <w:bottom w:val="nil"/>
              <w:right w:val="nil"/>
            </w:tcBorders>
            <w:shd w:val="clear" w:color="000000" w:fill="FFFFFF"/>
            <w:noWrap/>
            <w:vAlign w:val="center"/>
            <w:hideMark/>
          </w:tcPr>
          <w:p w14:paraId="44132D6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24,068</w:t>
            </w:r>
          </w:p>
        </w:tc>
        <w:tc>
          <w:tcPr>
            <w:tcW w:w="394" w:type="pct"/>
            <w:tcBorders>
              <w:top w:val="nil"/>
              <w:left w:val="nil"/>
              <w:bottom w:val="nil"/>
              <w:right w:val="nil"/>
            </w:tcBorders>
            <w:shd w:val="clear" w:color="000000" w:fill="FFFFFF"/>
            <w:noWrap/>
            <w:vAlign w:val="center"/>
            <w:hideMark/>
          </w:tcPr>
          <w:p w14:paraId="2EC2E64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18,191</w:t>
            </w:r>
          </w:p>
        </w:tc>
        <w:tc>
          <w:tcPr>
            <w:tcW w:w="393" w:type="pct"/>
            <w:tcBorders>
              <w:top w:val="nil"/>
              <w:left w:val="nil"/>
              <w:bottom w:val="nil"/>
              <w:right w:val="nil"/>
            </w:tcBorders>
            <w:shd w:val="clear" w:color="000000" w:fill="FFFFFF"/>
            <w:noWrap/>
            <w:vAlign w:val="center"/>
            <w:hideMark/>
          </w:tcPr>
          <w:p w14:paraId="0607E07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18,355</w:t>
            </w:r>
          </w:p>
        </w:tc>
        <w:tc>
          <w:tcPr>
            <w:tcW w:w="393" w:type="pct"/>
            <w:tcBorders>
              <w:top w:val="nil"/>
              <w:left w:val="nil"/>
              <w:bottom w:val="nil"/>
              <w:right w:val="nil"/>
            </w:tcBorders>
            <w:shd w:val="clear" w:color="000000" w:fill="FFFFFF"/>
            <w:noWrap/>
            <w:vAlign w:val="center"/>
            <w:hideMark/>
          </w:tcPr>
          <w:p w14:paraId="773A3BE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10,279</w:t>
            </w:r>
          </w:p>
        </w:tc>
        <w:tc>
          <w:tcPr>
            <w:tcW w:w="393" w:type="pct"/>
            <w:tcBorders>
              <w:top w:val="nil"/>
              <w:left w:val="nil"/>
              <w:bottom w:val="nil"/>
              <w:right w:val="nil"/>
            </w:tcBorders>
            <w:shd w:val="clear" w:color="000000" w:fill="FFFFFF"/>
            <w:noWrap/>
            <w:vAlign w:val="center"/>
            <w:hideMark/>
          </w:tcPr>
          <w:p w14:paraId="1019A3A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5,948</w:t>
            </w:r>
          </w:p>
        </w:tc>
        <w:tc>
          <w:tcPr>
            <w:tcW w:w="366" w:type="pct"/>
            <w:tcBorders>
              <w:top w:val="nil"/>
              <w:left w:val="nil"/>
              <w:bottom w:val="nil"/>
              <w:right w:val="nil"/>
            </w:tcBorders>
            <w:shd w:val="clear" w:color="000000" w:fill="FFFFFF"/>
            <w:noWrap/>
            <w:vAlign w:val="center"/>
            <w:hideMark/>
          </w:tcPr>
          <w:p w14:paraId="42A80C1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2,134</w:t>
            </w:r>
          </w:p>
        </w:tc>
        <w:tc>
          <w:tcPr>
            <w:tcW w:w="366" w:type="pct"/>
            <w:tcBorders>
              <w:top w:val="nil"/>
              <w:left w:val="nil"/>
              <w:bottom w:val="nil"/>
              <w:right w:val="nil"/>
            </w:tcBorders>
            <w:shd w:val="clear" w:color="000000" w:fill="FFFFFF"/>
            <w:noWrap/>
            <w:vAlign w:val="center"/>
            <w:hideMark/>
          </w:tcPr>
          <w:p w14:paraId="43E5BB8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1,293</w:t>
            </w:r>
          </w:p>
        </w:tc>
        <w:tc>
          <w:tcPr>
            <w:tcW w:w="366" w:type="pct"/>
            <w:tcBorders>
              <w:top w:val="nil"/>
              <w:left w:val="nil"/>
              <w:bottom w:val="nil"/>
              <w:right w:val="nil"/>
            </w:tcBorders>
            <w:shd w:val="clear" w:color="000000" w:fill="FFFFFF"/>
            <w:noWrap/>
            <w:vAlign w:val="center"/>
            <w:hideMark/>
          </w:tcPr>
          <w:p w14:paraId="5F591C9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1,989</w:t>
            </w:r>
          </w:p>
        </w:tc>
        <w:tc>
          <w:tcPr>
            <w:tcW w:w="499" w:type="pct"/>
            <w:tcBorders>
              <w:top w:val="nil"/>
              <w:left w:val="nil"/>
              <w:bottom w:val="nil"/>
              <w:right w:val="nil"/>
            </w:tcBorders>
            <w:shd w:val="clear" w:color="000000" w:fill="FFFFFF"/>
            <w:noWrap/>
            <w:vAlign w:val="center"/>
            <w:hideMark/>
          </w:tcPr>
          <w:p w14:paraId="78A9A25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83,965</w:t>
            </w:r>
          </w:p>
        </w:tc>
      </w:tr>
      <w:tr w:rsidR="00CB1621" w:rsidRPr="00C94004" w14:paraId="4BA50D4A"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03E176A8" w14:textId="70CC725A"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GST</w:t>
            </w:r>
            <w:r w:rsidR="004D7064" w:rsidRPr="00C94004">
              <w:rPr>
                <w:rFonts w:ascii="Arial" w:hAnsi="Arial" w:cs="Arial"/>
                <w:sz w:val="16"/>
                <w:szCs w:val="16"/>
              </w:rPr>
              <w:noBreakHyphen/>
            </w:r>
            <w:r w:rsidRPr="00C94004">
              <w:rPr>
                <w:rFonts w:ascii="Arial" w:hAnsi="Arial" w:cs="Arial"/>
                <w:sz w:val="16"/>
                <w:szCs w:val="16"/>
              </w:rPr>
              <w:t>related payments(b)</w:t>
            </w:r>
          </w:p>
        </w:tc>
        <w:tc>
          <w:tcPr>
            <w:tcW w:w="394" w:type="pct"/>
            <w:tcBorders>
              <w:top w:val="nil"/>
              <w:left w:val="nil"/>
              <w:bottom w:val="nil"/>
              <w:right w:val="nil"/>
            </w:tcBorders>
            <w:shd w:val="clear" w:color="000000" w:fill="FFFFFF"/>
            <w:noWrap/>
            <w:vAlign w:val="center"/>
            <w:hideMark/>
          </w:tcPr>
          <w:p w14:paraId="7B91BC5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26,780</w:t>
            </w:r>
          </w:p>
        </w:tc>
        <w:tc>
          <w:tcPr>
            <w:tcW w:w="394" w:type="pct"/>
            <w:tcBorders>
              <w:top w:val="nil"/>
              <w:left w:val="nil"/>
              <w:bottom w:val="nil"/>
              <w:right w:val="nil"/>
            </w:tcBorders>
            <w:shd w:val="clear" w:color="000000" w:fill="FFFFFF"/>
            <w:noWrap/>
            <w:vAlign w:val="center"/>
            <w:hideMark/>
          </w:tcPr>
          <w:p w14:paraId="20F2F6A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20,349</w:t>
            </w:r>
          </w:p>
        </w:tc>
        <w:tc>
          <w:tcPr>
            <w:tcW w:w="393" w:type="pct"/>
            <w:tcBorders>
              <w:top w:val="nil"/>
              <w:left w:val="nil"/>
              <w:bottom w:val="nil"/>
              <w:right w:val="nil"/>
            </w:tcBorders>
            <w:shd w:val="clear" w:color="000000" w:fill="FFFFFF"/>
            <w:noWrap/>
            <w:vAlign w:val="center"/>
            <w:hideMark/>
          </w:tcPr>
          <w:p w14:paraId="23ED1C3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19,459</w:t>
            </w:r>
          </w:p>
        </w:tc>
        <w:tc>
          <w:tcPr>
            <w:tcW w:w="393" w:type="pct"/>
            <w:tcBorders>
              <w:top w:val="nil"/>
              <w:left w:val="nil"/>
              <w:bottom w:val="nil"/>
              <w:right w:val="nil"/>
            </w:tcBorders>
            <w:shd w:val="clear" w:color="000000" w:fill="FFFFFF"/>
            <w:noWrap/>
            <w:vAlign w:val="center"/>
            <w:hideMark/>
          </w:tcPr>
          <w:p w14:paraId="5A5F4E2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6,573</w:t>
            </w:r>
          </w:p>
        </w:tc>
        <w:tc>
          <w:tcPr>
            <w:tcW w:w="393" w:type="pct"/>
            <w:tcBorders>
              <w:top w:val="nil"/>
              <w:left w:val="nil"/>
              <w:bottom w:val="nil"/>
              <w:right w:val="nil"/>
            </w:tcBorders>
            <w:shd w:val="clear" w:color="000000" w:fill="FFFFFF"/>
            <w:noWrap/>
            <w:vAlign w:val="center"/>
            <w:hideMark/>
          </w:tcPr>
          <w:p w14:paraId="1545290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8,744</w:t>
            </w:r>
          </w:p>
        </w:tc>
        <w:tc>
          <w:tcPr>
            <w:tcW w:w="366" w:type="pct"/>
            <w:tcBorders>
              <w:top w:val="nil"/>
              <w:left w:val="nil"/>
              <w:bottom w:val="nil"/>
              <w:right w:val="nil"/>
            </w:tcBorders>
            <w:shd w:val="clear" w:color="000000" w:fill="FFFFFF"/>
            <w:noWrap/>
            <w:vAlign w:val="center"/>
            <w:hideMark/>
          </w:tcPr>
          <w:p w14:paraId="1943874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3,419</w:t>
            </w:r>
          </w:p>
        </w:tc>
        <w:tc>
          <w:tcPr>
            <w:tcW w:w="366" w:type="pct"/>
            <w:tcBorders>
              <w:top w:val="nil"/>
              <w:left w:val="nil"/>
              <w:bottom w:val="nil"/>
              <w:right w:val="nil"/>
            </w:tcBorders>
            <w:shd w:val="clear" w:color="000000" w:fill="FFFFFF"/>
            <w:noWrap/>
            <w:vAlign w:val="center"/>
            <w:hideMark/>
          </w:tcPr>
          <w:p w14:paraId="4EA955D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1,907</w:t>
            </w:r>
          </w:p>
        </w:tc>
        <w:tc>
          <w:tcPr>
            <w:tcW w:w="366" w:type="pct"/>
            <w:tcBorders>
              <w:top w:val="nil"/>
              <w:left w:val="nil"/>
              <w:bottom w:val="nil"/>
              <w:right w:val="nil"/>
            </w:tcBorders>
            <w:shd w:val="clear" w:color="000000" w:fill="FFFFFF"/>
            <w:noWrap/>
            <w:vAlign w:val="center"/>
            <w:hideMark/>
          </w:tcPr>
          <w:p w14:paraId="514E983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4,099</w:t>
            </w:r>
          </w:p>
        </w:tc>
        <w:tc>
          <w:tcPr>
            <w:tcW w:w="499" w:type="pct"/>
            <w:tcBorders>
              <w:top w:val="nil"/>
              <w:left w:val="nil"/>
              <w:bottom w:val="nil"/>
              <w:right w:val="nil"/>
            </w:tcBorders>
            <w:shd w:val="clear" w:color="000000" w:fill="FFFFFF"/>
            <w:noWrap/>
            <w:vAlign w:val="center"/>
            <w:hideMark/>
          </w:tcPr>
          <w:p w14:paraId="4F31FC3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91,331</w:t>
            </w:r>
          </w:p>
        </w:tc>
      </w:tr>
      <w:tr w:rsidR="00CB1621" w:rsidRPr="00C94004" w14:paraId="77A6FCF9"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15FBA4C8"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Other general revenue</w:t>
            </w:r>
          </w:p>
        </w:tc>
        <w:tc>
          <w:tcPr>
            <w:tcW w:w="394" w:type="pct"/>
            <w:tcBorders>
              <w:top w:val="nil"/>
              <w:left w:val="nil"/>
              <w:bottom w:val="nil"/>
              <w:right w:val="nil"/>
            </w:tcBorders>
            <w:shd w:val="clear" w:color="000000" w:fill="FFFFFF"/>
            <w:noWrap/>
            <w:vAlign w:val="center"/>
            <w:hideMark/>
          </w:tcPr>
          <w:p w14:paraId="71ED386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349A175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167E66E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0A3EA74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20A31B5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2C5CB15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7B0B730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01489E0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59E314E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6C528668"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5C43D431"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assistance</w:t>
            </w:r>
          </w:p>
        </w:tc>
        <w:tc>
          <w:tcPr>
            <w:tcW w:w="394" w:type="pct"/>
            <w:tcBorders>
              <w:top w:val="nil"/>
              <w:left w:val="nil"/>
              <w:bottom w:val="nil"/>
              <w:right w:val="nil"/>
            </w:tcBorders>
            <w:shd w:val="clear" w:color="000000" w:fill="FFFFFF"/>
            <w:noWrap/>
            <w:vAlign w:val="center"/>
            <w:hideMark/>
          </w:tcPr>
          <w:p w14:paraId="31303FD5" w14:textId="70BAB92A"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4" w:type="pct"/>
            <w:tcBorders>
              <w:top w:val="nil"/>
              <w:left w:val="nil"/>
              <w:bottom w:val="nil"/>
              <w:right w:val="nil"/>
            </w:tcBorders>
            <w:shd w:val="clear" w:color="000000" w:fill="FFFFFF"/>
            <w:noWrap/>
            <w:vAlign w:val="center"/>
            <w:hideMark/>
          </w:tcPr>
          <w:p w14:paraId="230D94AA" w14:textId="30289AFF"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5B0CFFC5" w14:textId="411A6E6E"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1CBD036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732</w:t>
            </w:r>
          </w:p>
        </w:tc>
        <w:tc>
          <w:tcPr>
            <w:tcW w:w="393" w:type="pct"/>
            <w:tcBorders>
              <w:top w:val="nil"/>
              <w:left w:val="nil"/>
              <w:bottom w:val="nil"/>
              <w:right w:val="nil"/>
            </w:tcBorders>
            <w:shd w:val="clear" w:color="000000" w:fill="FFFFFF"/>
            <w:noWrap/>
            <w:vAlign w:val="center"/>
            <w:hideMark/>
          </w:tcPr>
          <w:p w14:paraId="1A377FC6" w14:textId="048710B5"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5E2D991B" w14:textId="14EC14EE"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16579A4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44</w:t>
            </w:r>
          </w:p>
        </w:tc>
        <w:tc>
          <w:tcPr>
            <w:tcW w:w="366" w:type="pct"/>
            <w:tcBorders>
              <w:top w:val="nil"/>
              <w:left w:val="nil"/>
              <w:bottom w:val="nil"/>
              <w:right w:val="nil"/>
            </w:tcBorders>
            <w:shd w:val="clear" w:color="000000" w:fill="FFFFFF"/>
            <w:noWrap/>
            <w:vAlign w:val="center"/>
            <w:hideMark/>
          </w:tcPr>
          <w:p w14:paraId="39C60D67" w14:textId="4F51131B"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499" w:type="pct"/>
            <w:tcBorders>
              <w:top w:val="nil"/>
              <w:left w:val="nil"/>
              <w:bottom w:val="nil"/>
              <w:right w:val="nil"/>
            </w:tcBorders>
            <w:shd w:val="clear" w:color="000000" w:fill="FFFFFF"/>
            <w:noWrap/>
            <w:vAlign w:val="center"/>
            <w:hideMark/>
          </w:tcPr>
          <w:p w14:paraId="7DFCF51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776</w:t>
            </w:r>
          </w:p>
        </w:tc>
      </w:tr>
      <w:tr w:rsidR="00CB1621" w:rsidRPr="00C94004" w14:paraId="4EE0B9C2"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34FB4017"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Total payments to the states</w:t>
            </w:r>
          </w:p>
        </w:tc>
        <w:tc>
          <w:tcPr>
            <w:tcW w:w="394" w:type="pct"/>
            <w:tcBorders>
              <w:top w:val="single" w:sz="4" w:space="0" w:color="293F5B"/>
              <w:left w:val="nil"/>
              <w:bottom w:val="single" w:sz="4" w:space="0" w:color="293F5B"/>
              <w:right w:val="nil"/>
            </w:tcBorders>
            <w:shd w:val="clear" w:color="000000" w:fill="FFFFFF"/>
            <w:noWrap/>
            <w:vAlign w:val="center"/>
            <w:hideMark/>
          </w:tcPr>
          <w:p w14:paraId="25D6730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50,847</w:t>
            </w:r>
          </w:p>
        </w:tc>
        <w:tc>
          <w:tcPr>
            <w:tcW w:w="394" w:type="pct"/>
            <w:tcBorders>
              <w:top w:val="single" w:sz="4" w:space="0" w:color="293F5B"/>
              <w:left w:val="nil"/>
              <w:bottom w:val="single" w:sz="4" w:space="0" w:color="293F5B"/>
              <w:right w:val="nil"/>
            </w:tcBorders>
            <w:shd w:val="clear" w:color="000000" w:fill="FFFFFF"/>
            <w:noWrap/>
            <w:vAlign w:val="center"/>
            <w:hideMark/>
          </w:tcPr>
          <w:p w14:paraId="2F07574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38,540</w:t>
            </w:r>
          </w:p>
        </w:tc>
        <w:tc>
          <w:tcPr>
            <w:tcW w:w="393" w:type="pct"/>
            <w:tcBorders>
              <w:top w:val="single" w:sz="4" w:space="0" w:color="293F5B"/>
              <w:left w:val="nil"/>
              <w:bottom w:val="single" w:sz="4" w:space="0" w:color="293F5B"/>
              <w:right w:val="nil"/>
            </w:tcBorders>
            <w:shd w:val="clear" w:color="000000" w:fill="FFFFFF"/>
            <w:noWrap/>
            <w:vAlign w:val="center"/>
            <w:hideMark/>
          </w:tcPr>
          <w:p w14:paraId="47AC8ED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37,814</w:t>
            </w:r>
          </w:p>
        </w:tc>
        <w:tc>
          <w:tcPr>
            <w:tcW w:w="393" w:type="pct"/>
            <w:tcBorders>
              <w:top w:val="single" w:sz="4" w:space="0" w:color="293F5B"/>
              <w:left w:val="nil"/>
              <w:bottom w:val="single" w:sz="4" w:space="0" w:color="293F5B"/>
              <w:right w:val="nil"/>
            </w:tcBorders>
            <w:shd w:val="clear" w:color="000000" w:fill="FFFFFF"/>
            <w:noWrap/>
            <w:vAlign w:val="center"/>
            <w:hideMark/>
          </w:tcPr>
          <w:p w14:paraId="41F1C47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17,584</w:t>
            </w:r>
          </w:p>
        </w:tc>
        <w:tc>
          <w:tcPr>
            <w:tcW w:w="393" w:type="pct"/>
            <w:tcBorders>
              <w:top w:val="single" w:sz="4" w:space="0" w:color="293F5B"/>
              <w:left w:val="nil"/>
              <w:bottom w:val="single" w:sz="4" w:space="0" w:color="293F5B"/>
              <w:right w:val="nil"/>
            </w:tcBorders>
            <w:shd w:val="clear" w:color="000000" w:fill="FFFFFF"/>
            <w:noWrap/>
            <w:vAlign w:val="center"/>
            <w:hideMark/>
          </w:tcPr>
          <w:p w14:paraId="730A358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14,693</w:t>
            </w:r>
          </w:p>
        </w:tc>
        <w:tc>
          <w:tcPr>
            <w:tcW w:w="366" w:type="pct"/>
            <w:tcBorders>
              <w:top w:val="single" w:sz="4" w:space="0" w:color="293F5B"/>
              <w:left w:val="nil"/>
              <w:bottom w:val="single" w:sz="4" w:space="0" w:color="293F5B"/>
              <w:right w:val="nil"/>
            </w:tcBorders>
            <w:shd w:val="clear" w:color="000000" w:fill="FFFFFF"/>
            <w:noWrap/>
            <w:vAlign w:val="center"/>
            <w:hideMark/>
          </w:tcPr>
          <w:p w14:paraId="69B4A6B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5,553</w:t>
            </w:r>
          </w:p>
        </w:tc>
        <w:tc>
          <w:tcPr>
            <w:tcW w:w="366" w:type="pct"/>
            <w:tcBorders>
              <w:top w:val="single" w:sz="4" w:space="0" w:color="293F5B"/>
              <w:left w:val="nil"/>
              <w:bottom w:val="single" w:sz="4" w:space="0" w:color="293F5B"/>
              <w:right w:val="nil"/>
            </w:tcBorders>
            <w:shd w:val="clear" w:color="000000" w:fill="FFFFFF"/>
            <w:noWrap/>
            <w:vAlign w:val="center"/>
            <w:hideMark/>
          </w:tcPr>
          <w:p w14:paraId="526D256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3,244</w:t>
            </w:r>
          </w:p>
        </w:tc>
        <w:tc>
          <w:tcPr>
            <w:tcW w:w="366" w:type="pct"/>
            <w:tcBorders>
              <w:top w:val="single" w:sz="4" w:space="0" w:color="293F5B"/>
              <w:left w:val="nil"/>
              <w:bottom w:val="single" w:sz="4" w:space="0" w:color="293F5B"/>
              <w:right w:val="nil"/>
            </w:tcBorders>
            <w:shd w:val="clear" w:color="000000" w:fill="FFFFFF"/>
            <w:noWrap/>
            <w:vAlign w:val="center"/>
            <w:hideMark/>
          </w:tcPr>
          <w:p w14:paraId="403FE51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6,088</w:t>
            </w:r>
          </w:p>
        </w:tc>
        <w:tc>
          <w:tcPr>
            <w:tcW w:w="499" w:type="pct"/>
            <w:tcBorders>
              <w:top w:val="single" w:sz="4" w:space="0" w:color="293F5B"/>
              <w:left w:val="nil"/>
              <w:bottom w:val="single" w:sz="4" w:space="0" w:color="293F5B"/>
              <w:right w:val="nil"/>
            </w:tcBorders>
            <w:shd w:val="clear" w:color="000000" w:fill="FFFFFF"/>
            <w:noWrap/>
            <w:vAlign w:val="center"/>
            <w:hideMark/>
          </w:tcPr>
          <w:p w14:paraId="6E44579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176,072</w:t>
            </w:r>
          </w:p>
        </w:tc>
      </w:tr>
      <w:tr w:rsidR="00CB1621" w:rsidRPr="00C94004" w14:paraId="745CDBFD" w14:textId="77777777" w:rsidTr="00CB1621">
        <w:trPr>
          <w:trHeight w:hRule="exact" w:val="225"/>
        </w:trPr>
        <w:tc>
          <w:tcPr>
            <w:tcW w:w="1436" w:type="pct"/>
            <w:tcBorders>
              <w:top w:val="nil"/>
              <w:left w:val="nil"/>
              <w:bottom w:val="nil"/>
              <w:right w:val="nil"/>
            </w:tcBorders>
            <w:shd w:val="clear" w:color="000000" w:fill="E6F2FF"/>
            <w:noWrap/>
            <w:vAlign w:val="center"/>
            <w:hideMark/>
          </w:tcPr>
          <w:p w14:paraId="1E431E05" w14:textId="435452B0" w:rsidR="00CB1621" w:rsidRPr="00C94004" w:rsidRDefault="00CB1621" w:rsidP="00CB1621">
            <w:pPr>
              <w:spacing w:before="0" w:after="0" w:line="240" w:lineRule="auto"/>
              <w:rPr>
                <w:rFonts w:ascii="Arial" w:hAnsi="Arial" w:cs="Arial"/>
                <w:b/>
                <w:bCs/>
                <w:sz w:val="16"/>
                <w:szCs w:val="16"/>
              </w:rPr>
            </w:pPr>
            <w:r w:rsidRPr="00C94004">
              <w:rPr>
                <w:rFonts w:ascii="Arial" w:hAnsi="Arial" w:cs="Arial"/>
                <w:b/>
                <w:bCs/>
                <w:sz w:val="16"/>
                <w:szCs w:val="16"/>
              </w:rPr>
              <w:t>2024</w:t>
            </w:r>
            <w:r w:rsidR="004D7064" w:rsidRPr="00C94004">
              <w:rPr>
                <w:rFonts w:ascii="Arial" w:hAnsi="Arial" w:cs="Arial"/>
                <w:b/>
                <w:bCs/>
                <w:sz w:val="16"/>
                <w:szCs w:val="16"/>
              </w:rPr>
              <w:noBreakHyphen/>
            </w:r>
            <w:r w:rsidRPr="00C94004">
              <w:rPr>
                <w:rFonts w:ascii="Arial" w:hAnsi="Arial" w:cs="Arial"/>
                <w:b/>
                <w:bCs/>
                <w:sz w:val="16"/>
                <w:szCs w:val="16"/>
              </w:rPr>
              <w:t>25</w:t>
            </w:r>
          </w:p>
        </w:tc>
        <w:tc>
          <w:tcPr>
            <w:tcW w:w="394" w:type="pct"/>
            <w:tcBorders>
              <w:top w:val="nil"/>
              <w:left w:val="nil"/>
              <w:bottom w:val="nil"/>
              <w:right w:val="nil"/>
            </w:tcBorders>
            <w:shd w:val="clear" w:color="000000" w:fill="E6F2FF"/>
            <w:noWrap/>
            <w:vAlign w:val="center"/>
            <w:hideMark/>
          </w:tcPr>
          <w:p w14:paraId="0FE377C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E6F2FF"/>
            <w:noWrap/>
            <w:vAlign w:val="center"/>
            <w:hideMark/>
          </w:tcPr>
          <w:p w14:paraId="24774F4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1029614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1E85149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7273C91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5EF7125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47882F8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4E93712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E6F2FF"/>
            <w:noWrap/>
            <w:vAlign w:val="center"/>
            <w:hideMark/>
          </w:tcPr>
          <w:p w14:paraId="0967F63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2B019873" w14:textId="77777777" w:rsidTr="00CB1621">
        <w:trPr>
          <w:trHeight w:hRule="exact" w:val="225"/>
        </w:trPr>
        <w:tc>
          <w:tcPr>
            <w:tcW w:w="1436" w:type="pct"/>
            <w:tcBorders>
              <w:top w:val="nil"/>
              <w:left w:val="nil"/>
              <w:bottom w:val="nil"/>
              <w:right w:val="nil"/>
            </w:tcBorders>
            <w:shd w:val="clear" w:color="000000" w:fill="E6F2FF"/>
            <w:noWrap/>
            <w:vAlign w:val="center"/>
            <w:hideMark/>
          </w:tcPr>
          <w:p w14:paraId="29707478"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Payments for specific</w:t>
            </w:r>
          </w:p>
        </w:tc>
        <w:tc>
          <w:tcPr>
            <w:tcW w:w="394" w:type="pct"/>
            <w:tcBorders>
              <w:top w:val="nil"/>
              <w:left w:val="nil"/>
              <w:bottom w:val="nil"/>
              <w:right w:val="nil"/>
            </w:tcBorders>
            <w:shd w:val="clear" w:color="000000" w:fill="E6F2FF"/>
            <w:noWrap/>
            <w:vAlign w:val="center"/>
            <w:hideMark/>
          </w:tcPr>
          <w:p w14:paraId="5A30E74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E6F2FF"/>
            <w:noWrap/>
            <w:vAlign w:val="center"/>
            <w:hideMark/>
          </w:tcPr>
          <w:p w14:paraId="2126484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54B03E7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085A01B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0000040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1BA7256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7652EEB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669C7AE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E6F2FF"/>
            <w:noWrap/>
            <w:vAlign w:val="center"/>
            <w:hideMark/>
          </w:tcPr>
          <w:p w14:paraId="1C23F88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6353A38D" w14:textId="77777777" w:rsidTr="00CB1621">
        <w:trPr>
          <w:trHeight w:hRule="exact" w:val="225"/>
        </w:trPr>
        <w:tc>
          <w:tcPr>
            <w:tcW w:w="1436" w:type="pct"/>
            <w:tcBorders>
              <w:top w:val="nil"/>
              <w:left w:val="nil"/>
              <w:bottom w:val="nil"/>
              <w:right w:val="nil"/>
            </w:tcBorders>
            <w:shd w:val="clear" w:color="000000" w:fill="E6F2FF"/>
            <w:noWrap/>
            <w:vAlign w:val="center"/>
            <w:hideMark/>
          </w:tcPr>
          <w:p w14:paraId="77424BF7"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purposes(a)</w:t>
            </w:r>
          </w:p>
        </w:tc>
        <w:tc>
          <w:tcPr>
            <w:tcW w:w="394" w:type="pct"/>
            <w:tcBorders>
              <w:top w:val="nil"/>
              <w:left w:val="nil"/>
              <w:bottom w:val="nil"/>
              <w:right w:val="nil"/>
            </w:tcBorders>
            <w:shd w:val="clear" w:color="000000" w:fill="E6F2FF"/>
            <w:noWrap/>
            <w:vAlign w:val="center"/>
            <w:hideMark/>
          </w:tcPr>
          <w:p w14:paraId="45693AE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26,530</w:t>
            </w:r>
          </w:p>
        </w:tc>
        <w:tc>
          <w:tcPr>
            <w:tcW w:w="394" w:type="pct"/>
            <w:tcBorders>
              <w:top w:val="nil"/>
              <w:left w:val="nil"/>
              <w:bottom w:val="nil"/>
              <w:right w:val="nil"/>
            </w:tcBorders>
            <w:shd w:val="clear" w:color="000000" w:fill="E6F2FF"/>
            <w:noWrap/>
            <w:vAlign w:val="center"/>
            <w:hideMark/>
          </w:tcPr>
          <w:p w14:paraId="71060A5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20,128</w:t>
            </w:r>
          </w:p>
        </w:tc>
        <w:tc>
          <w:tcPr>
            <w:tcW w:w="393" w:type="pct"/>
            <w:tcBorders>
              <w:top w:val="nil"/>
              <w:left w:val="nil"/>
              <w:bottom w:val="nil"/>
              <w:right w:val="nil"/>
            </w:tcBorders>
            <w:shd w:val="clear" w:color="000000" w:fill="E6F2FF"/>
            <w:noWrap/>
            <w:vAlign w:val="center"/>
            <w:hideMark/>
          </w:tcPr>
          <w:p w14:paraId="0FC74B3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19,326</w:t>
            </w:r>
          </w:p>
        </w:tc>
        <w:tc>
          <w:tcPr>
            <w:tcW w:w="393" w:type="pct"/>
            <w:tcBorders>
              <w:top w:val="nil"/>
              <w:left w:val="nil"/>
              <w:bottom w:val="nil"/>
              <w:right w:val="nil"/>
            </w:tcBorders>
            <w:shd w:val="clear" w:color="000000" w:fill="E6F2FF"/>
            <w:noWrap/>
            <w:vAlign w:val="center"/>
            <w:hideMark/>
          </w:tcPr>
          <w:p w14:paraId="6B9DBCB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11,254</w:t>
            </w:r>
          </w:p>
        </w:tc>
        <w:tc>
          <w:tcPr>
            <w:tcW w:w="393" w:type="pct"/>
            <w:tcBorders>
              <w:top w:val="nil"/>
              <w:left w:val="nil"/>
              <w:bottom w:val="nil"/>
              <w:right w:val="nil"/>
            </w:tcBorders>
            <w:shd w:val="clear" w:color="000000" w:fill="E6F2FF"/>
            <w:noWrap/>
            <w:vAlign w:val="center"/>
            <w:hideMark/>
          </w:tcPr>
          <w:p w14:paraId="1D5DD81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6,418</w:t>
            </w:r>
          </w:p>
        </w:tc>
        <w:tc>
          <w:tcPr>
            <w:tcW w:w="366" w:type="pct"/>
            <w:tcBorders>
              <w:top w:val="nil"/>
              <w:left w:val="nil"/>
              <w:bottom w:val="nil"/>
              <w:right w:val="nil"/>
            </w:tcBorders>
            <w:shd w:val="clear" w:color="000000" w:fill="E6F2FF"/>
            <w:noWrap/>
            <w:vAlign w:val="center"/>
            <w:hideMark/>
          </w:tcPr>
          <w:p w14:paraId="34374D3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2,283</w:t>
            </w:r>
          </w:p>
        </w:tc>
        <w:tc>
          <w:tcPr>
            <w:tcW w:w="366" w:type="pct"/>
            <w:tcBorders>
              <w:top w:val="nil"/>
              <w:left w:val="nil"/>
              <w:bottom w:val="nil"/>
              <w:right w:val="nil"/>
            </w:tcBorders>
            <w:shd w:val="clear" w:color="000000" w:fill="E6F2FF"/>
            <w:noWrap/>
            <w:vAlign w:val="center"/>
            <w:hideMark/>
          </w:tcPr>
          <w:p w14:paraId="4899D13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1,478</w:t>
            </w:r>
          </w:p>
        </w:tc>
        <w:tc>
          <w:tcPr>
            <w:tcW w:w="366" w:type="pct"/>
            <w:tcBorders>
              <w:top w:val="nil"/>
              <w:left w:val="nil"/>
              <w:bottom w:val="nil"/>
              <w:right w:val="nil"/>
            </w:tcBorders>
            <w:shd w:val="clear" w:color="000000" w:fill="E6F2FF"/>
            <w:noWrap/>
            <w:vAlign w:val="center"/>
            <w:hideMark/>
          </w:tcPr>
          <w:p w14:paraId="4FFBA7C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2,061</w:t>
            </w:r>
          </w:p>
        </w:tc>
        <w:tc>
          <w:tcPr>
            <w:tcW w:w="499" w:type="pct"/>
            <w:tcBorders>
              <w:top w:val="nil"/>
              <w:left w:val="nil"/>
              <w:bottom w:val="nil"/>
              <w:right w:val="nil"/>
            </w:tcBorders>
            <w:shd w:val="clear" w:color="000000" w:fill="E6F2FF"/>
            <w:noWrap/>
            <w:vAlign w:val="center"/>
            <w:hideMark/>
          </w:tcPr>
          <w:p w14:paraId="045F9E9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91,519</w:t>
            </w:r>
          </w:p>
        </w:tc>
      </w:tr>
      <w:tr w:rsidR="00CB1621" w:rsidRPr="00C94004" w14:paraId="7AD41FE3" w14:textId="77777777" w:rsidTr="00CB1621">
        <w:trPr>
          <w:trHeight w:hRule="exact" w:val="225"/>
        </w:trPr>
        <w:tc>
          <w:tcPr>
            <w:tcW w:w="1436" w:type="pct"/>
            <w:tcBorders>
              <w:top w:val="nil"/>
              <w:left w:val="nil"/>
              <w:bottom w:val="nil"/>
              <w:right w:val="nil"/>
            </w:tcBorders>
            <w:shd w:val="clear" w:color="000000" w:fill="E6F2FF"/>
            <w:noWrap/>
            <w:vAlign w:val="center"/>
            <w:hideMark/>
          </w:tcPr>
          <w:p w14:paraId="1AB647DE" w14:textId="187BE580"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GST</w:t>
            </w:r>
            <w:r w:rsidR="004D7064" w:rsidRPr="00C94004">
              <w:rPr>
                <w:rFonts w:ascii="Arial" w:hAnsi="Arial" w:cs="Arial"/>
                <w:sz w:val="16"/>
                <w:szCs w:val="16"/>
              </w:rPr>
              <w:noBreakHyphen/>
            </w:r>
            <w:r w:rsidRPr="00C94004">
              <w:rPr>
                <w:rFonts w:ascii="Arial" w:hAnsi="Arial" w:cs="Arial"/>
                <w:sz w:val="16"/>
                <w:szCs w:val="16"/>
              </w:rPr>
              <w:t>related payments(b)</w:t>
            </w:r>
          </w:p>
        </w:tc>
        <w:tc>
          <w:tcPr>
            <w:tcW w:w="394" w:type="pct"/>
            <w:tcBorders>
              <w:top w:val="nil"/>
              <w:left w:val="nil"/>
              <w:bottom w:val="nil"/>
              <w:right w:val="nil"/>
            </w:tcBorders>
            <w:shd w:val="clear" w:color="000000" w:fill="E6F2FF"/>
            <w:noWrap/>
            <w:vAlign w:val="center"/>
            <w:hideMark/>
          </w:tcPr>
          <w:p w14:paraId="5DEFDBD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25,841</w:t>
            </w:r>
          </w:p>
        </w:tc>
        <w:tc>
          <w:tcPr>
            <w:tcW w:w="394" w:type="pct"/>
            <w:tcBorders>
              <w:top w:val="nil"/>
              <w:left w:val="nil"/>
              <w:bottom w:val="nil"/>
              <w:right w:val="nil"/>
            </w:tcBorders>
            <w:shd w:val="clear" w:color="000000" w:fill="E6F2FF"/>
            <w:noWrap/>
            <w:vAlign w:val="center"/>
            <w:hideMark/>
          </w:tcPr>
          <w:p w14:paraId="55D2099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23,479</w:t>
            </w:r>
          </w:p>
        </w:tc>
        <w:tc>
          <w:tcPr>
            <w:tcW w:w="393" w:type="pct"/>
            <w:tcBorders>
              <w:top w:val="nil"/>
              <w:left w:val="nil"/>
              <w:bottom w:val="nil"/>
              <w:right w:val="nil"/>
            </w:tcBorders>
            <w:shd w:val="clear" w:color="000000" w:fill="E6F2FF"/>
            <w:noWrap/>
            <w:vAlign w:val="center"/>
            <w:hideMark/>
          </w:tcPr>
          <w:p w14:paraId="75C7E0E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18,525</w:t>
            </w:r>
          </w:p>
        </w:tc>
        <w:tc>
          <w:tcPr>
            <w:tcW w:w="393" w:type="pct"/>
            <w:tcBorders>
              <w:top w:val="nil"/>
              <w:left w:val="nil"/>
              <w:bottom w:val="nil"/>
              <w:right w:val="nil"/>
            </w:tcBorders>
            <w:shd w:val="clear" w:color="000000" w:fill="E6F2FF"/>
            <w:noWrap/>
            <w:vAlign w:val="center"/>
            <w:hideMark/>
          </w:tcPr>
          <w:p w14:paraId="100C6E2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7,223</w:t>
            </w:r>
          </w:p>
        </w:tc>
        <w:tc>
          <w:tcPr>
            <w:tcW w:w="393" w:type="pct"/>
            <w:tcBorders>
              <w:top w:val="nil"/>
              <w:left w:val="nil"/>
              <w:bottom w:val="nil"/>
              <w:right w:val="nil"/>
            </w:tcBorders>
            <w:shd w:val="clear" w:color="000000" w:fill="E6F2FF"/>
            <w:noWrap/>
            <w:vAlign w:val="center"/>
            <w:hideMark/>
          </w:tcPr>
          <w:p w14:paraId="47EA1BB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8,942</w:t>
            </w:r>
          </w:p>
        </w:tc>
        <w:tc>
          <w:tcPr>
            <w:tcW w:w="366" w:type="pct"/>
            <w:tcBorders>
              <w:top w:val="nil"/>
              <w:left w:val="nil"/>
              <w:bottom w:val="nil"/>
              <w:right w:val="nil"/>
            </w:tcBorders>
            <w:shd w:val="clear" w:color="000000" w:fill="E6F2FF"/>
            <w:noWrap/>
            <w:vAlign w:val="center"/>
            <w:hideMark/>
          </w:tcPr>
          <w:p w14:paraId="7B37187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3,519</w:t>
            </w:r>
          </w:p>
        </w:tc>
        <w:tc>
          <w:tcPr>
            <w:tcW w:w="366" w:type="pct"/>
            <w:tcBorders>
              <w:top w:val="nil"/>
              <w:left w:val="nil"/>
              <w:bottom w:val="nil"/>
              <w:right w:val="nil"/>
            </w:tcBorders>
            <w:shd w:val="clear" w:color="000000" w:fill="E6F2FF"/>
            <w:noWrap/>
            <w:vAlign w:val="center"/>
            <w:hideMark/>
          </w:tcPr>
          <w:p w14:paraId="0BB39D2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1,963</w:t>
            </w:r>
          </w:p>
        </w:tc>
        <w:tc>
          <w:tcPr>
            <w:tcW w:w="366" w:type="pct"/>
            <w:tcBorders>
              <w:top w:val="nil"/>
              <w:left w:val="nil"/>
              <w:bottom w:val="nil"/>
              <w:right w:val="nil"/>
            </w:tcBorders>
            <w:shd w:val="clear" w:color="000000" w:fill="E6F2FF"/>
            <w:noWrap/>
            <w:vAlign w:val="center"/>
            <w:hideMark/>
          </w:tcPr>
          <w:p w14:paraId="049F982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4,208</w:t>
            </w:r>
          </w:p>
        </w:tc>
        <w:tc>
          <w:tcPr>
            <w:tcW w:w="499" w:type="pct"/>
            <w:tcBorders>
              <w:top w:val="nil"/>
              <w:left w:val="nil"/>
              <w:bottom w:val="nil"/>
              <w:right w:val="nil"/>
            </w:tcBorders>
            <w:shd w:val="clear" w:color="000000" w:fill="E6F2FF"/>
            <w:noWrap/>
            <w:vAlign w:val="center"/>
            <w:hideMark/>
          </w:tcPr>
          <w:p w14:paraId="799C437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93,700</w:t>
            </w:r>
          </w:p>
        </w:tc>
      </w:tr>
      <w:tr w:rsidR="00CB1621" w:rsidRPr="00C94004" w14:paraId="0B5C9F01" w14:textId="77777777" w:rsidTr="00CB1621">
        <w:trPr>
          <w:trHeight w:hRule="exact" w:val="225"/>
        </w:trPr>
        <w:tc>
          <w:tcPr>
            <w:tcW w:w="1436" w:type="pct"/>
            <w:tcBorders>
              <w:top w:val="nil"/>
              <w:left w:val="nil"/>
              <w:bottom w:val="nil"/>
              <w:right w:val="nil"/>
            </w:tcBorders>
            <w:shd w:val="clear" w:color="000000" w:fill="E6F2FF"/>
            <w:noWrap/>
            <w:vAlign w:val="center"/>
            <w:hideMark/>
          </w:tcPr>
          <w:p w14:paraId="36D83F93"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Other general revenue</w:t>
            </w:r>
          </w:p>
        </w:tc>
        <w:tc>
          <w:tcPr>
            <w:tcW w:w="394" w:type="pct"/>
            <w:tcBorders>
              <w:top w:val="nil"/>
              <w:left w:val="nil"/>
              <w:bottom w:val="nil"/>
              <w:right w:val="nil"/>
            </w:tcBorders>
            <w:shd w:val="clear" w:color="000000" w:fill="E6F2FF"/>
            <w:noWrap/>
            <w:vAlign w:val="center"/>
            <w:hideMark/>
          </w:tcPr>
          <w:p w14:paraId="210BCAD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E6F2FF"/>
            <w:noWrap/>
            <w:vAlign w:val="center"/>
            <w:hideMark/>
          </w:tcPr>
          <w:p w14:paraId="5C7144D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0069CDF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760E12A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E6F2FF"/>
            <w:noWrap/>
            <w:vAlign w:val="center"/>
            <w:hideMark/>
          </w:tcPr>
          <w:p w14:paraId="14EE7FC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1CA938A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22EE66E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E6F2FF"/>
            <w:noWrap/>
            <w:vAlign w:val="center"/>
            <w:hideMark/>
          </w:tcPr>
          <w:p w14:paraId="2EEFAEA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E6F2FF"/>
            <w:noWrap/>
            <w:vAlign w:val="center"/>
            <w:hideMark/>
          </w:tcPr>
          <w:p w14:paraId="3C0AF4C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6B077A36" w14:textId="77777777" w:rsidTr="00CB1621">
        <w:trPr>
          <w:trHeight w:hRule="exact" w:val="225"/>
        </w:trPr>
        <w:tc>
          <w:tcPr>
            <w:tcW w:w="1436" w:type="pct"/>
            <w:tcBorders>
              <w:top w:val="nil"/>
              <w:left w:val="nil"/>
              <w:bottom w:val="nil"/>
              <w:right w:val="nil"/>
            </w:tcBorders>
            <w:shd w:val="clear" w:color="000000" w:fill="E6F2FF"/>
            <w:noWrap/>
            <w:vAlign w:val="center"/>
            <w:hideMark/>
          </w:tcPr>
          <w:p w14:paraId="7B4CABBF"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assistance</w:t>
            </w:r>
          </w:p>
        </w:tc>
        <w:tc>
          <w:tcPr>
            <w:tcW w:w="394" w:type="pct"/>
            <w:tcBorders>
              <w:top w:val="nil"/>
              <w:left w:val="nil"/>
              <w:bottom w:val="nil"/>
              <w:right w:val="nil"/>
            </w:tcBorders>
            <w:shd w:val="clear" w:color="000000" w:fill="E6F2FF"/>
            <w:noWrap/>
            <w:vAlign w:val="center"/>
            <w:hideMark/>
          </w:tcPr>
          <w:p w14:paraId="4765BC0B" w14:textId="3E6AC826"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4" w:type="pct"/>
            <w:tcBorders>
              <w:top w:val="nil"/>
              <w:left w:val="nil"/>
              <w:bottom w:val="nil"/>
              <w:right w:val="nil"/>
            </w:tcBorders>
            <w:shd w:val="clear" w:color="000000" w:fill="E6F2FF"/>
            <w:noWrap/>
            <w:vAlign w:val="center"/>
            <w:hideMark/>
          </w:tcPr>
          <w:p w14:paraId="24EBBD00" w14:textId="3D87FAB4"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E6F2FF"/>
            <w:noWrap/>
            <w:vAlign w:val="center"/>
            <w:hideMark/>
          </w:tcPr>
          <w:p w14:paraId="02BE7C06" w14:textId="1CDE06F8"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E6F2FF"/>
            <w:noWrap/>
            <w:vAlign w:val="center"/>
            <w:hideMark/>
          </w:tcPr>
          <w:p w14:paraId="60A8AF8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666</w:t>
            </w:r>
          </w:p>
        </w:tc>
        <w:tc>
          <w:tcPr>
            <w:tcW w:w="393" w:type="pct"/>
            <w:tcBorders>
              <w:top w:val="nil"/>
              <w:left w:val="nil"/>
              <w:bottom w:val="nil"/>
              <w:right w:val="nil"/>
            </w:tcBorders>
            <w:shd w:val="clear" w:color="000000" w:fill="E6F2FF"/>
            <w:noWrap/>
            <w:vAlign w:val="center"/>
            <w:hideMark/>
          </w:tcPr>
          <w:p w14:paraId="42635EA2" w14:textId="7252EBC2"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E6F2FF"/>
            <w:noWrap/>
            <w:vAlign w:val="center"/>
            <w:hideMark/>
          </w:tcPr>
          <w:p w14:paraId="79325659" w14:textId="07F9EEDC"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E6F2FF"/>
            <w:noWrap/>
            <w:vAlign w:val="center"/>
            <w:hideMark/>
          </w:tcPr>
          <w:p w14:paraId="1B278AF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45</w:t>
            </w:r>
          </w:p>
        </w:tc>
        <w:tc>
          <w:tcPr>
            <w:tcW w:w="366" w:type="pct"/>
            <w:tcBorders>
              <w:top w:val="nil"/>
              <w:left w:val="nil"/>
              <w:bottom w:val="nil"/>
              <w:right w:val="nil"/>
            </w:tcBorders>
            <w:shd w:val="clear" w:color="000000" w:fill="E6F2FF"/>
            <w:noWrap/>
            <w:vAlign w:val="center"/>
            <w:hideMark/>
          </w:tcPr>
          <w:p w14:paraId="570A2E12" w14:textId="19B132A1"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499" w:type="pct"/>
            <w:tcBorders>
              <w:top w:val="nil"/>
              <w:left w:val="nil"/>
              <w:bottom w:val="nil"/>
              <w:right w:val="nil"/>
            </w:tcBorders>
            <w:shd w:val="clear" w:color="000000" w:fill="E6F2FF"/>
            <w:noWrap/>
            <w:vAlign w:val="center"/>
            <w:hideMark/>
          </w:tcPr>
          <w:p w14:paraId="3C963F4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711</w:t>
            </w:r>
          </w:p>
        </w:tc>
      </w:tr>
      <w:tr w:rsidR="00CB1621" w:rsidRPr="00C94004" w14:paraId="03B7E710" w14:textId="77777777" w:rsidTr="00CB1621">
        <w:trPr>
          <w:trHeight w:hRule="exact" w:val="225"/>
        </w:trPr>
        <w:tc>
          <w:tcPr>
            <w:tcW w:w="1436" w:type="pct"/>
            <w:tcBorders>
              <w:top w:val="nil"/>
              <w:left w:val="nil"/>
              <w:bottom w:val="nil"/>
              <w:right w:val="nil"/>
            </w:tcBorders>
            <w:shd w:val="clear" w:color="000000" w:fill="E6F2FF"/>
            <w:noWrap/>
            <w:vAlign w:val="center"/>
            <w:hideMark/>
          </w:tcPr>
          <w:p w14:paraId="18E85285"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Total payments to the states</w:t>
            </w:r>
          </w:p>
        </w:tc>
        <w:tc>
          <w:tcPr>
            <w:tcW w:w="394" w:type="pct"/>
            <w:tcBorders>
              <w:top w:val="single" w:sz="4" w:space="0" w:color="293F5B"/>
              <w:left w:val="nil"/>
              <w:bottom w:val="single" w:sz="4" w:space="0" w:color="293F5B"/>
              <w:right w:val="nil"/>
            </w:tcBorders>
            <w:shd w:val="clear" w:color="000000" w:fill="E6F2FF"/>
            <w:noWrap/>
            <w:vAlign w:val="center"/>
            <w:hideMark/>
          </w:tcPr>
          <w:p w14:paraId="23B2772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52,370</w:t>
            </w:r>
          </w:p>
        </w:tc>
        <w:tc>
          <w:tcPr>
            <w:tcW w:w="394" w:type="pct"/>
            <w:tcBorders>
              <w:top w:val="single" w:sz="4" w:space="0" w:color="293F5B"/>
              <w:left w:val="nil"/>
              <w:bottom w:val="single" w:sz="4" w:space="0" w:color="293F5B"/>
              <w:right w:val="nil"/>
            </w:tcBorders>
            <w:shd w:val="clear" w:color="000000" w:fill="E6F2FF"/>
            <w:noWrap/>
            <w:vAlign w:val="center"/>
            <w:hideMark/>
          </w:tcPr>
          <w:p w14:paraId="109308C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43,607</w:t>
            </w:r>
          </w:p>
        </w:tc>
        <w:tc>
          <w:tcPr>
            <w:tcW w:w="393" w:type="pct"/>
            <w:tcBorders>
              <w:top w:val="single" w:sz="4" w:space="0" w:color="293F5B"/>
              <w:left w:val="nil"/>
              <w:bottom w:val="single" w:sz="4" w:space="0" w:color="293F5B"/>
              <w:right w:val="nil"/>
            </w:tcBorders>
            <w:shd w:val="clear" w:color="000000" w:fill="E6F2FF"/>
            <w:noWrap/>
            <w:vAlign w:val="center"/>
            <w:hideMark/>
          </w:tcPr>
          <w:p w14:paraId="73C3EDA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37,851</w:t>
            </w:r>
          </w:p>
        </w:tc>
        <w:tc>
          <w:tcPr>
            <w:tcW w:w="393" w:type="pct"/>
            <w:tcBorders>
              <w:top w:val="single" w:sz="4" w:space="0" w:color="293F5B"/>
              <w:left w:val="nil"/>
              <w:bottom w:val="single" w:sz="4" w:space="0" w:color="293F5B"/>
              <w:right w:val="nil"/>
            </w:tcBorders>
            <w:shd w:val="clear" w:color="000000" w:fill="E6F2FF"/>
            <w:noWrap/>
            <w:vAlign w:val="center"/>
            <w:hideMark/>
          </w:tcPr>
          <w:p w14:paraId="3E808D6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19,143</w:t>
            </w:r>
          </w:p>
        </w:tc>
        <w:tc>
          <w:tcPr>
            <w:tcW w:w="393" w:type="pct"/>
            <w:tcBorders>
              <w:top w:val="single" w:sz="4" w:space="0" w:color="293F5B"/>
              <w:left w:val="nil"/>
              <w:bottom w:val="single" w:sz="4" w:space="0" w:color="293F5B"/>
              <w:right w:val="nil"/>
            </w:tcBorders>
            <w:shd w:val="clear" w:color="000000" w:fill="E6F2FF"/>
            <w:noWrap/>
            <w:vAlign w:val="center"/>
            <w:hideMark/>
          </w:tcPr>
          <w:p w14:paraId="64BCDC8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15,361</w:t>
            </w:r>
          </w:p>
        </w:tc>
        <w:tc>
          <w:tcPr>
            <w:tcW w:w="366" w:type="pct"/>
            <w:tcBorders>
              <w:top w:val="single" w:sz="4" w:space="0" w:color="293F5B"/>
              <w:left w:val="nil"/>
              <w:bottom w:val="single" w:sz="4" w:space="0" w:color="293F5B"/>
              <w:right w:val="nil"/>
            </w:tcBorders>
            <w:shd w:val="clear" w:color="000000" w:fill="E6F2FF"/>
            <w:noWrap/>
            <w:vAlign w:val="center"/>
            <w:hideMark/>
          </w:tcPr>
          <w:p w14:paraId="3C648DB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5,802</w:t>
            </w:r>
          </w:p>
        </w:tc>
        <w:tc>
          <w:tcPr>
            <w:tcW w:w="366" w:type="pct"/>
            <w:tcBorders>
              <w:top w:val="single" w:sz="4" w:space="0" w:color="293F5B"/>
              <w:left w:val="nil"/>
              <w:bottom w:val="single" w:sz="4" w:space="0" w:color="293F5B"/>
              <w:right w:val="nil"/>
            </w:tcBorders>
            <w:shd w:val="clear" w:color="000000" w:fill="E6F2FF"/>
            <w:noWrap/>
            <w:vAlign w:val="center"/>
            <w:hideMark/>
          </w:tcPr>
          <w:p w14:paraId="789D968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3,487</w:t>
            </w:r>
          </w:p>
        </w:tc>
        <w:tc>
          <w:tcPr>
            <w:tcW w:w="366" w:type="pct"/>
            <w:tcBorders>
              <w:top w:val="single" w:sz="4" w:space="0" w:color="293F5B"/>
              <w:left w:val="nil"/>
              <w:bottom w:val="single" w:sz="4" w:space="0" w:color="293F5B"/>
              <w:right w:val="nil"/>
            </w:tcBorders>
            <w:shd w:val="clear" w:color="000000" w:fill="E6F2FF"/>
            <w:noWrap/>
            <w:vAlign w:val="center"/>
            <w:hideMark/>
          </w:tcPr>
          <w:p w14:paraId="50A5565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6,269</w:t>
            </w:r>
          </w:p>
        </w:tc>
        <w:tc>
          <w:tcPr>
            <w:tcW w:w="499" w:type="pct"/>
            <w:tcBorders>
              <w:top w:val="single" w:sz="4" w:space="0" w:color="293F5B"/>
              <w:left w:val="nil"/>
              <w:bottom w:val="single" w:sz="4" w:space="0" w:color="293F5B"/>
              <w:right w:val="nil"/>
            </w:tcBorders>
            <w:shd w:val="clear" w:color="000000" w:fill="E6F2FF"/>
            <w:noWrap/>
            <w:vAlign w:val="center"/>
            <w:hideMark/>
          </w:tcPr>
          <w:p w14:paraId="71EF485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185,931</w:t>
            </w:r>
          </w:p>
        </w:tc>
      </w:tr>
      <w:tr w:rsidR="00CB1621" w:rsidRPr="00C94004" w14:paraId="0451CA47"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41280B2F" w14:textId="3CD7686B" w:rsidR="00CB1621" w:rsidRPr="00C94004" w:rsidRDefault="00CB1621" w:rsidP="00CB1621">
            <w:pPr>
              <w:spacing w:before="0" w:after="0" w:line="240" w:lineRule="auto"/>
              <w:rPr>
                <w:rFonts w:ascii="Arial" w:hAnsi="Arial" w:cs="Arial"/>
                <w:b/>
                <w:bCs/>
                <w:sz w:val="16"/>
                <w:szCs w:val="16"/>
              </w:rPr>
            </w:pPr>
            <w:r w:rsidRPr="00C94004">
              <w:rPr>
                <w:rFonts w:ascii="Arial" w:hAnsi="Arial" w:cs="Arial"/>
                <w:b/>
                <w:bCs/>
                <w:sz w:val="16"/>
                <w:szCs w:val="16"/>
              </w:rPr>
              <w:t>2025</w:t>
            </w:r>
            <w:r w:rsidR="004D7064" w:rsidRPr="00C94004">
              <w:rPr>
                <w:rFonts w:ascii="Arial" w:hAnsi="Arial" w:cs="Arial"/>
                <w:b/>
                <w:bCs/>
                <w:sz w:val="16"/>
                <w:szCs w:val="16"/>
              </w:rPr>
              <w:noBreakHyphen/>
            </w:r>
            <w:r w:rsidRPr="00C94004">
              <w:rPr>
                <w:rFonts w:ascii="Arial" w:hAnsi="Arial" w:cs="Arial"/>
                <w:b/>
                <w:bCs/>
                <w:sz w:val="16"/>
                <w:szCs w:val="16"/>
              </w:rPr>
              <w:t>26</w:t>
            </w:r>
          </w:p>
        </w:tc>
        <w:tc>
          <w:tcPr>
            <w:tcW w:w="394" w:type="pct"/>
            <w:tcBorders>
              <w:top w:val="nil"/>
              <w:left w:val="nil"/>
              <w:bottom w:val="nil"/>
              <w:right w:val="nil"/>
            </w:tcBorders>
            <w:shd w:val="clear" w:color="000000" w:fill="FFFFFF"/>
            <w:noWrap/>
            <w:vAlign w:val="center"/>
            <w:hideMark/>
          </w:tcPr>
          <w:p w14:paraId="3841D0A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4FEE9AE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0FB9F3B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6BC6FB0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4B9A50E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7A1EA1D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0433422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3D7D504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0B7E38B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3EEE46CC"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50C9AF74"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Payments for specific</w:t>
            </w:r>
          </w:p>
        </w:tc>
        <w:tc>
          <w:tcPr>
            <w:tcW w:w="394" w:type="pct"/>
            <w:tcBorders>
              <w:top w:val="nil"/>
              <w:left w:val="nil"/>
              <w:bottom w:val="nil"/>
              <w:right w:val="nil"/>
            </w:tcBorders>
            <w:shd w:val="clear" w:color="000000" w:fill="FFFFFF"/>
            <w:noWrap/>
            <w:vAlign w:val="center"/>
            <w:hideMark/>
          </w:tcPr>
          <w:p w14:paraId="645CCEA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5771C55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42ADB76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1D611DB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31BCE92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3748DBC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01232E2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3DADE94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53DC211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4FDAE49B"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561ED8F9"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purposes(a)</w:t>
            </w:r>
          </w:p>
        </w:tc>
        <w:tc>
          <w:tcPr>
            <w:tcW w:w="394" w:type="pct"/>
            <w:tcBorders>
              <w:top w:val="nil"/>
              <w:left w:val="nil"/>
              <w:bottom w:val="nil"/>
              <w:right w:val="nil"/>
            </w:tcBorders>
            <w:shd w:val="clear" w:color="000000" w:fill="FFFFFF"/>
            <w:noWrap/>
            <w:vAlign w:val="center"/>
            <w:hideMark/>
          </w:tcPr>
          <w:p w14:paraId="7876B2A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26,045</w:t>
            </w:r>
          </w:p>
        </w:tc>
        <w:tc>
          <w:tcPr>
            <w:tcW w:w="394" w:type="pct"/>
            <w:tcBorders>
              <w:top w:val="nil"/>
              <w:left w:val="nil"/>
              <w:bottom w:val="nil"/>
              <w:right w:val="nil"/>
            </w:tcBorders>
            <w:shd w:val="clear" w:color="000000" w:fill="FFFFFF"/>
            <w:noWrap/>
            <w:vAlign w:val="center"/>
            <w:hideMark/>
          </w:tcPr>
          <w:p w14:paraId="7CAFB31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20,533</w:t>
            </w:r>
          </w:p>
        </w:tc>
        <w:tc>
          <w:tcPr>
            <w:tcW w:w="393" w:type="pct"/>
            <w:tcBorders>
              <w:top w:val="nil"/>
              <w:left w:val="nil"/>
              <w:bottom w:val="nil"/>
              <w:right w:val="nil"/>
            </w:tcBorders>
            <w:shd w:val="clear" w:color="000000" w:fill="FFFFFF"/>
            <w:noWrap/>
            <w:vAlign w:val="center"/>
            <w:hideMark/>
          </w:tcPr>
          <w:p w14:paraId="7B7642B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20,425</w:t>
            </w:r>
          </w:p>
        </w:tc>
        <w:tc>
          <w:tcPr>
            <w:tcW w:w="393" w:type="pct"/>
            <w:tcBorders>
              <w:top w:val="nil"/>
              <w:left w:val="nil"/>
              <w:bottom w:val="nil"/>
              <w:right w:val="nil"/>
            </w:tcBorders>
            <w:shd w:val="clear" w:color="000000" w:fill="FFFFFF"/>
            <w:noWrap/>
            <w:vAlign w:val="center"/>
            <w:hideMark/>
          </w:tcPr>
          <w:p w14:paraId="02EA135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10,193</w:t>
            </w:r>
          </w:p>
        </w:tc>
        <w:tc>
          <w:tcPr>
            <w:tcW w:w="393" w:type="pct"/>
            <w:tcBorders>
              <w:top w:val="nil"/>
              <w:left w:val="nil"/>
              <w:bottom w:val="nil"/>
              <w:right w:val="nil"/>
            </w:tcBorders>
            <w:shd w:val="clear" w:color="000000" w:fill="FFFFFF"/>
            <w:noWrap/>
            <w:vAlign w:val="center"/>
            <w:hideMark/>
          </w:tcPr>
          <w:p w14:paraId="68F5A92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6,546</w:t>
            </w:r>
          </w:p>
        </w:tc>
        <w:tc>
          <w:tcPr>
            <w:tcW w:w="366" w:type="pct"/>
            <w:tcBorders>
              <w:top w:val="nil"/>
              <w:left w:val="nil"/>
              <w:bottom w:val="nil"/>
              <w:right w:val="nil"/>
            </w:tcBorders>
            <w:shd w:val="clear" w:color="000000" w:fill="FFFFFF"/>
            <w:noWrap/>
            <w:vAlign w:val="center"/>
            <w:hideMark/>
          </w:tcPr>
          <w:p w14:paraId="336648B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2,256</w:t>
            </w:r>
          </w:p>
        </w:tc>
        <w:tc>
          <w:tcPr>
            <w:tcW w:w="366" w:type="pct"/>
            <w:tcBorders>
              <w:top w:val="nil"/>
              <w:left w:val="nil"/>
              <w:bottom w:val="nil"/>
              <w:right w:val="nil"/>
            </w:tcBorders>
            <w:shd w:val="clear" w:color="000000" w:fill="FFFFFF"/>
            <w:noWrap/>
            <w:vAlign w:val="center"/>
            <w:hideMark/>
          </w:tcPr>
          <w:p w14:paraId="7601146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1,414</w:t>
            </w:r>
          </w:p>
        </w:tc>
        <w:tc>
          <w:tcPr>
            <w:tcW w:w="366" w:type="pct"/>
            <w:tcBorders>
              <w:top w:val="nil"/>
              <w:left w:val="nil"/>
              <w:bottom w:val="nil"/>
              <w:right w:val="nil"/>
            </w:tcBorders>
            <w:shd w:val="clear" w:color="000000" w:fill="FFFFFF"/>
            <w:noWrap/>
            <w:vAlign w:val="center"/>
            <w:hideMark/>
          </w:tcPr>
          <w:p w14:paraId="2279D2B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2,073</w:t>
            </w:r>
          </w:p>
        </w:tc>
        <w:tc>
          <w:tcPr>
            <w:tcW w:w="499" w:type="pct"/>
            <w:tcBorders>
              <w:top w:val="nil"/>
              <w:left w:val="nil"/>
              <w:bottom w:val="nil"/>
              <w:right w:val="nil"/>
            </w:tcBorders>
            <w:shd w:val="clear" w:color="000000" w:fill="FFFFFF"/>
            <w:noWrap/>
            <w:vAlign w:val="center"/>
            <w:hideMark/>
          </w:tcPr>
          <w:p w14:paraId="3696BCE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90,654</w:t>
            </w:r>
          </w:p>
        </w:tc>
      </w:tr>
      <w:tr w:rsidR="00CB1621" w:rsidRPr="00C94004" w14:paraId="6CA2AA75"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1B80E89A" w14:textId="21886BE6"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GST</w:t>
            </w:r>
            <w:r w:rsidR="004D7064" w:rsidRPr="00C94004">
              <w:rPr>
                <w:rFonts w:ascii="Arial" w:hAnsi="Arial" w:cs="Arial"/>
                <w:sz w:val="16"/>
                <w:szCs w:val="16"/>
              </w:rPr>
              <w:noBreakHyphen/>
            </w:r>
            <w:r w:rsidRPr="00C94004">
              <w:rPr>
                <w:rFonts w:ascii="Arial" w:hAnsi="Arial" w:cs="Arial"/>
                <w:sz w:val="16"/>
                <w:szCs w:val="16"/>
              </w:rPr>
              <w:t>related payments(b)</w:t>
            </w:r>
          </w:p>
        </w:tc>
        <w:tc>
          <w:tcPr>
            <w:tcW w:w="394" w:type="pct"/>
            <w:tcBorders>
              <w:top w:val="nil"/>
              <w:left w:val="nil"/>
              <w:bottom w:val="nil"/>
              <w:right w:val="nil"/>
            </w:tcBorders>
            <w:shd w:val="clear" w:color="000000" w:fill="FFFFFF"/>
            <w:noWrap/>
            <w:vAlign w:val="center"/>
            <w:hideMark/>
          </w:tcPr>
          <w:p w14:paraId="3B680AB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27,215</w:t>
            </w:r>
          </w:p>
        </w:tc>
        <w:tc>
          <w:tcPr>
            <w:tcW w:w="394" w:type="pct"/>
            <w:tcBorders>
              <w:top w:val="nil"/>
              <w:left w:val="nil"/>
              <w:bottom w:val="nil"/>
              <w:right w:val="nil"/>
            </w:tcBorders>
            <w:shd w:val="clear" w:color="000000" w:fill="FFFFFF"/>
            <w:noWrap/>
            <w:vAlign w:val="center"/>
            <w:hideMark/>
          </w:tcPr>
          <w:p w14:paraId="216F5C0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24,827</w:t>
            </w:r>
          </w:p>
        </w:tc>
        <w:tc>
          <w:tcPr>
            <w:tcW w:w="393" w:type="pct"/>
            <w:tcBorders>
              <w:top w:val="nil"/>
              <w:left w:val="nil"/>
              <w:bottom w:val="nil"/>
              <w:right w:val="nil"/>
            </w:tcBorders>
            <w:shd w:val="clear" w:color="000000" w:fill="FFFFFF"/>
            <w:noWrap/>
            <w:vAlign w:val="center"/>
            <w:hideMark/>
          </w:tcPr>
          <w:p w14:paraId="482B558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19,531</w:t>
            </w:r>
          </w:p>
        </w:tc>
        <w:tc>
          <w:tcPr>
            <w:tcW w:w="393" w:type="pct"/>
            <w:tcBorders>
              <w:top w:val="nil"/>
              <w:left w:val="nil"/>
              <w:bottom w:val="nil"/>
              <w:right w:val="nil"/>
            </w:tcBorders>
            <w:shd w:val="clear" w:color="000000" w:fill="FFFFFF"/>
            <w:noWrap/>
            <w:vAlign w:val="center"/>
            <w:hideMark/>
          </w:tcPr>
          <w:p w14:paraId="417E2BE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7,591</w:t>
            </w:r>
          </w:p>
        </w:tc>
        <w:tc>
          <w:tcPr>
            <w:tcW w:w="393" w:type="pct"/>
            <w:tcBorders>
              <w:top w:val="nil"/>
              <w:left w:val="nil"/>
              <w:bottom w:val="nil"/>
              <w:right w:val="nil"/>
            </w:tcBorders>
            <w:shd w:val="clear" w:color="000000" w:fill="FFFFFF"/>
            <w:noWrap/>
            <w:vAlign w:val="center"/>
            <w:hideMark/>
          </w:tcPr>
          <w:p w14:paraId="206859A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9,362</w:t>
            </w:r>
          </w:p>
        </w:tc>
        <w:tc>
          <w:tcPr>
            <w:tcW w:w="366" w:type="pct"/>
            <w:tcBorders>
              <w:top w:val="nil"/>
              <w:left w:val="nil"/>
              <w:bottom w:val="nil"/>
              <w:right w:val="nil"/>
            </w:tcBorders>
            <w:shd w:val="clear" w:color="000000" w:fill="FFFFFF"/>
            <w:noWrap/>
            <w:vAlign w:val="center"/>
            <w:hideMark/>
          </w:tcPr>
          <w:p w14:paraId="5E4314E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3,673</w:t>
            </w:r>
          </w:p>
        </w:tc>
        <w:tc>
          <w:tcPr>
            <w:tcW w:w="366" w:type="pct"/>
            <w:tcBorders>
              <w:top w:val="nil"/>
              <w:left w:val="nil"/>
              <w:bottom w:val="nil"/>
              <w:right w:val="nil"/>
            </w:tcBorders>
            <w:shd w:val="clear" w:color="000000" w:fill="FFFFFF"/>
            <w:noWrap/>
            <w:vAlign w:val="center"/>
            <w:hideMark/>
          </w:tcPr>
          <w:p w14:paraId="4E85001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2,070</w:t>
            </w:r>
          </w:p>
        </w:tc>
        <w:tc>
          <w:tcPr>
            <w:tcW w:w="366" w:type="pct"/>
            <w:tcBorders>
              <w:top w:val="nil"/>
              <w:left w:val="nil"/>
              <w:bottom w:val="nil"/>
              <w:right w:val="nil"/>
            </w:tcBorders>
            <w:shd w:val="clear" w:color="000000" w:fill="FFFFFF"/>
            <w:noWrap/>
            <w:vAlign w:val="center"/>
            <w:hideMark/>
          </w:tcPr>
          <w:p w14:paraId="5F60371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4,402</w:t>
            </w:r>
          </w:p>
        </w:tc>
        <w:tc>
          <w:tcPr>
            <w:tcW w:w="499" w:type="pct"/>
            <w:tcBorders>
              <w:top w:val="nil"/>
              <w:left w:val="nil"/>
              <w:bottom w:val="nil"/>
              <w:right w:val="nil"/>
            </w:tcBorders>
            <w:shd w:val="clear" w:color="000000" w:fill="FFFFFF"/>
            <w:noWrap/>
            <w:vAlign w:val="center"/>
            <w:hideMark/>
          </w:tcPr>
          <w:p w14:paraId="092F0A1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98,671</w:t>
            </w:r>
          </w:p>
        </w:tc>
      </w:tr>
      <w:tr w:rsidR="00CB1621" w:rsidRPr="00C94004" w14:paraId="7FE448CA"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37723ABF"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Other general revenue</w:t>
            </w:r>
          </w:p>
        </w:tc>
        <w:tc>
          <w:tcPr>
            <w:tcW w:w="394" w:type="pct"/>
            <w:tcBorders>
              <w:top w:val="nil"/>
              <w:left w:val="nil"/>
              <w:bottom w:val="nil"/>
              <w:right w:val="nil"/>
            </w:tcBorders>
            <w:shd w:val="clear" w:color="000000" w:fill="FFFFFF"/>
            <w:noWrap/>
            <w:vAlign w:val="center"/>
            <w:hideMark/>
          </w:tcPr>
          <w:p w14:paraId="34448F2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45337B0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630331B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0C978E4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2D3A0E3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274108D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04FCC8F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70B59F2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02A7F16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435548F5"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73C967D1"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assistance</w:t>
            </w:r>
          </w:p>
        </w:tc>
        <w:tc>
          <w:tcPr>
            <w:tcW w:w="394" w:type="pct"/>
            <w:tcBorders>
              <w:top w:val="nil"/>
              <w:left w:val="nil"/>
              <w:bottom w:val="nil"/>
              <w:right w:val="nil"/>
            </w:tcBorders>
            <w:shd w:val="clear" w:color="000000" w:fill="FFFFFF"/>
            <w:noWrap/>
            <w:vAlign w:val="center"/>
            <w:hideMark/>
          </w:tcPr>
          <w:p w14:paraId="10A0A634" w14:textId="5BD5E4C4"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4" w:type="pct"/>
            <w:tcBorders>
              <w:top w:val="nil"/>
              <w:left w:val="nil"/>
              <w:bottom w:val="nil"/>
              <w:right w:val="nil"/>
            </w:tcBorders>
            <w:shd w:val="clear" w:color="000000" w:fill="FFFFFF"/>
            <w:noWrap/>
            <w:vAlign w:val="center"/>
            <w:hideMark/>
          </w:tcPr>
          <w:p w14:paraId="7E14D44E" w14:textId="60E81098"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0021B61E" w14:textId="1CEAC71B"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2854411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524</w:t>
            </w:r>
          </w:p>
        </w:tc>
        <w:tc>
          <w:tcPr>
            <w:tcW w:w="393" w:type="pct"/>
            <w:tcBorders>
              <w:top w:val="nil"/>
              <w:left w:val="nil"/>
              <w:bottom w:val="nil"/>
              <w:right w:val="nil"/>
            </w:tcBorders>
            <w:shd w:val="clear" w:color="000000" w:fill="FFFFFF"/>
            <w:noWrap/>
            <w:vAlign w:val="center"/>
            <w:hideMark/>
          </w:tcPr>
          <w:p w14:paraId="4351DEEE" w14:textId="6E04ECFC"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36E234F1" w14:textId="199AE90F"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1F15CB4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46</w:t>
            </w:r>
          </w:p>
        </w:tc>
        <w:tc>
          <w:tcPr>
            <w:tcW w:w="366" w:type="pct"/>
            <w:tcBorders>
              <w:top w:val="nil"/>
              <w:left w:val="nil"/>
              <w:bottom w:val="nil"/>
              <w:right w:val="nil"/>
            </w:tcBorders>
            <w:shd w:val="clear" w:color="000000" w:fill="FFFFFF"/>
            <w:noWrap/>
            <w:vAlign w:val="center"/>
            <w:hideMark/>
          </w:tcPr>
          <w:p w14:paraId="222458CF" w14:textId="76475B3E"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499" w:type="pct"/>
            <w:tcBorders>
              <w:top w:val="nil"/>
              <w:left w:val="nil"/>
              <w:bottom w:val="nil"/>
              <w:right w:val="nil"/>
            </w:tcBorders>
            <w:shd w:val="clear" w:color="000000" w:fill="FFFFFF"/>
            <w:noWrap/>
            <w:vAlign w:val="center"/>
            <w:hideMark/>
          </w:tcPr>
          <w:p w14:paraId="676FB3E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571</w:t>
            </w:r>
          </w:p>
        </w:tc>
      </w:tr>
      <w:tr w:rsidR="00CB1621" w:rsidRPr="00C94004" w14:paraId="3B617A12"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39DCC701"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Total payments to the states</w:t>
            </w:r>
          </w:p>
        </w:tc>
        <w:tc>
          <w:tcPr>
            <w:tcW w:w="394" w:type="pct"/>
            <w:tcBorders>
              <w:top w:val="single" w:sz="4" w:space="0" w:color="293F5B"/>
              <w:left w:val="nil"/>
              <w:bottom w:val="single" w:sz="4" w:space="0" w:color="293F5B"/>
              <w:right w:val="nil"/>
            </w:tcBorders>
            <w:shd w:val="clear" w:color="000000" w:fill="FFFFFF"/>
            <w:noWrap/>
            <w:vAlign w:val="center"/>
            <w:hideMark/>
          </w:tcPr>
          <w:p w14:paraId="65CB4FB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53,260</w:t>
            </w:r>
          </w:p>
        </w:tc>
        <w:tc>
          <w:tcPr>
            <w:tcW w:w="394" w:type="pct"/>
            <w:tcBorders>
              <w:top w:val="single" w:sz="4" w:space="0" w:color="293F5B"/>
              <w:left w:val="nil"/>
              <w:bottom w:val="single" w:sz="4" w:space="0" w:color="293F5B"/>
              <w:right w:val="nil"/>
            </w:tcBorders>
            <w:shd w:val="clear" w:color="000000" w:fill="FFFFFF"/>
            <w:noWrap/>
            <w:vAlign w:val="center"/>
            <w:hideMark/>
          </w:tcPr>
          <w:p w14:paraId="43BD53C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45,360</w:t>
            </w:r>
          </w:p>
        </w:tc>
        <w:tc>
          <w:tcPr>
            <w:tcW w:w="393" w:type="pct"/>
            <w:tcBorders>
              <w:top w:val="single" w:sz="4" w:space="0" w:color="293F5B"/>
              <w:left w:val="nil"/>
              <w:bottom w:val="single" w:sz="4" w:space="0" w:color="293F5B"/>
              <w:right w:val="nil"/>
            </w:tcBorders>
            <w:shd w:val="clear" w:color="000000" w:fill="FFFFFF"/>
            <w:noWrap/>
            <w:vAlign w:val="center"/>
            <w:hideMark/>
          </w:tcPr>
          <w:p w14:paraId="5144CE2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39,956</w:t>
            </w:r>
          </w:p>
        </w:tc>
        <w:tc>
          <w:tcPr>
            <w:tcW w:w="393" w:type="pct"/>
            <w:tcBorders>
              <w:top w:val="single" w:sz="4" w:space="0" w:color="293F5B"/>
              <w:left w:val="nil"/>
              <w:bottom w:val="single" w:sz="4" w:space="0" w:color="293F5B"/>
              <w:right w:val="nil"/>
            </w:tcBorders>
            <w:shd w:val="clear" w:color="000000" w:fill="FFFFFF"/>
            <w:noWrap/>
            <w:vAlign w:val="center"/>
            <w:hideMark/>
          </w:tcPr>
          <w:p w14:paraId="57A51FC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18,309</w:t>
            </w:r>
          </w:p>
        </w:tc>
        <w:tc>
          <w:tcPr>
            <w:tcW w:w="393" w:type="pct"/>
            <w:tcBorders>
              <w:top w:val="single" w:sz="4" w:space="0" w:color="293F5B"/>
              <w:left w:val="nil"/>
              <w:bottom w:val="single" w:sz="4" w:space="0" w:color="293F5B"/>
              <w:right w:val="nil"/>
            </w:tcBorders>
            <w:shd w:val="clear" w:color="000000" w:fill="FFFFFF"/>
            <w:noWrap/>
            <w:vAlign w:val="center"/>
            <w:hideMark/>
          </w:tcPr>
          <w:p w14:paraId="74C11A4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15,908</w:t>
            </w:r>
          </w:p>
        </w:tc>
        <w:tc>
          <w:tcPr>
            <w:tcW w:w="366" w:type="pct"/>
            <w:tcBorders>
              <w:top w:val="single" w:sz="4" w:space="0" w:color="293F5B"/>
              <w:left w:val="nil"/>
              <w:bottom w:val="single" w:sz="4" w:space="0" w:color="293F5B"/>
              <w:right w:val="nil"/>
            </w:tcBorders>
            <w:shd w:val="clear" w:color="000000" w:fill="FFFFFF"/>
            <w:noWrap/>
            <w:vAlign w:val="center"/>
            <w:hideMark/>
          </w:tcPr>
          <w:p w14:paraId="2F1A728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5,929</w:t>
            </w:r>
          </w:p>
        </w:tc>
        <w:tc>
          <w:tcPr>
            <w:tcW w:w="366" w:type="pct"/>
            <w:tcBorders>
              <w:top w:val="single" w:sz="4" w:space="0" w:color="293F5B"/>
              <w:left w:val="nil"/>
              <w:bottom w:val="single" w:sz="4" w:space="0" w:color="293F5B"/>
              <w:right w:val="nil"/>
            </w:tcBorders>
            <w:shd w:val="clear" w:color="000000" w:fill="FFFFFF"/>
            <w:noWrap/>
            <w:vAlign w:val="center"/>
            <w:hideMark/>
          </w:tcPr>
          <w:p w14:paraId="24A8A9B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3,531</w:t>
            </w:r>
          </w:p>
        </w:tc>
        <w:tc>
          <w:tcPr>
            <w:tcW w:w="366" w:type="pct"/>
            <w:tcBorders>
              <w:top w:val="single" w:sz="4" w:space="0" w:color="293F5B"/>
              <w:left w:val="nil"/>
              <w:bottom w:val="single" w:sz="4" w:space="0" w:color="293F5B"/>
              <w:right w:val="nil"/>
            </w:tcBorders>
            <w:shd w:val="clear" w:color="000000" w:fill="FFFFFF"/>
            <w:noWrap/>
            <w:vAlign w:val="center"/>
            <w:hideMark/>
          </w:tcPr>
          <w:p w14:paraId="7584ABC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6,475</w:t>
            </w:r>
          </w:p>
        </w:tc>
        <w:tc>
          <w:tcPr>
            <w:tcW w:w="499" w:type="pct"/>
            <w:tcBorders>
              <w:top w:val="single" w:sz="4" w:space="0" w:color="293F5B"/>
              <w:left w:val="nil"/>
              <w:bottom w:val="single" w:sz="4" w:space="0" w:color="293F5B"/>
              <w:right w:val="nil"/>
            </w:tcBorders>
            <w:shd w:val="clear" w:color="000000" w:fill="FFFFFF"/>
            <w:noWrap/>
            <w:vAlign w:val="center"/>
            <w:hideMark/>
          </w:tcPr>
          <w:p w14:paraId="7DBF9FC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189,895</w:t>
            </w:r>
          </w:p>
        </w:tc>
      </w:tr>
      <w:tr w:rsidR="00CB1621" w:rsidRPr="00C94004" w14:paraId="2B63928A"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2594EA38" w14:textId="30A9FACE" w:rsidR="00CB1621" w:rsidRPr="00C94004" w:rsidRDefault="00CB1621" w:rsidP="00CB1621">
            <w:pPr>
              <w:spacing w:before="0" w:after="0" w:line="240" w:lineRule="auto"/>
              <w:rPr>
                <w:rFonts w:ascii="Arial" w:hAnsi="Arial" w:cs="Arial"/>
                <w:b/>
                <w:bCs/>
                <w:sz w:val="16"/>
                <w:szCs w:val="16"/>
              </w:rPr>
            </w:pPr>
            <w:r w:rsidRPr="00C94004">
              <w:rPr>
                <w:rFonts w:ascii="Arial" w:hAnsi="Arial" w:cs="Arial"/>
                <w:b/>
                <w:bCs/>
                <w:sz w:val="16"/>
                <w:szCs w:val="16"/>
              </w:rPr>
              <w:t>2026</w:t>
            </w:r>
            <w:r w:rsidR="004D7064" w:rsidRPr="00C94004">
              <w:rPr>
                <w:rFonts w:ascii="Arial" w:hAnsi="Arial" w:cs="Arial"/>
                <w:b/>
                <w:bCs/>
                <w:sz w:val="16"/>
                <w:szCs w:val="16"/>
              </w:rPr>
              <w:noBreakHyphen/>
            </w:r>
            <w:r w:rsidRPr="00C94004">
              <w:rPr>
                <w:rFonts w:ascii="Arial" w:hAnsi="Arial" w:cs="Arial"/>
                <w:b/>
                <w:bCs/>
                <w:sz w:val="16"/>
                <w:szCs w:val="16"/>
              </w:rPr>
              <w:t>27</w:t>
            </w:r>
          </w:p>
        </w:tc>
        <w:tc>
          <w:tcPr>
            <w:tcW w:w="394" w:type="pct"/>
            <w:tcBorders>
              <w:top w:val="nil"/>
              <w:left w:val="nil"/>
              <w:bottom w:val="nil"/>
              <w:right w:val="nil"/>
            </w:tcBorders>
            <w:shd w:val="clear" w:color="000000" w:fill="FFFFFF"/>
            <w:noWrap/>
            <w:vAlign w:val="center"/>
            <w:hideMark/>
          </w:tcPr>
          <w:p w14:paraId="5CEA2C7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1EB91EC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3EDDDB8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603BCF3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71885C0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173F282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6CF3144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445E2B5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6BB21F3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380C7795"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25F975CD"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Payments for specific</w:t>
            </w:r>
          </w:p>
        </w:tc>
        <w:tc>
          <w:tcPr>
            <w:tcW w:w="394" w:type="pct"/>
            <w:tcBorders>
              <w:top w:val="nil"/>
              <w:left w:val="nil"/>
              <w:bottom w:val="nil"/>
              <w:right w:val="nil"/>
            </w:tcBorders>
            <w:shd w:val="clear" w:color="000000" w:fill="FFFFFF"/>
            <w:noWrap/>
            <w:vAlign w:val="center"/>
            <w:hideMark/>
          </w:tcPr>
          <w:p w14:paraId="6E28FFC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35E8777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323CD14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6236371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54ED199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26FBAFB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208FDA1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49AF68F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6959E0A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0489E456"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51544DD8"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purposes(a)</w:t>
            </w:r>
          </w:p>
        </w:tc>
        <w:tc>
          <w:tcPr>
            <w:tcW w:w="394" w:type="pct"/>
            <w:tcBorders>
              <w:top w:val="nil"/>
              <w:left w:val="nil"/>
              <w:bottom w:val="nil"/>
              <w:right w:val="nil"/>
            </w:tcBorders>
            <w:shd w:val="clear" w:color="000000" w:fill="FFFFFF"/>
            <w:noWrap/>
            <w:vAlign w:val="center"/>
            <w:hideMark/>
          </w:tcPr>
          <w:p w14:paraId="2A3B329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25,625</w:t>
            </w:r>
          </w:p>
        </w:tc>
        <w:tc>
          <w:tcPr>
            <w:tcW w:w="394" w:type="pct"/>
            <w:tcBorders>
              <w:top w:val="nil"/>
              <w:left w:val="nil"/>
              <w:bottom w:val="nil"/>
              <w:right w:val="nil"/>
            </w:tcBorders>
            <w:shd w:val="clear" w:color="000000" w:fill="FFFFFF"/>
            <w:noWrap/>
            <w:vAlign w:val="center"/>
            <w:hideMark/>
          </w:tcPr>
          <w:p w14:paraId="3C10532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22,028</w:t>
            </w:r>
          </w:p>
        </w:tc>
        <w:tc>
          <w:tcPr>
            <w:tcW w:w="393" w:type="pct"/>
            <w:tcBorders>
              <w:top w:val="nil"/>
              <w:left w:val="nil"/>
              <w:bottom w:val="nil"/>
              <w:right w:val="nil"/>
            </w:tcBorders>
            <w:shd w:val="clear" w:color="000000" w:fill="FFFFFF"/>
            <w:noWrap/>
            <w:vAlign w:val="center"/>
            <w:hideMark/>
          </w:tcPr>
          <w:p w14:paraId="59539F0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21,082</w:t>
            </w:r>
          </w:p>
        </w:tc>
        <w:tc>
          <w:tcPr>
            <w:tcW w:w="393" w:type="pct"/>
            <w:tcBorders>
              <w:top w:val="nil"/>
              <w:left w:val="nil"/>
              <w:bottom w:val="nil"/>
              <w:right w:val="nil"/>
            </w:tcBorders>
            <w:shd w:val="clear" w:color="000000" w:fill="FFFFFF"/>
            <w:noWrap/>
            <w:vAlign w:val="center"/>
            <w:hideMark/>
          </w:tcPr>
          <w:p w14:paraId="78093D9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9,392</w:t>
            </w:r>
          </w:p>
        </w:tc>
        <w:tc>
          <w:tcPr>
            <w:tcW w:w="393" w:type="pct"/>
            <w:tcBorders>
              <w:top w:val="nil"/>
              <w:left w:val="nil"/>
              <w:bottom w:val="nil"/>
              <w:right w:val="nil"/>
            </w:tcBorders>
            <w:shd w:val="clear" w:color="000000" w:fill="FFFFFF"/>
            <w:noWrap/>
            <w:vAlign w:val="center"/>
            <w:hideMark/>
          </w:tcPr>
          <w:p w14:paraId="158CA67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6,752</w:t>
            </w:r>
          </w:p>
        </w:tc>
        <w:tc>
          <w:tcPr>
            <w:tcW w:w="366" w:type="pct"/>
            <w:tcBorders>
              <w:top w:val="nil"/>
              <w:left w:val="nil"/>
              <w:bottom w:val="nil"/>
              <w:right w:val="nil"/>
            </w:tcBorders>
            <w:shd w:val="clear" w:color="000000" w:fill="FFFFFF"/>
            <w:noWrap/>
            <w:vAlign w:val="center"/>
            <w:hideMark/>
          </w:tcPr>
          <w:p w14:paraId="4FDB108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2,225</w:t>
            </w:r>
          </w:p>
        </w:tc>
        <w:tc>
          <w:tcPr>
            <w:tcW w:w="366" w:type="pct"/>
            <w:tcBorders>
              <w:top w:val="nil"/>
              <w:left w:val="nil"/>
              <w:bottom w:val="nil"/>
              <w:right w:val="nil"/>
            </w:tcBorders>
            <w:shd w:val="clear" w:color="000000" w:fill="FFFFFF"/>
            <w:noWrap/>
            <w:vAlign w:val="center"/>
            <w:hideMark/>
          </w:tcPr>
          <w:p w14:paraId="2216CB9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1,421</w:t>
            </w:r>
          </w:p>
        </w:tc>
        <w:tc>
          <w:tcPr>
            <w:tcW w:w="366" w:type="pct"/>
            <w:tcBorders>
              <w:top w:val="nil"/>
              <w:left w:val="nil"/>
              <w:bottom w:val="nil"/>
              <w:right w:val="nil"/>
            </w:tcBorders>
            <w:shd w:val="clear" w:color="000000" w:fill="FFFFFF"/>
            <w:noWrap/>
            <w:vAlign w:val="center"/>
            <w:hideMark/>
          </w:tcPr>
          <w:p w14:paraId="5F8D159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1,949</w:t>
            </w:r>
          </w:p>
        </w:tc>
        <w:tc>
          <w:tcPr>
            <w:tcW w:w="499" w:type="pct"/>
            <w:tcBorders>
              <w:top w:val="nil"/>
              <w:left w:val="nil"/>
              <w:bottom w:val="nil"/>
              <w:right w:val="nil"/>
            </w:tcBorders>
            <w:shd w:val="clear" w:color="000000" w:fill="FFFFFF"/>
            <w:noWrap/>
            <w:vAlign w:val="center"/>
            <w:hideMark/>
          </w:tcPr>
          <w:p w14:paraId="4281B1A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91,997</w:t>
            </w:r>
          </w:p>
        </w:tc>
      </w:tr>
      <w:tr w:rsidR="00CB1621" w:rsidRPr="00C94004" w14:paraId="530BFB46"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39096A58" w14:textId="30C47BFF"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GST</w:t>
            </w:r>
            <w:r w:rsidR="004D7064" w:rsidRPr="00C94004">
              <w:rPr>
                <w:rFonts w:ascii="Arial" w:hAnsi="Arial" w:cs="Arial"/>
                <w:sz w:val="16"/>
                <w:szCs w:val="16"/>
              </w:rPr>
              <w:noBreakHyphen/>
            </w:r>
            <w:r w:rsidRPr="00C94004">
              <w:rPr>
                <w:rFonts w:ascii="Arial" w:hAnsi="Arial" w:cs="Arial"/>
                <w:sz w:val="16"/>
                <w:szCs w:val="16"/>
              </w:rPr>
              <w:t>related payments(b)</w:t>
            </w:r>
          </w:p>
        </w:tc>
        <w:tc>
          <w:tcPr>
            <w:tcW w:w="394" w:type="pct"/>
            <w:tcBorders>
              <w:top w:val="nil"/>
              <w:left w:val="nil"/>
              <w:bottom w:val="nil"/>
              <w:right w:val="nil"/>
            </w:tcBorders>
            <w:shd w:val="clear" w:color="000000" w:fill="FFFFFF"/>
            <w:noWrap/>
            <w:vAlign w:val="center"/>
            <w:hideMark/>
          </w:tcPr>
          <w:p w14:paraId="3941872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28,358</w:t>
            </w:r>
          </w:p>
        </w:tc>
        <w:tc>
          <w:tcPr>
            <w:tcW w:w="394" w:type="pct"/>
            <w:tcBorders>
              <w:top w:val="nil"/>
              <w:left w:val="nil"/>
              <w:bottom w:val="nil"/>
              <w:right w:val="nil"/>
            </w:tcBorders>
            <w:shd w:val="clear" w:color="000000" w:fill="FFFFFF"/>
            <w:noWrap/>
            <w:vAlign w:val="center"/>
            <w:hideMark/>
          </w:tcPr>
          <w:p w14:paraId="21EB1DE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26,016</w:t>
            </w:r>
          </w:p>
        </w:tc>
        <w:tc>
          <w:tcPr>
            <w:tcW w:w="393" w:type="pct"/>
            <w:tcBorders>
              <w:top w:val="nil"/>
              <w:left w:val="nil"/>
              <w:bottom w:val="nil"/>
              <w:right w:val="nil"/>
            </w:tcBorders>
            <w:shd w:val="clear" w:color="000000" w:fill="FFFFFF"/>
            <w:noWrap/>
            <w:vAlign w:val="center"/>
            <w:hideMark/>
          </w:tcPr>
          <w:p w14:paraId="53E6802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20,385</w:t>
            </w:r>
          </w:p>
        </w:tc>
        <w:tc>
          <w:tcPr>
            <w:tcW w:w="393" w:type="pct"/>
            <w:tcBorders>
              <w:top w:val="nil"/>
              <w:left w:val="nil"/>
              <w:bottom w:val="nil"/>
              <w:right w:val="nil"/>
            </w:tcBorders>
            <w:shd w:val="clear" w:color="000000" w:fill="FFFFFF"/>
            <w:noWrap/>
            <w:vAlign w:val="center"/>
            <w:hideMark/>
          </w:tcPr>
          <w:p w14:paraId="4CD0421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9,152</w:t>
            </w:r>
          </w:p>
        </w:tc>
        <w:tc>
          <w:tcPr>
            <w:tcW w:w="393" w:type="pct"/>
            <w:tcBorders>
              <w:top w:val="nil"/>
              <w:left w:val="nil"/>
              <w:bottom w:val="nil"/>
              <w:right w:val="nil"/>
            </w:tcBorders>
            <w:shd w:val="clear" w:color="000000" w:fill="FFFFFF"/>
            <w:noWrap/>
            <w:vAlign w:val="center"/>
            <w:hideMark/>
          </w:tcPr>
          <w:p w14:paraId="6C8392D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9,761</w:t>
            </w:r>
          </w:p>
        </w:tc>
        <w:tc>
          <w:tcPr>
            <w:tcW w:w="366" w:type="pct"/>
            <w:tcBorders>
              <w:top w:val="nil"/>
              <w:left w:val="nil"/>
              <w:bottom w:val="nil"/>
              <w:right w:val="nil"/>
            </w:tcBorders>
            <w:shd w:val="clear" w:color="000000" w:fill="FFFFFF"/>
            <w:noWrap/>
            <w:vAlign w:val="center"/>
            <w:hideMark/>
          </w:tcPr>
          <w:p w14:paraId="0EA4337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3,834</w:t>
            </w:r>
          </w:p>
        </w:tc>
        <w:tc>
          <w:tcPr>
            <w:tcW w:w="366" w:type="pct"/>
            <w:tcBorders>
              <w:top w:val="nil"/>
              <w:left w:val="nil"/>
              <w:bottom w:val="nil"/>
              <w:right w:val="nil"/>
            </w:tcBorders>
            <w:shd w:val="clear" w:color="000000" w:fill="FFFFFF"/>
            <w:noWrap/>
            <w:vAlign w:val="center"/>
            <w:hideMark/>
          </w:tcPr>
          <w:p w14:paraId="4C5655E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2,173</w:t>
            </w:r>
          </w:p>
        </w:tc>
        <w:tc>
          <w:tcPr>
            <w:tcW w:w="366" w:type="pct"/>
            <w:tcBorders>
              <w:top w:val="nil"/>
              <w:left w:val="nil"/>
              <w:bottom w:val="nil"/>
              <w:right w:val="nil"/>
            </w:tcBorders>
            <w:shd w:val="clear" w:color="000000" w:fill="FFFFFF"/>
            <w:noWrap/>
            <w:vAlign w:val="center"/>
            <w:hideMark/>
          </w:tcPr>
          <w:p w14:paraId="2729A52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4,635</w:t>
            </w:r>
          </w:p>
        </w:tc>
        <w:tc>
          <w:tcPr>
            <w:tcW w:w="499" w:type="pct"/>
            <w:tcBorders>
              <w:top w:val="nil"/>
              <w:left w:val="nil"/>
              <w:bottom w:val="nil"/>
              <w:right w:val="nil"/>
            </w:tcBorders>
            <w:shd w:val="clear" w:color="000000" w:fill="FFFFFF"/>
            <w:noWrap/>
            <w:vAlign w:val="center"/>
            <w:hideMark/>
          </w:tcPr>
          <w:p w14:paraId="03B1B22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104,314</w:t>
            </w:r>
          </w:p>
        </w:tc>
      </w:tr>
      <w:tr w:rsidR="00CB1621" w:rsidRPr="00C94004" w14:paraId="196330EB"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0DB3915D"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Other general revenue</w:t>
            </w:r>
          </w:p>
        </w:tc>
        <w:tc>
          <w:tcPr>
            <w:tcW w:w="394" w:type="pct"/>
            <w:tcBorders>
              <w:top w:val="nil"/>
              <w:left w:val="nil"/>
              <w:bottom w:val="nil"/>
              <w:right w:val="nil"/>
            </w:tcBorders>
            <w:shd w:val="clear" w:color="000000" w:fill="FFFFFF"/>
            <w:noWrap/>
            <w:vAlign w:val="center"/>
            <w:hideMark/>
          </w:tcPr>
          <w:p w14:paraId="3CDC439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691A21D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2A9220F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430732A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062E9D0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454B4BD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74A974A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23EE47E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074912C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25C5F52A"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0D58772C"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assistance</w:t>
            </w:r>
          </w:p>
        </w:tc>
        <w:tc>
          <w:tcPr>
            <w:tcW w:w="394" w:type="pct"/>
            <w:tcBorders>
              <w:top w:val="nil"/>
              <w:left w:val="nil"/>
              <w:bottom w:val="nil"/>
              <w:right w:val="nil"/>
            </w:tcBorders>
            <w:shd w:val="clear" w:color="000000" w:fill="FFFFFF"/>
            <w:noWrap/>
            <w:vAlign w:val="center"/>
            <w:hideMark/>
          </w:tcPr>
          <w:p w14:paraId="15E0979F" w14:textId="2AB01014"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4" w:type="pct"/>
            <w:tcBorders>
              <w:top w:val="nil"/>
              <w:left w:val="nil"/>
              <w:bottom w:val="nil"/>
              <w:right w:val="nil"/>
            </w:tcBorders>
            <w:shd w:val="clear" w:color="000000" w:fill="FFFFFF"/>
            <w:noWrap/>
            <w:vAlign w:val="center"/>
            <w:hideMark/>
          </w:tcPr>
          <w:p w14:paraId="642570EC" w14:textId="36C268C3"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0B69F67D" w14:textId="544AE51C"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7B21CA5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410</w:t>
            </w:r>
          </w:p>
        </w:tc>
        <w:tc>
          <w:tcPr>
            <w:tcW w:w="393" w:type="pct"/>
            <w:tcBorders>
              <w:top w:val="nil"/>
              <w:left w:val="nil"/>
              <w:bottom w:val="nil"/>
              <w:right w:val="nil"/>
            </w:tcBorders>
            <w:shd w:val="clear" w:color="000000" w:fill="FFFFFF"/>
            <w:noWrap/>
            <w:vAlign w:val="center"/>
            <w:hideMark/>
          </w:tcPr>
          <w:p w14:paraId="5A5C3688" w14:textId="4BC5FAB2"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1EA4F1D3" w14:textId="02D67063"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38DDED2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47</w:t>
            </w:r>
          </w:p>
        </w:tc>
        <w:tc>
          <w:tcPr>
            <w:tcW w:w="366" w:type="pct"/>
            <w:tcBorders>
              <w:top w:val="nil"/>
              <w:left w:val="nil"/>
              <w:bottom w:val="nil"/>
              <w:right w:val="nil"/>
            </w:tcBorders>
            <w:shd w:val="clear" w:color="000000" w:fill="FFFFFF"/>
            <w:noWrap/>
            <w:vAlign w:val="center"/>
            <w:hideMark/>
          </w:tcPr>
          <w:p w14:paraId="34DF4E7A" w14:textId="246E8224"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499" w:type="pct"/>
            <w:tcBorders>
              <w:top w:val="nil"/>
              <w:left w:val="nil"/>
              <w:bottom w:val="nil"/>
              <w:right w:val="nil"/>
            </w:tcBorders>
            <w:shd w:val="clear" w:color="000000" w:fill="FFFFFF"/>
            <w:noWrap/>
            <w:vAlign w:val="center"/>
            <w:hideMark/>
          </w:tcPr>
          <w:p w14:paraId="75D2745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458</w:t>
            </w:r>
          </w:p>
        </w:tc>
      </w:tr>
      <w:tr w:rsidR="00CB1621" w:rsidRPr="00C94004" w14:paraId="760BCE83"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365B11B8"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Total payments to the states</w:t>
            </w:r>
          </w:p>
        </w:tc>
        <w:tc>
          <w:tcPr>
            <w:tcW w:w="394" w:type="pct"/>
            <w:tcBorders>
              <w:top w:val="single" w:sz="4" w:space="0" w:color="293F5B"/>
              <w:left w:val="nil"/>
              <w:bottom w:val="single" w:sz="4" w:space="0" w:color="293F5B"/>
              <w:right w:val="nil"/>
            </w:tcBorders>
            <w:shd w:val="clear" w:color="000000" w:fill="FFFFFF"/>
            <w:noWrap/>
            <w:vAlign w:val="center"/>
            <w:hideMark/>
          </w:tcPr>
          <w:p w14:paraId="5EC381E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53,983</w:t>
            </w:r>
          </w:p>
        </w:tc>
        <w:tc>
          <w:tcPr>
            <w:tcW w:w="394" w:type="pct"/>
            <w:tcBorders>
              <w:top w:val="single" w:sz="4" w:space="0" w:color="293F5B"/>
              <w:left w:val="nil"/>
              <w:bottom w:val="single" w:sz="4" w:space="0" w:color="293F5B"/>
              <w:right w:val="nil"/>
            </w:tcBorders>
            <w:shd w:val="clear" w:color="000000" w:fill="FFFFFF"/>
            <w:noWrap/>
            <w:vAlign w:val="center"/>
            <w:hideMark/>
          </w:tcPr>
          <w:p w14:paraId="0D5C693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48,045</w:t>
            </w:r>
          </w:p>
        </w:tc>
        <w:tc>
          <w:tcPr>
            <w:tcW w:w="393" w:type="pct"/>
            <w:tcBorders>
              <w:top w:val="single" w:sz="4" w:space="0" w:color="293F5B"/>
              <w:left w:val="nil"/>
              <w:bottom w:val="single" w:sz="4" w:space="0" w:color="293F5B"/>
              <w:right w:val="nil"/>
            </w:tcBorders>
            <w:shd w:val="clear" w:color="000000" w:fill="FFFFFF"/>
            <w:noWrap/>
            <w:vAlign w:val="center"/>
            <w:hideMark/>
          </w:tcPr>
          <w:p w14:paraId="2D3E4AF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41,468</w:t>
            </w:r>
          </w:p>
        </w:tc>
        <w:tc>
          <w:tcPr>
            <w:tcW w:w="393" w:type="pct"/>
            <w:tcBorders>
              <w:top w:val="single" w:sz="4" w:space="0" w:color="293F5B"/>
              <w:left w:val="nil"/>
              <w:bottom w:val="single" w:sz="4" w:space="0" w:color="293F5B"/>
              <w:right w:val="nil"/>
            </w:tcBorders>
            <w:shd w:val="clear" w:color="000000" w:fill="FFFFFF"/>
            <w:noWrap/>
            <w:vAlign w:val="center"/>
            <w:hideMark/>
          </w:tcPr>
          <w:p w14:paraId="49CDA3B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18,954</w:t>
            </w:r>
          </w:p>
        </w:tc>
        <w:tc>
          <w:tcPr>
            <w:tcW w:w="393" w:type="pct"/>
            <w:tcBorders>
              <w:top w:val="single" w:sz="4" w:space="0" w:color="293F5B"/>
              <w:left w:val="nil"/>
              <w:bottom w:val="single" w:sz="4" w:space="0" w:color="293F5B"/>
              <w:right w:val="nil"/>
            </w:tcBorders>
            <w:shd w:val="clear" w:color="000000" w:fill="FFFFFF"/>
            <w:noWrap/>
            <w:vAlign w:val="center"/>
            <w:hideMark/>
          </w:tcPr>
          <w:p w14:paraId="710F7F9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16,513</w:t>
            </w:r>
          </w:p>
        </w:tc>
        <w:tc>
          <w:tcPr>
            <w:tcW w:w="366" w:type="pct"/>
            <w:tcBorders>
              <w:top w:val="single" w:sz="4" w:space="0" w:color="293F5B"/>
              <w:left w:val="nil"/>
              <w:bottom w:val="single" w:sz="4" w:space="0" w:color="293F5B"/>
              <w:right w:val="nil"/>
            </w:tcBorders>
            <w:shd w:val="clear" w:color="000000" w:fill="FFFFFF"/>
            <w:noWrap/>
            <w:vAlign w:val="center"/>
            <w:hideMark/>
          </w:tcPr>
          <w:p w14:paraId="7A9EE6A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6,059</w:t>
            </w:r>
          </w:p>
        </w:tc>
        <w:tc>
          <w:tcPr>
            <w:tcW w:w="366" w:type="pct"/>
            <w:tcBorders>
              <w:top w:val="single" w:sz="4" w:space="0" w:color="293F5B"/>
              <w:left w:val="nil"/>
              <w:bottom w:val="single" w:sz="4" w:space="0" w:color="293F5B"/>
              <w:right w:val="nil"/>
            </w:tcBorders>
            <w:shd w:val="clear" w:color="000000" w:fill="FFFFFF"/>
            <w:noWrap/>
            <w:vAlign w:val="center"/>
            <w:hideMark/>
          </w:tcPr>
          <w:p w14:paraId="3D04497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3,642</w:t>
            </w:r>
          </w:p>
        </w:tc>
        <w:tc>
          <w:tcPr>
            <w:tcW w:w="366" w:type="pct"/>
            <w:tcBorders>
              <w:top w:val="single" w:sz="4" w:space="0" w:color="293F5B"/>
              <w:left w:val="nil"/>
              <w:bottom w:val="single" w:sz="4" w:space="0" w:color="293F5B"/>
              <w:right w:val="nil"/>
            </w:tcBorders>
            <w:shd w:val="clear" w:color="000000" w:fill="FFFFFF"/>
            <w:noWrap/>
            <w:vAlign w:val="center"/>
            <w:hideMark/>
          </w:tcPr>
          <w:p w14:paraId="68828915"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6,584</w:t>
            </w:r>
          </w:p>
        </w:tc>
        <w:tc>
          <w:tcPr>
            <w:tcW w:w="499" w:type="pct"/>
            <w:tcBorders>
              <w:top w:val="single" w:sz="4" w:space="0" w:color="293F5B"/>
              <w:left w:val="nil"/>
              <w:bottom w:val="single" w:sz="4" w:space="0" w:color="293F5B"/>
              <w:right w:val="nil"/>
            </w:tcBorders>
            <w:shd w:val="clear" w:color="000000" w:fill="FFFFFF"/>
            <w:noWrap/>
            <w:vAlign w:val="center"/>
            <w:hideMark/>
          </w:tcPr>
          <w:p w14:paraId="72D1CF5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196,768</w:t>
            </w:r>
          </w:p>
        </w:tc>
      </w:tr>
      <w:tr w:rsidR="00CB1621" w:rsidRPr="00C94004" w14:paraId="1E9130AB"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3DFE6150" w14:textId="5432E782" w:rsidR="00CB1621" w:rsidRPr="00C94004" w:rsidRDefault="00CB1621" w:rsidP="00CB1621">
            <w:pPr>
              <w:spacing w:before="0" w:after="0" w:line="240" w:lineRule="auto"/>
              <w:rPr>
                <w:rFonts w:ascii="Arial" w:hAnsi="Arial" w:cs="Arial"/>
                <w:b/>
                <w:bCs/>
                <w:sz w:val="16"/>
                <w:szCs w:val="16"/>
              </w:rPr>
            </w:pPr>
            <w:r w:rsidRPr="00C94004">
              <w:rPr>
                <w:rFonts w:ascii="Arial" w:hAnsi="Arial" w:cs="Arial"/>
                <w:b/>
                <w:bCs/>
                <w:sz w:val="16"/>
                <w:szCs w:val="16"/>
              </w:rPr>
              <w:t>2027</w:t>
            </w:r>
            <w:r w:rsidR="004D7064" w:rsidRPr="00C94004">
              <w:rPr>
                <w:rFonts w:ascii="Arial" w:hAnsi="Arial" w:cs="Arial"/>
                <w:b/>
                <w:bCs/>
                <w:sz w:val="16"/>
                <w:szCs w:val="16"/>
              </w:rPr>
              <w:noBreakHyphen/>
            </w:r>
            <w:r w:rsidRPr="00C94004">
              <w:rPr>
                <w:rFonts w:ascii="Arial" w:hAnsi="Arial" w:cs="Arial"/>
                <w:b/>
                <w:bCs/>
                <w:sz w:val="16"/>
                <w:szCs w:val="16"/>
              </w:rPr>
              <w:t>28</w:t>
            </w:r>
          </w:p>
        </w:tc>
        <w:tc>
          <w:tcPr>
            <w:tcW w:w="394" w:type="pct"/>
            <w:tcBorders>
              <w:top w:val="nil"/>
              <w:left w:val="nil"/>
              <w:bottom w:val="nil"/>
              <w:right w:val="nil"/>
            </w:tcBorders>
            <w:shd w:val="clear" w:color="000000" w:fill="FFFFFF"/>
            <w:noWrap/>
            <w:vAlign w:val="center"/>
            <w:hideMark/>
          </w:tcPr>
          <w:p w14:paraId="62E81F4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7E0542E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2AE597A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44F6B60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47B13F3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75D4298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674A117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1F8D9C3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16ADA49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1BB7D2E9"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4304DFD8"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Payments for specific</w:t>
            </w:r>
          </w:p>
        </w:tc>
        <w:tc>
          <w:tcPr>
            <w:tcW w:w="394" w:type="pct"/>
            <w:tcBorders>
              <w:top w:val="nil"/>
              <w:left w:val="nil"/>
              <w:bottom w:val="nil"/>
              <w:right w:val="nil"/>
            </w:tcBorders>
            <w:shd w:val="clear" w:color="000000" w:fill="FFFFFF"/>
            <w:noWrap/>
            <w:vAlign w:val="center"/>
            <w:hideMark/>
          </w:tcPr>
          <w:p w14:paraId="2D0C458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4AD305C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1C91B20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1C67B7B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51FFED6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62426C6A"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294617F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0112496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3597CD9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6696EAC1"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7622EF89"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purposes(a)</w:t>
            </w:r>
          </w:p>
        </w:tc>
        <w:tc>
          <w:tcPr>
            <w:tcW w:w="394" w:type="pct"/>
            <w:tcBorders>
              <w:top w:val="nil"/>
              <w:left w:val="nil"/>
              <w:bottom w:val="nil"/>
              <w:right w:val="nil"/>
            </w:tcBorders>
            <w:shd w:val="clear" w:color="000000" w:fill="FFFFFF"/>
            <w:noWrap/>
            <w:vAlign w:val="center"/>
            <w:hideMark/>
          </w:tcPr>
          <w:p w14:paraId="354C5222"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26,370</w:t>
            </w:r>
          </w:p>
        </w:tc>
        <w:tc>
          <w:tcPr>
            <w:tcW w:w="394" w:type="pct"/>
            <w:tcBorders>
              <w:top w:val="nil"/>
              <w:left w:val="nil"/>
              <w:bottom w:val="nil"/>
              <w:right w:val="nil"/>
            </w:tcBorders>
            <w:shd w:val="clear" w:color="000000" w:fill="FFFFFF"/>
            <w:noWrap/>
            <w:vAlign w:val="center"/>
            <w:hideMark/>
          </w:tcPr>
          <w:p w14:paraId="4BF7A37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22,945</w:t>
            </w:r>
          </w:p>
        </w:tc>
        <w:tc>
          <w:tcPr>
            <w:tcW w:w="393" w:type="pct"/>
            <w:tcBorders>
              <w:top w:val="nil"/>
              <w:left w:val="nil"/>
              <w:bottom w:val="nil"/>
              <w:right w:val="nil"/>
            </w:tcBorders>
            <w:shd w:val="clear" w:color="000000" w:fill="FFFFFF"/>
            <w:noWrap/>
            <w:vAlign w:val="center"/>
            <w:hideMark/>
          </w:tcPr>
          <w:p w14:paraId="7646E02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21,398</w:t>
            </w:r>
          </w:p>
        </w:tc>
        <w:tc>
          <w:tcPr>
            <w:tcW w:w="393" w:type="pct"/>
            <w:tcBorders>
              <w:top w:val="nil"/>
              <w:left w:val="nil"/>
              <w:bottom w:val="nil"/>
              <w:right w:val="nil"/>
            </w:tcBorders>
            <w:shd w:val="clear" w:color="000000" w:fill="FFFFFF"/>
            <w:noWrap/>
            <w:vAlign w:val="center"/>
            <w:hideMark/>
          </w:tcPr>
          <w:p w14:paraId="1811FC6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9,084</w:t>
            </w:r>
          </w:p>
        </w:tc>
        <w:tc>
          <w:tcPr>
            <w:tcW w:w="393" w:type="pct"/>
            <w:tcBorders>
              <w:top w:val="nil"/>
              <w:left w:val="nil"/>
              <w:bottom w:val="nil"/>
              <w:right w:val="nil"/>
            </w:tcBorders>
            <w:shd w:val="clear" w:color="000000" w:fill="FFFFFF"/>
            <w:noWrap/>
            <w:vAlign w:val="center"/>
            <w:hideMark/>
          </w:tcPr>
          <w:p w14:paraId="050DCDB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6,839</w:t>
            </w:r>
          </w:p>
        </w:tc>
        <w:tc>
          <w:tcPr>
            <w:tcW w:w="366" w:type="pct"/>
            <w:tcBorders>
              <w:top w:val="nil"/>
              <w:left w:val="nil"/>
              <w:bottom w:val="nil"/>
              <w:right w:val="nil"/>
            </w:tcBorders>
            <w:shd w:val="clear" w:color="000000" w:fill="FFFFFF"/>
            <w:noWrap/>
            <w:vAlign w:val="center"/>
            <w:hideMark/>
          </w:tcPr>
          <w:p w14:paraId="7D99E9CD"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2,159</w:t>
            </w:r>
          </w:p>
        </w:tc>
        <w:tc>
          <w:tcPr>
            <w:tcW w:w="366" w:type="pct"/>
            <w:tcBorders>
              <w:top w:val="nil"/>
              <w:left w:val="nil"/>
              <w:bottom w:val="nil"/>
              <w:right w:val="nil"/>
            </w:tcBorders>
            <w:shd w:val="clear" w:color="000000" w:fill="FFFFFF"/>
            <w:noWrap/>
            <w:vAlign w:val="center"/>
            <w:hideMark/>
          </w:tcPr>
          <w:p w14:paraId="14AB552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1,455</w:t>
            </w:r>
          </w:p>
        </w:tc>
        <w:tc>
          <w:tcPr>
            <w:tcW w:w="366" w:type="pct"/>
            <w:tcBorders>
              <w:top w:val="nil"/>
              <w:left w:val="nil"/>
              <w:bottom w:val="nil"/>
              <w:right w:val="nil"/>
            </w:tcBorders>
            <w:shd w:val="clear" w:color="000000" w:fill="FFFFFF"/>
            <w:noWrap/>
            <w:vAlign w:val="center"/>
            <w:hideMark/>
          </w:tcPr>
          <w:p w14:paraId="0BEDD65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1,666</w:t>
            </w:r>
          </w:p>
        </w:tc>
        <w:tc>
          <w:tcPr>
            <w:tcW w:w="499" w:type="pct"/>
            <w:tcBorders>
              <w:top w:val="nil"/>
              <w:left w:val="nil"/>
              <w:bottom w:val="nil"/>
              <w:right w:val="nil"/>
            </w:tcBorders>
            <w:shd w:val="clear" w:color="000000" w:fill="FFFFFF"/>
            <w:noWrap/>
            <w:vAlign w:val="center"/>
            <w:hideMark/>
          </w:tcPr>
          <w:p w14:paraId="3E448B0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93,111</w:t>
            </w:r>
          </w:p>
        </w:tc>
      </w:tr>
      <w:tr w:rsidR="00CB1621" w:rsidRPr="00C94004" w14:paraId="60C4C86C"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46B8CC13" w14:textId="4DFF860D"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GST</w:t>
            </w:r>
            <w:r w:rsidR="004D7064" w:rsidRPr="00C94004">
              <w:rPr>
                <w:rFonts w:ascii="Arial" w:hAnsi="Arial" w:cs="Arial"/>
                <w:sz w:val="16"/>
                <w:szCs w:val="16"/>
              </w:rPr>
              <w:noBreakHyphen/>
            </w:r>
            <w:r w:rsidRPr="00C94004">
              <w:rPr>
                <w:rFonts w:ascii="Arial" w:hAnsi="Arial" w:cs="Arial"/>
                <w:sz w:val="16"/>
                <w:szCs w:val="16"/>
              </w:rPr>
              <w:t>related payments(b)</w:t>
            </w:r>
          </w:p>
        </w:tc>
        <w:tc>
          <w:tcPr>
            <w:tcW w:w="394" w:type="pct"/>
            <w:tcBorders>
              <w:top w:val="nil"/>
              <w:left w:val="nil"/>
              <w:bottom w:val="nil"/>
              <w:right w:val="nil"/>
            </w:tcBorders>
            <w:shd w:val="clear" w:color="000000" w:fill="FFFFFF"/>
            <w:noWrap/>
            <w:vAlign w:val="center"/>
            <w:hideMark/>
          </w:tcPr>
          <w:p w14:paraId="3A79C63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29,463</w:t>
            </w:r>
          </w:p>
        </w:tc>
        <w:tc>
          <w:tcPr>
            <w:tcW w:w="394" w:type="pct"/>
            <w:tcBorders>
              <w:top w:val="nil"/>
              <w:left w:val="nil"/>
              <w:bottom w:val="nil"/>
              <w:right w:val="nil"/>
            </w:tcBorders>
            <w:shd w:val="clear" w:color="000000" w:fill="FFFFFF"/>
            <w:noWrap/>
            <w:vAlign w:val="center"/>
            <w:hideMark/>
          </w:tcPr>
          <w:p w14:paraId="6CB56F70"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27,183</w:t>
            </w:r>
          </w:p>
        </w:tc>
        <w:tc>
          <w:tcPr>
            <w:tcW w:w="393" w:type="pct"/>
            <w:tcBorders>
              <w:top w:val="nil"/>
              <w:left w:val="nil"/>
              <w:bottom w:val="nil"/>
              <w:right w:val="nil"/>
            </w:tcBorders>
            <w:shd w:val="clear" w:color="000000" w:fill="FFFFFF"/>
            <w:noWrap/>
            <w:vAlign w:val="center"/>
            <w:hideMark/>
          </w:tcPr>
          <w:p w14:paraId="0780FE8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21,218</w:t>
            </w:r>
          </w:p>
        </w:tc>
        <w:tc>
          <w:tcPr>
            <w:tcW w:w="393" w:type="pct"/>
            <w:tcBorders>
              <w:top w:val="nil"/>
              <w:left w:val="nil"/>
              <w:bottom w:val="nil"/>
              <w:right w:val="nil"/>
            </w:tcBorders>
            <w:shd w:val="clear" w:color="000000" w:fill="FFFFFF"/>
            <w:noWrap/>
            <w:vAlign w:val="center"/>
            <w:hideMark/>
          </w:tcPr>
          <w:p w14:paraId="7AB0FE4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9,656</w:t>
            </w:r>
          </w:p>
        </w:tc>
        <w:tc>
          <w:tcPr>
            <w:tcW w:w="393" w:type="pct"/>
            <w:tcBorders>
              <w:top w:val="nil"/>
              <w:left w:val="nil"/>
              <w:bottom w:val="nil"/>
              <w:right w:val="nil"/>
            </w:tcBorders>
            <w:shd w:val="clear" w:color="000000" w:fill="FFFFFF"/>
            <w:noWrap/>
            <w:vAlign w:val="center"/>
            <w:hideMark/>
          </w:tcPr>
          <w:p w14:paraId="7317819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10,153</w:t>
            </w:r>
          </w:p>
        </w:tc>
        <w:tc>
          <w:tcPr>
            <w:tcW w:w="366" w:type="pct"/>
            <w:tcBorders>
              <w:top w:val="nil"/>
              <w:left w:val="nil"/>
              <w:bottom w:val="nil"/>
              <w:right w:val="nil"/>
            </w:tcBorders>
            <w:shd w:val="clear" w:color="000000" w:fill="FFFFFF"/>
            <w:noWrap/>
            <w:vAlign w:val="center"/>
            <w:hideMark/>
          </w:tcPr>
          <w:p w14:paraId="67D4819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3,994</w:t>
            </w:r>
          </w:p>
        </w:tc>
        <w:tc>
          <w:tcPr>
            <w:tcW w:w="366" w:type="pct"/>
            <w:tcBorders>
              <w:top w:val="nil"/>
              <w:left w:val="nil"/>
              <w:bottom w:val="nil"/>
              <w:right w:val="nil"/>
            </w:tcBorders>
            <w:shd w:val="clear" w:color="000000" w:fill="FFFFFF"/>
            <w:noWrap/>
            <w:vAlign w:val="center"/>
            <w:hideMark/>
          </w:tcPr>
          <w:p w14:paraId="5E7D173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2,273</w:t>
            </w:r>
          </w:p>
        </w:tc>
        <w:tc>
          <w:tcPr>
            <w:tcW w:w="366" w:type="pct"/>
            <w:tcBorders>
              <w:top w:val="nil"/>
              <w:left w:val="nil"/>
              <w:bottom w:val="nil"/>
              <w:right w:val="nil"/>
            </w:tcBorders>
            <w:shd w:val="clear" w:color="000000" w:fill="FFFFFF"/>
            <w:noWrap/>
            <w:vAlign w:val="center"/>
            <w:hideMark/>
          </w:tcPr>
          <w:p w14:paraId="7FF04EC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4,869</w:t>
            </w:r>
          </w:p>
        </w:tc>
        <w:tc>
          <w:tcPr>
            <w:tcW w:w="499" w:type="pct"/>
            <w:tcBorders>
              <w:top w:val="nil"/>
              <w:left w:val="nil"/>
              <w:bottom w:val="nil"/>
              <w:right w:val="nil"/>
            </w:tcBorders>
            <w:shd w:val="clear" w:color="000000" w:fill="FFFFFF"/>
            <w:noWrap/>
            <w:vAlign w:val="center"/>
            <w:hideMark/>
          </w:tcPr>
          <w:p w14:paraId="410B122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108,809</w:t>
            </w:r>
          </w:p>
        </w:tc>
      </w:tr>
      <w:tr w:rsidR="00CB1621" w:rsidRPr="00C94004" w14:paraId="343E3000"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7849B80A"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Other general revenue</w:t>
            </w:r>
          </w:p>
        </w:tc>
        <w:tc>
          <w:tcPr>
            <w:tcW w:w="394" w:type="pct"/>
            <w:tcBorders>
              <w:top w:val="nil"/>
              <w:left w:val="nil"/>
              <w:bottom w:val="nil"/>
              <w:right w:val="nil"/>
            </w:tcBorders>
            <w:shd w:val="clear" w:color="000000" w:fill="FFFFFF"/>
            <w:noWrap/>
            <w:vAlign w:val="center"/>
            <w:hideMark/>
          </w:tcPr>
          <w:p w14:paraId="3F264B8C"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4" w:type="pct"/>
            <w:tcBorders>
              <w:top w:val="nil"/>
              <w:left w:val="nil"/>
              <w:bottom w:val="nil"/>
              <w:right w:val="nil"/>
            </w:tcBorders>
            <w:shd w:val="clear" w:color="000000" w:fill="FFFFFF"/>
            <w:noWrap/>
            <w:vAlign w:val="center"/>
            <w:hideMark/>
          </w:tcPr>
          <w:p w14:paraId="3B2D13B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4B598BB3"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45512B6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93" w:type="pct"/>
            <w:tcBorders>
              <w:top w:val="nil"/>
              <w:left w:val="nil"/>
              <w:bottom w:val="nil"/>
              <w:right w:val="nil"/>
            </w:tcBorders>
            <w:shd w:val="clear" w:color="000000" w:fill="FFFFFF"/>
            <w:noWrap/>
            <w:vAlign w:val="center"/>
            <w:hideMark/>
          </w:tcPr>
          <w:p w14:paraId="55FB7618"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2AEE68D6"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1738A5B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366" w:type="pct"/>
            <w:tcBorders>
              <w:top w:val="nil"/>
              <w:left w:val="nil"/>
              <w:bottom w:val="nil"/>
              <w:right w:val="nil"/>
            </w:tcBorders>
            <w:shd w:val="clear" w:color="000000" w:fill="FFFFFF"/>
            <w:noWrap/>
            <w:vAlign w:val="center"/>
            <w:hideMark/>
          </w:tcPr>
          <w:p w14:paraId="733A64B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c>
          <w:tcPr>
            <w:tcW w:w="499" w:type="pct"/>
            <w:tcBorders>
              <w:top w:val="nil"/>
              <w:left w:val="nil"/>
              <w:bottom w:val="nil"/>
              <w:right w:val="nil"/>
            </w:tcBorders>
            <w:shd w:val="clear" w:color="000000" w:fill="FFFFFF"/>
            <w:noWrap/>
            <w:vAlign w:val="center"/>
            <w:hideMark/>
          </w:tcPr>
          <w:p w14:paraId="2237081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 </w:t>
            </w:r>
          </w:p>
        </w:tc>
      </w:tr>
      <w:tr w:rsidR="00CB1621" w:rsidRPr="00C94004" w14:paraId="2D612AD0" w14:textId="77777777" w:rsidTr="00CB1621">
        <w:trPr>
          <w:trHeight w:hRule="exact" w:val="225"/>
        </w:trPr>
        <w:tc>
          <w:tcPr>
            <w:tcW w:w="1436" w:type="pct"/>
            <w:tcBorders>
              <w:top w:val="nil"/>
              <w:left w:val="nil"/>
              <w:bottom w:val="nil"/>
              <w:right w:val="nil"/>
            </w:tcBorders>
            <w:shd w:val="clear" w:color="000000" w:fill="FFFFFF"/>
            <w:noWrap/>
            <w:vAlign w:val="center"/>
            <w:hideMark/>
          </w:tcPr>
          <w:p w14:paraId="50C43B14" w14:textId="77777777" w:rsidR="00CB1621" w:rsidRPr="00C94004" w:rsidRDefault="00CB1621" w:rsidP="00CB1621">
            <w:pPr>
              <w:spacing w:before="0" w:after="0" w:line="240" w:lineRule="auto"/>
              <w:ind w:left="170"/>
              <w:rPr>
                <w:rFonts w:ascii="Arial" w:hAnsi="Arial" w:cs="Arial"/>
                <w:sz w:val="16"/>
                <w:szCs w:val="16"/>
              </w:rPr>
            </w:pPr>
            <w:r w:rsidRPr="00C94004">
              <w:rPr>
                <w:rFonts w:ascii="Arial" w:hAnsi="Arial" w:cs="Arial"/>
                <w:sz w:val="16"/>
                <w:szCs w:val="16"/>
              </w:rPr>
              <w:t>assistance</w:t>
            </w:r>
          </w:p>
        </w:tc>
        <w:tc>
          <w:tcPr>
            <w:tcW w:w="394" w:type="pct"/>
            <w:tcBorders>
              <w:top w:val="nil"/>
              <w:left w:val="nil"/>
              <w:bottom w:val="nil"/>
              <w:right w:val="nil"/>
            </w:tcBorders>
            <w:shd w:val="clear" w:color="000000" w:fill="FFFFFF"/>
            <w:noWrap/>
            <w:vAlign w:val="center"/>
            <w:hideMark/>
          </w:tcPr>
          <w:p w14:paraId="131B4842" w14:textId="00A0693F"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4" w:type="pct"/>
            <w:tcBorders>
              <w:top w:val="nil"/>
              <w:left w:val="nil"/>
              <w:bottom w:val="nil"/>
              <w:right w:val="nil"/>
            </w:tcBorders>
            <w:shd w:val="clear" w:color="000000" w:fill="FFFFFF"/>
            <w:noWrap/>
            <w:vAlign w:val="center"/>
            <w:hideMark/>
          </w:tcPr>
          <w:p w14:paraId="18AFC539" w14:textId="7C79D787"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2A2DECDB" w14:textId="7A4033E9"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93" w:type="pct"/>
            <w:tcBorders>
              <w:top w:val="nil"/>
              <w:left w:val="nil"/>
              <w:bottom w:val="nil"/>
              <w:right w:val="nil"/>
            </w:tcBorders>
            <w:shd w:val="clear" w:color="000000" w:fill="FFFFFF"/>
            <w:noWrap/>
            <w:vAlign w:val="center"/>
            <w:hideMark/>
          </w:tcPr>
          <w:p w14:paraId="3EE45C8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386</w:t>
            </w:r>
          </w:p>
        </w:tc>
        <w:tc>
          <w:tcPr>
            <w:tcW w:w="393" w:type="pct"/>
            <w:tcBorders>
              <w:top w:val="nil"/>
              <w:left w:val="nil"/>
              <w:bottom w:val="nil"/>
              <w:right w:val="nil"/>
            </w:tcBorders>
            <w:shd w:val="clear" w:color="000000" w:fill="FFFFFF"/>
            <w:noWrap/>
            <w:vAlign w:val="center"/>
            <w:hideMark/>
          </w:tcPr>
          <w:p w14:paraId="59BEB87A" w14:textId="04B1626B"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04B80FD1" w14:textId="79211C60"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366" w:type="pct"/>
            <w:tcBorders>
              <w:top w:val="nil"/>
              <w:left w:val="nil"/>
              <w:bottom w:val="nil"/>
              <w:right w:val="nil"/>
            </w:tcBorders>
            <w:shd w:val="clear" w:color="000000" w:fill="FFFFFF"/>
            <w:noWrap/>
            <w:vAlign w:val="center"/>
            <w:hideMark/>
          </w:tcPr>
          <w:p w14:paraId="24438331"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48</w:t>
            </w:r>
          </w:p>
        </w:tc>
        <w:tc>
          <w:tcPr>
            <w:tcW w:w="366" w:type="pct"/>
            <w:tcBorders>
              <w:top w:val="nil"/>
              <w:left w:val="nil"/>
              <w:bottom w:val="nil"/>
              <w:right w:val="nil"/>
            </w:tcBorders>
            <w:shd w:val="clear" w:color="000000" w:fill="FFFFFF"/>
            <w:noWrap/>
            <w:vAlign w:val="center"/>
            <w:hideMark/>
          </w:tcPr>
          <w:p w14:paraId="4D0CC677" w14:textId="72EA4042" w:rsidR="00CB1621" w:rsidRPr="00C94004" w:rsidRDefault="004D7064" w:rsidP="00CB1621">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499" w:type="pct"/>
            <w:tcBorders>
              <w:top w:val="nil"/>
              <w:left w:val="nil"/>
              <w:bottom w:val="nil"/>
              <w:right w:val="nil"/>
            </w:tcBorders>
            <w:shd w:val="clear" w:color="000000" w:fill="FFFFFF"/>
            <w:noWrap/>
            <w:vAlign w:val="center"/>
            <w:hideMark/>
          </w:tcPr>
          <w:p w14:paraId="7E26B0F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434</w:t>
            </w:r>
          </w:p>
        </w:tc>
      </w:tr>
      <w:tr w:rsidR="00CB1621" w:rsidRPr="00C94004" w14:paraId="17570B3E" w14:textId="77777777" w:rsidTr="00CB1621">
        <w:trPr>
          <w:trHeight w:hRule="exact" w:val="225"/>
        </w:trPr>
        <w:tc>
          <w:tcPr>
            <w:tcW w:w="1436" w:type="pct"/>
            <w:tcBorders>
              <w:top w:val="nil"/>
              <w:left w:val="nil"/>
              <w:bottom w:val="single" w:sz="4" w:space="0" w:color="293F5B"/>
              <w:right w:val="nil"/>
            </w:tcBorders>
            <w:shd w:val="clear" w:color="000000" w:fill="FFFFFF"/>
            <w:noWrap/>
            <w:vAlign w:val="center"/>
            <w:hideMark/>
          </w:tcPr>
          <w:p w14:paraId="03B430ED" w14:textId="77777777" w:rsidR="00CB1621" w:rsidRPr="00C94004" w:rsidRDefault="00CB1621" w:rsidP="00CB1621">
            <w:pPr>
              <w:spacing w:before="0" w:after="0" w:line="240" w:lineRule="auto"/>
              <w:rPr>
                <w:rFonts w:ascii="Arial" w:hAnsi="Arial" w:cs="Arial"/>
                <w:sz w:val="16"/>
                <w:szCs w:val="16"/>
              </w:rPr>
            </w:pPr>
            <w:r w:rsidRPr="00C94004">
              <w:rPr>
                <w:rFonts w:ascii="Arial" w:hAnsi="Arial" w:cs="Arial"/>
                <w:sz w:val="16"/>
                <w:szCs w:val="16"/>
              </w:rPr>
              <w:t>Total payments to the states</w:t>
            </w:r>
          </w:p>
        </w:tc>
        <w:tc>
          <w:tcPr>
            <w:tcW w:w="394" w:type="pct"/>
            <w:tcBorders>
              <w:top w:val="single" w:sz="4" w:space="0" w:color="293F5B"/>
              <w:left w:val="nil"/>
              <w:bottom w:val="single" w:sz="4" w:space="0" w:color="293F5B"/>
              <w:right w:val="nil"/>
            </w:tcBorders>
            <w:shd w:val="clear" w:color="000000" w:fill="FFFFFF"/>
            <w:noWrap/>
            <w:vAlign w:val="center"/>
            <w:hideMark/>
          </w:tcPr>
          <w:p w14:paraId="32C5B2E4"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55,833</w:t>
            </w:r>
          </w:p>
        </w:tc>
        <w:tc>
          <w:tcPr>
            <w:tcW w:w="394" w:type="pct"/>
            <w:tcBorders>
              <w:top w:val="single" w:sz="4" w:space="0" w:color="293F5B"/>
              <w:left w:val="nil"/>
              <w:bottom w:val="single" w:sz="4" w:space="0" w:color="293F5B"/>
              <w:right w:val="nil"/>
            </w:tcBorders>
            <w:shd w:val="clear" w:color="000000" w:fill="FFFFFF"/>
            <w:noWrap/>
            <w:vAlign w:val="center"/>
            <w:hideMark/>
          </w:tcPr>
          <w:p w14:paraId="656C908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50,128</w:t>
            </w:r>
          </w:p>
        </w:tc>
        <w:tc>
          <w:tcPr>
            <w:tcW w:w="393" w:type="pct"/>
            <w:tcBorders>
              <w:top w:val="single" w:sz="4" w:space="0" w:color="293F5B"/>
              <w:left w:val="nil"/>
              <w:bottom w:val="single" w:sz="4" w:space="0" w:color="293F5B"/>
              <w:right w:val="nil"/>
            </w:tcBorders>
            <w:shd w:val="clear" w:color="000000" w:fill="FFFFFF"/>
            <w:noWrap/>
            <w:vAlign w:val="center"/>
            <w:hideMark/>
          </w:tcPr>
          <w:p w14:paraId="10F21BC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42,616</w:t>
            </w:r>
          </w:p>
        </w:tc>
        <w:tc>
          <w:tcPr>
            <w:tcW w:w="393" w:type="pct"/>
            <w:tcBorders>
              <w:top w:val="single" w:sz="4" w:space="0" w:color="293F5B"/>
              <w:left w:val="nil"/>
              <w:bottom w:val="single" w:sz="4" w:space="0" w:color="293F5B"/>
              <w:right w:val="nil"/>
            </w:tcBorders>
            <w:shd w:val="clear" w:color="000000" w:fill="FFFFFF"/>
            <w:noWrap/>
            <w:vAlign w:val="center"/>
            <w:hideMark/>
          </w:tcPr>
          <w:p w14:paraId="3320A81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19,126</w:t>
            </w:r>
          </w:p>
        </w:tc>
        <w:tc>
          <w:tcPr>
            <w:tcW w:w="393" w:type="pct"/>
            <w:tcBorders>
              <w:top w:val="single" w:sz="4" w:space="0" w:color="293F5B"/>
              <w:left w:val="nil"/>
              <w:bottom w:val="single" w:sz="4" w:space="0" w:color="293F5B"/>
              <w:right w:val="nil"/>
            </w:tcBorders>
            <w:shd w:val="clear" w:color="000000" w:fill="FFFFFF"/>
            <w:noWrap/>
            <w:vAlign w:val="center"/>
            <w:hideMark/>
          </w:tcPr>
          <w:p w14:paraId="06DD4B6F"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16,991</w:t>
            </w:r>
          </w:p>
        </w:tc>
        <w:tc>
          <w:tcPr>
            <w:tcW w:w="366" w:type="pct"/>
            <w:tcBorders>
              <w:top w:val="single" w:sz="4" w:space="0" w:color="293F5B"/>
              <w:left w:val="nil"/>
              <w:bottom w:val="single" w:sz="4" w:space="0" w:color="293F5B"/>
              <w:right w:val="nil"/>
            </w:tcBorders>
            <w:shd w:val="clear" w:color="000000" w:fill="FFFFFF"/>
            <w:noWrap/>
            <w:vAlign w:val="center"/>
            <w:hideMark/>
          </w:tcPr>
          <w:p w14:paraId="72A382F7"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6,153</w:t>
            </w:r>
          </w:p>
        </w:tc>
        <w:tc>
          <w:tcPr>
            <w:tcW w:w="366" w:type="pct"/>
            <w:tcBorders>
              <w:top w:val="single" w:sz="4" w:space="0" w:color="293F5B"/>
              <w:left w:val="nil"/>
              <w:bottom w:val="single" w:sz="4" w:space="0" w:color="293F5B"/>
              <w:right w:val="nil"/>
            </w:tcBorders>
            <w:shd w:val="clear" w:color="000000" w:fill="FFFFFF"/>
            <w:noWrap/>
            <w:vAlign w:val="center"/>
            <w:hideMark/>
          </w:tcPr>
          <w:p w14:paraId="05E42CEE"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3,776</w:t>
            </w:r>
          </w:p>
        </w:tc>
        <w:tc>
          <w:tcPr>
            <w:tcW w:w="366" w:type="pct"/>
            <w:tcBorders>
              <w:top w:val="single" w:sz="4" w:space="0" w:color="293F5B"/>
              <w:left w:val="nil"/>
              <w:bottom w:val="single" w:sz="4" w:space="0" w:color="293F5B"/>
              <w:right w:val="nil"/>
            </w:tcBorders>
            <w:shd w:val="clear" w:color="000000" w:fill="FFFFFF"/>
            <w:noWrap/>
            <w:vAlign w:val="center"/>
            <w:hideMark/>
          </w:tcPr>
          <w:p w14:paraId="1D9C48DB"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6,535</w:t>
            </w:r>
          </w:p>
        </w:tc>
        <w:tc>
          <w:tcPr>
            <w:tcW w:w="499" w:type="pct"/>
            <w:tcBorders>
              <w:top w:val="single" w:sz="4" w:space="0" w:color="293F5B"/>
              <w:left w:val="nil"/>
              <w:bottom w:val="single" w:sz="4" w:space="0" w:color="293F5B"/>
              <w:right w:val="nil"/>
            </w:tcBorders>
            <w:shd w:val="clear" w:color="000000" w:fill="FFFFFF"/>
            <w:noWrap/>
            <w:vAlign w:val="center"/>
            <w:hideMark/>
          </w:tcPr>
          <w:p w14:paraId="0FA3BB59" w14:textId="77777777" w:rsidR="00CB1621" w:rsidRPr="00C94004" w:rsidRDefault="00CB1621" w:rsidP="00CB1621">
            <w:pPr>
              <w:spacing w:before="0" w:after="0" w:line="240" w:lineRule="auto"/>
              <w:jc w:val="right"/>
              <w:rPr>
                <w:rFonts w:ascii="Arial" w:hAnsi="Arial" w:cs="Arial"/>
                <w:sz w:val="16"/>
                <w:szCs w:val="16"/>
              </w:rPr>
            </w:pPr>
            <w:r w:rsidRPr="00C94004">
              <w:rPr>
                <w:rFonts w:ascii="Arial" w:hAnsi="Arial" w:cs="Arial"/>
                <w:sz w:val="16"/>
                <w:szCs w:val="16"/>
              </w:rPr>
              <w:t>202,354</w:t>
            </w:r>
          </w:p>
        </w:tc>
      </w:tr>
    </w:tbl>
    <w:p w14:paraId="6320B15A" w14:textId="30331847" w:rsidR="0075201B" w:rsidRPr="00C94004" w:rsidRDefault="0075201B" w:rsidP="0057356A">
      <w:pPr>
        <w:pStyle w:val="ChartandTableFootnoteAlpha"/>
        <w:rPr>
          <w:rStyle w:val="EndnoteReference"/>
          <w:color w:val="auto"/>
          <w:vertAlign w:val="baseline"/>
        </w:rPr>
      </w:pPr>
      <w:r w:rsidRPr="00C94004">
        <w:rPr>
          <w:color w:val="auto"/>
        </w:rPr>
        <w:t xml:space="preserve">State </w:t>
      </w:r>
      <w:r w:rsidRPr="00C94004">
        <w:rPr>
          <w:rStyle w:val="EndnoteReference"/>
          <w:color w:val="auto"/>
          <w:vertAlign w:val="baseline"/>
        </w:rPr>
        <w:t xml:space="preserve">allocations for a number of programs have not yet been determined. These payments are not reflected in state totals. As a result, total payments for specific purposes may not equal the sum of the state figures. </w:t>
      </w:r>
    </w:p>
    <w:p w14:paraId="7840B524" w14:textId="2269A254" w:rsidR="0075201B" w:rsidRPr="00C94004" w:rsidRDefault="0075201B" w:rsidP="0075201B">
      <w:pPr>
        <w:pStyle w:val="ChartandTableFootnoteAlpha"/>
        <w:numPr>
          <w:ilvl w:val="0"/>
          <w:numId w:val="6"/>
        </w:numPr>
        <w:rPr>
          <w:color w:val="auto"/>
        </w:rPr>
      </w:pPr>
      <w:r w:rsidRPr="00C94004">
        <w:rPr>
          <w:rStyle w:val="EndnoteReference"/>
          <w:color w:val="auto"/>
          <w:vertAlign w:val="baseline"/>
        </w:rPr>
        <w:t xml:space="preserve">Includes GST entitlement and HFE transition payments. State allocations are dependent upon the GST revenue sharing relativities for each financial year. They are calculated using the Commonwealth Grants </w:t>
      </w:r>
      <w:r w:rsidRPr="00C94004" w:rsidDel="000D1C32">
        <w:rPr>
          <w:rStyle w:val="EndnoteReference"/>
          <w:color w:val="auto"/>
          <w:vertAlign w:val="baseline"/>
        </w:rPr>
        <w:t>Commission</w:t>
      </w:r>
      <w:r w:rsidR="00BE2E8A" w:rsidRPr="00C94004">
        <w:rPr>
          <w:rStyle w:val="EndnoteReference"/>
          <w:color w:val="auto"/>
          <w:vertAlign w:val="baseline"/>
        </w:rPr>
        <w:t>’</w:t>
      </w:r>
      <w:r w:rsidRPr="00C94004" w:rsidDel="000D1C32">
        <w:rPr>
          <w:rStyle w:val="EndnoteReference"/>
          <w:color w:val="auto"/>
          <w:vertAlign w:val="baseline"/>
        </w:rPr>
        <w:t>s</w:t>
      </w:r>
      <w:r w:rsidRPr="00C94004">
        <w:rPr>
          <w:rStyle w:val="EndnoteReference"/>
          <w:color w:val="auto"/>
          <w:vertAlign w:val="baseline"/>
        </w:rPr>
        <w:t xml:space="preserve"> 202</w:t>
      </w:r>
      <w:r w:rsidR="00FC1019" w:rsidRPr="00C94004">
        <w:rPr>
          <w:color w:val="auto"/>
        </w:rPr>
        <w:t>4</w:t>
      </w:r>
      <w:r w:rsidRPr="00C94004">
        <w:rPr>
          <w:rStyle w:val="EndnoteReference"/>
          <w:color w:val="auto"/>
          <w:vertAlign w:val="baseline"/>
        </w:rPr>
        <w:t>–2</w:t>
      </w:r>
      <w:r w:rsidR="00FC1019" w:rsidRPr="00C94004">
        <w:rPr>
          <w:color w:val="auto"/>
        </w:rPr>
        <w:t>5</w:t>
      </w:r>
      <w:r w:rsidRPr="00C94004">
        <w:rPr>
          <w:rStyle w:val="EndnoteReference"/>
          <w:color w:val="auto"/>
          <w:vertAlign w:val="baseline"/>
        </w:rPr>
        <w:t xml:space="preserve"> GST relativities as the starting point. The estimates do not reflect any attempt to project future GST relativities or GST entitlements. See </w:t>
      </w:r>
      <w:r w:rsidR="00E70A32" w:rsidRPr="00C94004">
        <w:rPr>
          <w:rStyle w:val="EndnoteReference"/>
          <w:color w:val="auto"/>
          <w:vertAlign w:val="baseline"/>
        </w:rPr>
        <w:t>Part </w:t>
      </w:r>
      <w:r w:rsidRPr="00C94004">
        <w:rPr>
          <w:rStyle w:val="EndnoteReference"/>
          <w:color w:val="auto"/>
          <w:vertAlign w:val="baseline"/>
        </w:rPr>
        <w:t xml:space="preserve">3 for further information. </w:t>
      </w:r>
    </w:p>
    <w:p w14:paraId="2C3ADBF3" w14:textId="77777777" w:rsidR="00BC0285" w:rsidRPr="00C94004" w:rsidRDefault="00BC0285" w:rsidP="00314337">
      <w:pPr>
        <w:pStyle w:val="ChartLine"/>
      </w:pPr>
    </w:p>
    <w:p w14:paraId="737ED282" w14:textId="237A91AB" w:rsidR="00A168A2" w:rsidRPr="00C94004" w:rsidRDefault="0075201B" w:rsidP="00A51598">
      <w:pPr>
        <w:pStyle w:val="TableHeading"/>
        <w:rPr>
          <w:rFonts w:asciiTheme="minorHAnsi" w:eastAsiaTheme="minorHAnsi" w:hAnsiTheme="minorHAnsi" w:cstheme="minorBidi"/>
          <w:b w:val="0"/>
          <w:sz w:val="22"/>
          <w:szCs w:val="22"/>
          <w:lang w:eastAsia="en-US"/>
        </w:rPr>
      </w:pPr>
      <w:r w:rsidRPr="00C94004">
        <w:lastRenderedPageBreak/>
        <w:t xml:space="preserve">Table 1.2: </w:t>
      </w:r>
      <w:r w:rsidR="008117A0" w:rsidRPr="00C94004">
        <w:t xml:space="preserve">Total </w:t>
      </w:r>
      <w:r w:rsidR="00A342C8" w:rsidRPr="00C94004">
        <w:t>Australian Government</w:t>
      </w:r>
      <w:r w:rsidR="008117A0" w:rsidRPr="00C94004">
        <w:t xml:space="preserve"> payments to the </w:t>
      </w:r>
      <w:r w:rsidR="00A342C8" w:rsidRPr="00C94004">
        <w:t>s</w:t>
      </w:r>
      <w:r w:rsidR="008117A0" w:rsidRPr="00C94004">
        <w:t>tates as a proportion of</w:t>
      </w:r>
      <w:r w:rsidR="00FA5AEE" w:rsidRPr="00C94004">
        <w:t> </w:t>
      </w:r>
      <w:r w:rsidR="008117A0" w:rsidRPr="00C94004">
        <w:t>GDP</w:t>
      </w:r>
    </w:p>
    <w:tbl>
      <w:tblPr>
        <w:tblW w:w="5000" w:type="pct"/>
        <w:tblCellMar>
          <w:left w:w="0" w:type="dxa"/>
          <w:right w:w="28" w:type="dxa"/>
        </w:tblCellMar>
        <w:tblLook w:val="04A0" w:firstRow="1" w:lastRow="0" w:firstColumn="1" w:lastColumn="0" w:noHBand="0" w:noVBand="1"/>
      </w:tblPr>
      <w:tblGrid>
        <w:gridCol w:w="3726"/>
        <w:gridCol w:w="858"/>
        <w:gridCol w:w="857"/>
        <w:gridCol w:w="797"/>
        <w:gridCol w:w="736"/>
        <w:gridCol w:w="736"/>
      </w:tblGrid>
      <w:tr w:rsidR="00A168A2" w:rsidRPr="00C94004" w14:paraId="38FB40F1" w14:textId="77777777" w:rsidTr="00A168A2">
        <w:trPr>
          <w:trHeight w:hRule="exact" w:val="255"/>
        </w:trPr>
        <w:tc>
          <w:tcPr>
            <w:tcW w:w="2416" w:type="pct"/>
            <w:tcBorders>
              <w:top w:val="single" w:sz="4" w:space="0" w:color="293F5B"/>
              <w:left w:val="nil"/>
              <w:bottom w:val="nil"/>
              <w:right w:val="nil"/>
            </w:tcBorders>
            <w:shd w:val="clear" w:color="auto" w:fill="auto"/>
            <w:noWrap/>
            <w:vAlign w:val="center"/>
            <w:hideMark/>
          </w:tcPr>
          <w:p w14:paraId="5B26BC7A" w14:textId="3E8AF251" w:rsidR="00A168A2" w:rsidRPr="00C94004" w:rsidRDefault="00A168A2" w:rsidP="00A168A2">
            <w:pPr>
              <w:spacing w:before="0" w:after="0" w:line="240" w:lineRule="auto"/>
              <w:rPr>
                <w:rFonts w:ascii="Arial" w:hAnsi="Arial" w:cs="Arial"/>
                <w:sz w:val="16"/>
                <w:szCs w:val="16"/>
              </w:rPr>
            </w:pPr>
            <w:r w:rsidRPr="00C94004">
              <w:rPr>
                <w:rFonts w:ascii="Arial" w:hAnsi="Arial" w:cs="Arial"/>
                <w:sz w:val="16"/>
                <w:szCs w:val="16"/>
              </w:rPr>
              <w:t>$million</w:t>
            </w:r>
          </w:p>
        </w:tc>
        <w:tc>
          <w:tcPr>
            <w:tcW w:w="556" w:type="pct"/>
            <w:tcBorders>
              <w:top w:val="single" w:sz="4" w:space="0" w:color="293F5B"/>
              <w:left w:val="nil"/>
              <w:bottom w:val="single" w:sz="4" w:space="0" w:color="293F5B"/>
              <w:right w:val="nil"/>
            </w:tcBorders>
            <w:shd w:val="clear" w:color="auto" w:fill="auto"/>
            <w:noWrap/>
            <w:vAlign w:val="center"/>
            <w:hideMark/>
          </w:tcPr>
          <w:p w14:paraId="78197294" w14:textId="409D0ABC"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2023</w:t>
            </w:r>
            <w:r w:rsidR="00BE2E8A" w:rsidRPr="00C94004">
              <w:rPr>
                <w:rFonts w:ascii="Arial" w:hAnsi="Arial" w:cs="Arial"/>
                <w:sz w:val="16"/>
                <w:szCs w:val="16"/>
              </w:rPr>
              <w:noBreakHyphen/>
            </w:r>
            <w:r w:rsidRPr="00C94004">
              <w:rPr>
                <w:rFonts w:ascii="Arial" w:hAnsi="Arial" w:cs="Arial"/>
                <w:sz w:val="16"/>
                <w:szCs w:val="16"/>
              </w:rPr>
              <w:t>24</w:t>
            </w:r>
          </w:p>
        </w:tc>
        <w:tc>
          <w:tcPr>
            <w:tcW w:w="556" w:type="pct"/>
            <w:tcBorders>
              <w:top w:val="single" w:sz="4" w:space="0" w:color="293F5B"/>
              <w:left w:val="nil"/>
              <w:bottom w:val="single" w:sz="4" w:space="0" w:color="293F5B"/>
              <w:right w:val="nil"/>
            </w:tcBorders>
            <w:shd w:val="clear" w:color="000000" w:fill="E6F2FF"/>
            <w:noWrap/>
            <w:vAlign w:val="center"/>
            <w:hideMark/>
          </w:tcPr>
          <w:p w14:paraId="034D84F1" w14:textId="321EB1CB"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2024</w:t>
            </w:r>
            <w:r w:rsidR="00BE2E8A" w:rsidRPr="00C94004">
              <w:rPr>
                <w:rFonts w:ascii="Arial" w:hAnsi="Arial" w:cs="Arial"/>
                <w:sz w:val="16"/>
                <w:szCs w:val="16"/>
              </w:rPr>
              <w:noBreakHyphen/>
            </w:r>
            <w:r w:rsidRPr="00C94004">
              <w:rPr>
                <w:rFonts w:ascii="Arial" w:hAnsi="Arial" w:cs="Arial"/>
                <w:sz w:val="16"/>
                <w:szCs w:val="16"/>
              </w:rPr>
              <w:t>25</w:t>
            </w:r>
          </w:p>
        </w:tc>
        <w:tc>
          <w:tcPr>
            <w:tcW w:w="517" w:type="pct"/>
            <w:tcBorders>
              <w:top w:val="single" w:sz="4" w:space="0" w:color="293F5B"/>
              <w:left w:val="nil"/>
              <w:bottom w:val="single" w:sz="4" w:space="0" w:color="293F5B"/>
              <w:right w:val="nil"/>
            </w:tcBorders>
            <w:shd w:val="clear" w:color="000000" w:fill="FFFFFF"/>
            <w:noWrap/>
            <w:vAlign w:val="center"/>
            <w:hideMark/>
          </w:tcPr>
          <w:p w14:paraId="4FF1B7B0" w14:textId="750DD69F"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2025</w:t>
            </w:r>
            <w:r w:rsidR="00BE2E8A" w:rsidRPr="00C94004">
              <w:rPr>
                <w:rFonts w:ascii="Arial" w:hAnsi="Arial" w:cs="Arial"/>
                <w:sz w:val="16"/>
                <w:szCs w:val="16"/>
              </w:rPr>
              <w:noBreakHyphen/>
            </w:r>
            <w:r w:rsidRPr="00C94004">
              <w:rPr>
                <w:rFonts w:ascii="Arial" w:hAnsi="Arial" w:cs="Arial"/>
                <w:sz w:val="16"/>
                <w:szCs w:val="16"/>
              </w:rPr>
              <w:t>26</w:t>
            </w:r>
          </w:p>
        </w:tc>
        <w:tc>
          <w:tcPr>
            <w:tcW w:w="477" w:type="pct"/>
            <w:tcBorders>
              <w:top w:val="single" w:sz="4" w:space="0" w:color="293F5B"/>
              <w:left w:val="nil"/>
              <w:bottom w:val="single" w:sz="4" w:space="0" w:color="293F5B"/>
              <w:right w:val="nil"/>
            </w:tcBorders>
            <w:shd w:val="clear" w:color="000000" w:fill="FFFFFF"/>
            <w:noWrap/>
            <w:vAlign w:val="center"/>
            <w:hideMark/>
          </w:tcPr>
          <w:p w14:paraId="0720C63E" w14:textId="3777A5C9"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2026</w:t>
            </w:r>
            <w:r w:rsidR="00BE2E8A" w:rsidRPr="00C94004">
              <w:rPr>
                <w:rFonts w:ascii="Arial" w:hAnsi="Arial" w:cs="Arial"/>
                <w:sz w:val="16"/>
                <w:szCs w:val="16"/>
              </w:rPr>
              <w:noBreakHyphen/>
            </w:r>
            <w:r w:rsidRPr="00C94004">
              <w:rPr>
                <w:rFonts w:ascii="Arial" w:hAnsi="Arial" w:cs="Arial"/>
                <w:sz w:val="16"/>
                <w:szCs w:val="16"/>
              </w:rPr>
              <w:t>27</w:t>
            </w:r>
          </w:p>
        </w:tc>
        <w:tc>
          <w:tcPr>
            <w:tcW w:w="477" w:type="pct"/>
            <w:tcBorders>
              <w:top w:val="single" w:sz="4" w:space="0" w:color="293F5B"/>
              <w:left w:val="nil"/>
              <w:bottom w:val="single" w:sz="4" w:space="0" w:color="293F5B"/>
              <w:right w:val="nil"/>
            </w:tcBorders>
            <w:shd w:val="clear" w:color="000000" w:fill="FFFFFF"/>
            <w:noWrap/>
            <w:vAlign w:val="center"/>
            <w:hideMark/>
          </w:tcPr>
          <w:p w14:paraId="0F61E0D7" w14:textId="57920C23"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2027</w:t>
            </w:r>
            <w:r w:rsidR="00BE2E8A" w:rsidRPr="00C94004">
              <w:rPr>
                <w:rFonts w:ascii="Arial" w:hAnsi="Arial" w:cs="Arial"/>
                <w:sz w:val="16"/>
                <w:szCs w:val="16"/>
              </w:rPr>
              <w:noBreakHyphen/>
            </w:r>
            <w:r w:rsidRPr="00C94004">
              <w:rPr>
                <w:rFonts w:ascii="Arial" w:hAnsi="Arial" w:cs="Arial"/>
                <w:sz w:val="16"/>
                <w:szCs w:val="16"/>
              </w:rPr>
              <w:t>28</w:t>
            </w:r>
          </w:p>
        </w:tc>
      </w:tr>
      <w:tr w:rsidR="00A168A2" w:rsidRPr="00C94004" w14:paraId="17AE708D" w14:textId="77777777" w:rsidTr="00A168A2">
        <w:trPr>
          <w:trHeight w:hRule="exact" w:val="255"/>
        </w:trPr>
        <w:tc>
          <w:tcPr>
            <w:tcW w:w="2416" w:type="pct"/>
            <w:tcBorders>
              <w:top w:val="nil"/>
              <w:left w:val="nil"/>
              <w:bottom w:val="nil"/>
              <w:right w:val="nil"/>
            </w:tcBorders>
            <w:shd w:val="clear" w:color="auto" w:fill="auto"/>
            <w:noWrap/>
            <w:vAlign w:val="center"/>
            <w:hideMark/>
          </w:tcPr>
          <w:p w14:paraId="19F7372B" w14:textId="77777777" w:rsidR="00A168A2" w:rsidRPr="00C94004" w:rsidRDefault="00A168A2" w:rsidP="00A168A2">
            <w:pPr>
              <w:spacing w:before="0" w:after="0" w:line="240" w:lineRule="auto"/>
              <w:rPr>
                <w:rFonts w:ascii="Arial" w:hAnsi="Arial" w:cs="Arial"/>
                <w:i/>
                <w:sz w:val="16"/>
                <w:szCs w:val="16"/>
              </w:rPr>
            </w:pPr>
            <w:r w:rsidRPr="00C94004">
              <w:rPr>
                <w:rFonts w:ascii="Arial" w:hAnsi="Arial" w:cs="Arial"/>
                <w:i/>
                <w:sz w:val="16"/>
                <w:szCs w:val="16"/>
              </w:rPr>
              <w:t>Payments for specific purposes</w:t>
            </w:r>
          </w:p>
        </w:tc>
        <w:tc>
          <w:tcPr>
            <w:tcW w:w="556" w:type="pct"/>
            <w:tcBorders>
              <w:top w:val="nil"/>
              <w:left w:val="nil"/>
              <w:bottom w:val="nil"/>
              <w:right w:val="nil"/>
            </w:tcBorders>
            <w:shd w:val="clear" w:color="auto" w:fill="auto"/>
            <w:noWrap/>
            <w:vAlign w:val="center"/>
            <w:hideMark/>
          </w:tcPr>
          <w:p w14:paraId="3C0C2963" w14:textId="77777777" w:rsidR="00A168A2" w:rsidRPr="00C94004" w:rsidRDefault="00A168A2" w:rsidP="00A168A2">
            <w:pPr>
              <w:spacing w:before="0" w:after="0" w:line="240" w:lineRule="auto"/>
              <w:rPr>
                <w:rFonts w:ascii="Arial" w:hAnsi="Arial" w:cs="Arial"/>
                <w:i/>
                <w:sz w:val="16"/>
                <w:szCs w:val="16"/>
              </w:rPr>
            </w:pPr>
          </w:p>
        </w:tc>
        <w:tc>
          <w:tcPr>
            <w:tcW w:w="556" w:type="pct"/>
            <w:tcBorders>
              <w:top w:val="nil"/>
              <w:left w:val="nil"/>
              <w:bottom w:val="nil"/>
              <w:right w:val="nil"/>
            </w:tcBorders>
            <w:shd w:val="clear" w:color="000000" w:fill="E6F2FF"/>
            <w:noWrap/>
            <w:vAlign w:val="center"/>
            <w:hideMark/>
          </w:tcPr>
          <w:p w14:paraId="399CA0B8"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 </w:t>
            </w:r>
          </w:p>
        </w:tc>
        <w:tc>
          <w:tcPr>
            <w:tcW w:w="517" w:type="pct"/>
            <w:tcBorders>
              <w:top w:val="nil"/>
              <w:left w:val="nil"/>
              <w:bottom w:val="nil"/>
              <w:right w:val="nil"/>
            </w:tcBorders>
            <w:shd w:val="clear" w:color="000000" w:fill="FFFFFF"/>
            <w:noWrap/>
            <w:vAlign w:val="center"/>
            <w:hideMark/>
          </w:tcPr>
          <w:p w14:paraId="48CE7FF2"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 </w:t>
            </w:r>
          </w:p>
        </w:tc>
        <w:tc>
          <w:tcPr>
            <w:tcW w:w="477" w:type="pct"/>
            <w:tcBorders>
              <w:top w:val="nil"/>
              <w:left w:val="nil"/>
              <w:bottom w:val="nil"/>
              <w:right w:val="nil"/>
            </w:tcBorders>
            <w:shd w:val="clear" w:color="000000" w:fill="FFFFFF"/>
            <w:noWrap/>
            <w:vAlign w:val="center"/>
            <w:hideMark/>
          </w:tcPr>
          <w:p w14:paraId="350F3D3C"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 </w:t>
            </w:r>
          </w:p>
        </w:tc>
        <w:tc>
          <w:tcPr>
            <w:tcW w:w="477" w:type="pct"/>
            <w:tcBorders>
              <w:top w:val="nil"/>
              <w:left w:val="nil"/>
              <w:bottom w:val="nil"/>
              <w:right w:val="nil"/>
            </w:tcBorders>
            <w:shd w:val="clear" w:color="000000" w:fill="FFFFFF"/>
            <w:noWrap/>
            <w:vAlign w:val="center"/>
            <w:hideMark/>
          </w:tcPr>
          <w:p w14:paraId="24ACE3DE"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 </w:t>
            </w:r>
          </w:p>
        </w:tc>
      </w:tr>
      <w:tr w:rsidR="00A168A2" w:rsidRPr="00C94004" w14:paraId="650050D8" w14:textId="77777777" w:rsidTr="00A168A2">
        <w:trPr>
          <w:trHeight w:hRule="exact" w:val="255"/>
        </w:trPr>
        <w:tc>
          <w:tcPr>
            <w:tcW w:w="2416" w:type="pct"/>
            <w:tcBorders>
              <w:top w:val="nil"/>
              <w:left w:val="nil"/>
              <w:bottom w:val="nil"/>
              <w:right w:val="nil"/>
            </w:tcBorders>
            <w:shd w:val="clear" w:color="auto" w:fill="auto"/>
            <w:noWrap/>
            <w:vAlign w:val="center"/>
            <w:hideMark/>
          </w:tcPr>
          <w:p w14:paraId="1A208DD8"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National Skills Agreement</w:t>
            </w:r>
          </w:p>
        </w:tc>
        <w:tc>
          <w:tcPr>
            <w:tcW w:w="556" w:type="pct"/>
            <w:tcBorders>
              <w:top w:val="nil"/>
              <w:left w:val="nil"/>
              <w:bottom w:val="nil"/>
              <w:right w:val="nil"/>
            </w:tcBorders>
            <w:shd w:val="clear" w:color="auto" w:fill="auto"/>
            <w:noWrap/>
            <w:vAlign w:val="center"/>
            <w:hideMark/>
          </w:tcPr>
          <w:p w14:paraId="6DEE48EB"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2,015</w:t>
            </w:r>
          </w:p>
        </w:tc>
        <w:tc>
          <w:tcPr>
            <w:tcW w:w="556" w:type="pct"/>
            <w:tcBorders>
              <w:top w:val="nil"/>
              <w:left w:val="nil"/>
              <w:bottom w:val="nil"/>
              <w:right w:val="nil"/>
            </w:tcBorders>
            <w:shd w:val="clear" w:color="000000" w:fill="E6F2FF"/>
            <w:noWrap/>
            <w:vAlign w:val="center"/>
            <w:hideMark/>
          </w:tcPr>
          <w:p w14:paraId="69705B1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2,432</w:t>
            </w:r>
          </w:p>
        </w:tc>
        <w:tc>
          <w:tcPr>
            <w:tcW w:w="517" w:type="pct"/>
            <w:tcBorders>
              <w:top w:val="nil"/>
              <w:left w:val="nil"/>
              <w:bottom w:val="nil"/>
              <w:right w:val="nil"/>
            </w:tcBorders>
            <w:shd w:val="clear" w:color="auto" w:fill="auto"/>
            <w:noWrap/>
            <w:vAlign w:val="center"/>
            <w:hideMark/>
          </w:tcPr>
          <w:p w14:paraId="1662E3E9"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2,457</w:t>
            </w:r>
          </w:p>
        </w:tc>
        <w:tc>
          <w:tcPr>
            <w:tcW w:w="477" w:type="pct"/>
            <w:tcBorders>
              <w:top w:val="nil"/>
              <w:left w:val="nil"/>
              <w:bottom w:val="nil"/>
              <w:right w:val="nil"/>
            </w:tcBorders>
            <w:shd w:val="clear" w:color="auto" w:fill="auto"/>
            <w:noWrap/>
            <w:vAlign w:val="center"/>
            <w:hideMark/>
          </w:tcPr>
          <w:p w14:paraId="6ACE2CB8"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2,496</w:t>
            </w:r>
          </w:p>
        </w:tc>
        <w:tc>
          <w:tcPr>
            <w:tcW w:w="477" w:type="pct"/>
            <w:tcBorders>
              <w:top w:val="nil"/>
              <w:left w:val="nil"/>
              <w:bottom w:val="nil"/>
              <w:right w:val="nil"/>
            </w:tcBorders>
            <w:shd w:val="clear" w:color="auto" w:fill="auto"/>
            <w:noWrap/>
            <w:vAlign w:val="center"/>
            <w:hideMark/>
          </w:tcPr>
          <w:p w14:paraId="02968F3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2,535</w:t>
            </w:r>
          </w:p>
        </w:tc>
      </w:tr>
      <w:tr w:rsidR="00A168A2" w:rsidRPr="00C94004" w14:paraId="069A29BC" w14:textId="77777777" w:rsidTr="00A168A2">
        <w:trPr>
          <w:trHeight w:hRule="exact" w:val="255"/>
        </w:trPr>
        <w:tc>
          <w:tcPr>
            <w:tcW w:w="2416" w:type="pct"/>
            <w:tcBorders>
              <w:top w:val="nil"/>
              <w:left w:val="nil"/>
              <w:bottom w:val="nil"/>
              <w:right w:val="nil"/>
            </w:tcBorders>
            <w:shd w:val="clear" w:color="auto" w:fill="auto"/>
            <w:noWrap/>
            <w:vAlign w:val="center"/>
            <w:hideMark/>
          </w:tcPr>
          <w:p w14:paraId="582A6CF3"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National Health Reform funding</w:t>
            </w:r>
          </w:p>
        </w:tc>
        <w:tc>
          <w:tcPr>
            <w:tcW w:w="556" w:type="pct"/>
            <w:tcBorders>
              <w:top w:val="nil"/>
              <w:left w:val="nil"/>
              <w:bottom w:val="nil"/>
              <w:right w:val="nil"/>
            </w:tcBorders>
            <w:shd w:val="clear" w:color="auto" w:fill="auto"/>
            <w:noWrap/>
            <w:vAlign w:val="center"/>
            <w:hideMark/>
          </w:tcPr>
          <w:p w14:paraId="6EA28822"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27,995</w:t>
            </w:r>
          </w:p>
        </w:tc>
        <w:tc>
          <w:tcPr>
            <w:tcW w:w="556" w:type="pct"/>
            <w:tcBorders>
              <w:top w:val="nil"/>
              <w:left w:val="nil"/>
              <w:bottom w:val="nil"/>
              <w:right w:val="nil"/>
            </w:tcBorders>
            <w:shd w:val="clear" w:color="000000" w:fill="E6F2FF"/>
            <w:noWrap/>
            <w:vAlign w:val="center"/>
            <w:hideMark/>
          </w:tcPr>
          <w:p w14:paraId="6C4D62BB"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30,149</w:t>
            </w:r>
          </w:p>
        </w:tc>
        <w:tc>
          <w:tcPr>
            <w:tcW w:w="517" w:type="pct"/>
            <w:tcBorders>
              <w:top w:val="nil"/>
              <w:left w:val="nil"/>
              <w:bottom w:val="nil"/>
              <w:right w:val="nil"/>
            </w:tcBorders>
            <w:shd w:val="clear" w:color="auto" w:fill="auto"/>
            <w:noWrap/>
            <w:vAlign w:val="center"/>
            <w:hideMark/>
          </w:tcPr>
          <w:p w14:paraId="6FD18CCD"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32,187</w:t>
            </w:r>
          </w:p>
        </w:tc>
        <w:tc>
          <w:tcPr>
            <w:tcW w:w="477" w:type="pct"/>
            <w:tcBorders>
              <w:top w:val="nil"/>
              <w:left w:val="nil"/>
              <w:bottom w:val="nil"/>
              <w:right w:val="nil"/>
            </w:tcBorders>
            <w:shd w:val="clear" w:color="auto" w:fill="auto"/>
            <w:noWrap/>
            <w:vAlign w:val="center"/>
            <w:hideMark/>
          </w:tcPr>
          <w:p w14:paraId="551391D4"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34,229</w:t>
            </w:r>
          </w:p>
        </w:tc>
        <w:tc>
          <w:tcPr>
            <w:tcW w:w="477" w:type="pct"/>
            <w:tcBorders>
              <w:top w:val="nil"/>
              <w:left w:val="nil"/>
              <w:bottom w:val="nil"/>
              <w:right w:val="nil"/>
            </w:tcBorders>
            <w:shd w:val="clear" w:color="auto" w:fill="auto"/>
            <w:noWrap/>
            <w:vAlign w:val="center"/>
            <w:hideMark/>
          </w:tcPr>
          <w:p w14:paraId="6ACE4782"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36,454</w:t>
            </w:r>
          </w:p>
        </w:tc>
      </w:tr>
      <w:tr w:rsidR="00A168A2" w:rsidRPr="00C94004" w14:paraId="08E03C59" w14:textId="77777777" w:rsidTr="00A168A2">
        <w:trPr>
          <w:trHeight w:hRule="exact" w:val="255"/>
        </w:trPr>
        <w:tc>
          <w:tcPr>
            <w:tcW w:w="2416" w:type="pct"/>
            <w:tcBorders>
              <w:top w:val="nil"/>
              <w:left w:val="nil"/>
              <w:bottom w:val="nil"/>
              <w:right w:val="nil"/>
            </w:tcBorders>
            <w:shd w:val="clear" w:color="auto" w:fill="auto"/>
            <w:noWrap/>
            <w:vAlign w:val="center"/>
            <w:hideMark/>
          </w:tcPr>
          <w:p w14:paraId="633FCD2A"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Quality Schools funding</w:t>
            </w:r>
          </w:p>
        </w:tc>
        <w:tc>
          <w:tcPr>
            <w:tcW w:w="556" w:type="pct"/>
            <w:tcBorders>
              <w:top w:val="nil"/>
              <w:left w:val="nil"/>
              <w:bottom w:val="nil"/>
              <w:right w:val="nil"/>
            </w:tcBorders>
            <w:shd w:val="clear" w:color="auto" w:fill="auto"/>
            <w:noWrap/>
            <w:vAlign w:val="center"/>
            <w:hideMark/>
          </w:tcPr>
          <w:p w14:paraId="21AEA31F"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29,154</w:t>
            </w:r>
          </w:p>
        </w:tc>
        <w:tc>
          <w:tcPr>
            <w:tcW w:w="556" w:type="pct"/>
            <w:tcBorders>
              <w:top w:val="nil"/>
              <w:left w:val="nil"/>
              <w:bottom w:val="nil"/>
              <w:right w:val="nil"/>
            </w:tcBorders>
            <w:shd w:val="clear" w:color="000000" w:fill="E6F2FF"/>
            <w:noWrap/>
            <w:vAlign w:val="center"/>
            <w:hideMark/>
          </w:tcPr>
          <w:p w14:paraId="43B48E17"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30,156</w:t>
            </w:r>
          </w:p>
        </w:tc>
        <w:tc>
          <w:tcPr>
            <w:tcW w:w="517" w:type="pct"/>
            <w:tcBorders>
              <w:top w:val="nil"/>
              <w:left w:val="nil"/>
              <w:bottom w:val="nil"/>
              <w:right w:val="nil"/>
            </w:tcBorders>
            <w:shd w:val="clear" w:color="auto" w:fill="auto"/>
            <w:noWrap/>
            <w:vAlign w:val="center"/>
            <w:hideMark/>
          </w:tcPr>
          <w:p w14:paraId="00BBDA2E"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31,356</w:t>
            </w:r>
          </w:p>
        </w:tc>
        <w:tc>
          <w:tcPr>
            <w:tcW w:w="477" w:type="pct"/>
            <w:tcBorders>
              <w:top w:val="nil"/>
              <w:left w:val="nil"/>
              <w:bottom w:val="nil"/>
              <w:right w:val="nil"/>
            </w:tcBorders>
            <w:shd w:val="clear" w:color="auto" w:fill="auto"/>
            <w:noWrap/>
            <w:vAlign w:val="center"/>
            <w:hideMark/>
          </w:tcPr>
          <w:p w14:paraId="41ADD7AD"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32,584</w:t>
            </w:r>
          </w:p>
        </w:tc>
        <w:tc>
          <w:tcPr>
            <w:tcW w:w="477" w:type="pct"/>
            <w:tcBorders>
              <w:top w:val="nil"/>
              <w:left w:val="nil"/>
              <w:bottom w:val="nil"/>
              <w:right w:val="nil"/>
            </w:tcBorders>
            <w:shd w:val="clear" w:color="auto" w:fill="auto"/>
            <w:noWrap/>
            <w:vAlign w:val="center"/>
            <w:hideMark/>
          </w:tcPr>
          <w:p w14:paraId="4537CDD5"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33,834</w:t>
            </w:r>
          </w:p>
        </w:tc>
      </w:tr>
      <w:tr w:rsidR="00A168A2" w:rsidRPr="00C94004" w14:paraId="0700ACED" w14:textId="77777777" w:rsidTr="00A168A2">
        <w:trPr>
          <w:trHeight w:hRule="exact" w:val="255"/>
        </w:trPr>
        <w:tc>
          <w:tcPr>
            <w:tcW w:w="2416" w:type="pct"/>
            <w:tcBorders>
              <w:top w:val="nil"/>
              <w:left w:val="nil"/>
              <w:bottom w:val="nil"/>
              <w:right w:val="nil"/>
            </w:tcBorders>
            <w:shd w:val="clear" w:color="auto" w:fill="auto"/>
            <w:noWrap/>
            <w:vAlign w:val="center"/>
            <w:hideMark/>
          </w:tcPr>
          <w:p w14:paraId="1D77DF40"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 xml:space="preserve">National Agreement on Social Housing </w:t>
            </w:r>
          </w:p>
        </w:tc>
        <w:tc>
          <w:tcPr>
            <w:tcW w:w="556" w:type="pct"/>
            <w:tcBorders>
              <w:top w:val="nil"/>
              <w:left w:val="nil"/>
              <w:bottom w:val="nil"/>
              <w:right w:val="nil"/>
            </w:tcBorders>
            <w:shd w:val="clear" w:color="auto" w:fill="auto"/>
            <w:noWrap/>
            <w:vAlign w:val="center"/>
            <w:hideMark/>
          </w:tcPr>
          <w:p w14:paraId="1ABC6794" w14:textId="77777777" w:rsidR="00A168A2" w:rsidRPr="00C94004" w:rsidRDefault="00A168A2" w:rsidP="00A168A2">
            <w:pPr>
              <w:spacing w:before="0" w:after="0" w:line="240" w:lineRule="auto"/>
              <w:ind w:firstLineChars="100" w:firstLine="160"/>
              <w:rPr>
                <w:rFonts w:ascii="Arial" w:hAnsi="Arial" w:cs="Arial"/>
                <w:sz w:val="16"/>
                <w:szCs w:val="16"/>
              </w:rPr>
            </w:pPr>
          </w:p>
        </w:tc>
        <w:tc>
          <w:tcPr>
            <w:tcW w:w="556" w:type="pct"/>
            <w:tcBorders>
              <w:top w:val="nil"/>
              <w:left w:val="nil"/>
              <w:bottom w:val="nil"/>
              <w:right w:val="nil"/>
            </w:tcBorders>
            <w:shd w:val="clear" w:color="000000" w:fill="E6F2FF"/>
            <w:noWrap/>
            <w:vAlign w:val="center"/>
            <w:hideMark/>
          </w:tcPr>
          <w:p w14:paraId="48DE5DA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 </w:t>
            </w:r>
          </w:p>
        </w:tc>
        <w:tc>
          <w:tcPr>
            <w:tcW w:w="517" w:type="pct"/>
            <w:tcBorders>
              <w:top w:val="nil"/>
              <w:left w:val="nil"/>
              <w:bottom w:val="nil"/>
              <w:right w:val="nil"/>
            </w:tcBorders>
            <w:shd w:val="clear" w:color="auto" w:fill="auto"/>
            <w:noWrap/>
            <w:vAlign w:val="center"/>
            <w:hideMark/>
          </w:tcPr>
          <w:p w14:paraId="15BA9A32" w14:textId="77777777" w:rsidR="00A168A2" w:rsidRPr="00C94004" w:rsidRDefault="00A168A2" w:rsidP="00A168A2">
            <w:pPr>
              <w:spacing w:before="0" w:after="0" w:line="240" w:lineRule="auto"/>
              <w:jc w:val="right"/>
              <w:rPr>
                <w:rFonts w:ascii="Arial" w:hAnsi="Arial" w:cs="Arial"/>
                <w:sz w:val="16"/>
                <w:szCs w:val="16"/>
              </w:rPr>
            </w:pPr>
          </w:p>
        </w:tc>
        <w:tc>
          <w:tcPr>
            <w:tcW w:w="477" w:type="pct"/>
            <w:tcBorders>
              <w:top w:val="nil"/>
              <w:left w:val="nil"/>
              <w:bottom w:val="nil"/>
              <w:right w:val="nil"/>
            </w:tcBorders>
            <w:shd w:val="clear" w:color="auto" w:fill="auto"/>
            <w:noWrap/>
            <w:vAlign w:val="center"/>
            <w:hideMark/>
          </w:tcPr>
          <w:p w14:paraId="32BA2630" w14:textId="77777777" w:rsidR="00A168A2" w:rsidRPr="00C94004" w:rsidRDefault="00A168A2" w:rsidP="00A168A2">
            <w:pPr>
              <w:spacing w:before="0" w:after="0" w:line="240" w:lineRule="auto"/>
              <w:jc w:val="right"/>
              <w:rPr>
                <w:rFonts w:ascii="Times New Roman" w:hAnsi="Times New Roman"/>
                <w:sz w:val="20"/>
              </w:rPr>
            </w:pPr>
          </w:p>
        </w:tc>
        <w:tc>
          <w:tcPr>
            <w:tcW w:w="477" w:type="pct"/>
            <w:tcBorders>
              <w:top w:val="nil"/>
              <w:left w:val="nil"/>
              <w:bottom w:val="nil"/>
              <w:right w:val="nil"/>
            </w:tcBorders>
            <w:shd w:val="clear" w:color="auto" w:fill="auto"/>
            <w:noWrap/>
            <w:vAlign w:val="center"/>
            <w:hideMark/>
          </w:tcPr>
          <w:p w14:paraId="2A57D7DB" w14:textId="77777777" w:rsidR="00A168A2" w:rsidRPr="00C94004" w:rsidRDefault="00A168A2" w:rsidP="00A168A2">
            <w:pPr>
              <w:spacing w:before="0" w:after="0" w:line="240" w:lineRule="auto"/>
              <w:jc w:val="right"/>
              <w:rPr>
                <w:rFonts w:ascii="Times New Roman" w:hAnsi="Times New Roman"/>
                <w:sz w:val="20"/>
              </w:rPr>
            </w:pPr>
          </w:p>
        </w:tc>
      </w:tr>
      <w:tr w:rsidR="00A168A2" w:rsidRPr="00C94004" w14:paraId="04201023" w14:textId="77777777" w:rsidTr="00A168A2">
        <w:trPr>
          <w:trHeight w:hRule="exact" w:val="255"/>
        </w:trPr>
        <w:tc>
          <w:tcPr>
            <w:tcW w:w="2416" w:type="pct"/>
            <w:tcBorders>
              <w:top w:val="nil"/>
              <w:left w:val="nil"/>
              <w:bottom w:val="nil"/>
              <w:right w:val="nil"/>
            </w:tcBorders>
            <w:shd w:val="clear" w:color="auto" w:fill="auto"/>
            <w:noWrap/>
            <w:vAlign w:val="center"/>
            <w:hideMark/>
          </w:tcPr>
          <w:p w14:paraId="3FF6B4B3" w14:textId="77777777" w:rsidR="00A168A2" w:rsidRPr="00C94004" w:rsidRDefault="00A168A2" w:rsidP="00A168A2">
            <w:pPr>
              <w:spacing w:before="0" w:after="0" w:line="240" w:lineRule="auto"/>
              <w:ind w:left="340"/>
              <w:rPr>
                <w:rFonts w:ascii="Arial" w:hAnsi="Arial" w:cs="Arial"/>
                <w:sz w:val="16"/>
                <w:szCs w:val="16"/>
              </w:rPr>
            </w:pPr>
            <w:r w:rsidRPr="00C94004">
              <w:rPr>
                <w:rFonts w:ascii="Arial" w:hAnsi="Arial" w:cs="Arial"/>
                <w:sz w:val="16"/>
                <w:szCs w:val="16"/>
              </w:rPr>
              <w:t>and Homelessness</w:t>
            </w:r>
          </w:p>
        </w:tc>
        <w:tc>
          <w:tcPr>
            <w:tcW w:w="556" w:type="pct"/>
            <w:tcBorders>
              <w:top w:val="nil"/>
              <w:left w:val="nil"/>
              <w:bottom w:val="nil"/>
              <w:right w:val="nil"/>
            </w:tcBorders>
            <w:shd w:val="clear" w:color="auto" w:fill="auto"/>
            <w:noWrap/>
            <w:vAlign w:val="center"/>
            <w:hideMark/>
          </w:tcPr>
          <w:p w14:paraId="767EFE22"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1,706</w:t>
            </w:r>
          </w:p>
        </w:tc>
        <w:tc>
          <w:tcPr>
            <w:tcW w:w="556" w:type="pct"/>
            <w:tcBorders>
              <w:top w:val="nil"/>
              <w:left w:val="nil"/>
              <w:bottom w:val="nil"/>
              <w:right w:val="nil"/>
            </w:tcBorders>
            <w:shd w:val="clear" w:color="000000" w:fill="E6F2FF"/>
            <w:noWrap/>
            <w:vAlign w:val="center"/>
            <w:hideMark/>
          </w:tcPr>
          <w:p w14:paraId="00E846A8"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1,778</w:t>
            </w:r>
          </w:p>
        </w:tc>
        <w:tc>
          <w:tcPr>
            <w:tcW w:w="517" w:type="pct"/>
            <w:tcBorders>
              <w:top w:val="nil"/>
              <w:left w:val="nil"/>
              <w:bottom w:val="nil"/>
              <w:right w:val="nil"/>
            </w:tcBorders>
            <w:shd w:val="clear" w:color="auto" w:fill="auto"/>
            <w:noWrap/>
            <w:vAlign w:val="center"/>
            <w:hideMark/>
          </w:tcPr>
          <w:p w14:paraId="69EB488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1,814</w:t>
            </w:r>
          </w:p>
        </w:tc>
        <w:tc>
          <w:tcPr>
            <w:tcW w:w="477" w:type="pct"/>
            <w:tcBorders>
              <w:top w:val="nil"/>
              <w:left w:val="nil"/>
              <w:bottom w:val="nil"/>
              <w:right w:val="nil"/>
            </w:tcBorders>
            <w:shd w:val="clear" w:color="auto" w:fill="auto"/>
            <w:noWrap/>
            <w:vAlign w:val="center"/>
            <w:hideMark/>
          </w:tcPr>
          <w:p w14:paraId="0249AD4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1,856</w:t>
            </w:r>
          </w:p>
        </w:tc>
        <w:tc>
          <w:tcPr>
            <w:tcW w:w="477" w:type="pct"/>
            <w:tcBorders>
              <w:top w:val="nil"/>
              <w:left w:val="nil"/>
              <w:bottom w:val="nil"/>
              <w:right w:val="nil"/>
            </w:tcBorders>
            <w:shd w:val="clear" w:color="auto" w:fill="auto"/>
            <w:noWrap/>
            <w:vAlign w:val="center"/>
            <w:hideMark/>
          </w:tcPr>
          <w:p w14:paraId="5F881F27"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1,888</w:t>
            </w:r>
          </w:p>
        </w:tc>
      </w:tr>
      <w:tr w:rsidR="00A168A2" w:rsidRPr="00C94004" w14:paraId="21842A5B" w14:textId="77777777" w:rsidTr="00A168A2">
        <w:trPr>
          <w:trHeight w:hRule="exact" w:val="255"/>
        </w:trPr>
        <w:tc>
          <w:tcPr>
            <w:tcW w:w="2416" w:type="pct"/>
            <w:tcBorders>
              <w:top w:val="nil"/>
              <w:left w:val="nil"/>
              <w:bottom w:val="nil"/>
              <w:right w:val="nil"/>
            </w:tcBorders>
            <w:shd w:val="clear" w:color="auto" w:fill="auto"/>
            <w:noWrap/>
            <w:vAlign w:val="center"/>
            <w:hideMark/>
          </w:tcPr>
          <w:p w14:paraId="5D17C795"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Energy Bill Relief</w:t>
            </w:r>
          </w:p>
        </w:tc>
        <w:tc>
          <w:tcPr>
            <w:tcW w:w="556" w:type="pct"/>
            <w:tcBorders>
              <w:top w:val="nil"/>
              <w:left w:val="nil"/>
              <w:bottom w:val="nil"/>
              <w:right w:val="nil"/>
            </w:tcBorders>
            <w:shd w:val="clear" w:color="auto" w:fill="auto"/>
            <w:noWrap/>
            <w:vAlign w:val="center"/>
            <w:hideMark/>
          </w:tcPr>
          <w:p w14:paraId="74509A29"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1,110</w:t>
            </w:r>
          </w:p>
        </w:tc>
        <w:tc>
          <w:tcPr>
            <w:tcW w:w="556" w:type="pct"/>
            <w:tcBorders>
              <w:top w:val="nil"/>
              <w:left w:val="nil"/>
              <w:bottom w:val="nil"/>
              <w:right w:val="nil"/>
            </w:tcBorders>
            <w:shd w:val="clear" w:color="000000" w:fill="E6F2FF"/>
            <w:noWrap/>
            <w:vAlign w:val="center"/>
            <w:hideMark/>
          </w:tcPr>
          <w:p w14:paraId="5336FA79"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3,000</w:t>
            </w:r>
          </w:p>
        </w:tc>
        <w:tc>
          <w:tcPr>
            <w:tcW w:w="517" w:type="pct"/>
            <w:tcBorders>
              <w:top w:val="nil"/>
              <w:left w:val="nil"/>
              <w:bottom w:val="nil"/>
              <w:right w:val="nil"/>
            </w:tcBorders>
            <w:shd w:val="clear" w:color="auto" w:fill="auto"/>
            <w:noWrap/>
            <w:vAlign w:val="center"/>
            <w:hideMark/>
          </w:tcPr>
          <w:p w14:paraId="7F33DD3A"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872</w:t>
            </w:r>
          </w:p>
        </w:tc>
        <w:tc>
          <w:tcPr>
            <w:tcW w:w="477" w:type="pct"/>
            <w:tcBorders>
              <w:top w:val="nil"/>
              <w:left w:val="nil"/>
              <w:bottom w:val="nil"/>
              <w:right w:val="nil"/>
            </w:tcBorders>
            <w:shd w:val="clear" w:color="auto" w:fill="auto"/>
            <w:noWrap/>
            <w:vAlign w:val="center"/>
            <w:hideMark/>
          </w:tcPr>
          <w:p w14:paraId="03BB0225" w14:textId="287EA0C0" w:rsidR="00A168A2" w:rsidRPr="00C94004" w:rsidRDefault="00BE2E8A" w:rsidP="00A168A2">
            <w:pPr>
              <w:spacing w:before="0" w:after="0" w:line="240" w:lineRule="auto"/>
              <w:jc w:val="right"/>
              <w:rPr>
                <w:rFonts w:ascii="Arial" w:hAnsi="Arial" w:cs="Arial"/>
                <w:sz w:val="16"/>
                <w:szCs w:val="16"/>
              </w:rPr>
            </w:pPr>
            <w:r w:rsidRPr="00C94004">
              <w:rPr>
                <w:rFonts w:ascii="Arial" w:hAnsi="Arial" w:cs="Arial"/>
                <w:sz w:val="16"/>
                <w:szCs w:val="16"/>
              </w:rPr>
              <w:noBreakHyphen/>
            </w:r>
          </w:p>
        </w:tc>
        <w:tc>
          <w:tcPr>
            <w:tcW w:w="477" w:type="pct"/>
            <w:tcBorders>
              <w:top w:val="nil"/>
              <w:left w:val="nil"/>
              <w:bottom w:val="nil"/>
              <w:right w:val="nil"/>
            </w:tcBorders>
            <w:shd w:val="clear" w:color="auto" w:fill="auto"/>
            <w:noWrap/>
            <w:vAlign w:val="center"/>
            <w:hideMark/>
          </w:tcPr>
          <w:p w14:paraId="384DF386" w14:textId="4DC3FCE6" w:rsidR="00A168A2" w:rsidRPr="00C94004" w:rsidRDefault="00BE2E8A" w:rsidP="00A168A2">
            <w:pPr>
              <w:spacing w:before="0" w:after="0" w:line="240" w:lineRule="auto"/>
              <w:jc w:val="right"/>
              <w:rPr>
                <w:rFonts w:ascii="Arial" w:hAnsi="Arial" w:cs="Arial"/>
                <w:sz w:val="16"/>
                <w:szCs w:val="16"/>
              </w:rPr>
            </w:pPr>
            <w:r w:rsidRPr="00C94004">
              <w:rPr>
                <w:rFonts w:ascii="Arial" w:hAnsi="Arial" w:cs="Arial"/>
                <w:sz w:val="16"/>
                <w:szCs w:val="16"/>
              </w:rPr>
              <w:noBreakHyphen/>
            </w:r>
          </w:p>
        </w:tc>
      </w:tr>
      <w:tr w:rsidR="00A168A2" w:rsidRPr="00C94004" w14:paraId="45ACF6C6" w14:textId="77777777" w:rsidTr="00A168A2">
        <w:trPr>
          <w:trHeight w:hRule="exact" w:val="255"/>
        </w:trPr>
        <w:tc>
          <w:tcPr>
            <w:tcW w:w="2416" w:type="pct"/>
            <w:tcBorders>
              <w:top w:val="nil"/>
              <w:left w:val="nil"/>
              <w:bottom w:val="nil"/>
              <w:right w:val="nil"/>
            </w:tcBorders>
            <w:shd w:val="clear" w:color="auto" w:fill="auto"/>
            <w:noWrap/>
            <w:vAlign w:val="center"/>
            <w:hideMark/>
          </w:tcPr>
          <w:p w14:paraId="6659B441"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National Partnership payments(a)</w:t>
            </w:r>
          </w:p>
        </w:tc>
        <w:tc>
          <w:tcPr>
            <w:tcW w:w="556" w:type="pct"/>
            <w:tcBorders>
              <w:top w:val="nil"/>
              <w:left w:val="nil"/>
              <w:bottom w:val="nil"/>
              <w:right w:val="nil"/>
            </w:tcBorders>
            <w:shd w:val="clear" w:color="auto" w:fill="auto"/>
            <w:noWrap/>
            <w:vAlign w:val="center"/>
            <w:hideMark/>
          </w:tcPr>
          <w:p w14:paraId="1A652198"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21,985</w:t>
            </w:r>
          </w:p>
        </w:tc>
        <w:tc>
          <w:tcPr>
            <w:tcW w:w="556" w:type="pct"/>
            <w:tcBorders>
              <w:top w:val="nil"/>
              <w:left w:val="nil"/>
              <w:bottom w:val="nil"/>
              <w:right w:val="nil"/>
            </w:tcBorders>
            <w:shd w:val="clear" w:color="000000" w:fill="E6F2FF"/>
            <w:noWrap/>
            <w:vAlign w:val="center"/>
            <w:hideMark/>
          </w:tcPr>
          <w:p w14:paraId="34C680FD"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24,004</w:t>
            </w:r>
          </w:p>
        </w:tc>
        <w:tc>
          <w:tcPr>
            <w:tcW w:w="517" w:type="pct"/>
            <w:tcBorders>
              <w:top w:val="nil"/>
              <w:left w:val="nil"/>
              <w:bottom w:val="nil"/>
              <w:right w:val="nil"/>
            </w:tcBorders>
            <w:shd w:val="clear" w:color="auto" w:fill="auto"/>
            <w:noWrap/>
            <w:vAlign w:val="center"/>
            <w:hideMark/>
          </w:tcPr>
          <w:p w14:paraId="3E4F294D"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21,969</w:t>
            </w:r>
          </w:p>
        </w:tc>
        <w:tc>
          <w:tcPr>
            <w:tcW w:w="477" w:type="pct"/>
            <w:tcBorders>
              <w:top w:val="nil"/>
              <w:left w:val="nil"/>
              <w:bottom w:val="nil"/>
              <w:right w:val="nil"/>
            </w:tcBorders>
            <w:shd w:val="clear" w:color="auto" w:fill="auto"/>
            <w:noWrap/>
            <w:vAlign w:val="center"/>
            <w:hideMark/>
          </w:tcPr>
          <w:p w14:paraId="7DF03C12"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20,833</w:t>
            </w:r>
          </w:p>
        </w:tc>
        <w:tc>
          <w:tcPr>
            <w:tcW w:w="477" w:type="pct"/>
            <w:tcBorders>
              <w:top w:val="nil"/>
              <w:left w:val="nil"/>
              <w:bottom w:val="nil"/>
              <w:right w:val="nil"/>
            </w:tcBorders>
            <w:shd w:val="clear" w:color="auto" w:fill="auto"/>
            <w:noWrap/>
            <w:vAlign w:val="center"/>
            <w:hideMark/>
          </w:tcPr>
          <w:p w14:paraId="043D7B39"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18,400</w:t>
            </w:r>
          </w:p>
        </w:tc>
      </w:tr>
      <w:tr w:rsidR="00A168A2" w:rsidRPr="00C94004" w14:paraId="14A7996C" w14:textId="77777777" w:rsidTr="00A168A2">
        <w:trPr>
          <w:trHeight w:hRule="exact" w:val="255"/>
        </w:trPr>
        <w:tc>
          <w:tcPr>
            <w:tcW w:w="2416" w:type="pct"/>
            <w:tcBorders>
              <w:top w:val="nil"/>
              <w:left w:val="nil"/>
              <w:bottom w:val="nil"/>
              <w:right w:val="nil"/>
            </w:tcBorders>
            <w:shd w:val="clear" w:color="auto" w:fill="auto"/>
            <w:noWrap/>
            <w:vAlign w:val="center"/>
            <w:hideMark/>
          </w:tcPr>
          <w:p w14:paraId="1783E532"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Total payments for specific purposes</w:t>
            </w:r>
          </w:p>
        </w:tc>
        <w:tc>
          <w:tcPr>
            <w:tcW w:w="556" w:type="pct"/>
            <w:tcBorders>
              <w:top w:val="single" w:sz="4" w:space="0" w:color="293F5B"/>
              <w:left w:val="nil"/>
              <w:bottom w:val="nil"/>
              <w:right w:val="nil"/>
            </w:tcBorders>
            <w:shd w:val="clear" w:color="auto" w:fill="auto"/>
            <w:noWrap/>
            <w:vAlign w:val="center"/>
            <w:hideMark/>
          </w:tcPr>
          <w:p w14:paraId="39FC6BC8"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83,965</w:t>
            </w:r>
          </w:p>
        </w:tc>
        <w:tc>
          <w:tcPr>
            <w:tcW w:w="556" w:type="pct"/>
            <w:tcBorders>
              <w:top w:val="single" w:sz="4" w:space="0" w:color="293F5B"/>
              <w:left w:val="nil"/>
              <w:bottom w:val="nil"/>
              <w:right w:val="nil"/>
            </w:tcBorders>
            <w:shd w:val="clear" w:color="000000" w:fill="E6F2FF"/>
            <w:noWrap/>
            <w:vAlign w:val="center"/>
            <w:hideMark/>
          </w:tcPr>
          <w:p w14:paraId="23BFAF79"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91,519</w:t>
            </w:r>
          </w:p>
        </w:tc>
        <w:tc>
          <w:tcPr>
            <w:tcW w:w="517" w:type="pct"/>
            <w:tcBorders>
              <w:top w:val="single" w:sz="4" w:space="0" w:color="293F5B"/>
              <w:left w:val="nil"/>
              <w:bottom w:val="nil"/>
              <w:right w:val="nil"/>
            </w:tcBorders>
            <w:shd w:val="clear" w:color="auto" w:fill="auto"/>
            <w:noWrap/>
            <w:vAlign w:val="center"/>
            <w:hideMark/>
          </w:tcPr>
          <w:p w14:paraId="0BBB8A4E"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90,654</w:t>
            </w:r>
          </w:p>
        </w:tc>
        <w:tc>
          <w:tcPr>
            <w:tcW w:w="477" w:type="pct"/>
            <w:tcBorders>
              <w:top w:val="single" w:sz="4" w:space="0" w:color="293F5B"/>
              <w:left w:val="nil"/>
              <w:bottom w:val="nil"/>
              <w:right w:val="nil"/>
            </w:tcBorders>
            <w:shd w:val="clear" w:color="auto" w:fill="auto"/>
            <w:noWrap/>
            <w:vAlign w:val="center"/>
            <w:hideMark/>
          </w:tcPr>
          <w:p w14:paraId="34B5818B"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91,997</w:t>
            </w:r>
          </w:p>
        </w:tc>
        <w:tc>
          <w:tcPr>
            <w:tcW w:w="477" w:type="pct"/>
            <w:tcBorders>
              <w:top w:val="single" w:sz="4" w:space="0" w:color="293F5B"/>
              <w:left w:val="nil"/>
              <w:bottom w:val="nil"/>
              <w:right w:val="nil"/>
            </w:tcBorders>
            <w:shd w:val="clear" w:color="auto" w:fill="auto"/>
            <w:noWrap/>
            <w:vAlign w:val="center"/>
            <w:hideMark/>
          </w:tcPr>
          <w:p w14:paraId="3237759B"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93,111</w:t>
            </w:r>
          </w:p>
        </w:tc>
      </w:tr>
      <w:tr w:rsidR="00A168A2" w:rsidRPr="00C94004" w14:paraId="2F7552E1" w14:textId="77777777" w:rsidTr="00A168A2">
        <w:trPr>
          <w:trHeight w:hRule="exact" w:val="255"/>
        </w:trPr>
        <w:tc>
          <w:tcPr>
            <w:tcW w:w="2416" w:type="pct"/>
            <w:tcBorders>
              <w:top w:val="nil"/>
              <w:left w:val="nil"/>
              <w:bottom w:val="nil"/>
              <w:right w:val="nil"/>
            </w:tcBorders>
            <w:shd w:val="clear" w:color="auto" w:fill="auto"/>
            <w:noWrap/>
            <w:vAlign w:val="center"/>
            <w:hideMark/>
          </w:tcPr>
          <w:p w14:paraId="7CB57D1A"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Per cent change from previous year</w:t>
            </w:r>
          </w:p>
        </w:tc>
        <w:tc>
          <w:tcPr>
            <w:tcW w:w="556" w:type="pct"/>
            <w:tcBorders>
              <w:top w:val="nil"/>
              <w:left w:val="nil"/>
              <w:bottom w:val="nil"/>
              <w:right w:val="nil"/>
            </w:tcBorders>
            <w:shd w:val="clear" w:color="auto" w:fill="auto"/>
            <w:noWrap/>
            <w:vAlign w:val="center"/>
            <w:hideMark/>
          </w:tcPr>
          <w:p w14:paraId="598D497A"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1.6</w:t>
            </w:r>
          </w:p>
        </w:tc>
        <w:tc>
          <w:tcPr>
            <w:tcW w:w="556" w:type="pct"/>
            <w:tcBorders>
              <w:top w:val="nil"/>
              <w:left w:val="nil"/>
              <w:bottom w:val="nil"/>
              <w:right w:val="nil"/>
            </w:tcBorders>
            <w:shd w:val="clear" w:color="000000" w:fill="E6F2FF"/>
            <w:noWrap/>
            <w:vAlign w:val="center"/>
            <w:hideMark/>
          </w:tcPr>
          <w:p w14:paraId="1C48B10D"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9.0</w:t>
            </w:r>
          </w:p>
        </w:tc>
        <w:tc>
          <w:tcPr>
            <w:tcW w:w="517" w:type="pct"/>
            <w:tcBorders>
              <w:top w:val="nil"/>
              <w:left w:val="nil"/>
              <w:bottom w:val="nil"/>
              <w:right w:val="nil"/>
            </w:tcBorders>
            <w:shd w:val="clear" w:color="auto" w:fill="auto"/>
            <w:noWrap/>
            <w:vAlign w:val="center"/>
            <w:hideMark/>
          </w:tcPr>
          <w:p w14:paraId="2BBD107F" w14:textId="45E315FE" w:rsidR="00A168A2" w:rsidRPr="00C94004" w:rsidRDefault="00BE2E8A" w:rsidP="00A168A2">
            <w:pPr>
              <w:spacing w:before="0" w:after="0" w:line="240" w:lineRule="auto"/>
              <w:jc w:val="right"/>
              <w:rPr>
                <w:rFonts w:ascii="Arial" w:hAnsi="Arial" w:cs="Arial"/>
                <w:sz w:val="16"/>
                <w:szCs w:val="16"/>
              </w:rPr>
            </w:pPr>
            <w:r w:rsidRPr="00C94004">
              <w:rPr>
                <w:rFonts w:ascii="Arial" w:hAnsi="Arial" w:cs="Arial"/>
                <w:sz w:val="16"/>
                <w:szCs w:val="16"/>
              </w:rPr>
              <w:noBreakHyphen/>
            </w:r>
            <w:r w:rsidR="00A168A2" w:rsidRPr="00C94004">
              <w:rPr>
                <w:rFonts w:ascii="Arial" w:hAnsi="Arial" w:cs="Arial"/>
                <w:sz w:val="16"/>
                <w:szCs w:val="16"/>
              </w:rPr>
              <w:t>0.9</w:t>
            </w:r>
          </w:p>
        </w:tc>
        <w:tc>
          <w:tcPr>
            <w:tcW w:w="477" w:type="pct"/>
            <w:tcBorders>
              <w:top w:val="nil"/>
              <w:left w:val="nil"/>
              <w:bottom w:val="nil"/>
              <w:right w:val="nil"/>
            </w:tcBorders>
            <w:shd w:val="clear" w:color="auto" w:fill="auto"/>
            <w:noWrap/>
            <w:vAlign w:val="center"/>
            <w:hideMark/>
          </w:tcPr>
          <w:p w14:paraId="0F2EAAA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1.5</w:t>
            </w:r>
          </w:p>
        </w:tc>
        <w:tc>
          <w:tcPr>
            <w:tcW w:w="477" w:type="pct"/>
            <w:tcBorders>
              <w:top w:val="nil"/>
              <w:left w:val="nil"/>
              <w:bottom w:val="nil"/>
              <w:right w:val="nil"/>
            </w:tcBorders>
            <w:shd w:val="clear" w:color="auto" w:fill="auto"/>
            <w:noWrap/>
            <w:vAlign w:val="center"/>
            <w:hideMark/>
          </w:tcPr>
          <w:p w14:paraId="0C54E22B"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1.2</w:t>
            </w:r>
          </w:p>
        </w:tc>
      </w:tr>
      <w:tr w:rsidR="00A168A2" w:rsidRPr="00C94004" w14:paraId="50F7CF0C" w14:textId="77777777" w:rsidTr="00A168A2">
        <w:trPr>
          <w:trHeight w:hRule="exact" w:val="255"/>
        </w:trPr>
        <w:tc>
          <w:tcPr>
            <w:tcW w:w="2416" w:type="pct"/>
            <w:tcBorders>
              <w:top w:val="nil"/>
              <w:left w:val="nil"/>
              <w:bottom w:val="nil"/>
              <w:right w:val="nil"/>
            </w:tcBorders>
            <w:shd w:val="clear" w:color="auto" w:fill="auto"/>
            <w:noWrap/>
            <w:vAlign w:val="center"/>
            <w:hideMark/>
          </w:tcPr>
          <w:p w14:paraId="42F9519D"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Per cent of GDP</w:t>
            </w:r>
          </w:p>
        </w:tc>
        <w:tc>
          <w:tcPr>
            <w:tcW w:w="556" w:type="pct"/>
            <w:tcBorders>
              <w:top w:val="nil"/>
              <w:left w:val="nil"/>
              <w:bottom w:val="nil"/>
              <w:right w:val="nil"/>
            </w:tcBorders>
            <w:shd w:val="clear" w:color="auto" w:fill="auto"/>
            <w:noWrap/>
            <w:vAlign w:val="center"/>
            <w:hideMark/>
          </w:tcPr>
          <w:p w14:paraId="71BCBFA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3.1</w:t>
            </w:r>
          </w:p>
        </w:tc>
        <w:tc>
          <w:tcPr>
            <w:tcW w:w="556" w:type="pct"/>
            <w:tcBorders>
              <w:top w:val="nil"/>
              <w:left w:val="nil"/>
              <w:bottom w:val="nil"/>
              <w:right w:val="nil"/>
            </w:tcBorders>
            <w:shd w:val="clear" w:color="000000" w:fill="E6F2FF"/>
            <w:noWrap/>
            <w:vAlign w:val="center"/>
            <w:hideMark/>
          </w:tcPr>
          <w:p w14:paraId="7110B49E"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3.3</w:t>
            </w:r>
          </w:p>
        </w:tc>
        <w:tc>
          <w:tcPr>
            <w:tcW w:w="517" w:type="pct"/>
            <w:tcBorders>
              <w:top w:val="nil"/>
              <w:left w:val="nil"/>
              <w:bottom w:val="nil"/>
              <w:right w:val="nil"/>
            </w:tcBorders>
            <w:shd w:val="clear" w:color="auto" w:fill="auto"/>
            <w:noWrap/>
            <w:vAlign w:val="center"/>
            <w:hideMark/>
          </w:tcPr>
          <w:p w14:paraId="28EDFA86"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3.2</w:t>
            </w:r>
          </w:p>
        </w:tc>
        <w:tc>
          <w:tcPr>
            <w:tcW w:w="477" w:type="pct"/>
            <w:tcBorders>
              <w:top w:val="nil"/>
              <w:left w:val="nil"/>
              <w:bottom w:val="nil"/>
              <w:right w:val="nil"/>
            </w:tcBorders>
            <w:shd w:val="clear" w:color="auto" w:fill="auto"/>
            <w:noWrap/>
            <w:vAlign w:val="center"/>
            <w:hideMark/>
          </w:tcPr>
          <w:p w14:paraId="4CB0BA86"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3.0</w:t>
            </w:r>
          </w:p>
        </w:tc>
        <w:tc>
          <w:tcPr>
            <w:tcW w:w="477" w:type="pct"/>
            <w:tcBorders>
              <w:top w:val="nil"/>
              <w:left w:val="nil"/>
              <w:bottom w:val="nil"/>
              <w:right w:val="nil"/>
            </w:tcBorders>
            <w:shd w:val="clear" w:color="auto" w:fill="auto"/>
            <w:noWrap/>
            <w:vAlign w:val="center"/>
            <w:hideMark/>
          </w:tcPr>
          <w:p w14:paraId="32F08A56"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2.9</w:t>
            </w:r>
          </w:p>
        </w:tc>
      </w:tr>
      <w:tr w:rsidR="00A168A2" w:rsidRPr="00C94004" w14:paraId="24826796" w14:textId="77777777" w:rsidTr="00A168A2">
        <w:trPr>
          <w:trHeight w:hRule="exact" w:val="255"/>
        </w:trPr>
        <w:tc>
          <w:tcPr>
            <w:tcW w:w="2416" w:type="pct"/>
            <w:tcBorders>
              <w:top w:val="nil"/>
              <w:left w:val="nil"/>
              <w:bottom w:val="nil"/>
              <w:right w:val="nil"/>
            </w:tcBorders>
            <w:shd w:val="clear" w:color="auto" w:fill="auto"/>
            <w:noWrap/>
            <w:vAlign w:val="center"/>
            <w:hideMark/>
          </w:tcPr>
          <w:p w14:paraId="4DCED5FA" w14:textId="77777777" w:rsidR="00A168A2" w:rsidRPr="00C94004" w:rsidRDefault="00A168A2" w:rsidP="00A168A2">
            <w:pPr>
              <w:spacing w:before="0" w:after="0" w:line="240" w:lineRule="auto"/>
              <w:rPr>
                <w:rFonts w:ascii="Arial" w:hAnsi="Arial" w:cs="Arial"/>
                <w:i/>
                <w:iCs/>
                <w:sz w:val="16"/>
                <w:szCs w:val="16"/>
              </w:rPr>
            </w:pPr>
            <w:r w:rsidRPr="00C94004">
              <w:rPr>
                <w:rFonts w:ascii="Arial" w:hAnsi="Arial" w:cs="Arial"/>
                <w:i/>
                <w:iCs/>
                <w:sz w:val="16"/>
                <w:szCs w:val="16"/>
              </w:rPr>
              <w:t>General revenue assistance</w:t>
            </w:r>
          </w:p>
        </w:tc>
        <w:tc>
          <w:tcPr>
            <w:tcW w:w="556" w:type="pct"/>
            <w:tcBorders>
              <w:top w:val="nil"/>
              <w:left w:val="nil"/>
              <w:bottom w:val="nil"/>
              <w:right w:val="nil"/>
            </w:tcBorders>
            <w:shd w:val="clear" w:color="auto" w:fill="auto"/>
            <w:noWrap/>
            <w:vAlign w:val="center"/>
            <w:hideMark/>
          </w:tcPr>
          <w:p w14:paraId="12F3B0C3" w14:textId="77777777" w:rsidR="00A168A2" w:rsidRPr="00C94004" w:rsidRDefault="00A168A2" w:rsidP="00A168A2">
            <w:pPr>
              <w:spacing w:before="0" w:after="0" w:line="240" w:lineRule="auto"/>
              <w:rPr>
                <w:rFonts w:ascii="Arial" w:hAnsi="Arial" w:cs="Arial"/>
                <w:i/>
                <w:iCs/>
                <w:sz w:val="16"/>
                <w:szCs w:val="16"/>
              </w:rPr>
            </w:pPr>
          </w:p>
        </w:tc>
        <w:tc>
          <w:tcPr>
            <w:tcW w:w="556" w:type="pct"/>
            <w:tcBorders>
              <w:top w:val="nil"/>
              <w:left w:val="nil"/>
              <w:bottom w:val="nil"/>
              <w:right w:val="nil"/>
            </w:tcBorders>
            <w:shd w:val="clear" w:color="000000" w:fill="E6F2FF"/>
            <w:noWrap/>
            <w:vAlign w:val="center"/>
            <w:hideMark/>
          </w:tcPr>
          <w:p w14:paraId="29D0F39F"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 </w:t>
            </w:r>
          </w:p>
        </w:tc>
        <w:tc>
          <w:tcPr>
            <w:tcW w:w="517" w:type="pct"/>
            <w:tcBorders>
              <w:top w:val="nil"/>
              <w:left w:val="nil"/>
              <w:bottom w:val="nil"/>
              <w:right w:val="nil"/>
            </w:tcBorders>
            <w:shd w:val="clear" w:color="auto" w:fill="auto"/>
            <w:noWrap/>
            <w:vAlign w:val="center"/>
            <w:hideMark/>
          </w:tcPr>
          <w:p w14:paraId="501ED8E0" w14:textId="77777777" w:rsidR="00A168A2" w:rsidRPr="00C94004" w:rsidRDefault="00A168A2" w:rsidP="00A168A2">
            <w:pPr>
              <w:spacing w:before="0" w:after="0" w:line="240" w:lineRule="auto"/>
              <w:jc w:val="right"/>
              <w:rPr>
                <w:rFonts w:ascii="Arial" w:hAnsi="Arial" w:cs="Arial"/>
                <w:sz w:val="16"/>
                <w:szCs w:val="16"/>
              </w:rPr>
            </w:pPr>
          </w:p>
        </w:tc>
        <w:tc>
          <w:tcPr>
            <w:tcW w:w="477" w:type="pct"/>
            <w:tcBorders>
              <w:top w:val="nil"/>
              <w:left w:val="nil"/>
              <w:bottom w:val="nil"/>
              <w:right w:val="nil"/>
            </w:tcBorders>
            <w:shd w:val="clear" w:color="auto" w:fill="auto"/>
            <w:noWrap/>
            <w:vAlign w:val="center"/>
            <w:hideMark/>
          </w:tcPr>
          <w:p w14:paraId="4A72F978" w14:textId="77777777" w:rsidR="00A168A2" w:rsidRPr="00C94004" w:rsidRDefault="00A168A2" w:rsidP="00A168A2">
            <w:pPr>
              <w:spacing w:before="0" w:after="0" w:line="240" w:lineRule="auto"/>
              <w:jc w:val="right"/>
              <w:rPr>
                <w:rFonts w:ascii="Times New Roman" w:hAnsi="Times New Roman"/>
                <w:sz w:val="20"/>
              </w:rPr>
            </w:pPr>
          </w:p>
        </w:tc>
        <w:tc>
          <w:tcPr>
            <w:tcW w:w="477" w:type="pct"/>
            <w:tcBorders>
              <w:top w:val="nil"/>
              <w:left w:val="nil"/>
              <w:bottom w:val="nil"/>
              <w:right w:val="nil"/>
            </w:tcBorders>
            <w:shd w:val="clear" w:color="auto" w:fill="auto"/>
            <w:noWrap/>
            <w:vAlign w:val="center"/>
            <w:hideMark/>
          </w:tcPr>
          <w:p w14:paraId="37D9403E" w14:textId="77777777" w:rsidR="00A168A2" w:rsidRPr="00C94004" w:rsidRDefault="00A168A2" w:rsidP="00A168A2">
            <w:pPr>
              <w:spacing w:before="0" w:after="0" w:line="240" w:lineRule="auto"/>
              <w:jc w:val="right"/>
              <w:rPr>
                <w:rFonts w:ascii="Times New Roman" w:hAnsi="Times New Roman"/>
                <w:sz w:val="20"/>
              </w:rPr>
            </w:pPr>
          </w:p>
        </w:tc>
      </w:tr>
      <w:tr w:rsidR="00A168A2" w:rsidRPr="00C94004" w14:paraId="480F37AC" w14:textId="77777777" w:rsidTr="00A168A2">
        <w:trPr>
          <w:trHeight w:hRule="exact" w:val="255"/>
        </w:trPr>
        <w:tc>
          <w:tcPr>
            <w:tcW w:w="2416" w:type="pct"/>
            <w:tcBorders>
              <w:top w:val="nil"/>
              <w:left w:val="nil"/>
              <w:bottom w:val="nil"/>
              <w:right w:val="nil"/>
            </w:tcBorders>
            <w:shd w:val="clear" w:color="auto" w:fill="auto"/>
            <w:noWrap/>
            <w:vAlign w:val="center"/>
            <w:hideMark/>
          </w:tcPr>
          <w:p w14:paraId="39CCAFE6" w14:textId="3B553200"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GST</w:t>
            </w:r>
            <w:r w:rsidR="00BE2E8A" w:rsidRPr="00C94004">
              <w:rPr>
                <w:rFonts w:ascii="Arial" w:hAnsi="Arial" w:cs="Arial"/>
                <w:sz w:val="16"/>
                <w:szCs w:val="16"/>
              </w:rPr>
              <w:noBreakHyphen/>
            </w:r>
            <w:r w:rsidRPr="00C94004">
              <w:rPr>
                <w:rFonts w:ascii="Arial" w:hAnsi="Arial" w:cs="Arial"/>
                <w:sz w:val="16"/>
                <w:szCs w:val="16"/>
              </w:rPr>
              <w:t>related payments(b)</w:t>
            </w:r>
          </w:p>
        </w:tc>
        <w:tc>
          <w:tcPr>
            <w:tcW w:w="556" w:type="pct"/>
            <w:tcBorders>
              <w:top w:val="nil"/>
              <w:left w:val="nil"/>
              <w:bottom w:val="nil"/>
              <w:right w:val="nil"/>
            </w:tcBorders>
            <w:shd w:val="clear" w:color="auto" w:fill="auto"/>
            <w:noWrap/>
            <w:vAlign w:val="center"/>
            <w:hideMark/>
          </w:tcPr>
          <w:p w14:paraId="7C84CC3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91,331</w:t>
            </w:r>
          </w:p>
        </w:tc>
        <w:tc>
          <w:tcPr>
            <w:tcW w:w="556" w:type="pct"/>
            <w:tcBorders>
              <w:top w:val="nil"/>
              <w:left w:val="nil"/>
              <w:bottom w:val="nil"/>
              <w:right w:val="nil"/>
            </w:tcBorders>
            <w:shd w:val="clear" w:color="000000" w:fill="E6F2FF"/>
            <w:noWrap/>
            <w:vAlign w:val="center"/>
            <w:hideMark/>
          </w:tcPr>
          <w:p w14:paraId="0D9A5224"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93,700</w:t>
            </w:r>
          </w:p>
        </w:tc>
        <w:tc>
          <w:tcPr>
            <w:tcW w:w="517" w:type="pct"/>
            <w:tcBorders>
              <w:top w:val="nil"/>
              <w:left w:val="nil"/>
              <w:bottom w:val="nil"/>
              <w:right w:val="nil"/>
            </w:tcBorders>
            <w:shd w:val="clear" w:color="auto" w:fill="auto"/>
            <w:noWrap/>
            <w:vAlign w:val="center"/>
            <w:hideMark/>
          </w:tcPr>
          <w:p w14:paraId="744DD69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98,671</w:t>
            </w:r>
          </w:p>
        </w:tc>
        <w:tc>
          <w:tcPr>
            <w:tcW w:w="477" w:type="pct"/>
            <w:tcBorders>
              <w:top w:val="nil"/>
              <w:left w:val="nil"/>
              <w:bottom w:val="nil"/>
              <w:right w:val="nil"/>
            </w:tcBorders>
            <w:shd w:val="clear" w:color="auto" w:fill="auto"/>
            <w:noWrap/>
            <w:vAlign w:val="center"/>
            <w:hideMark/>
          </w:tcPr>
          <w:p w14:paraId="692D47F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104,314</w:t>
            </w:r>
          </w:p>
        </w:tc>
        <w:tc>
          <w:tcPr>
            <w:tcW w:w="477" w:type="pct"/>
            <w:tcBorders>
              <w:top w:val="nil"/>
              <w:left w:val="nil"/>
              <w:bottom w:val="nil"/>
              <w:right w:val="nil"/>
            </w:tcBorders>
            <w:shd w:val="clear" w:color="auto" w:fill="auto"/>
            <w:noWrap/>
            <w:vAlign w:val="center"/>
            <w:hideMark/>
          </w:tcPr>
          <w:p w14:paraId="092E160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108,809</w:t>
            </w:r>
          </w:p>
        </w:tc>
      </w:tr>
      <w:tr w:rsidR="00A168A2" w:rsidRPr="00C94004" w14:paraId="35942BB1" w14:textId="77777777" w:rsidTr="00A168A2">
        <w:trPr>
          <w:trHeight w:hRule="exact" w:val="255"/>
        </w:trPr>
        <w:tc>
          <w:tcPr>
            <w:tcW w:w="2416" w:type="pct"/>
            <w:tcBorders>
              <w:top w:val="nil"/>
              <w:left w:val="nil"/>
              <w:bottom w:val="nil"/>
              <w:right w:val="nil"/>
            </w:tcBorders>
            <w:shd w:val="clear" w:color="auto" w:fill="auto"/>
            <w:noWrap/>
            <w:vAlign w:val="center"/>
            <w:hideMark/>
          </w:tcPr>
          <w:p w14:paraId="0AD79F60"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Other general revenue assistance</w:t>
            </w:r>
          </w:p>
        </w:tc>
        <w:tc>
          <w:tcPr>
            <w:tcW w:w="556" w:type="pct"/>
            <w:tcBorders>
              <w:top w:val="nil"/>
              <w:left w:val="nil"/>
              <w:bottom w:val="nil"/>
              <w:right w:val="nil"/>
            </w:tcBorders>
            <w:shd w:val="clear" w:color="auto" w:fill="auto"/>
            <w:noWrap/>
            <w:vAlign w:val="center"/>
            <w:hideMark/>
          </w:tcPr>
          <w:p w14:paraId="0D09C9D8"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776</w:t>
            </w:r>
          </w:p>
        </w:tc>
        <w:tc>
          <w:tcPr>
            <w:tcW w:w="556" w:type="pct"/>
            <w:tcBorders>
              <w:top w:val="nil"/>
              <w:left w:val="nil"/>
              <w:bottom w:val="nil"/>
              <w:right w:val="nil"/>
            </w:tcBorders>
            <w:shd w:val="clear" w:color="000000" w:fill="E6F2FF"/>
            <w:noWrap/>
            <w:vAlign w:val="center"/>
            <w:hideMark/>
          </w:tcPr>
          <w:p w14:paraId="4B911E2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711</w:t>
            </w:r>
          </w:p>
        </w:tc>
        <w:tc>
          <w:tcPr>
            <w:tcW w:w="517" w:type="pct"/>
            <w:tcBorders>
              <w:top w:val="nil"/>
              <w:left w:val="nil"/>
              <w:bottom w:val="nil"/>
              <w:right w:val="nil"/>
            </w:tcBorders>
            <w:shd w:val="clear" w:color="auto" w:fill="auto"/>
            <w:noWrap/>
            <w:vAlign w:val="center"/>
            <w:hideMark/>
          </w:tcPr>
          <w:p w14:paraId="193E072C"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571</w:t>
            </w:r>
          </w:p>
        </w:tc>
        <w:tc>
          <w:tcPr>
            <w:tcW w:w="477" w:type="pct"/>
            <w:tcBorders>
              <w:top w:val="nil"/>
              <w:left w:val="nil"/>
              <w:bottom w:val="nil"/>
              <w:right w:val="nil"/>
            </w:tcBorders>
            <w:shd w:val="clear" w:color="auto" w:fill="auto"/>
            <w:noWrap/>
            <w:vAlign w:val="center"/>
            <w:hideMark/>
          </w:tcPr>
          <w:p w14:paraId="7BA5F062"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458</w:t>
            </w:r>
          </w:p>
        </w:tc>
        <w:tc>
          <w:tcPr>
            <w:tcW w:w="477" w:type="pct"/>
            <w:tcBorders>
              <w:top w:val="nil"/>
              <w:left w:val="nil"/>
              <w:bottom w:val="nil"/>
              <w:right w:val="nil"/>
            </w:tcBorders>
            <w:shd w:val="clear" w:color="auto" w:fill="auto"/>
            <w:noWrap/>
            <w:vAlign w:val="center"/>
            <w:hideMark/>
          </w:tcPr>
          <w:p w14:paraId="2803D1CB"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434</w:t>
            </w:r>
          </w:p>
        </w:tc>
      </w:tr>
      <w:tr w:rsidR="00A168A2" w:rsidRPr="00C94004" w14:paraId="521278C9" w14:textId="77777777" w:rsidTr="00A168A2">
        <w:trPr>
          <w:trHeight w:hRule="exact" w:val="255"/>
        </w:trPr>
        <w:tc>
          <w:tcPr>
            <w:tcW w:w="2416" w:type="pct"/>
            <w:tcBorders>
              <w:top w:val="nil"/>
              <w:left w:val="nil"/>
              <w:bottom w:val="nil"/>
              <w:right w:val="nil"/>
            </w:tcBorders>
            <w:shd w:val="clear" w:color="auto" w:fill="auto"/>
            <w:noWrap/>
            <w:vAlign w:val="center"/>
            <w:hideMark/>
          </w:tcPr>
          <w:p w14:paraId="105D0211"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Total general revenue assistance</w:t>
            </w:r>
          </w:p>
        </w:tc>
        <w:tc>
          <w:tcPr>
            <w:tcW w:w="556" w:type="pct"/>
            <w:tcBorders>
              <w:top w:val="single" w:sz="4" w:space="0" w:color="293F5B"/>
              <w:left w:val="nil"/>
              <w:bottom w:val="nil"/>
              <w:right w:val="nil"/>
            </w:tcBorders>
            <w:shd w:val="clear" w:color="auto" w:fill="auto"/>
            <w:noWrap/>
            <w:vAlign w:val="center"/>
            <w:hideMark/>
          </w:tcPr>
          <w:p w14:paraId="5B24F4B4"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92,107</w:t>
            </w:r>
          </w:p>
        </w:tc>
        <w:tc>
          <w:tcPr>
            <w:tcW w:w="556" w:type="pct"/>
            <w:tcBorders>
              <w:top w:val="single" w:sz="4" w:space="0" w:color="293F5B"/>
              <w:left w:val="nil"/>
              <w:bottom w:val="nil"/>
              <w:right w:val="nil"/>
            </w:tcBorders>
            <w:shd w:val="clear" w:color="000000" w:fill="E6F2FF"/>
            <w:noWrap/>
            <w:vAlign w:val="center"/>
            <w:hideMark/>
          </w:tcPr>
          <w:p w14:paraId="33CC95E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94,412</w:t>
            </w:r>
          </w:p>
        </w:tc>
        <w:tc>
          <w:tcPr>
            <w:tcW w:w="517" w:type="pct"/>
            <w:tcBorders>
              <w:top w:val="single" w:sz="4" w:space="0" w:color="293F5B"/>
              <w:left w:val="nil"/>
              <w:bottom w:val="nil"/>
              <w:right w:val="nil"/>
            </w:tcBorders>
            <w:shd w:val="clear" w:color="auto" w:fill="auto"/>
            <w:noWrap/>
            <w:vAlign w:val="center"/>
            <w:hideMark/>
          </w:tcPr>
          <w:p w14:paraId="4A9E8F36"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99,241</w:t>
            </w:r>
          </w:p>
        </w:tc>
        <w:tc>
          <w:tcPr>
            <w:tcW w:w="477" w:type="pct"/>
            <w:tcBorders>
              <w:top w:val="single" w:sz="4" w:space="0" w:color="293F5B"/>
              <w:left w:val="nil"/>
              <w:bottom w:val="nil"/>
              <w:right w:val="nil"/>
            </w:tcBorders>
            <w:shd w:val="clear" w:color="auto" w:fill="auto"/>
            <w:noWrap/>
            <w:vAlign w:val="center"/>
            <w:hideMark/>
          </w:tcPr>
          <w:p w14:paraId="3FE8E67B"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104,771</w:t>
            </w:r>
          </w:p>
        </w:tc>
        <w:tc>
          <w:tcPr>
            <w:tcW w:w="477" w:type="pct"/>
            <w:tcBorders>
              <w:top w:val="single" w:sz="4" w:space="0" w:color="293F5B"/>
              <w:left w:val="nil"/>
              <w:bottom w:val="nil"/>
              <w:right w:val="nil"/>
            </w:tcBorders>
            <w:shd w:val="clear" w:color="auto" w:fill="auto"/>
            <w:noWrap/>
            <w:vAlign w:val="center"/>
            <w:hideMark/>
          </w:tcPr>
          <w:p w14:paraId="64DECAAF"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109,243</w:t>
            </w:r>
          </w:p>
        </w:tc>
      </w:tr>
      <w:tr w:rsidR="00A168A2" w:rsidRPr="00C94004" w14:paraId="2BBD3AD8" w14:textId="77777777" w:rsidTr="00A168A2">
        <w:trPr>
          <w:trHeight w:hRule="exact" w:val="255"/>
        </w:trPr>
        <w:tc>
          <w:tcPr>
            <w:tcW w:w="2416" w:type="pct"/>
            <w:tcBorders>
              <w:top w:val="nil"/>
              <w:left w:val="nil"/>
              <w:bottom w:val="nil"/>
              <w:right w:val="nil"/>
            </w:tcBorders>
            <w:shd w:val="clear" w:color="auto" w:fill="auto"/>
            <w:noWrap/>
            <w:vAlign w:val="center"/>
            <w:hideMark/>
          </w:tcPr>
          <w:p w14:paraId="29B08F5D"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Per cent change from previous year</w:t>
            </w:r>
          </w:p>
        </w:tc>
        <w:tc>
          <w:tcPr>
            <w:tcW w:w="556" w:type="pct"/>
            <w:tcBorders>
              <w:top w:val="nil"/>
              <w:left w:val="nil"/>
              <w:bottom w:val="nil"/>
              <w:right w:val="nil"/>
            </w:tcBorders>
            <w:shd w:val="clear" w:color="auto" w:fill="auto"/>
            <w:noWrap/>
            <w:vAlign w:val="center"/>
            <w:hideMark/>
          </w:tcPr>
          <w:p w14:paraId="75789C2D"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5.1</w:t>
            </w:r>
          </w:p>
        </w:tc>
        <w:tc>
          <w:tcPr>
            <w:tcW w:w="556" w:type="pct"/>
            <w:tcBorders>
              <w:top w:val="nil"/>
              <w:left w:val="nil"/>
              <w:bottom w:val="nil"/>
              <w:right w:val="nil"/>
            </w:tcBorders>
            <w:shd w:val="clear" w:color="000000" w:fill="E6F2FF"/>
            <w:noWrap/>
            <w:vAlign w:val="center"/>
            <w:hideMark/>
          </w:tcPr>
          <w:p w14:paraId="2F0C6FCC"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2.5</w:t>
            </w:r>
          </w:p>
        </w:tc>
        <w:tc>
          <w:tcPr>
            <w:tcW w:w="517" w:type="pct"/>
            <w:tcBorders>
              <w:top w:val="nil"/>
              <w:left w:val="nil"/>
              <w:bottom w:val="nil"/>
              <w:right w:val="nil"/>
            </w:tcBorders>
            <w:shd w:val="clear" w:color="auto" w:fill="auto"/>
            <w:noWrap/>
            <w:vAlign w:val="center"/>
            <w:hideMark/>
          </w:tcPr>
          <w:p w14:paraId="0B29ABEC"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5.1</w:t>
            </w:r>
          </w:p>
        </w:tc>
        <w:tc>
          <w:tcPr>
            <w:tcW w:w="477" w:type="pct"/>
            <w:tcBorders>
              <w:top w:val="nil"/>
              <w:left w:val="nil"/>
              <w:bottom w:val="nil"/>
              <w:right w:val="nil"/>
            </w:tcBorders>
            <w:shd w:val="clear" w:color="auto" w:fill="auto"/>
            <w:noWrap/>
            <w:vAlign w:val="center"/>
            <w:hideMark/>
          </w:tcPr>
          <w:p w14:paraId="58B522CC"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5.6</w:t>
            </w:r>
          </w:p>
        </w:tc>
        <w:tc>
          <w:tcPr>
            <w:tcW w:w="477" w:type="pct"/>
            <w:tcBorders>
              <w:top w:val="nil"/>
              <w:left w:val="nil"/>
              <w:bottom w:val="nil"/>
              <w:right w:val="nil"/>
            </w:tcBorders>
            <w:shd w:val="clear" w:color="auto" w:fill="auto"/>
            <w:noWrap/>
            <w:vAlign w:val="center"/>
            <w:hideMark/>
          </w:tcPr>
          <w:p w14:paraId="3804D07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4.3</w:t>
            </w:r>
          </w:p>
        </w:tc>
      </w:tr>
      <w:tr w:rsidR="00A168A2" w:rsidRPr="00C94004" w14:paraId="7FC9F260" w14:textId="77777777" w:rsidTr="00A168A2">
        <w:trPr>
          <w:trHeight w:hRule="exact" w:val="255"/>
        </w:trPr>
        <w:tc>
          <w:tcPr>
            <w:tcW w:w="2416" w:type="pct"/>
            <w:tcBorders>
              <w:top w:val="nil"/>
              <w:left w:val="nil"/>
              <w:bottom w:val="nil"/>
              <w:right w:val="nil"/>
            </w:tcBorders>
            <w:shd w:val="clear" w:color="auto" w:fill="auto"/>
            <w:noWrap/>
            <w:vAlign w:val="center"/>
            <w:hideMark/>
          </w:tcPr>
          <w:p w14:paraId="1587485D" w14:textId="77777777" w:rsidR="00A168A2" w:rsidRPr="00C94004" w:rsidRDefault="00A168A2" w:rsidP="00A168A2">
            <w:pPr>
              <w:spacing w:before="0" w:after="0" w:line="240" w:lineRule="auto"/>
              <w:ind w:left="170"/>
              <w:rPr>
                <w:rFonts w:ascii="Arial" w:hAnsi="Arial" w:cs="Arial"/>
                <w:sz w:val="16"/>
                <w:szCs w:val="16"/>
              </w:rPr>
            </w:pPr>
            <w:r w:rsidRPr="00C94004">
              <w:rPr>
                <w:rFonts w:ascii="Arial" w:hAnsi="Arial" w:cs="Arial"/>
                <w:sz w:val="16"/>
                <w:szCs w:val="16"/>
              </w:rPr>
              <w:t>Per cent of GDP</w:t>
            </w:r>
          </w:p>
        </w:tc>
        <w:tc>
          <w:tcPr>
            <w:tcW w:w="556" w:type="pct"/>
            <w:tcBorders>
              <w:top w:val="nil"/>
              <w:left w:val="nil"/>
              <w:bottom w:val="nil"/>
              <w:right w:val="nil"/>
            </w:tcBorders>
            <w:shd w:val="clear" w:color="auto" w:fill="auto"/>
            <w:noWrap/>
            <w:vAlign w:val="center"/>
            <w:hideMark/>
          </w:tcPr>
          <w:p w14:paraId="01EFCDBD"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3.4</w:t>
            </w:r>
          </w:p>
        </w:tc>
        <w:tc>
          <w:tcPr>
            <w:tcW w:w="556" w:type="pct"/>
            <w:tcBorders>
              <w:top w:val="nil"/>
              <w:left w:val="nil"/>
              <w:bottom w:val="nil"/>
              <w:right w:val="nil"/>
            </w:tcBorders>
            <w:shd w:val="clear" w:color="000000" w:fill="E6F2FF"/>
            <w:noWrap/>
            <w:vAlign w:val="center"/>
            <w:hideMark/>
          </w:tcPr>
          <w:p w14:paraId="67B476BE"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3.4</w:t>
            </w:r>
          </w:p>
        </w:tc>
        <w:tc>
          <w:tcPr>
            <w:tcW w:w="517" w:type="pct"/>
            <w:tcBorders>
              <w:top w:val="nil"/>
              <w:left w:val="nil"/>
              <w:bottom w:val="nil"/>
              <w:right w:val="nil"/>
            </w:tcBorders>
            <w:shd w:val="clear" w:color="auto" w:fill="auto"/>
            <w:noWrap/>
            <w:vAlign w:val="center"/>
            <w:hideMark/>
          </w:tcPr>
          <w:p w14:paraId="113C41E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3.5</w:t>
            </w:r>
          </w:p>
        </w:tc>
        <w:tc>
          <w:tcPr>
            <w:tcW w:w="477" w:type="pct"/>
            <w:tcBorders>
              <w:top w:val="nil"/>
              <w:left w:val="nil"/>
              <w:bottom w:val="nil"/>
              <w:right w:val="nil"/>
            </w:tcBorders>
            <w:shd w:val="clear" w:color="auto" w:fill="auto"/>
            <w:noWrap/>
            <w:vAlign w:val="center"/>
            <w:hideMark/>
          </w:tcPr>
          <w:p w14:paraId="4FB7F99A"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3.5</w:t>
            </w:r>
          </w:p>
        </w:tc>
        <w:tc>
          <w:tcPr>
            <w:tcW w:w="477" w:type="pct"/>
            <w:tcBorders>
              <w:top w:val="nil"/>
              <w:left w:val="nil"/>
              <w:bottom w:val="nil"/>
              <w:right w:val="nil"/>
            </w:tcBorders>
            <w:shd w:val="clear" w:color="auto" w:fill="auto"/>
            <w:noWrap/>
            <w:vAlign w:val="center"/>
            <w:hideMark/>
          </w:tcPr>
          <w:p w14:paraId="5FEF70DF"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3.4</w:t>
            </w:r>
          </w:p>
        </w:tc>
      </w:tr>
      <w:tr w:rsidR="00A168A2" w:rsidRPr="00C94004" w14:paraId="1659C109" w14:textId="77777777" w:rsidTr="00A168A2">
        <w:trPr>
          <w:trHeight w:hRule="exact" w:val="255"/>
        </w:trPr>
        <w:tc>
          <w:tcPr>
            <w:tcW w:w="2416" w:type="pct"/>
            <w:tcBorders>
              <w:top w:val="nil"/>
              <w:left w:val="nil"/>
              <w:bottom w:val="nil"/>
              <w:right w:val="nil"/>
            </w:tcBorders>
            <w:shd w:val="clear" w:color="auto" w:fill="auto"/>
            <w:noWrap/>
            <w:vAlign w:val="center"/>
            <w:hideMark/>
          </w:tcPr>
          <w:p w14:paraId="01644524" w14:textId="77777777" w:rsidR="00A168A2" w:rsidRPr="00C94004" w:rsidRDefault="00A168A2" w:rsidP="00A168A2">
            <w:pPr>
              <w:spacing w:before="0" w:after="0" w:line="240" w:lineRule="auto"/>
              <w:rPr>
                <w:rFonts w:ascii="Arial" w:hAnsi="Arial" w:cs="Arial"/>
                <w:b/>
                <w:bCs/>
                <w:sz w:val="16"/>
                <w:szCs w:val="16"/>
              </w:rPr>
            </w:pPr>
            <w:r w:rsidRPr="00C94004">
              <w:rPr>
                <w:rFonts w:ascii="Arial" w:hAnsi="Arial" w:cs="Arial"/>
                <w:b/>
                <w:bCs/>
                <w:sz w:val="16"/>
                <w:szCs w:val="16"/>
              </w:rPr>
              <w:t>Total payments to the states</w:t>
            </w:r>
          </w:p>
        </w:tc>
        <w:tc>
          <w:tcPr>
            <w:tcW w:w="556" w:type="pct"/>
            <w:tcBorders>
              <w:top w:val="single" w:sz="4" w:space="0" w:color="293F5B"/>
              <w:left w:val="nil"/>
              <w:bottom w:val="nil"/>
              <w:right w:val="nil"/>
            </w:tcBorders>
            <w:shd w:val="clear" w:color="auto" w:fill="auto"/>
            <w:noWrap/>
            <w:vAlign w:val="center"/>
            <w:hideMark/>
          </w:tcPr>
          <w:p w14:paraId="7EBD17B8" w14:textId="77777777" w:rsidR="00A168A2" w:rsidRPr="00C94004" w:rsidRDefault="00A168A2" w:rsidP="00A168A2">
            <w:pPr>
              <w:spacing w:before="0" w:after="0" w:line="240" w:lineRule="auto"/>
              <w:jc w:val="right"/>
              <w:rPr>
                <w:rFonts w:ascii="Arial" w:hAnsi="Arial" w:cs="Arial"/>
                <w:b/>
                <w:sz w:val="16"/>
                <w:szCs w:val="16"/>
              </w:rPr>
            </w:pPr>
            <w:r w:rsidRPr="00C94004">
              <w:rPr>
                <w:rFonts w:ascii="Arial" w:hAnsi="Arial" w:cs="Arial"/>
                <w:b/>
                <w:sz w:val="16"/>
                <w:szCs w:val="16"/>
              </w:rPr>
              <w:t>176,072</w:t>
            </w:r>
          </w:p>
        </w:tc>
        <w:tc>
          <w:tcPr>
            <w:tcW w:w="556" w:type="pct"/>
            <w:tcBorders>
              <w:top w:val="single" w:sz="4" w:space="0" w:color="293F5B"/>
              <w:left w:val="nil"/>
              <w:bottom w:val="nil"/>
              <w:right w:val="nil"/>
            </w:tcBorders>
            <w:shd w:val="clear" w:color="000000" w:fill="E6F2FF"/>
            <w:noWrap/>
            <w:vAlign w:val="center"/>
            <w:hideMark/>
          </w:tcPr>
          <w:p w14:paraId="3743DD0A" w14:textId="77777777" w:rsidR="00A168A2" w:rsidRPr="00C94004" w:rsidRDefault="00A168A2" w:rsidP="00A168A2">
            <w:pPr>
              <w:spacing w:before="0" w:after="0" w:line="240" w:lineRule="auto"/>
              <w:jc w:val="right"/>
              <w:rPr>
                <w:rFonts w:ascii="Arial" w:hAnsi="Arial" w:cs="Arial"/>
                <w:b/>
                <w:sz w:val="16"/>
                <w:szCs w:val="16"/>
              </w:rPr>
            </w:pPr>
            <w:r w:rsidRPr="00C94004">
              <w:rPr>
                <w:rFonts w:ascii="Arial" w:hAnsi="Arial" w:cs="Arial"/>
                <w:b/>
                <w:sz w:val="16"/>
                <w:szCs w:val="16"/>
              </w:rPr>
              <w:t>185,931</w:t>
            </w:r>
          </w:p>
        </w:tc>
        <w:tc>
          <w:tcPr>
            <w:tcW w:w="517" w:type="pct"/>
            <w:tcBorders>
              <w:top w:val="single" w:sz="4" w:space="0" w:color="293F5B"/>
              <w:left w:val="nil"/>
              <w:bottom w:val="nil"/>
              <w:right w:val="nil"/>
            </w:tcBorders>
            <w:shd w:val="clear" w:color="auto" w:fill="auto"/>
            <w:noWrap/>
            <w:vAlign w:val="center"/>
            <w:hideMark/>
          </w:tcPr>
          <w:p w14:paraId="41839CED" w14:textId="77777777" w:rsidR="00A168A2" w:rsidRPr="00C94004" w:rsidRDefault="00A168A2" w:rsidP="00A168A2">
            <w:pPr>
              <w:spacing w:before="0" w:after="0" w:line="240" w:lineRule="auto"/>
              <w:jc w:val="right"/>
              <w:rPr>
                <w:rFonts w:ascii="Arial" w:hAnsi="Arial" w:cs="Arial"/>
                <w:b/>
                <w:sz w:val="16"/>
                <w:szCs w:val="16"/>
              </w:rPr>
            </w:pPr>
            <w:r w:rsidRPr="00C94004">
              <w:rPr>
                <w:rFonts w:ascii="Arial" w:hAnsi="Arial" w:cs="Arial"/>
                <w:b/>
                <w:sz w:val="16"/>
                <w:szCs w:val="16"/>
              </w:rPr>
              <w:t>189,895</w:t>
            </w:r>
          </w:p>
        </w:tc>
        <w:tc>
          <w:tcPr>
            <w:tcW w:w="477" w:type="pct"/>
            <w:tcBorders>
              <w:top w:val="single" w:sz="4" w:space="0" w:color="293F5B"/>
              <w:left w:val="nil"/>
              <w:bottom w:val="nil"/>
              <w:right w:val="nil"/>
            </w:tcBorders>
            <w:shd w:val="clear" w:color="auto" w:fill="auto"/>
            <w:noWrap/>
            <w:vAlign w:val="center"/>
            <w:hideMark/>
          </w:tcPr>
          <w:p w14:paraId="71281732" w14:textId="77777777" w:rsidR="00A168A2" w:rsidRPr="00C94004" w:rsidRDefault="00A168A2" w:rsidP="00A168A2">
            <w:pPr>
              <w:spacing w:before="0" w:after="0" w:line="240" w:lineRule="auto"/>
              <w:jc w:val="right"/>
              <w:rPr>
                <w:rFonts w:ascii="Arial" w:hAnsi="Arial" w:cs="Arial"/>
                <w:b/>
                <w:sz w:val="16"/>
                <w:szCs w:val="16"/>
              </w:rPr>
            </w:pPr>
            <w:r w:rsidRPr="00C94004">
              <w:rPr>
                <w:rFonts w:ascii="Arial" w:hAnsi="Arial" w:cs="Arial"/>
                <w:b/>
                <w:sz w:val="16"/>
                <w:szCs w:val="16"/>
              </w:rPr>
              <w:t>196,768</w:t>
            </w:r>
          </w:p>
        </w:tc>
        <w:tc>
          <w:tcPr>
            <w:tcW w:w="477" w:type="pct"/>
            <w:tcBorders>
              <w:top w:val="single" w:sz="4" w:space="0" w:color="293F5B"/>
              <w:left w:val="nil"/>
              <w:bottom w:val="nil"/>
              <w:right w:val="nil"/>
            </w:tcBorders>
            <w:shd w:val="clear" w:color="auto" w:fill="auto"/>
            <w:noWrap/>
            <w:vAlign w:val="center"/>
            <w:hideMark/>
          </w:tcPr>
          <w:p w14:paraId="2A0ED6F8" w14:textId="77777777" w:rsidR="00A168A2" w:rsidRPr="00C94004" w:rsidRDefault="00A168A2" w:rsidP="00A168A2">
            <w:pPr>
              <w:spacing w:before="0" w:after="0" w:line="240" w:lineRule="auto"/>
              <w:jc w:val="right"/>
              <w:rPr>
                <w:rFonts w:ascii="Arial" w:hAnsi="Arial" w:cs="Arial"/>
                <w:b/>
                <w:sz w:val="16"/>
                <w:szCs w:val="16"/>
              </w:rPr>
            </w:pPr>
            <w:r w:rsidRPr="00C94004">
              <w:rPr>
                <w:rFonts w:ascii="Arial" w:hAnsi="Arial" w:cs="Arial"/>
                <w:b/>
                <w:sz w:val="16"/>
                <w:szCs w:val="16"/>
              </w:rPr>
              <w:t>202,354</w:t>
            </w:r>
          </w:p>
        </w:tc>
      </w:tr>
      <w:tr w:rsidR="00A168A2" w:rsidRPr="00C94004" w14:paraId="1BE9BBF0" w14:textId="77777777" w:rsidTr="00A168A2">
        <w:trPr>
          <w:trHeight w:hRule="exact" w:val="255"/>
        </w:trPr>
        <w:tc>
          <w:tcPr>
            <w:tcW w:w="2416" w:type="pct"/>
            <w:tcBorders>
              <w:top w:val="nil"/>
              <w:left w:val="nil"/>
              <w:bottom w:val="nil"/>
              <w:right w:val="nil"/>
            </w:tcBorders>
            <w:shd w:val="clear" w:color="auto" w:fill="auto"/>
            <w:noWrap/>
            <w:vAlign w:val="center"/>
            <w:hideMark/>
          </w:tcPr>
          <w:p w14:paraId="0C4F410D" w14:textId="77777777" w:rsidR="00A168A2" w:rsidRPr="00C94004" w:rsidRDefault="00A168A2" w:rsidP="00A168A2">
            <w:pPr>
              <w:spacing w:before="0" w:after="0" w:line="240" w:lineRule="auto"/>
              <w:rPr>
                <w:rFonts w:ascii="Arial" w:hAnsi="Arial" w:cs="Arial"/>
                <w:sz w:val="16"/>
                <w:szCs w:val="16"/>
              </w:rPr>
            </w:pPr>
            <w:r w:rsidRPr="00C94004">
              <w:rPr>
                <w:rFonts w:ascii="Arial" w:hAnsi="Arial" w:cs="Arial"/>
                <w:sz w:val="16"/>
                <w:szCs w:val="16"/>
              </w:rPr>
              <w:t>Per cent change from previous year</w:t>
            </w:r>
          </w:p>
        </w:tc>
        <w:tc>
          <w:tcPr>
            <w:tcW w:w="556" w:type="pct"/>
            <w:tcBorders>
              <w:top w:val="nil"/>
              <w:left w:val="nil"/>
              <w:bottom w:val="nil"/>
              <w:right w:val="nil"/>
            </w:tcBorders>
            <w:shd w:val="clear" w:color="auto" w:fill="auto"/>
            <w:noWrap/>
            <w:vAlign w:val="center"/>
            <w:hideMark/>
          </w:tcPr>
          <w:p w14:paraId="577F4DD6"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3.4</w:t>
            </w:r>
          </w:p>
        </w:tc>
        <w:tc>
          <w:tcPr>
            <w:tcW w:w="556" w:type="pct"/>
            <w:tcBorders>
              <w:top w:val="nil"/>
              <w:left w:val="nil"/>
              <w:bottom w:val="nil"/>
              <w:right w:val="nil"/>
            </w:tcBorders>
            <w:shd w:val="clear" w:color="000000" w:fill="E6F2FF"/>
            <w:noWrap/>
            <w:vAlign w:val="center"/>
            <w:hideMark/>
          </w:tcPr>
          <w:p w14:paraId="49D9FAD6"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5.6</w:t>
            </w:r>
          </w:p>
        </w:tc>
        <w:tc>
          <w:tcPr>
            <w:tcW w:w="517" w:type="pct"/>
            <w:tcBorders>
              <w:top w:val="nil"/>
              <w:left w:val="nil"/>
              <w:bottom w:val="nil"/>
              <w:right w:val="nil"/>
            </w:tcBorders>
            <w:shd w:val="clear" w:color="auto" w:fill="auto"/>
            <w:noWrap/>
            <w:vAlign w:val="center"/>
            <w:hideMark/>
          </w:tcPr>
          <w:p w14:paraId="4A78B364"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2.1</w:t>
            </w:r>
          </w:p>
        </w:tc>
        <w:tc>
          <w:tcPr>
            <w:tcW w:w="477" w:type="pct"/>
            <w:tcBorders>
              <w:top w:val="nil"/>
              <w:left w:val="nil"/>
              <w:bottom w:val="nil"/>
              <w:right w:val="nil"/>
            </w:tcBorders>
            <w:shd w:val="clear" w:color="auto" w:fill="auto"/>
            <w:noWrap/>
            <w:vAlign w:val="center"/>
            <w:hideMark/>
          </w:tcPr>
          <w:p w14:paraId="1386E064"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3.6</w:t>
            </w:r>
          </w:p>
        </w:tc>
        <w:tc>
          <w:tcPr>
            <w:tcW w:w="477" w:type="pct"/>
            <w:tcBorders>
              <w:top w:val="nil"/>
              <w:left w:val="nil"/>
              <w:bottom w:val="nil"/>
              <w:right w:val="nil"/>
            </w:tcBorders>
            <w:shd w:val="clear" w:color="auto" w:fill="auto"/>
            <w:noWrap/>
            <w:vAlign w:val="center"/>
            <w:hideMark/>
          </w:tcPr>
          <w:p w14:paraId="385B26BC"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2.8</w:t>
            </w:r>
          </w:p>
        </w:tc>
      </w:tr>
      <w:tr w:rsidR="00A168A2" w:rsidRPr="00C94004" w14:paraId="5192C1BA" w14:textId="77777777" w:rsidTr="00A168A2">
        <w:trPr>
          <w:trHeight w:hRule="exact" w:val="255"/>
        </w:trPr>
        <w:tc>
          <w:tcPr>
            <w:tcW w:w="2416" w:type="pct"/>
            <w:tcBorders>
              <w:top w:val="nil"/>
              <w:left w:val="nil"/>
              <w:bottom w:val="single" w:sz="4" w:space="0" w:color="293F5B"/>
              <w:right w:val="nil"/>
            </w:tcBorders>
            <w:shd w:val="clear" w:color="auto" w:fill="auto"/>
            <w:noWrap/>
            <w:vAlign w:val="center"/>
            <w:hideMark/>
          </w:tcPr>
          <w:p w14:paraId="70DB9E28" w14:textId="77777777" w:rsidR="00A168A2" w:rsidRPr="00C94004" w:rsidRDefault="00A168A2" w:rsidP="00A168A2">
            <w:pPr>
              <w:spacing w:before="0" w:after="0" w:line="240" w:lineRule="auto"/>
              <w:rPr>
                <w:rFonts w:ascii="Arial" w:hAnsi="Arial" w:cs="Arial"/>
                <w:sz w:val="16"/>
                <w:szCs w:val="16"/>
              </w:rPr>
            </w:pPr>
            <w:r w:rsidRPr="00C94004">
              <w:rPr>
                <w:rFonts w:ascii="Arial" w:hAnsi="Arial" w:cs="Arial"/>
                <w:sz w:val="16"/>
                <w:szCs w:val="16"/>
              </w:rPr>
              <w:t>Per cent of GDP</w:t>
            </w:r>
          </w:p>
        </w:tc>
        <w:tc>
          <w:tcPr>
            <w:tcW w:w="556" w:type="pct"/>
            <w:tcBorders>
              <w:top w:val="nil"/>
              <w:left w:val="nil"/>
              <w:bottom w:val="single" w:sz="4" w:space="0" w:color="293F5B"/>
              <w:right w:val="nil"/>
            </w:tcBorders>
            <w:shd w:val="clear" w:color="auto" w:fill="auto"/>
            <w:noWrap/>
            <w:vAlign w:val="center"/>
            <w:hideMark/>
          </w:tcPr>
          <w:p w14:paraId="344F58AC"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6.6</w:t>
            </w:r>
          </w:p>
        </w:tc>
        <w:tc>
          <w:tcPr>
            <w:tcW w:w="556" w:type="pct"/>
            <w:tcBorders>
              <w:top w:val="nil"/>
              <w:left w:val="nil"/>
              <w:bottom w:val="single" w:sz="4" w:space="0" w:color="293F5B"/>
              <w:right w:val="nil"/>
            </w:tcBorders>
            <w:shd w:val="clear" w:color="000000" w:fill="E6F2FF"/>
            <w:noWrap/>
            <w:vAlign w:val="center"/>
            <w:hideMark/>
          </w:tcPr>
          <w:p w14:paraId="630986F0"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6.7</w:t>
            </w:r>
          </w:p>
        </w:tc>
        <w:tc>
          <w:tcPr>
            <w:tcW w:w="517" w:type="pct"/>
            <w:tcBorders>
              <w:top w:val="nil"/>
              <w:left w:val="nil"/>
              <w:bottom w:val="single" w:sz="4" w:space="0" w:color="293F5B"/>
              <w:right w:val="nil"/>
            </w:tcBorders>
            <w:shd w:val="clear" w:color="auto" w:fill="auto"/>
            <w:noWrap/>
            <w:vAlign w:val="center"/>
            <w:hideMark/>
          </w:tcPr>
          <w:p w14:paraId="7F8A97D3"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6.6</w:t>
            </w:r>
          </w:p>
        </w:tc>
        <w:tc>
          <w:tcPr>
            <w:tcW w:w="477" w:type="pct"/>
            <w:tcBorders>
              <w:top w:val="nil"/>
              <w:left w:val="nil"/>
              <w:bottom w:val="single" w:sz="4" w:space="0" w:color="293F5B"/>
              <w:right w:val="nil"/>
            </w:tcBorders>
            <w:shd w:val="clear" w:color="auto" w:fill="auto"/>
            <w:noWrap/>
            <w:vAlign w:val="center"/>
            <w:hideMark/>
          </w:tcPr>
          <w:p w14:paraId="02EF7669"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6.5</w:t>
            </w:r>
          </w:p>
        </w:tc>
        <w:tc>
          <w:tcPr>
            <w:tcW w:w="477" w:type="pct"/>
            <w:tcBorders>
              <w:top w:val="nil"/>
              <w:left w:val="nil"/>
              <w:bottom w:val="single" w:sz="4" w:space="0" w:color="293F5B"/>
              <w:right w:val="nil"/>
            </w:tcBorders>
            <w:shd w:val="clear" w:color="auto" w:fill="auto"/>
            <w:noWrap/>
            <w:vAlign w:val="center"/>
            <w:hideMark/>
          </w:tcPr>
          <w:p w14:paraId="379E5E41" w14:textId="77777777" w:rsidR="00A168A2" w:rsidRPr="00C94004" w:rsidRDefault="00A168A2" w:rsidP="00A168A2">
            <w:pPr>
              <w:spacing w:before="0" w:after="0" w:line="240" w:lineRule="auto"/>
              <w:jc w:val="right"/>
              <w:rPr>
                <w:rFonts w:ascii="Arial" w:hAnsi="Arial" w:cs="Arial"/>
                <w:sz w:val="16"/>
                <w:szCs w:val="16"/>
              </w:rPr>
            </w:pPr>
            <w:r w:rsidRPr="00C94004">
              <w:rPr>
                <w:rFonts w:ascii="Arial" w:hAnsi="Arial" w:cs="Arial"/>
                <w:sz w:val="16"/>
                <w:szCs w:val="16"/>
              </w:rPr>
              <w:t>6.4</w:t>
            </w:r>
          </w:p>
        </w:tc>
      </w:tr>
    </w:tbl>
    <w:p w14:paraId="744015F0" w14:textId="7F9C1FBD" w:rsidR="002E77CA" w:rsidRPr="00C94004" w:rsidRDefault="00CF6787" w:rsidP="002445F6">
      <w:pPr>
        <w:pStyle w:val="ChartandTableFootnoteAlpha"/>
        <w:numPr>
          <w:ilvl w:val="0"/>
          <w:numId w:val="36"/>
        </w:numPr>
        <w:rPr>
          <w:rFonts w:eastAsiaTheme="minorHAnsi"/>
          <w:color w:val="auto"/>
        </w:rPr>
      </w:pPr>
      <w:r w:rsidRPr="00C94004">
        <w:rPr>
          <w:rFonts w:eastAsiaTheme="minorHAnsi"/>
          <w:color w:val="auto"/>
        </w:rPr>
        <w:t>Excludes</w:t>
      </w:r>
      <w:r w:rsidR="002E77CA" w:rsidRPr="00C94004">
        <w:rPr>
          <w:rFonts w:eastAsiaTheme="minorHAnsi"/>
          <w:color w:val="auto"/>
        </w:rPr>
        <w:t xml:space="preserve"> National Skills Agreement and Energy Bill Relief</w:t>
      </w:r>
      <w:r w:rsidRPr="00C94004">
        <w:rPr>
          <w:rFonts w:eastAsiaTheme="minorHAnsi"/>
          <w:color w:val="auto"/>
        </w:rPr>
        <w:t xml:space="preserve"> payments which are shown separately. </w:t>
      </w:r>
    </w:p>
    <w:p w14:paraId="02ADBBDE" w14:textId="3951052B" w:rsidR="0075201B" w:rsidRPr="00C94004" w:rsidRDefault="0075201B" w:rsidP="00FB3B1B">
      <w:pPr>
        <w:pStyle w:val="ChartandTableFootnoteAlpha"/>
        <w:rPr>
          <w:rStyle w:val="EndnoteReference"/>
          <w:b/>
          <w:color w:val="auto"/>
          <w:vertAlign w:val="baseline"/>
        </w:rPr>
      </w:pPr>
      <w:r w:rsidRPr="00C94004">
        <w:rPr>
          <w:rFonts w:eastAsiaTheme="minorHAnsi"/>
          <w:color w:val="auto"/>
        </w:rPr>
        <w:t>Includes</w:t>
      </w:r>
      <w:r w:rsidRPr="00C94004">
        <w:rPr>
          <w:rStyle w:val="EndnoteReference"/>
          <w:color w:val="auto"/>
          <w:vertAlign w:val="baseline"/>
        </w:rPr>
        <w:t xml:space="preserve"> GST entitlement and HFE transition payments.</w:t>
      </w:r>
    </w:p>
    <w:p w14:paraId="7E2F3B5E" w14:textId="77777777" w:rsidR="00BB7AB4" w:rsidRPr="00C94004" w:rsidRDefault="00BB7AB4" w:rsidP="00314337">
      <w:pPr>
        <w:pStyle w:val="ChartLine"/>
      </w:pPr>
    </w:p>
    <w:p w14:paraId="5E0CF43C" w14:textId="092C328E" w:rsidR="0075201B" w:rsidRPr="00C94004" w:rsidRDefault="0075201B" w:rsidP="00437E51">
      <w:pPr>
        <w:pStyle w:val="ChartMainHeading"/>
        <w:rPr>
          <w:sz w:val="16"/>
        </w:rPr>
      </w:pPr>
      <w:r w:rsidRPr="00C94004">
        <w:t>Chart 1.</w:t>
      </w:r>
      <w:r w:rsidR="00CB6D8C" w:rsidRPr="00C94004">
        <w:t>3</w:t>
      </w:r>
      <w:r w:rsidRPr="00C94004">
        <w:t>: Total Australian Government payments to the states, 202</w:t>
      </w:r>
      <w:r w:rsidR="007353B5" w:rsidRPr="00C94004">
        <w:t>4</w:t>
      </w:r>
      <w:r w:rsidR="00E2325D" w:rsidRPr="00C94004">
        <w:t>‍–‍</w:t>
      </w:r>
      <w:r w:rsidRPr="00C94004">
        <w:t>2</w:t>
      </w:r>
      <w:r w:rsidR="007353B5" w:rsidRPr="00C94004">
        <w:t>5</w:t>
      </w:r>
    </w:p>
    <w:p w14:paraId="320291AB" w14:textId="60653590" w:rsidR="0075201B" w:rsidRPr="00C94004" w:rsidRDefault="00EF4F00" w:rsidP="00D9196B">
      <w:pPr>
        <w:pStyle w:val="ChartGraphic"/>
      </w:pPr>
      <w:r>
        <w:pict w14:anchorId="20C5D410">
          <v:shape id="_x0000_i1027" type="#_x0000_t75" alt="Total Australian Government payments to the States for 2024-25. Total payments are $185.9 billion, comprising $94.4 billion for GST and other General Revenue Assistance, $30.2 billion for Quality Schools, $30.1 billion for National Health Reform, $24.0 billion for National Partnership payments, $3.0 billion for Energy Bill Relief, $2.4 billion for the National Skills Agreement and $1.8 billion for the National Agreement on Housing and Homelessness." style="width:365.25pt;height:200.25pt">
            <v:imagedata r:id="rId14" o:title=""/>
          </v:shape>
        </w:pict>
      </w:r>
    </w:p>
    <w:p w14:paraId="527458E6" w14:textId="723FD8EC" w:rsidR="000753A7" w:rsidRPr="00C94004" w:rsidRDefault="00693C66" w:rsidP="00693C66">
      <w:pPr>
        <w:pStyle w:val="ChartandTableFootnote"/>
        <w:rPr>
          <w:rStyle w:val="EndnoteReference"/>
          <w:color w:val="auto"/>
          <w:vertAlign w:val="baseline"/>
        </w:rPr>
      </w:pPr>
      <w:r w:rsidRPr="00C94004">
        <w:rPr>
          <w:color w:val="auto"/>
        </w:rPr>
        <w:t xml:space="preserve">Note: </w:t>
      </w:r>
      <w:r w:rsidR="00CE09CC" w:rsidRPr="00C94004">
        <w:rPr>
          <w:color w:val="auto"/>
        </w:rPr>
        <w:tab/>
      </w:r>
      <w:r w:rsidR="00D414F3" w:rsidRPr="00C94004">
        <w:rPr>
          <w:color w:val="auto"/>
        </w:rPr>
        <w:t xml:space="preserve">National Partnership </w:t>
      </w:r>
      <w:r w:rsidR="003711FF" w:rsidRPr="00C94004">
        <w:rPr>
          <w:color w:val="auto"/>
        </w:rPr>
        <w:t>p</w:t>
      </w:r>
      <w:r w:rsidR="00D414F3" w:rsidRPr="00C94004">
        <w:rPr>
          <w:color w:val="auto"/>
        </w:rPr>
        <w:t xml:space="preserve">ayments </w:t>
      </w:r>
      <w:r w:rsidR="00F316EA" w:rsidRPr="00C94004">
        <w:rPr>
          <w:color w:val="auto"/>
        </w:rPr>
        <w:t>exclude</w:t>
      </w:r>
      <w:r w:rsidR="00B25E49" w:rsidRPr="00C94004">
        <w:rPr>
          <w:color w:val="auto"/>
        </w:rPr>
        <w:t xml:space="preserve"> National Skills Agreement</w:t>
      </w:r>
      <w:r w:rsidR="00CE09CC" w:rsidRPr="00C94004">
        <w:rPr>
          <w:color w:val="auto"/>
        </w:rPr>
        <w:t xml:space="preserve"> and Energy Bill Relief</w:t>
      </w:r>
      <w:r w:rsidR="00261346" w:rsidRPr="00C94004">
        <w:rPr>
          <w:color w:val="auto"/>
        </w:rPr>
        <w:t xml:space="preserve"> </w:t>
      </w:r>
      <w:r w:rsidR="007D6DC7" w:rsidRPr="00C94004">
        <w:rPr>
          <w:color w:val="auto"/>
        </w:rPr>
        <w:t>payments</w:t>
      </w:r>
      <w:r w:rsidR="00261346" w:rsidRPr="00C94004">
        <w:rPr>
          <w:color w:val="auto"/>
        </w:rPr>
        <w:t xml:space="preserve"> which are shown separately</w:t>
      </w:r>
      <w:r w:rsidR="00CE09CC" w:rsidRPr="00C94004">
        <w:rPr>
          <w:color w:val="auto"/>
        </w:rPr>
        <w:t>.</w:t>
      </w:r>
    </w:p>
    <w:p w14:paraId="548352AF" w14:textId="77777777" w:rsidR="00440D21" w:rsidRPr="00C94004" w:rsidRDefault="00440D21" w:rsidP="00314337">
      <w:pPr>
        <w:pStyle w:val="ChartLine"/>
      </w:pPr>
    </w:p>
    <w:p w14:paraId="04FC0B03" w14:textId="495F7CD5" w:rsidR="0075201B" w:rsidRPr="00C94004" w:rsidRDefault="0075201B" w:rsidP="0075201B">
      <w:r w:rsidRPr="00C94004">
        <w:lastRenderedPageBreak/>
        <w:t xml:space="preserve">Table 1.3 provides information on the Australian </w:t>
      </w:r>
      <w:r w:rsidRPr="00C94004" w:rsidDel="000D1C32">
        <w:t>Government</w:t>
      </w:r>
      <w:r w:rsidR="00BE2E8A" w:rsidRPr="00C94004">
        <w:t>’</w:t>
      </w:r>
      <w:r w:rsidRPr="00C94004" w:rsidDel="000D1C32">
        <w:t>s</w:t>
      </w:r>
      <w:r w:rsidRPr="00C94004">
        <w:t xml:space="preserve"> financial contributions to state expenditure in key sectors in 202</w:t>
      </w:r>
      <w:r w:rsidR="0022264B" w:rsidRPr="00C94004">
        <w:t>2</w:t>
      </w:r>
      <w:r w:rsidRPr="00C94004">
        <w:t>–2</w:t>
      </w:r>
      <w:r w:rsidR="0022264B" w:rsidRPr="00C94004">
        <w:t>3</w:t>
      </w:r>
      <w:r w:rsidRPr="00C94004">
        <w:t xml:space="preserve"> (the latest year for which there are data to enable this calculation). It shows that Australian Government financial assistance in 202</w:t>
      </w:r>
      <w:r w:rsidR="0022264B" w:rsidRPr="00C94004">
        <w:t>2</w:t>
      </w:r>
      <w:r w:rsidR="00E2325D" w:rsidRPr="00C94004">
        <w:rPr>
          <w:rFonts w:ascii="Times New Roman" w:hAnsi="Times New Roman"/>
        </w:rPr>
        <w:t>‍</w:t>
      </w:r>
      <w:r w:rsidR="00E2325D" w:rsidRPr="00C94004">
        <w:rPr>
          <w:rFonts w:cs="Book Antiqua"/>
        </w:rPr>
        <w:t>–</w:t>
      </w:r>
      <w:r w:rsidR="00E2325D" w:rsidRPr="00C94004">
        <w:rPr>
          <w:rFonts w:ascii="Times New Roman" w:hAnsi="Times New Roman"/>
        </w:rPr>
        <w:t>‍</w:t>
      </w:r>
      <w:r w:rsidRPr="00C94004">
        <w:t>2</w:t>
      </w:r>
      <w:r w:rsidR="0022264B" w:rsidRPr="00C94004">
        <w:t>3</w:t>
      </w:r>
      <w:r w:rsidRPr="00C94004">
        <w:t xml:space="preserve"> effectively supported </w:t>
      </w:r>
      <w:r w:rsidR="00E43F21" w:rsidRPr="00C94004">
        <w:t>47.3</w:t>
      </w:r>
      <w:r w:rsidR="00E2325D" w:rsidRPr="00C94004">
        <w:t> per c</w:t>
      </w:r>
      <w:r w:rsidRPr="00C94004">
        <w:t>ent of states</w:t>
      </w:r>
      <w:r w:rsidR="00BE2E8A" w:rsidRPr="00C94004">
        <w:t>’</w:t>
      </w:r>
      <w:r w:rsidRPr="00C94004">
        <w:t xml:space="preserve"> expenditure. </w:t>
      </w:r>
    </w:p>
    <w:p w14:paraId="30A48B7D" w14:textId="5CDEF598" w:rsidR="0010786D" w:rsidRPr="00C94004" w:rsidRDefault="0075201B" w:rsidP="00441F62">
      <w:pPr>
        <w:pStyle w:val="TableHeading"/>
        <w:rPr>
          <w:rFonts w:asciiTheme="minorHAnsi" w:eastAsiaTheme="minorHAnsi" w:hAnsiTheme="minorHAnsi" w:cstheme="minorBidi"/>
          <w:sz w:val="22"/>
          <w:szCs w:val="22"/>
          <w:lang w:eastAsia="en-US"/>
        </w:rPr>
      </w:pPr>
      <w:r w:rsidRPr="00C94004">
        <w:t>Table 1.3: Australian Government</w:t>
      </w:r>
      <w:r w:rsidR="004D7064" w:rsidRPr="00C94004">
        <w:t>’</w:t>
      </w:r>
      <w:r w:rsidRPr="00C94004">
        <w:t>s contribution to state expenditure</w:t>
      </w:r>
      <w:bookmarkStart w:id="3" w:name="_1776843677"/>
      <w:bookmarkEnd w:id="3"/>
    </w:p>
    <w:tbl>
      <w:tblPr>
        <w:tblW w:w="5000" w:type="pct"/>
        <w:tblCellMar>
          <w:left w:w="0" w:type="dxa"/>
          <w:right w:w="28" w:type="dxa"/>
        </w:tblCellMar>
        <w:tblLook w:val="04A0" w:firstRow="1" w:lastRow="0" w:firstColumn="1" w:lastColumn="0" w:noHBand="0" w:noVBand="1"/>
      </w:tblPr>
      <w:tblGrid>
        <w:gridCol w:w="2474"/>
        <w:gridCol w:w="1310"/>
        <w:gridCol w:w="1308"/>
        <w:gridCol w:w="1308"/>
        <w:gridCol w:w="1310"/>
      </w:tblGrid>
      <w:tr w:rsidR="00DA50BC" w:rsidRPr="00C94004" w14:paraId="2640A836" w14:textId="77777777" w:rsidTr="00441F62">
        <w:trPr>
          <w:trHeight w:hRule="exact" w:val="1125"/>
        </w:trPr>
        <w:tc>
          <w:tcPr>
            <w:tcW w:w="1602" w:type="pct"/>
            <w:tcBorders>
              <w:top w:val="single" w:sz="4" w:space="0" w:color="293F5B"/>
              <w:left w:val="nil"/>
              <w:bottom w:val="nil"/>
              <w:right w:val="nil"/>
            </w:tcBorders>
            <w:shd w:val="clear" w:color="auto" w:fill="auto"/>
            <w:noWrap/>
            <w:vAlign w:val="bottom"/>
            <w:hideMark/>
          </w:tcPr>
          <w:p w14:paraId="052560EA" w14:textId="228B4D61" w:rsidR="0010786D" w:rsidRPr="00C94004" w:rsidRDefault="0010786D" w:rsidP="0010786D">
            <w:pPr>
              <w:spacing w:before="0" w:after="0" w:line="240" w:lineRule="auto"/>
              <w:rPr>
                <w:rFonts w:ascii="Arial" w:hAnsi="Arial" w:cs="Arial"/>
                <w:b/>
                <w:bCs/>
                <w:sz w:val="16"/>
                <w:szCs w:val="16"/>
              </w:rPr>
            </w:pPr>
            <w:r w:rsidRPr="00C94004">
              <w:rPr>
                <w:rFonts w:ascii="Arial" w:hAnsi="Arial" w:cs="Arial"/>
                <w:b/>
                <w:bCs/>
                <w:sz w:val="16"/>
                <w:szCs w:val="16"/>
              </w:rPr>
              <w:t>2022</w:t>
            </w:r>
            <w:r w:rsidR="004D7064" w:rsidRPr="00C94004">
              <w:rPr>
                <w:rFonts w:ascii="Arial" w:hAnsi="Arial" w:cs="Arial"/>
                <w:b/>
                <w:bCs/>
                <w:sz w:val="16"/>
                <w:szCs w:val="16"/>
              </w:rPr>
              <w:noBreakHyphen/>
            </w:r>
            <w:r w:rsidRPr="00C94004">
              <w:rPr>
                <w:rFonts w:ascii="Arial" w:hAnsi="Arial" w:cs="Arial"/>
                <w:b/>
                <w:bCs/>
                <w:sz w:val="16"/>
                <w:szCs w:val="16"/>
              </w:rPr>
              <w:t>23</w:t>
            </w:r>
          </w:p>
        </w:tc>
        <w:tc>
          <w:tcPr>
            <w:tcW w:w="850" w:type="pct"/>
            <w:tcBorders>
              <w:top w:val="single" w:sz="4" w:space="0" w:color="293F5B"/>
              <w:left w:val="nil"/>
              <w:bottom w:val="nil"/>
              <w:right w:val="nil"/>
            </w:tcBorders>
            <w:shd w:val="clear" w:color="auto" w:fill="auto"/>
            <w:vAlign w:val="bottom"/>
            <w:hideMark/>
          </w:tcPr>
          <w:p w14:paraId="0603998C"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Australian Government tied payments</w:t>
            </w:r>
            <w:r w:rsidRPr="00C94004">
              <w:rPr>
                <w:rFonts w:ascii="Arial" w:hAnsi="Arial" w:cs="Arial"/>
                <w:sz w:val="16"/>
                <w:szCs w:val="16"/>
              </w:rPr>
              <w:br/>
              <w:t>($million)</w:t>
            </w:r>
          </w:p>
        </w:tc>
        <w:tc>
          <w:tcPr>
            <w:tcW w:w="849" w:type="pct"/>
            <w:tcBorders>
              <w:top w:val="single" w:sz="4" w:space="0" w:color="293F5B"/>
              <w:left w:val="nil"/>
              <w:bottom w:val="nil"/>
              <w:right w:val="nil"/>
            </w:tcBorders>
            <w:shd w:val="clear" w:color="auto" w:fill="auto"/>
            <w:vAlign w:val="bottom"/>
            <w:hideMark/>
          </w:tcPr>
          <w:p w14:paraId="53264D99"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State spending supported by general revenue assistance (a)</w:t>
            </w:r>
            <w:r w:rsidRPr="00C94004">
              <w:rPr>
                <w:rFonts w:ascii="Arial" w:hAnsi="Arial" w:cs="Arial"/>
                <w:sz w:val="16"/>
                <w:szCs w:val="16"/>
              </w:rPr>
              <w:br/>
              <w:t>($million)</w:t>
            </w:r>
          </w:p>
        </w:tc>
        <w:tc>
          <w:tcPr>
            <w:tcW w:w="849" w:type="pct"/>
            <w:tcBorders>
              <w:top w:val="single" w:sz="4" w:space="0" w:color="293F5B"/>
              <w:left w:val="nil"/>
              <w:bottom w:val="nil"/>
              <w:right w:val="nil"/>
            </w:tcBorders>
            <w:shd w:val="clear" w:color="auto" w:fill="auto"/>
            <w:vAlign w:val="bottom"/>
            <w:hideMark/>
          </w:tcPr>
          <w:p w14:paraId="7F7BDA31"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Total state spending</w:t>
            </w:r>
            <w:r w:rsidRPr="00C94004">
              <w:rPr>
                <w:rFonts w:ascii="Arial" w:hAnsi="Arial" w:cs="Arial"/>
                <w:sz w:val="16"/>
                <w:szCs w:val="16"/>
              </w:rPr>
              <w:br/>
              <w:t>($million)</w:t>
            </w:r>
          </w:p>
        </w:tc>
        <w:tc>
          <w:tcPr>
            <w:tcW w:w="851" w:type="pct"/>
            <w:tcBorders>
              <w:top w:val="single" w:sz="4" w:space="0" w:color="293F5B"/>
              <w:left w:val="nil"/>
              <w:bottom w:val="nil"/>
              <w:right w:val="nil"/>
            </w:tcBorders>
            <w:shd w:val="clear" w:color="auto" w:fill="auto"/>
            <w:vAlign w:val="bottom"/>
            <w:hideMark/>
          </w:tcPr>
          <w:p w14:paraId="4D6E946B"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 xml:space="preserve">State spending supported by Australian Government payments </w:t>
            </w:r>
            <w:r w:rsidRPr="00C94004">
              <w:rPr>
                <w:rFonts w:ascii="Arial" w:hAnsi="Arial" w:cs="Arial"/>
                <w:sz w:val="16"/>
                <w:szCs w:val="16"/>
              </w:rPr>
              <w:br/>
              <w:t>(per cent)</w:t>
            </w:r>
          </w:p>
        </w:tc>
      </w:tr>
      <w:tr w:rsidR="00DA50BC" w:rsidRPr="00C94004" w14:paraId="31C4331C" w14:textId="77777777" w:rsidTr="00441F62">
        <w:trPr>
          <w:trHeight w:hRule="exact" w:val="225"/>
        </w:trPr>
        <w:tc>
          <w:tcPr>
            <w:tcW w:w="1602" w:type="pct"/>
            <w:tcBorders>
              <w:top w:val="nil"/>
              <w:left w:val="nil"/>
              <w:bottom w:val="nil"/>
              <w:right w:val="nil"/>
            </w:tcBorders>
            <w:shd w:val="clear" w:color="auto" w:fill="auto"/>
            <w:noWrap/>
            <w:vAlign w:val="bottom"/>
            <w:hideMark/>
          </w:tcPr>
          <w:p w14:paraId="1981E335"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xml:space="preserve">Health </w:t>
            </w:r>
          </w:p>
        </w:tc>
        <w:tc>
          <w:tcPr>
            <w:tcW w:w="850" w:type="pct"/>
            <w:tcBorders>
              <w:top w:val="single" w:sz="4" w:space="0" w:color="293F5B"/>
              <w:left w:val="nil"/>
              <w:bottom w:val="nil"/>
              <w:right w:val="nil"/>
            </w:tcBorders>
            <w:shd w:val="clear" w:color="auto" w:fill="auto"/>
            <w:noWrap/>
            <w:vAlign w:val="bottom"/>
            <w:hideMark/>
          </w:tcPr>
          <w:p w14:paraId="26F61596"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29,495</w:t>
            </w:r>
          </w:p>
        </w:tc>
        <w:tc>
          <w:tcPr>
            <w:tcW w:w="849" w:type="pct"/>
            <w:tcBorders>
              <w:top w:val="single" w:sz="4" w:space="0" w:color="293F5B"/>
              <w:left w:val="nil"/>
              <w:bottom w:val="nil"/>
              <w:right w:val="nil"/>
            </w:tcBorders>
            <w:shd w:val="clear" w:color="auto" w:fill="auto"/>
            <w:noWrap/>
            <w:vAlign w:val="bottom"/>
            <w:hideMark/>
          </w:tcPr>
          <w:p w14:paraId="49A6F136"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25,233</w:t>
            </w:r>
          </w:p>
        </w:tc>
        <w:tc>
          <w:tcPr>
            <w:tcW w:w="849" w:type="pct"/>
            <w:tcBorders>
              <w:top w:val="single" w:sz="4" w:space="0" w:color="293F5B"/>
              <w:left w:val="nil"/>
              <w:bottom w:val="nil"/>
              <w:right w:val="nil"/>
            </w:tcBorders>
            <w:shd w:val="clear" w:color="auto" w:fill="auto"/>
            <w:noWrap/>
            <w:vAlign w:val="bottom"/>
            <w:hideMark/>
          </w:tcPr>
          <w:p w14:paraId="248076AA"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109,336</w:t>
            </w:r>
          </w:p>
        </w:tc>
        <w:tc>
          <w:tcPr>
            <w:tcW w:w="851" w:type="pct"/>
            <w:tcBorders>
              <w:top w:val="single" w:sz="4" w:space="0" w:color="293F5B"/>
              <w:left w:val="nil"/>
              <w:bottom w:val="nil"/>
              <w:right w:val="nil"/>
            </w:tcBorders>
            <w:shd w:val="clear" w:color="auto" w:fill="auto"/>
            <w:noWrap/>
            <w:vAlign w:val="bottom"/>
            <w:hideMark/>
          </w:tcPr>
          <w:p w14:paraId="6F552DA0"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50.1</w:t>
            </w:r>
          </w:p>
        </w:tc>
      </w:tr>
      <w:tr w:rsidR="0010786D" w:rsidRPr="00C94004" w14:paraId="402955D4" w14:textId="77777777" w:rsidTr="00441F62">
        <w:trPr>
          <w:trHeight w:hRule="exact" w:val="225"/>
        </w:trPr>
        <w:tc>
          <w:tcPr>
            <w:tcW w:w="1602" w:type="pct"/>
            <w:tcBorders>
              <w:top w:val="nil"/>
              <w:left w:val="nil"/>
              <w:bottom w:val="nil"/>
              <w:right w:val="nil"/>
            </w:tcBorders>
            <w:shd w:val="clear" w:color="auto" w:fill="auto"/>
            <w:noWrap/>
            <w:vAlign w:val="bottom"/>
            <w:hideMark/>
          </w:tcPr>
          <w:p w14:paraId="4EE986DF"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xml:space="preserve">Education </w:t>
            </w:r>
          </w:p>
        </w:tc>
        <w:tc>
          <w:tcPr>
            <w:tcW w:w="850" w:type="pct"/>
            <w:tcBorders>
              <w:top w:val="nil"/>
              <w:left w:val="nil"/>
              <w:bottom w:val="nil"/>
              <w:right w:val="nil"/>
            </w:tcBorders>
            <w:shd w:val="clear" w:color="auto" w:fill="auto"/>
            <w:noWrap/>
            <w:vAlign w:val="bottom"/>
            <w:hideMark/>
          </w:tcPr>
          <w:p w14:paraId="6FE800B6"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30,065</w:t>
            </w:r>
          </w:p>
        </w:tc>
        <w:tc>
          <w:tcPr>
            <w:tcW w:w="849" w:type="pct"/>
            <w:tcBorders>
              <w:top w:val="nil"/>
              <w:left w:val="nil"/>
              <w:bottom w:val="nil"/>
              <w:right w:val="nil"/>
            </w:tcBorders>
            <w:shd w:val="clear" w:color="auto" w:fill="auto"/>
            <w:noWrap/>
            <w:vAlign w:val="bottom"/>
            <w:hideMark/>
          </w:tcPr>
          <w:p w14:paraId="32702EF1"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12,793</w:t>
            </w:r>
          </w:p>
        </w:tc>
        <w:tc>
          <w:tcPr>
            <w:tcW w:w="849" w:type="pct"/>
            <w:tcBorders>
              <w:top w:val="nil"/>
              <w:left w:val="nil"/>
              <w:bottom w:val="nil"/>
              <w:right w:val="nil"/>
            </w:tcBorders>
            <w:shd w:val="clear" w:color="auto" w:fill="auto"/>
            <w:noWrap/>
            <w:vAlign w:val="bottom"/>
            <w:hideMark/>
          </w:tcPr>
          <w:p w14:paraId="14C5B1E3"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70,543</w:t>
            </w:r>
          </w:p>
        </w:tc>
        <w:tc>
          <w:tcPr>
            <w:tcW w:w="851" w:type="pct"/>
            <w:tcBorders>
              <w:top w:val="nil"/>
              <w:left w:val="nil"/>
              <w:bottom w:val="nil"/>
              <w:right w:val="nil"/>
            </w:tcBorders>
            <w:shd w:val="clear" w:color="auto" w:fill="auto"/>
            <w:noWrap/>
            <w:vAlign w:val="bottom"/>
            <w:hideMark/>
          </w:tcPr>
          <w:p w14:paraId="7F461F3D"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60.8</w:t>
            </w:r>
          </w:p>
        </w:tc>
      </w:tr>
      <w:tr w:rsidR="0010786D" w:rsidRPr="00C94004" w14:paraId="2A994F2B" w14:textId="77777777" w:rsidTr="00441F62">
        <w:trPr>
          <w:trHeight w:hRule="exact" w:val="225"/>
        </w:trPr>
        <w:tc>
          <w:tcPr>
            <w:tcW w:w="1602" w:type="pct"/>
            <w:tcBorders>
              <w:top w:val="nil"/>
              <w:left w:val="nil"/>
              <w:bottom w:val="nil"/>
              <w:right w:val="nil"/>
            </w:tcBorders>
            <w:shd w:val="clear" w:color="auto" w:fill="auto"/>
            <w:noWrap/>
            <w:vAlign w:val="bottom"/>
            <w:hideMark/>
          </w:tcPr>
          <w:p w14:paraId="0CCE8ACC"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xml:space="preserve">Housing and community amenities </w:t>
            </w:r>
          </w:p>
        </w:tc>
        <w:tc>
          <w:tcPr>
            <w:tcW w:w="850" w:type="pct"/>
            <w:tcBorders>
              <w:top w:val="nil"/>
              <w:left w:val="nil"/>
              <w:bottom w:val="nil"/>
              <w:right w:val="nil"/>
            </w:tcBorders>
            <w:shd w:val="clear" w:color="auto" w:fill="auto"/>
            <w:noWrap/>
            <w:vAlign w:val="bottom"/>
            <w:hideMark/>
          </w:tcPr>
          <w:p w14:paraId="6AAF7359"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4,815</w:t>
            </w:r>
          </w:p>
        </w:tc>
        <w:tc>
          <w:tcPr>
            <w:tcW w:w="849" w:type="pct"/>
            <w:tcBorders>
              <w:top w:val="nil"/>
              <w:left w:val="nil"/>
              <w:bottom w:val="nil"/>
              <w:right w:val="nil"/>
            </w:tcBorders>
            <w:shd w:val="clear" w:color="auto" w:fill="auto"/>
            <w:noWrap/>
            <w:vAlign w:val="bottom"/>
            <w:hideMark/>
          </w:tcPr>
          <w:p w14:paraId="67E902DC"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1,277</w:t>
            </w:r>
          </w:p>
        </w:tc>
        <w:tc>
          <w:tcPr>
            <w:tcW w:w="849" w:type="pct"/>
            <w:tcBorders>
              <w:top w:val="nil"/>
              <w:left w:val="nil"/>
              <w:bottom w:val="nil"/>
              <w:right w:val="nil"/>
            </w:tcBorders>
            <w:shd w:val="clear" w:color="auto" w:fill="auto"/>
            <w:noWrap/>
            <w:vAlign w:val="bottom"/>
            <w:hideMark/>
          </w:tcPr>
          <w:p w14:paraId="711F907B"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8,854</w:t>
            </w:r>
          </w:p>
        </w:tc>
        <w:tc>
          <w:tcPr>
            <w:tcW w:w="851" w:type="pct"/>
            <w:tcBorders>
              <w:top w:val="nil"/>
              <w:left w:val="nil"/>
              <w:bottom w:val="nil"/>
              <w:right w:val="nil"/>
            </w:tcBorders>
            <w:shd w:val="clear" w:color="auto" w:fill="auto"/>
            <w:noWrap/>
            <w:vAlign w:val="bottom"/>
            <w:hideMark/>
          </w:tcPr>
          <w:p w14:paraId="62F6A15D"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68.8</w:t>
            </w:r>
          </w:p>
        </w:tc>
      </w:tr>
      <w:tr w:rsidR="0010786D" w:rsidRPr="00C94004" w14:paraId="5E8A7F7A" w14:textId="77777777" w:rsidTr="00441F62">
        <w:trPr>
          <w:trHeight w:hRule="exact" w:val="225"/>
        </w:trPr>
        <w:tc>
          <w:tcPr>
            <w:tcW w:w="1602" w:type="pct"/>
            <w:tcBorders>
              <w:top w:val="nil"/>
              <w:left w:val="nil"/>
              <w:bottom w:val="nil"/>
              <w:right w:val="nil"/>
            </w:tcBorders>
            <w:shd w:val="clear" w:color="auto" w:fill="auto"/>
            <w:noWrap/>
            <w:vAlign w:val="bottom"/>
            <w:hideMark/>
          </w:tcPr>
          <w:p w14:paraId="567EEB0D"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xml:space="preserve">Transport </w:t>
            </w:r>
          </w:p>
        </w:tc>
        <w:tc>
          <w:tcPr>
            <w:tcW w:w="850" w:type="pct"/>
            <w:tcBorders>
              <w:top w:val="nil"/>
              <w:left w:val="nil"/>
              <w:bottom w:val="nil"/>
              <w:right w:val="nil"/>
            </w:tcBorders>
            <w:shd w:val="clear" w:color="auto" w:fill="auto"/>
            <w:noWrap/>
            <w:vAlign w:val="bottom"/>
            <w:hideMark/>
          </w:tcPr>
          <w:p w14:paraId="5E0C4808"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9,338</w:t>
            </w:r>
          </w:p>
        </w:tc>
        <w:tc>
          <w:tcPr>
            <w:tcW w:w="849" w:type="pct"/>
            <w:tcBorders>
              <w:top w:val="nil"/>
              <w:left w:val="nil"/>
              <w:bottom w:val="nil"/>
              <w:right w:val="nil"/>
            </w:tcBorders>
            <w:shd w:val="clear" w:color="auto" w:fill="auto"/>
            <w:noWrap/>
            <w:vAlign w:val="bottom"/>
            <w:hideMark/>
          </w:tcPr>
          <w:p w14:paraId="183453D8"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8,465</w:t>
            </w:r>
          </w:p>
        </w:tc>
        <w:tc>
          <w:tcPr>
            <w:tcW w:w="849" w:type="pct"/>
            <w:tcBorders>
              <w:top w:val="nil"/>
              <w:left w:val="nil"/>
              <w:bottom w:val="nil"/>
              <w:right w:val="nil"/>
            </w:tcBorders>
            <w:shd w:val="clear" w:color="auto" w:fill="auto"/>
            <w:noWrap/>
            <w:vAlign w:val="bottom"/>
            <w:hideMark/>
          </w:tcPr>
          <w:p w14:paraId="2A813F64"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36,123</w:t>
            </w:r>
          </w:p>
        </w:tc>
        <w:tc>
          <w:tcPr>
            <w:tcW w:w="851" w:type="pct"/>
            <w:tcBorders>
              <w:top w:val="nil"/>
              <w:left w:val="nil"/>
              <w:bottom w:val="nil"/>
              <w:right w:val="nil"/>
            </w:tcBorders>
            <w:shd w:val="clear" w:color="auto" w:fill="auto"/>
            <w:noWrap/>
            <w:vAlign w:val="bottom"/>
            <w:hideMark/>
          </w:tcPr>
          <w:p w14:paraId="3B69A277"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49.3</w:t>
            </w:r>
          </w:p>
        </w:tc>
      </w:tr>
      <w:tr w:rsidR="0010786D" w:rsidRPr="00C94004" w14:paraId="3923F3AB" w14:textId="77777777" w:rsidTr="00441F62">
        <w:trPr>
          <w:trHeight w:hRule="exact" w:val="225"/>
        </w:trPr>
        <w:tc>
          <w:tcPr>
            <w:tcW w:w="1602" w:type="pct"/>
            <w:tcBorders>
              <w:top w:val="nil"/>
              <w:left w:val="nil"/>
              <w:bottom w:val="nil"/>
              <w:right w:val="nil"/>
            </w:tcBorders>
            <w:shd w:val="clear" w:color="auto" w:fill="auto"/>
            <w:noWrap/>
            <w:vAlign w:val="bottom"/>
            <w:hideMark/>
          </w:tcPr>
          <w:p w14:paraId="024959C5"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Economic affairs (b)</w:t>
            </w:r>
          </w:p>
        </w:tc>
        <w:tc>
          <w:tcPr>
            <w:tcW w:w="850" w:type="pct"/>
            <w:tcBorders>
              <w:top w:val="nil"/>
              <w:left w:val="nil"/>
              <w:bottom w:val="nil"/>
              <w:right w:val="nil"/>
            </w:tcBorders>
            <w:shd w:val="clear" w:color="auto" w:fill="auto"/>
            <w:noWrap/>
            <w:vAlign w:val="bottom"/>
            <w:hideMark/>
          </w:tcPr>
          <w:p w14:paraId="53058400"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822</w:t>
            </w:r>
          </w:p>
        </w:tc>
        <w:tc>
          <w:tcPr>
            <w:tcW w:w="849" w:type="pct"/>
            <w:tcBorders>
              <w:top w:val="nil"/>
              <w:left w:val="nil"/>
              <w:bottom w:val="nil"/>
              <w:right w:val="nil"/>
            </w:tcBorders>
            <w:shd w:val="clear" w:color="auto" w:fill="auto"/>
            <w:noWrap/>
            <w:vAlign w:val="bottom"/>
            <w:hideMark/>
          </w:tcPr>
          <w:p w14:paraId="15A5DF01"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5,308</w:t>
            </w:r>
          </w:p>
        </w:tc>
        <w:tc>
          <w:tcPr>
            <w:tcW w:w="849" w:type="pct"/>
            <w:tcBorders>
              <w:top w:val="nil"/>
              <w:left w:val="nil"/>
              <w:bottom w:val="nil"/>
              <w:right w:val="nil"/>
            </w:tcBorders>
            <w:shd w:val="clear" w:color="auto" w:fill="auto"/>
            <w:noWrap/>
            <w:vAlign w:val="bottom"/>
            <w:hideMark/>
          </w:tcPr>
          <w:p w14:paraId="1768DC2B"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17,616</w:t>
            </w:r>
          </w:p>
        </w:tc>
        <w:tc>
          <w:tcPr>
            <w:tcW w:w="851" w:type="pct"/>
            <w:tcBorders>
              <w:top w:val="nil"/>
              <w:left w:val="nil"/>
              <w:bottom w:val="nil"/>
              <w:right w:val="nil"/>
            </w:tcBorders>
            <w:shd w:val="clear" w:color="auto" w:fill="auto"/>
            <w:noWrap/>
            <w:vAlign w:val="bottom"/>
            <w:hideMark/>
          </w:tcPr>
          <w:p w14:paraId="2CD316F1"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34.8</w:t>
            </w:r>
          </w:p>
        </w:tc>
      </w:tr>
      <w:tr w:rsidR="0010786D" w:rsidRPr="00C94004" w14:paraId="15CDFB76" w14:textId="77777777" w:rsidTr="00441F62">
        <w:trPr>
          <w:trHeight w:hRule="exact" w:val="225"/>
        </w:trPr>
        <w:tc>
          <w:tcPr>
            <w:tcW w:w="1602" w:type="pct"/>
            <w:tcBorders>
              <w:top w:val="nil"/>
              <w:left w:val="nil"/>
              <w:bottom w:val="nil"/>
              <w:right w:val="nil"/>
            </w:tcBorders>
            <w:shd w:val="clear" w:color="auto" w:fill="auto"/>
            <w:noWrap/>
            <w:vAlign w:val="bottom"/>
            <w:hideMark/>
          </w:tcPr>
          <w:p w14:paraId="3347B1FA"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xml:space="preserve">Social protection </w:t>
            </w:r>
          </w:p>
        </w:tc>
        <w:tc>
          <w:tcPr>
            <w:tcW w:w="850" w:type="pct"/>
            <w:tcBorders>
              <w:top w:val="nil"/>
              <w:left w:val="nil"/>
              <w:bottom w:val="nil"/>
              <w:right w:val="nil"/>
            </w:tcBorders>
            <w:shd w:val="clear" w:color="auto" w:fill="auto"/>
            <w:noWrap/>
            <w:vAlign w:val="bottom"/>
            <w:hideMark/>
          </w:tcPr>
          <w:p w14:paraId="608388E7"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1,170</w:t>
            </w:r>
          </w:p>
        </w:tc>
        <w:tc>
          <w:tcPr>
            <w:tcW w:w="849" w:type="pct"/>
            <w:tcBorders>
              <w:top w:val="nil"/>
              <w:left w:val="nil"/>
              <w:bottom w:val="nil"/>
              <w:right w:val="nil"/>
            </w:tcBorders>
            <w:shd w:val="clear" w:color="auto" w:fill="auto"/>
            <w:noWrap/>
            <w:vAlign w:val="bottom"/>
            <w:hideMark/>
          </w:tcPr>
          <w:p w14:paraId="3127F1E4"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9,482</w:t>
            </w:r>
          </w:p>
        </w:tc>
        <w:tc>
          <w:tcPr>
            <w:tcW w:w="849" w:type="pct"/>
            <w:tcBorders>
              <w:top w:val="nil"/>
              <w:left w:val="nil"/>
              <w:bottom w:val="nil"/>
              <w:right w:val="nil"/>
            </w:tcBorders>
            <w:shd w:val="clear" w:color="auto" w:fill="auto"/>
            <w:noWrap/>
            <w:vAlign w:val="bottom"/>
            <w:hideMark/>
          </w:tcPr>
          <w:p w14:paraId="647787DA"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31,171</w:t>
            </w:r>
          </w:p>
        </w:tc>
        <w:tc>
          <w:tcPr>
            <w:tcW w:w="851" w:type="pct"/>
            <w:tcBorders>
              <w:top w:val="nil"/>
              <w:left w:val="nil"/>
              <w:bottom w:val="nil"/>
              <w:right w:val="nil"/>
            </w:tcBorders>
            <w:shd w:val="clear" w:color="auto" w:fill="auto"/>
            <w:noWrap/>
            <w:vAlign w:val="bottom"/>
            <w:hideMark/>
          </w:tcPr>
          <w:p w14:paraId="58A38FBC"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34.2</w:t>
            </w:r>
          </w:p>
        </w:tc>
      </w:tr>
      <w:tr w:rsidR="0010786D" w:rsidRPr="00C94004" w14:paraId="50557B57" w14:textId="77777777" w:rsidTr="00441F62">
        <w:trPr>
          <w:trHeight w:hRule="exact" w:val="225"/>
        </w:trPr>
        <w:tc>
          <w:tcPr>
            <w:tcW w:w="1602" w:type="pct"/>
            <w:tcBorders>
              <w:top w:val="nil"/>
              <w:left w:val="nil"/>
              <w:bottom w:val="nil"/>
              <w:right w:val="nil"/>
            </w:tcBorders>
            <w:shd w:val="clear" w:color="auto" w:fill="auto"/>
            <w:noWrap/>
            <w:vAlign w:val="bottom"/>
            <w:hideMark/>
          </w:tcPr>
          <w:p w14:paraId="1A34A161"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Other functions (c)</w:t>
            </w:r>
          </w:p>
        </w:tc>
        <w:tc>
          <w:tcPr>
            <w:tcW w:w="850" w:type="pct"/>
            <w:tcBorders>
              <w:top w:val="nil"/>
              <w:left w:val="nil"/>
              <w:bottom w:val="nil"/>
              <w:right w:val="nil"/>
            </w:tcBorders>
            <w:shd w:val="clear" w:color="auto" w:fill="auto"/>
            <w:noWrap/>
            <w:vAlign w:val="bottom"/>
            <w:hideMark/>
          </w:tcPr>
          <w:p w14:paraId="701FD2F6"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7,009</w:t>
            </w:r>
          </w:p>
        </w:tc>
        <w:tc>
          <w:tcPr>
            <w:tcW w:w="849" w:type="pct"/>
            <w:tcBorders>
              <w:top w:val="nil"/>
              <w:left w:val="nil"/>
              <w:bottom w:val="nil"/>
              <w:right w:val="nil"/>
            </w:tcBorders>
            <w:shd w:val="clear" w:color="auto" w:fill="auto"/>
            <w:noWrap/>
            <w:vAlign w:val="bottom"/>
            <w:hideMark/>
          </w:tcPr>
          <w:p w14:paraId="0FED2793"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25,061</w:t>
            </w:r>
          </w:p>
        </w:tc>
        <w:tc>
          <w:tcPr>
            <w:tcW w:w="849" w:type="pct"/>
            <w:tcBorders>
              <w:top w:val="nil"/>
              <w:left w:val="nil"/>
              <w:bottom w:val="nil"/>
              <w:right w:val="nil"/>
            </w:tcBorders>
            <w:shd w:val="clear" w:color="auto" w:fill="auto"/>
            <w:noWrap/>
            <w:vAlign w:val="bottom"/>
            <w:hideMark/>
          </w:tcPr>
          <w:p w14:paraId="1813DDCA"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86,306</w:t>
            </w:r>
          </w:p>
        </w:tc>
        <w:tc>
          <w:tcPr>
            <w:tcW w:w="851" w:type="pct"/>
            <w:tcBorders>
              <w:top w:val="nil"/>
              <w:left w:val="nil"/>
              <w:bottom w:val="nil"/>
              <w:right w:val="nil"/>
            </w:tcBorders>
            <w:shd w:val="clear" w:color="auto" w:fill="auto"/>
            <w:noWrap/>
            <w:vAlign w:val="bottom"/>
            <w:hideMark/>
          </w:tcPr>
          <w:p w14:paraId="4D304860"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37.2</w:t>
            </w:r>
          </w:p>
        </w:tc>
      </w:tr>
      <w:tr w:rsidR="00DA50BC" w:rsidRPr="00C94004" w14:paraId="42D88D0A" w14:textId="77777777" w:rsidTr="00441F62">
        <w:trPr>
          <w:trHeight w:hRule="exact" w:val="225"/>
        </w:trPr>
        <w:tc>
          <w:tcPr>
            <w:tcW w:w="1602" w:type="pct"/>
            <w:tcBorders>
              <w:top w:val="nil"/>
              <w:left w:val="nil"/>
              <w:bottom w:val="nil"/>
              <w:right w:val="nil"/>
            </w:tcBorders>
            <w:shd w:val="clear" w:color="auto" w:fill="auto"/>
            <w:noWrap/>
            <w:vAlign w:val="bottom"/>
            <w:hideMark/>
          </w:tcPr>
          <w:p w14:paraId="7A69AB18" w14:textId="77777777" w:rsidR="0010786D" w:rsidRPr="00C94004" w:rsidRDefault="0010786D" w:rsidP="00441F62">
            <w:pPr>
              <w:spacing w:before="0" w:after="0" w:line="240" w:lineRule="auto"/>
              <w:ind w:left="170"/>
              <w:rPr>
                <w:rFonts w:ascii="Arial" w:hAnsi="Arial" w:cs="Arial"/>
                <w:sz w:val="16"/>
                <w:szCs w:val="16"/>
              </w:rPr>
            </w:pPr>
            <w:r w:rsidRPr="00C94004">
              <w:rPr>
                <w:rFonts w:ascii="Arial" w:hAnsi="Arial" w:cs="Arial"/>
                <w:sz w:val="16"/>
                <w:szCs w:val="16"/>
              </w:rPr>
              <w:t>Payments for specific purpose</w:t>
            </w:r>
          </w:p>
        </w:tc>
        <w:tc>
          <w:tcPr>
            <w:tcW w:w="850" w:type="pct"/>
            <w:tcBorders>
              <w:top w:val="single" w:sz="4" w:space="0" w:color="293F5B"/>
              <w:left w:val="nil"/>
              <w:bottom w:val="nil"/>
              <w:right w:val="nil"/>
            </w:tcBorders>
            <w:shd w:val="clear" w:color="auto" w:fill="auto"/>
            <w:noWrap/>
            <w:vAlign w:val="bottom"/>
            <w:hideMark/>
          </w:tcPr>
          <w:p w14:paraId="42D5A68A"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82,715</w:t>
            </w:r>
          </w:p>
        </w:tc>
        <w:tc>
          <w:tcPr>
            <w:tcW w:w="849" w:type="pct"/>
            <w:tcBorders>
              <w:top w:val="single" w:sz="4" w:space="0" w:color="293F5B"/>
              <w:left w:val="nil"/>
              <w:bottom w:val="nil"/>
              <w:right w:val="nil"/>
            </w:tcBorders>
            <w:shd w:val="clear" w:color="auto" w:fill="auto"/>
            <w:noWrap/>
            <w:vAlign w:val="bottom"/>
            <w:hideMark/>
          </w:tcPr>
          <w:p w14:paraId="1962C87D"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c>
          <w:tcPr>
            <w:tcW w:w="849" w:type="pct"/>
            <w:tcBorders>
              <w:top w:val="single" w:sz="4" w:space="0" w:color="293F5B"/>
              <w:left w:val="nil"/>
              <w:bottom w:val="nil"/>
              <w:right w:val="nil"/>
            </w:tcBorders>
            <w:shd w:val="clear" w:color="auto" w:fill="auto"/>
            <w:noWrap/>
            <w:vAlign w:val="bottom"/>
            <w:hideMark/>
          </w:tcPr>
          <w:p w14:paraId="7DB21A67"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c>
          <w:tcPr>
            <w:tcW w:w="851" w:type="pct"/>
            <w:tcBorders>
              <w:top w:val="single" w:sz="4" w:space="0" w:color="293F5B"/>
              <w:left w:val="nil"/>
              <w:bottom w:val="nil"/>
              <w:right w:val="nil"/>
            </w:tcBorders>
            <w:shd w:val="clear" w:color="auto" w:fill="auto"/>
            <w:noWrap/>
            <w:vAlign w:val="bottom"/>
            <w:hideMark/>
          </w:tcPr>
          <w:p w14:paraId="34ABEE0F"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r>
      <w:tr w:rsidR="00DA50BC" w:rsidRPr="00C94004" w14:paraId="2468A1D7" w14:textId="77777777" w:rsidTr="00441F62">
        <w:trPr>
          <w:trHeight w:hRule="exact" w:val="225"/>
        </w:trPr>
        <w:tc>
          <w:tcPr>
            <w:tcW w:w="1602" w:type="pct"/>
            <w:tcBorders>
              <w:top w:val="nil"/>
              <w:left w:val="nil"/>
              <w:bottom w:val="nil"/>
              <w:right w:val="nil"/>
            </w:tcBorders>
            <w:shd w:val="clear" w:color="auto" w:fill="auto"/>
            <w:noWrap/>
            <w:vAlign w:val="bottom"/>
            <w:hideMark/>
          </w:tcPr>
          <w:p w14:paraId="08A79F70" w14:textId="77777777" w:rsidR="0010786D" w:rsidRPr="00C94004" w:rsidRDefault="0010786D" w:rsidP="00441F62">
            <w:pPr>
              <w:spacing w:before="0" w:after="0" w:line="240" w:lineRule="auto"/>
              <w:ind w:left="170"/>
              <w:rPr>
                <w:rFonts w:ascii="Arial" w:hAnsi="Arial" w:cs="Arial"/>
                <w:sz w:val="16"/>
                <w:szCs w:val="16"/>
              </w:rPr>
            </w:pPr>
            <w:r w:rsidRPr="00C94004">
              <w:rPr>
                <w:rFonts w:ascii="Arial" w:hAnsi="Arial" w:cs="Arial"/>
                <w:sz w:val="16"/>
                <w:szCs w:val="16"/>
              </w:rPr>
              <w:t>General revenue assistance</w:t>
            </w:r>
          </w:p>
        </w:tc>
        <w:tc>
          <w:tcPr>
            <w:tcW w:w="850" w:type="pct"/>
            <w:tcBorders>
              <w:top w:val="nil"/>
              <w:left w:val="nil"/>
              <w:bottom w:val="single" w:sz="4" w:space="0" w:color="293F5B"/>
              <w:right w:val="nil"/>
            </w:tcBorders>
            <w:shd w:val="clear" w:color="auto" w:fill="auto"/>
            <w:noWrap/>
            <w:vAlign w:val="bottom"/>
            <w:hideMark/>
          </w:tcPr>
          <w:p w14:paraId="219C4742"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c>
          <w:tcPr>
            <w:tcW w:w="849" w:type="pct"/>
            <w:tcBorders>
              <w:top w:val="nil"/>
              <w:left w:val="nil"/>
              <w:bottom w:val="single" w:sz="4" w:space="0" w:color="293F5B"/>
              <w:right w:val="nil"/>
            </w:tcBorders>
            <w:shd w:val="clear" w:color="auto" w:fill="auto"/>
            <w:noWrap/>
            <w:vAlign w:val="bottom"/>
            <w:hideMark/>
          </w:tcPr>
          <w:p w14:paraId="036671F7"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87,618</w:t>
            </w:r>
          </w:p>
        </w:tc>
        <w:tc>
          <w:tcPr>
            <w:tcW w:w="849" w:type="pct"/>
            <w:tcBorders>
              <w:top w:val="nil"/>
              <w:left w:val="nil"/>
              <w:bottom w:val="single" w:sz="4" w:space="0" w:color="293F5B"/>
              <w:right w:val="nil"/>
            </w:tcBorders>
            <w:shd w:val="clear" w:color="auto" w:fill="auto"/>
            <w:noWrap/>
            <w:vAlign w:val="bottom"/>
            <w:hideMark/>
          </w:tcPr>
          <w:p w14:paraId="0C2ED30C"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c>
          <w:tcPr>
            <w:tcW w:w="851" w:type="pct"/>
            <w:tcBorders>
              <w:top w:val="nil"/>
              <w:left w:val="nil"/>
              <w:bottom w:val="single" w:sz="4" w:space="0" w:color="293F5B"/>
              <w:right w:val="nil"/>
            </w:tcBorders>
            <w:shd w:val="clear" w:color="auto" w:fill="auto"/>
            <w:noWrap/>
            <w:vAlign w:val="bottom"/>
            <w:hideMark/>
          </w:tcPr>
          <w:p w14:paraId="7B631D51"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r>
      <w:tr w:rsidR="0010786D" w:rsidRPr="00C94004" w14:paraId="4EADE0A2" w14:textId="77777777" w:rsidTr="00441F62">
        <w:trPr>
          <w:trHeight w:hRule="exact" w:val="225"/>
        </w:trPr>
        <w:tc>
          <w:tcPr>
            <w:tcW w:w="1602" w:type="pct"/>
            <w:tcBorders>
              <w:top w:val="nil"/>
              <w:left w:val="nil"/>
              <w:bottom w:val="single" w:sz="4" w:space="0" w:color="293F5B"/>
              <w:right w:val="nil"/>
            </w:tcBorders>
            <w:shd w:val="clear" w:color="auto" w:fill="auto"/>
            <w:noWrap/>
            <w:vAlign w:val="bottom"/>
            <w:hideMark/>
          </w:tcPr>
          <w:p w14:paraId="5D1580DB" w14:textId="77777777" w:rsidR="0010786D" w:rsidRPr="00C94004" w:rsidRDefault="0010786D" w:rsidP="0010786D">
            <w:pPr>
              <w:spacing w:before="0" w:after="0" w:line="240" w:lineRule="auto"/>
              <w:rPr>
                <w:rFonts w:ascii="Arial" w:hAnsi="Arial" w:cs="Arial"/>
                <w:b/>
                <w:bCs/>
                <w:sz w:val="16"/>
                <w:szCs w:val="16"/>
              </w:rPr>
            </w:pPr>
            <w:r w:rsidRPr="00C94004">
              <w:rPr>
                <w:rFonts w:ascii="Arial" w:hAnsi="Arial" w:cs="Arial"/>
                <w:b/>
                <w:bCs/>
                <w:sz w:val="16"/>
                <w:szCs w:val="16"/>
              </w:rPr>
              <w:t>Total</w:t>
            </w:r>
          </w:p>
        </w:tc>
        <w:tc>
          <w:tcPr>
            <w:tcW w:w="850" w:type="pct"/>
            <w:tcBorders>
              <w:top w:val="nil"/>
              <w:left w:val="nil"/>
              <w:bottom w:val="single" w:sz="4" w:space="0" w:color="293F5B"/>
              <w:right w:val="nil"/>
            </w:tcBorders>
            <w:shd w:val="clear" w:color="auto" w:fill="auto"/>
            <w:noWrap/>
            <w:vAlign w:val="bottom"/>
            <w:hideMark/>
          </w:tcPr>
          <w:p w14:paraId="1CFD43E7"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c>
          <w:tcPr>
            <w:tcW w:w="849" w:type="pct"/>
            <w:tcBorders>
              <w:top w:val="nil"/>
              <w:left w:val="nil"/>
              <w:bottom w:val="single" w:sz="4" w:space="0" w:color="293F5B"/>
              <w:right w:val="nil"/>
            </w:tcBorders>
            <w:shd w:val="clear" w:color="auto" w:fill="auto"/>
            <w:noWrap/>
            <w:vAlign w:val="bottom"/>
            <w:hideMark/>
          </w:tcPr>
          <w:p w14:paraId="3B22AF70" w14:textId="77777777" w:rsidR="0010786D" w:rsidRPr="00C94004" w:rsidRDefault="0010786D" w:rsidP="0010786D">
            <w:pPr>
              <w:spacing w:before="0" w:after="0" w:line="240" w:lineRule="auto"/>
              <w:rPr>
                <w:rFonts w:ascii="Arial" w:hAnsi="Arial" w:cs="Arial"/>
                <w:sz w:val="16"/>
                <w:szCs w:val="16"/>
              </w:rPr>
            </w:pPr>
            <w:r w:rsidRPr="00C94004">
              <w:rPr>
                <w:rFonts w:ascii="Arial" w:hAnsi="Arial" w:cs="Arial"/>
                <w:sz w:val="16"/>
                <w:szCs w:val="16"/>
              </w:rPr>
              <w:t> </w:t>
            </w:r>
          </w:p>
        </w:tc>
        <w:tc>
          <w:tcPr>
            <w:tcW w:w="849" w:type="pct"/>
            <w:tcBorders>
              <w:top w:val="nil"/>
              <w:left w:val="nil"/>
              <w:bottom w:val="single" w:sz="4" w:space="0" w:color="293F5B"/>
              <w:right w:val="nil"/>
            </w:tcBorders>
            <w:shd w:val="clear" w:color="auto" w:fill="auto"/>
            <w:noWrap/>
            <w:vAlign w:val="bottom"/>
            <w:hideMark/>
          </w:tcPr>
          <w:p w14:paraId="3CB13035"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359,949</w:t>
            </w:r>
          </w:p>
        </w:tc>
        <w:tc>
          <w:tcPr>
            <w:tcW w:w="851" w:type="pct"/>
            <w:tcBorders>
              <w:top w:val="nil"/>
              <w:left w:val="nil"/>
              <w:bottom w:val="single" w:sz="4" w:space="0" w:color="293F5B"/>
              <w:right w:val="nil"/>
            </w:tcBorders>
            <w:shd w:val="clear" w:color="auto" w:fill="auto"/>
            <w:noWrap/>
            <w:vAlign w:val="bottom"/>
            <w:hideMark/>
          </w:tcPr>
          <w:p w14:paraId="749336E5" w14:textId="77777777" w:rsidR="0010786D" w:rsidRPr="00C94004" w:rsidRDefault="0010786D" w:rsidP="0010786D">
            <w:pPr>
              <w:spacing w:before="0" w:after="0" w:line="240" w:lineRule="auto"/>
              <w:jc w:val="right"/>
              <w:rPr>
                <w:rFonts w:ascii="Arial" w:hAnsi="Arial" w:cs="Arial"/>
                <w:sz w:val="16"/>
                <w:szCs w:val="16"/>
              </w:rPr>
            </w:pPr>
            <w:r w:rsidRPr="00C94004">
              <w:rPr>
                <w:rFonts w:ascii="Arial" w:hAnsi="Arial" w:cs="Arial"/>
                <w:sz w:val="16"/>
                <w:szCs w:val="16"/>
              </w:rPr>
              <w:t>47.3</w:t>
            </w:r>
          </w:p>
        </w:tc>
      </w:tr>
    </w:tbl>
    <w:p w14:paraId="2837F0F1" w14:textId="20B8210F" w:rsidR="0075201B" w:rsidRPr="00C94004" w:rsidRDefault="0075201B" w:rsidP="00E2325D">
      <w:pPr>
        <w:pStyle w:val="ChartandTableFootnote"/>
        <w:rPr>
          <w:color w:val="auto"/>
        </w:rPr>
      </w:pPr>
      <w:r w:rsidRPr="00C94004">
        <w:rPr>
          <w:color w:val="auto"/>
        </w:rPr>
        <w:t>Source:</w:t>
      </w:r>
      <w:r w:rsidRPr="00C94004">
        <w:rPr>
          <w:color w:val="auto"/>
        </w:rPr>
        <w:tab/>
        <w:t xml:space="preserve">Australian Bureau of Statistics (ABS), </w:t>
      </w:r>
      <w:r w:rsidRPr="00C94004">
        <w:rPr>
          <w:rStyle w:val="Emphasis"/>
          <w:color w:val="auto"/>
        </w:rPr>
        <w:t>Government Finance Statistics 202</w:t>
      </w:r>
      <w:r w:rsidR="00642004" w:rsidRPr="00C94004">
        <w:rPr>
          <w:rStyle w:val="Emphasis"/>
          <w:color w:val="auto"/>
        </w:rPr>
        <w:t>2</w:t>
      </w:r>
      <w:r w:rsidRPr="00C94004">
        <w:rPr>
          <w:rStyle w:val="Emphasis"/>
          <w:color w:val="auto"/>
        </w:rPr>
        <w:t>–2</w:t>
      </w:r>
      <w:r w:rsidR="009775D2" w:rsidRPr="00C94004">
        <w:rPr>
          <w:rStyle w:val="Emphasis"/>
          <w:color w:val="auto"/>
        </w:rPr>
        <w:t>3</w:t>
      </w:r>
      <w:r w:rsidRPr="00C94004">
        <w:rPr>
          <w:color w:val="auto"/>
        </w:rPr>
        <w:t>; and Australian</w:t>
      </w:r>
      <w:r w:rsidR="00E33EFE" w:rsidRPr="00C94004">
        <w:rPr>
          <w:color w:val="auto"/>
        </w:rPr>
        <w:t> </w:t>
      </w:r>
      <w:r w:rsidRPr="00C94004">
        <w:rPr>
          <w:color w:val="auto"/>
        </w:rPr>
        <w:t xml:space="preserve">Government, </w:t>
      </w:r>
      <w:r w:rsidRPr="00C94004">
        <w:rPr>
          <w:rStyle w:val="Emphasis"/>
          <w:color w:val="auto"/>
        </w:rPr>
        <w:t>Final Budget Outcome 202</w:t>
      </w:r>
      <w:r w:rsidR="009775D2" w:rsidRPr="00C94004">
        <w:rPr>
          <w:rStyle w:val="Emphasis"/>
          <w:color w:val="auto"/>
        </w:rPr>
        <w:t>2</w:t>
      </w:r>
      <w:r w:rsidRPr="00C94004">
        <w:rPr>
          <w:rStyle w:val="Emphasis"/>
          <w:color w:val="auto"/>
        </w:rPr>
        <w:t>–2</w:t>
      </w:r>
      <w:r w:rsidR="009775D2" w:rsidRPr="00C94004">
        <w:rPr>
          <w:rStyle w:val="Emphasis"/>
          <w:color w:val="auto"/>
        </w:rPr>
        <w:t>3</w:t>
      </w:r>
      <w:r w:rsidRPr="00C94004">
        <w:rPr>
          <w:color w:val="auto"/>
        </w:rPr>
        <w:t>.</w:t>
      </w:r>
    </w:p>
    <w:p w14:paraId="05231A0E" w14:textId="693A9B16" w:rsidR="0075201B" w:rsidRPr="00C94004" w:rsidRDefault="0075201B" w:rsidP="0075201B">
      <w:pPr>
        <w:pStyle w:val="ChartandTableFootnote"/>
        <w:rPr>
          <w:color w:val="auto"/>
        </w:rPr>
      </w:pPr>
      <w:r w:rsidRPr="00C94004">
        <w:rPr>
          <w:color w:val="auto"/>
        </w:rPr>
        <w:t xml:space="preserve">Note: </w:t>
      </w:r>
      <w:r w:rsidRPr="00C94004">
        <w:rPr>
          <w:color w:val="auto"/>
        </w:rPr>
        <w:tab/>
        <w:t>Australian Government payments to the states in 202</w:t>
      </w:r>
      <w:r w:rsidR="009775D2" w:rsidRPr="00C94004">
        <w:rPr>
          <w:color w:val="auto"/>
        </w:rPr>
        <w:t>2</w:t>
      </w:r>
      <w:r w:rsidRPr="00C94004">
        <w:rPr>
          <w:color w:val="auto"/>
        </w:rPr>
        <w:t>–2</w:t>
      </w:r>
      <w:r w:rsidR="009775D2" w:rsidRPr="00C94004">
        <w:rPr>
          <w:color w:val="auto"/>
        </w:rPr>
        <w:t>3</w:t>
      </w:r>
      <w:r w:rsidRPr="00C94004">
        <w:rPr>
          <w:color w:val="auto"/>
        </w:rPr>
        <w:t xml:space="preserve"> is unavailable on an ABS Classification of the Functions of Government (COFOG</w:t>
      </w:r>
      <w:r w:rsidR="00BE2E8A" w:rsidRPr="00C94004">
        <w:rPr>
          <w:color w:val="auto"/>
        </w:rPr>
        <w:noBreakHyphen/>
      </w:r>
      <w:r w:rsidRPr="00C94004">
        <w:rPr>
          <w:color w:val="auto"/>
        </w:rPr>
        <w:t>A) basis. These payments have been adjusted to align with COFOG</w:t>
      </w:r>
      <w:r w:rsidR="00BE2E8A" w:rsidRPr="00C94004">
        <w:rPr>
          <w:color w:val="auto"/>
        </w:rPr>
        <w:noBreakHyphen/>
      </w:r>
      <w:r w:rsidRPr="00C94004">
        <w:rPr>
          <w:color w:val="auto"/>
        </w:rPr>
        <w:t xml:space="preserve">A. </w:t>
      </w:r>
    </w:p>
    <w:p w14:paraId="2EAB5005" w14:textId="0527FB9D" w:rsidR="0075201B" w:rsidRPr="00C94004" w:rsidRDefault="0075201B" w:rsidP="009F2C44">
      <w:pPr>
        <w:pStyle w:val="ChartandTableFootnoteAlpha"/>
        <w:numPr>
          <w:ilvl w:val="0"/>
          <w:numId w:val="10"/>
        </w:numPr>
        <w:rPr>
          <w:color w:val="auto"/>
        </w:rPr>
      </w:pPr>
      <w:r w:rsidRPr="00C94004">
        <w:rPr>
          <w:color w:val="auto"/>
        </w:rPr>
        <w:t>General Revenue Assistance (GRA) is provided to the states without conditions to spend according to their own budget priorities. For illustrative purposes, GRA is allocated to expense functions based on the ratio of discretionary spending in each function as a share of states</w:t>
      </w:r>
      <w:r w:rsidR="00BE2E8A" w:rsidRPr="00C94004">
        <w:rPr>
          <w:color w:val="auto"/>
        </w:rPr>
        <w:t>’</w:t>
      </w:r>
      <w:r w:rsidRPr="00C94004">
        <w:rPr>
          <w:color w:val="auto"/>
        </w:rPr>
        <w:t xml:space="preserve"> total discretionary spending. </w:t>
      </w:r>
    </w:p>
    <w:p w14:paraId="7D29ADD9" w14:textId="7ACCCB76" w:rsidR="0075201B" w:rsidRPr="00C94004" w:rsidRDefault="0075201B" w:rsidP="009F2C44">
      <w:pPr>
        <w:pStyle w:val="ChartandTableFootnoteAlpha"/>
        <w:numPr>
          <w:ilvl w:val="0"/>
          <w:numId w:val="10"/>
        </w:numPr>
        <w:rPr>
          <w:color w:val="auto"/>
        </w:rPr>
      </w:pPr>
      <w:r w:rsidRPr="00C94004">
        <w:rPr>
          <w:color w:val="auto"/>
        </w:rPr>
        <w:t>Economic affairs include COVID</w:t>
      </w:r>
      <w:r w:rsidR="00E33EFE" w:rsidRPr="00C94004">
        <w:rPr>
          <w:color w:val="auto"/>
        </w:rPr>
        <w:t>–</w:t>
      </w:r>
      <w:r w:rsidRPr="00C94004">
        <w:rPr>
          <w:color w:val="auto"/>
        </w:rPr>
        <w:t>19 Business Support Payments for 202</w:t>
      </w:r>
      <w:r w:rsidR="006C5003" w:rsidRPr="00C94004">
        <w:rPr>
          <w:color w:val="auto"/>
        </w:rPr>
        <w:t>2</w:t>
      </w:r>
      <w:r w:rsidR="00DF74AD" w:rsidRPr="00C94004">
        <w:rPr>
          <w:color w:val="auto"/>
        </w:rPr>
        <w:t>–</w:t>
      </w:r>
      <w:r w:rsidRPr="00C94004">
        <w:rPr>
          <w:color w:val="auto"/>
        </w:rPr>
        <w:t>2</w:t>
      </w:r>
      <w:r w:rsidR="006C5003" w:rsidRPr="00C94004">
        <w:rPr>
          <w:color w:val="auto"/>
        </w:rPr>
        <w:t>3</w:t>
      </w:r>
      <w:r w:rsidRPr="00C94004">
        <w:rPr>
          <w:color w:val="auto"/>
        </w:rPr>
        <w:t>.</w:t>
      </w:r>
    </w:p>
    <w:p w14:paraId="598AF3CE" w14:textId="3744B487" w:rsidR="0075201B" w:rsidRPr="00C94004" w:rsidRDefault="0075201B" w:rsidP="009F2C44">
      <w:pPr>
        <w:pStyle w:val="ChartandTableFootnoteAlpha"/>
        <w:numPr>
          <w:ilvl w:val="0"/>
          <w:numId w:val="10"/>
        </w:numPr>
        <w:rPr>
          <w:color w:val="auto"/>
        </w:rPr>
      </w:pPr>
      <w:r w:rsidRPr="00C94004">
        <w:rPr>
          <w:color w:val="auto"/>
        </w:rPr>
        <w:t>Other functions include additional functions not elsewhere itemised.</w:t>
      </w:r>
    </w:p>
    <w:p w14:paraId="42B816FA" w14:textId="77777777" w:rsidR="0075201B" w:rsidRPr="00C94004" w:rsidRDefault="0075201B" w:rsidP="0075201B">
      <w:pPr>
        <w:pStyle w:val="TableLine"/>
      </w:pPr>
    </w:p>
    <w:p w14:paraId="2B56594D" w14:textId="77777777" w:rsidR="0075201B" w:rsidRPr="00C94004" w:rsidRDefault="0075201B" w:rsidP="0075201B">
      <w:r w:rsidRPr="00C94004">
        <w:br w:type="page"/>
      </w:r>
    </w:p>
    <w:p w14:paraId="2AACA8B4" w14:textId="69DCB4B9" w:rsidR="0075201B" w:rsidRPr="00C94004" w:rsidRDefault="0075201B" w:rsidP="0075201B">
      <w:pPr>
        <w:pStyle w:val="Heading2"/>
        <w:rPr>
          <w:rFonts w:ascii="Book Antiqua" w:hAnsi="Book Antiqua"/>
          <w:sz w:val="20"/>
        </w:rPr>
      </w:pPr>
      <w:r w:rsidRPr="00C94004">
        <w:lastRenderedPageBreak/>
        <w:t xml:space="preserve">Measures affecting payments to the states </w:t>
      </w:r>
    </w:p>
    <w:p w14:paraId="3CD0D10A" w14:textId="1E5543C5" w:rsidR="0075201B" w:rsidRPr="00C94004" w:rsidRDefault="0075201B" w:rsidP="0075201B">
      <w:r w:rsidRPr="00C94004">
        <w:t>Table 1.4 lists measures in the 202</w:t>
      </w:r>
      <w:r w:rsidR="00D95446" w:rsidRPr="00C94004">
        <w:t>4</w:t>
      </w:r>
      <w:r w:rsidRPr="00C94004">
        <w:t>–2</w:t>
      </w:r>
      <w:r w:rsidR="00D95446" w:rsidRPr="00C94004">
        <w:t>5</w:t>
      </w:r>
      <w:r w:rsidRPr="00C94004">
        <w:t xml:space="preserve"> Budget that affect payments to the states. Details of the measures are available in Budget Paper No. 2, </w:t>
      </w:r>
      <w:r w:rsidRPr="00C94004">
        <w:rPr>
          <w:rStyle w:val="Emphasis"/>
        </w:rPr>
        <w:t>Budget Measures 202</w:t>
      </w:r>
      <w:r w:rsidR="00D95446" w:rsidRPr="00C94004">
        <w:rPr>
          <w:rStyle w:val="Emphasis"/>
        </w:rPr>
        <w:t>4</w:t>
      </w:r>
      <w:r w:rsidRPr="00C94004">
        <w:rPr>
          <w:rStyle w:val="Emphasis"/>
        </w:rPr>
        <w:t>–2</w:t>
      </w:r>
      <w:r w:rsidR="00D95446" w:rsidRPr="00C94004">
        <w:rPr>
          <w:rStyle w:val="Emphasis"/>
        </w:rPr>
        <w:t>5</w:t>
      </w:r>
      <w:r w:rsidRPr="00C94004">
        <w:t>, arranged by portfolio. Information on the payments affected is available in Parts 2 and 3 of this Budget</w:t>
      </w:r>
      <w:r w:rsidR="006019C2" w:rsidRPr="00C94004">
        <w:t> </w:t>
      </w:r>
      <w:r w:rsidRPr="00C94004">
        <w:t xml:space="preserve">Paper. </w:t>
      </w:r>
    </w:p>
    <w:p w14:paraId="31F049B2" w14:textId="6FA16650" w:rsidR="0075201B" w:rsidRPr="00C94004" w:rsidRDefault="0075201B" w:rsidP="0075201B">
      <w:pPr>
        <w:pStyle w:val="TableHeading"/>
      </w:pPr>
      <w:r w:rsidRPr="00C94004">
        <w:t>Table 1.4: Measures affecting payments to the states</w:t>
      </w:r>
    </w:p>
    <w:tbl>
      <w:tblPr>
        <w:tblW w:w="5000" w:type="pct"/>
        <w:tblInd w:w="-3" w:type="dxa"/>
        <w:tblBorders>
          <w:top w:val="single" w:sz="2" w:space="0" w:color="293F5B"/>
          <w:left w:val="single" w:sz="2" w:space="0" w:color="293F5B"/>
          <w:bottom w:val="single" w:sz="2" w:space="0" w:color="293F5B"/>
          <w:right w:val="single" w:sz="2" w:space="0" w:color="293F5B"/>
          <w:insideH w:val="single" w:sz="2" w:space="0" w:color="293F5B"/>
          <w:insideV w:val="single" w:sz="2" w:space="0" w:color="293F5B"/>
        </w:tblBorders>
        <w:tblLayout w:type="fixed"/>
        <w:tblLook w:val="04A0" w:firstRow="1" w:lastRow="0" w:firstColumn="1" w:lastColumn="0" w:noHBand="0" w:noVBand="1"/>
        <w:tblCaption w:val="Table"/>
      </w:tblPr>
      <w:tblGrid>
        <w:gridCol w:w="1557"/>
        <w:gridCol w:w="1556"/>
        <w:gridCol w:w="2308"/>
        <w:gridCol w:w="2283"/>
      </w:tblGrid>
      <w:tr w:rsidR="0075201B" w:rsidRPr="0089547E" w14:paraId="54F94C00" w14:textId="77777777">
        <w:trPr>
          <w:cantSplit/>
        </w:trPr>
        <w:tc>
          <w:tcPr>
            <w:tcW w:w="1557" w:type="dxa"/>
          </w:tcPr>
          <w:p w14:paraId="6A47FC11" w14:textId="77777777" w:rsidR="0075201B" w:rsidRPr="0089547E" w:rsidRDefault="0075201B">
            <w:pPr>
              <w:pStyle w:val="TableColumnHeadingLeft"/>
              <w:rPr>
                <w:highlight w:val="yellow"/>
              </w:rPr>
            </w:pPr>
            <w:r w:rsidRPr="00C94004">
              <w:t>Payment</w:t>
            </w:r>
          </w:p>
        </w:tc>
        <w:tc>
          <w:tcPr>
            <w:tcW w:w="1556" w:type="dxa"/>
          </w:tcPr>
          <w:p w14:paraId="669E002D" w14:textId="77777777" w:rsidR="0075201B" w:rsidRPr="0089547E" w:rsidRDefault="0075201B">
            <w:pPr>
              <w:pStyle w:val="TableColumnHeadingLeft"/>
              <w:rPr>
                <w:highlight w:val="yellow"/>
              </w:rPr>
            </w:pPr>
            <w:r w:rsidRPr="00C94004">
              <w:t>Section of Budget Paper 3</w:t>
            </w:r>
          </w:p>
        </w:tc>
        <w:tc>
          <w:tcPr>
            <w:tcW w:w="2308" w:type="dxa"/>
            <w:shd w:val="clear" w:color="auto" w:fill="auto"/>
          </w:tcPr>
          <w:p w14:paraId="56799CAE" w14:textId="77777777" w:rsidR="0075201B" w:rsidRPr="0089547E" w:rsidRDefault="0075201B">
            <w:pPr>
              <w:pStyle w:val="TableColumnHeadingLeft"/>
              <w:rPr>
                <w:highlight w:val="yellow"/>
              </w:rPr>
            </w:pPr>
            <w:r w:rsidRPr="00C94004">
              <w:t>Measure title</w:t>
            </w:r>
          </w:p>
        </w:tc>
        <w:tc>
          <w:tcPr>
            <w:tcW w:w="2283" w:type="dxa"/>
          </w:tcPr>
          <w:p w14:paraId="127CB35A" w14:textId="77777777" w:rsidR="0075201B" w:rsidRPr="0089547E" w:rsidRDefault="0075201B">
            <w:pPr>
              <w:pStyle w:val="TableColumnHeadingLeft"/>
              <w:rPr>
                <w:highlight w:val="yellow"/>
              </w:rPr>
            </w:pPr>
            <w:r w:rsidRPr="00C94004">
              <w:t>Section of Budget Paper 2</w:t>
            </w:r>
          </w:p>
        </w:tc>
      </w:tr>
      <w:tr w:rsidR="0075201B" w:rsidRPr="0089547E" w14:paraId="45D36A9F" w14:textId="77777777">
        <w:trPr>
          <w:cantSplit/>
          <w:trHeight w:val="20"/>
        </w:trPr>
        <w:tc>
          <w:tcPr>
            <w:tcW w:w="1557" w:type="dxa"/>
            <w:shd w:val="clear" w:color="auto" w:fill="auto"/>
          </w:tcPr>
          <w:p w14:paraId="7AE580B3" w14:textId="0A8BE44A" w:rsidR="0075201B" w:rsidRPr="0089547E" w:rsidRDefault="00BD6402">
            <w:pPr>
              <w:pStyle w:val="TableTextLeft"/>
              <w:rPr>
                <w:rFonts w:cs="Cambria"/>
                <w:szCs w:val="16"/>
                <w:highlight w:val="yellow"/>
              </w:rPr>
            </w:pPr>
            <w:r w:rsidRPr="00C94004">
              <w:rPr>
                <w:rFonts w:cs="Cambria"/>
                <w:szCs w:val="16"/>
              </w:rPr>
              <w:t>Access to HIV treatment</w:t>
            </w:r>
          </w:p>
        </w:tc>
        <w:tc>
          <w:tcPr>
            <w:tcW w:w="1556" w:type="dxa"/>
            <w:shd w:val="clear" w:color="auto" w:fill="auto"/>
          </w:tcPr>
          <w:p w14:paraId="51875806" w14:textId="03286CAC" w:rsidR="0075201B" w:rsidRPr="0089547E" w:rsidRDefault="00285BDE">
            <w:pPr>
              <w:pStyle w:val="TableTextLeft"/>
              <w:rPr>
                <w:rFonts w:cs="Cambria"/>
                <w:szCs w:val="16"/>
                <w:highlight w:val="yellow"/>
              </w:rPr>
            </w:pPr>
            <w:r w:rsidRPr="00C94004">
              <w:rPr>
                <w:rFonts w:cs="Cambria"/>
                <w:szCs w:val="16"/>
              </w:rPr>
              <w:t xml:space="preserve">Part 2 </w:t>
            </w:r>
            <w:r w:rsidRPr="00C94004">
              <w:t>– Health</w:t>
            </w:r>
          </w:p>
        </w:tc>
        <w:tc>
          <w:tcPr>
            <w:tcW w:w="2308" w:type="dxa"/>
            <w:shd w:val="clear" w:color="auto" w:fill="auto"/>
          </w:tcPr>
          <w:p w14:paraId="583F3FE6" w14:textId="4375B7F5" w:rsidR="007D35E8" w:rsidRPr="00C94004" w:rsidRDefault="007D35E8" w:rsidP="007D35E8">
            <w:pPr>
              <w:pStyle w:val="TableTextLeft"/>
            </w:pPr>
            <w:r w:rsidRPr="00C94004">
              <w:t xml:space="preserve">Response to HIV Taskforce Recommendations </w:t>
            </w:r>
            <w:r w:rsidR="000E6537" w:rsidRPr="00C94004">
              <w:t>–</w:t>
            </w:r>
            <w:r w:rsidRPr="00C94004">
              <w:t xml:space="preserve"> </w:t>
            </w:r>
          </w:p>
          <w:p w14:paraId="5048C7E7" w14:textId="507C8A95" w:rsidR="0075201B" w:rsidRPr="0089547E" w:rsidRDefault="009F3F41">
            <w:pPr>
              <w:pStyle w:val="TableTextLeft"/>
              <w:rPr>
                <w:highlight w:val="yellow"/>
              </w:rPr>
            </w:pPr>
            <w:r w:rsidRPr="00C94004">
              <w:t>e</w:t>
            </w:r>
            <w:r w:rsidR="007D35E8" w:rsidRPr="00C94004">
              <w:t>liminating HIV in Australia</w:t>
            </w:r>
          </w:p>
        </w:tc>
        <w:tc>
          <w:tcPr>
            <w:tcW w:w="2283" w:type="dxa"/>
            <w:shd w:val="clear" w:color="auto" w:fill="auto"/>
          </w:tcPr>
          <w:p w14:paraId="1329CE13" w14:textId="02FF1EA5" w:rsidR="0075201B" w:rsidRPr="0089547E" w:rsidRDefault="00536ED9">
            <w:pPr>
              <w:pStyle w:val="TableTextLeft"/>
              <w:rPr>
                <w:rFonts w:cs="Cambria"/>
                <w:szCs w:val="16"/>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592C0483" w14:textId="77777777">
        <w:trPr>
          <w:cantSplit/>
          <w:trHeight w:val="20"/>
        </w:trPr>
        <w:tc>
          <w:tcPr>
            <w:tcW w:w="1557" w:type="dxa"/>
            <w:shd w:val="clear" w:color="auto" w:fill="auto"/>
          </w:tcPr>
          <w:p w14:paraId="5AAE26AF" w14:textId="168453EA" w:rsidR="00FD16D2" w:rsidRPr="0089547E" w:rsidRDefault="00FD16D2" w:rsidP="00FD16D2">
            <w:pPr>
              <w:pStyle w:val="TableTextLeft"/>
              <w:rPr>
                <w:highlight w:val="yellow"/>
              </w:rPr>
            </w:pPr>
            <w:r w:rsidRPr="00C94004">
              <w:t>Comprehensive palliative care in aged care</w:t>
            </w:r>
          </w:p>
        </w:tc>
        <w:tc>
          <w:tcPr>
            <w:tcW w:w="1556" w:type="dxa"/>
            <w:shd w:val="clear" w:color="auto" w:fill="auto"/>
          </w:tcPr>
          <w:p w14:paraId="660EE801" w14:textId="72E4793E"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64E765CC" w14:textId="6FFE9718" w:rsidR="00FD16D2" w:rsidRPr="0089547E" w:rsidRDefault="00251D03" w:rsidP="00FD16D2">
            <w:pPr>
              <w:pStyle w:val="TableTextLeft"/>
              <w:rPr>
                <w:highlight w:val="yellow"/>
              </w:rPr>
            </w:pPr>
            <w:r w:rsidRPr="00C94004">
              <w:t>Strengthening Medicare</w:t>
            </w:r>
          </w:p>
        </w:tc>
        <w:tc>
          <w:tcPr>
            <w:tcW w:w="2283" w:type="dxa"/>
            <w:shd w:val="clear" w:color="auto" w:fill="auto"/>
          </w:tcPr>
          <w:p w14:paraId="1C39317B" w14:textId="11F2AE7A"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3F60F64C" w14:textId="77777777">
        <w:trPr>
          <w:cantSplit/>
          <w:trHeight w:val="20"/>
        </w:trPr>
        <w:tc>
          <w:tcPr>
            <w:tcW w:w="1557" w:type="dxa"/>
            <w:shd w:val="clear" w:color="auto" w:fill="auto"/>
          </w:tcPr>
          <w:p w14:paraId="08B604B6" w14:textId="3356D497" w:rsidR="00FD16D2" w:rsidRPr="0089547E" w:rsidDel="00987D8C" w:rsidRDefault="00FD16D2" w:rsidP="00FD16D2">
            <w:pPr>
              <w:pStyle w:val="TableTextLeft"/>
              <w:rPr>
                <w:highlight w:val="yellow"/>
              </w:rPr>
            </w:pPr>
            <w:r w:rsidRPr="00C94004">
              <w:t>Hummingbird House</w:t>
            </w:r>
          </w:p>
        </w:tc>
        <w:tc>
          <w:tcPr>
            <w:tcW w:w="1556" w:type="dxa"/>
            <w:shd w:val="clear" w:color="auto" w:fill="auto"/>
          </w:tcPr>
          <w:p w14:paraId="49DF7BE7" w14:textId="420C3503"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1DA13931" w14:textId="3D85D5A8" w:rsidR="00FD16D2" w:rsidRPr="0089547E" w:rsidRDefault="009C33A5" w:rsidP="00FD16D2">
            <w:pPr>
              <w:pStyle w:val="TableTextLeft"/>
              <w:rPr>
                <w:highlight w:val="yellow"/>
              </w:rPr>
            </w:pPr>
            <w:r w:rsidRPr="00C94004">
              <w:t>Ensuring Service Delivery at Hummingbird House</w:t>
            </w:r>
          </w:p>
        </w:tc>
        <w:tc>
          <w:tcPr>
            <w:tcW w:w="2283" w:type="dxa"/>
            <w:shd w:val="clear" w:color="auto" w:fill="auto"/>
          </w:tcPr>
          <w:p w14:paraId="4D1BD255" w14:textId="0995ED8F"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172E6468" w14:textId="77777777">
        <w:trPr>
          <w:cantSplit/>
          <w:trHeight w:val="20"/>
        </w:trPr>
        <w:tc>
          <w:tcPr>
            <w:tcW w:w="1557" w:type="dxa"/>
            <w:shd w:val="clear" w:color="auto" w:fill="auto"/>
          </w:tcPr>
          <w:p w14:paraId="05D59F46" w14:textId="688FF45D" w:rsidR="00FD16D2" w:rsidRPr="0089547E" w:rsidRDefault="00FD16D2" w:rsidP="00FD16D2">
            <w:pPr>
              <w:pStyle w:val="TableTextLeft"/>
              <w:rPr>
                <w:highlight w:val="yellow"/>
              </w:rPr>
            </w:pPr>
            <w:r w:rsidRPr="00C94004">
              <w:t>Management of Torres Strait / Papua New Guinea cross border health issues</w:t>
            </w:r>
          </w:p>
        </w:tc>
        <w:tc>
          <w:tcPr>
            <w:tcW w:w="1556" w:type="dxa"/>
            <w:shd w:val="clear" w:color="auto" w:fill="auto"/>
          </w:tcPr>
          <w:p w14:paraId="6F4BF5DA" w14:textId="695A86BC"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50239997" w14:textId="683C7DBF" w:rsidR="00FD16D2" w:rsidRPr="0089547E" w:rsidRDefault="00103D98" w:rsidP="00FD16D2">
            <w:pPr>
              <w:pStyle w:val="TableTextLeft"/>
              <w:rPr>
                <w:highlight w:val="yellow"/>
              </w:rPr>
            </w:pPr>
            <w:r w:rsidRPr="00C94004">
              <w:t>Management Of Torres Strait</w:t>
            </w:r>
            <w:r w:rsidR="00CC1EDC" w:rsidRPr="00C94004">
              <w:t xml:space="preserve"> and </w:t>
            </w:r>
            <w:r w:rsidRPr="00C94004">
              <w:t>Papua New Guinea</w:t>
            </w:r>
            <w:r w:rsidR="009D3F72" w:rsidRPr="00C94004">
              <w:t xml:space="preserve"> Cross Border Health Issues</w:t>
            </w:r>
          </w:p>
        </w:tc>
        <w:tc>
          <w:tcPr>
            <w:tcW w:w="2283" w:type="dxa"/>
            <w:shd w:val="clear" w:color="auto" w:fill="auto"/>
          </w:tcPr>
          <w:p w14:paraId="00C81731" w14:textId="27648511"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62D12240" w14:textId="77777777">
        <w:trPr>
          <w:cantSplit/>
          <w:trHeight w:val="20"/>
        </w:trPr>
        <w:tc>
          <w:tcPr>
            <w:tcW w:w="1557" w:type="dxa"/>
            <w:shd w:val="clear" w:color="auto" w:fill="auto"/>
          </w:tcPr>
          <w:p w14:paraId="69CEA6B2" w14:textId="21ACF22C" w:rsidR="00FD16D2" w:rsidRPr="0089547E" w:rsidRDefault="00FD16D2" w:rsidP="00FD16D2">
            <w:pPr>
              <w:pStyle w:val="TableTextLeft"/>
              <w:rPr>
                <w:highlight w:val="yellow"/>
              </w:rPr>
            </w:pPr>
            <w:r w:rsidRPr="00C94004">
              <w:t>Medicare Urgent Care Clinics</w:t>
            </w:r>
          </w:p>
        </w:tc>
        <w:tc>
          <w:tcPr>
            <w:tcW w:w="1556" w:type="dxa"/>
            <w:shd w:val="clear" w:color="auto" w:fill="auto"/>
          </w:tcPr>
          <w:p w14:paraId="37DDF9DB" w14:textId="77958DD5"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59C71A07" w14:textId="2A3507EF" w:rsidR="00FD16D2" w:rsidRPr="0089547E" w:rsidRDefault="00565775" w:rsidP="00FD16D2">
            <w:pPr>
              <w:pStyle w:val="TableTextLeft"/>
              <w:rPr>
                <w:highlight w:val="yellow"/>
              </w:rPr>
            </w:pPr>
            <w:r w:rsidRPr="00C94004">
              <w:t xml:space="preserve">Strengthening Medicare </w:t>
            </w:r>
            <w:r w:rsidRPr="00C94004">
              <w:rPr>
                <w:rFonts w:cs="Cambria"/>
                <w:szCs w:val="16"/>
              </w:rPr>
              <w:t>–</w:t>
            </w:r>
            <w:r w:rsidR="009F385D" w:rsidRPr="00C94004">
              <w:rPr>
                <w:rFonts w:cs="Cambria"/>
                <w:szCs w:val="16"/>
              </w:rPr>
              <w:t xml:space="preserve">Medicare </w:t>
            </w:r>
            <w:r w:rsidR="00FB2EF0" w:rsidRPr="00C94004">
              <w:t>Urgent Care Clinics</w:t>
            </w:r>
            <w:r w:rsidR="009F385D" w:rsidRPr="00C94004">
              <w:t xml:space="preserve"> </w:t>
            </w:r>
            <w:r w:rsidR="009F385D" w:rsidRPr="00C94004">
              <w:rPr>
                <w:rFonts w:cs="Cambria"/>
                <w:szCs w:val="16"/>
              </w:rPr>
              <w:t>– additional funding</w:t>
            </w:r>
          </w:p>
        </w:tc>
        <w:tc>
          <w:tcPr>
            <w:tcW w:w="2283" w:type="dxa"/>
            <w:shd w:val="clear" w:color="auto" w:fill="auto"/>
          </w:tcPr>
          <w:p w14:paraId="463E65B8" w14:textId="0710B41C"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4710E54F" w14:textId="77777777">
        <w:trPr>
          <w:cantSplit/>
          <w:trHeight w:val="20"/>
        </w:trPr>
        <w:tc>
          <w:tcPr>
            <w:tcW w:w="1557" w:type="dxa"/>
            <w:shd w:val="clear" w:color="auto" w:fill="auto"/>
          </w:tcPr>
          <w:p w14:paraId="0C1BEC5C" w14:textId="4645FBEE" w:rsidR="00FD16D2" w:rsidRPr="0089547E" w:rsidRDefault="00FD16D2" w:rsidP="00FD16D2">
            <w:pPr>
              <w:pStyle w:val="TableTextLeft"/>
              <w:rPr>
                <w:highlight w:val="yellow"/>
              </w:rPr>
            </w:pPr>
            <w:r w:rsidRPr="00C94004">
              <w:t>Mosquito control in the Torres Strait Protected Zone</w:t>
            </w:r>
          </w:p>
        </w:tc>
        <w:tc>
          <w:tcPr>
            <w:tcW w:w="1556" w:type="dxa"/>
            <w:shd w:val="clear" w:color="auto" w:fill="auto"/>
          </w:tcPr>
          <w:p w14:paraId="2647499C" w14:textId="3E9EECF3"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17DFA464" w14:textId="621B7E28" w:rsidR="00FD16D2" w:rsidRPr="0089547E" w:rsidRDefault="00BE5507" w:rsidP="00FD16D2">
            <w:pPr>
              <w:pStyle w:val="TableTextLeft"/>
              <w:rPr>
                <w:highlight w:val="yellow"/>
              </w:rPr>
            </w:pPr>
            <w:r w:rsidRPr="00C94004">
              <w:t>Management Of Torres Strait and Papua New Guinea Cross Border Health Issues</w:t>
            </w:r>
          </w:p>
        </w:tc>
        <w:tc>
          <w:tcPr>
            <w:tcW w:w="2283" w:type="dxa"/>
            <w:shd w:val="clear" w:color="auto" w:fill="auto"/>
          </w:tcPr>
          <w:p w14:paraId="79B24513" w14:textId="6E235D6C"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56E77523" w14:textId="77777777">
        <w:trPr>
          <w:cantSplit/>
          <w:trHeight w:val="20"/>
        </w:trPr>
        <w:tc>
          <w:tcPr>
            <w:tcW w:w="1557" w:type="dxa"/>
            <w:shd w:val="clear" w:color="auto" w:fill="auto"/>
          </w:tcPr>
          <w:p w14:paraId="6E39E7D4" w14:textId="61F19366" w:rsidR="00FD16D2" w:rsidRPr="0089547E" w:rsidRDefault="00FD16D2" w:rsidP="00FD16D2">
            <w:pPr>
              <w:pStyle w:val="TableTextLeft"/>
              <w:rPr>
                <w:highlight w:val="yellow"/>
              </w:rPr>
            </w:pPr>
            <w:r w:rsidRPr="00C94004">
              <w:t>National bowel cancer screening program – participant follow</w:t>
            </w:r>
            <w:r w:rsidR="00BE2E8A" w:rsidRPr="00C94004">
              <w:noBreakHyphen/>
            </w:r>
            <w:r w:rsidRPr="00C94004">
              <w:t>up function</w:t>
            </w:r>
          </w:p>
        </w:tc>
        <w:tc>
          <w:tcPr>
            <w:tcW w:w="1556" w:type="dxa"/>
            <w:shd w:val="clear" w:color="auto" w:fill="auto"/>
          </w:tcPr>
          <w:p w14:paraId="3E7FB1F1" w14:textId="0A5FDDC9"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43DA4331" w14:textId="6C7A0D25" w:rsidR="00FD16D2" w:rsidRPr="0089547E" w:rsidRDefault="00FA07F7" w:rsidP="00FD16D2">
            <w:pPr>
              <w:pStyle w:val="TableTextLeft"/>
              <w:rPr>
                <w:highlight w:val="yellow"/>
              </w:rPr>
            </w:pPr>
            <w:r w:rsidRPr="00C94004">
              <w:t>Impro</w:t>
            </w:r>
            <w:r w:rsidR="00AB43B3" w:rsidRPr="00C94004">
              <w:t>ving Cancer Outcomes</w:t>
            </w:r>
          </w:p>
        </w:tc>
        <w:tc>
          <w:tcPr>
            <w:tcW w:w="2283" w:type="dxa"/>
            <w:shd w:val="clear" w:color="auto" w:fill="auto"/>
          </w:tcPr>
          <w:p w14:paraId="27508412" w14:textId="3C76BDAC"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4AF7D6D7" w14:textId="77777777">
        <w:trPr>
          <w:cantSplit/>
          <w:trHeight w:val="20"/>
        </w:trPr>
        <w:tc>
          <w:tcPr>
            <w:tcW w:w="1557" w:type="dxa"/>
            <w:shd w:val="clear" w:color="auto" w:fill="auto"/>
          </w:tcPr>
          <w:p w14:paraId="0885AE50" w14:textId="7F617623" w:rsidR="00FD16D2" w:rsidRPr="0089547E" w:rsidRDefault="00FD16D2" w:rsidP="00FD16D2">
            <w:pPr>
              <w:pStyle w:val="TableTextLeft"/>
              <w:rPr>
                <w:highlight w:val="yellow"/>
              </w:rPr>
            </w:pPr>
            <w:r w:rsidRPr="00C94004">
              <w:t>National Critical Care and Trauma Response Centre</w:t>
            </w:r>
          </w:p>
        </w:tc>
        <w:tc>
          <w:tcPr>
            <w:tcW w:w="1556" w:type="dxa"/>
            <w:shd w:val="clear" w:color="auto" w:fill="auto"/>
          </w:tcPr>
          <w:p w14:paraId="0B7CEA70" w14:textId="1ACC2C95"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523A8714" w14:textId="6FC4C446" w:rsidR="00FD16D2" w:rsidRPr="0089547E" w:rsidRDefault="009E2696" w:rsidP="00FD16D2">
            <w:pPr>
              <w:pStyle w:val="TableTextLeft"/>
              <w:rPr>
                <w:highlight w:val="yellow"/>
              </w:rPr>
            </w:pPr>
            <w:r w:rsidRPr="00C94004">
              <w:t>Preven</w:t>
            </w:r>
            <w:r w:rsidR="00EE20FC" w:rsidRPr="00C94004">
              <w:t>tive Health</w:t>
            </w:r>
          </w:p>
        </w:tc>
        <w:tc>
          <w:tcPr>
            <w:tcW w:w="2283" w:type="dxa"/>
            <w:shd w:val="clear" w:color="auto" w:fill="auto"/>
          </w:tcPr>
          <w:p w14:paraId="2A5CF38B" w14:textId="64EC04D5"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58F4DEB3" w14:textId="77777777">
        <w:trPr>
          <w:cantSplit/>
          <w:trHeight w:val="20"/>
        </w:trPr>
        <w:tc>
          <w:tcPr>
            <w:tcW w:w="1557" w:type="dxa"/>
            <w:shd w:val="clear" w:color="auto" w:fill="auto"/>
          </w:tcPr>
          <w:p w14:paraId="20F9CA8D" w14:textId="65A0D73C" w:rsidR="00FD16D2" w:rsidRPr="0089547E" w:rsidRDefault="00FD16D2" w:rsidP="00FD16D2">
            <w:pPr>
              <w:pStyle w:val="TableTextLeft"/>
              <w:rPr>
                <w:highlight w:val="yellow"/>
              </w:rPr>
            </w:pPr>
            <w:r w:rsidRPr="00C94004">
              <w:t>OzFoodNet</w:t>
            </w:r>
          </w:p>
        </w:tc>
        <w:tc>
          <w:tcPr>
            <w:tcW w:w="1556" w:type="dxa"/>
            <w:shd w:val="clear" w:color="auto" w:fill="auto"/>
          </w:tcPr>
          <w:p w14:paraId="29DC51E6" w14:textId="25D70B53"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043EB3C2" w14:textId="7CBE458B" w:rsidR="00FD16D2" w:rsidRPr="0089547E" w:rsidRDefault="00B41FF2" w:rsidP="00FD16D2">
            <w:pPr>
              <w:pStyle w:val="TableTextLeft"/>
              <w:rPr>
                <w:highlight w:val="yellow"/>
              </w:rPr>
            </w:pPr>
            <w:r w:rsidRPr="00C94004">
              <w:t>Preventive Health</w:t>
            </w:r>
          </w:p>
        </w:tc>
        <w:tc>
          <w:tcPr>
            <w:tcW w:w="2283" w:type="dxa"/>
            <w:shd w:val="clear" w:color="auto" w:fill="auto"/>
          </w:tcPr>
          <w:p w14:paraId="7482CCBA" w14:textId="25C24476"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5345E2FA" w14:textId="77777777">
        <w:trPr>
          <w:cantSplit/>
          <w:trHeight w:val="20"/>
        </w:trPr>
        <w:tc>
          <w:tcPr>
            <w:tcW w:w="1557" w:type="dxa"/>
            <w:shd w:val="clear" w:color="auto" w:fill="auto"/>
          </w:tcPr>
          <w:p w14:paraId="45105EDB" w14:textId="3F271AB9" w:rsidR="00FD16D2" w:rsidRPr="0089547E" w:rsidRDefault="00FD16D2" w:rsidP="00FD16D2">
            <w:pPr>
              <w:pStyle w:val="TableTextLeft"/>
              <w:rPr>
                <w:highlight w:val="yellow"/>
              </w:rPr>
            </w:pPr>
            <w:r w:rsidRPr="00C94004">
              <w:t>Specialist dementia care</w:t>
            </w:r>
          </w:p>
        </w:tc>
        <w:tc>
          <w:tcPr>
            <w:tcW w:w="1556" w:type="dxa"/>
            <w:shd w:val="clear" w:color="auto" w:fill="auto"/>
          </w:tcPr>
          <w:p w14:paraId="2013CBA1" w14:textId="45DA35A9"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3277B1B0" w14:textId="3BCF8833" w:rsidR="00FD16D2" w:rsidRPr="0089547E" w:rsidRDefault="009E0E5D" w:rsidP="00FD16D2">
            <w:pPr>
              <w:pStyle w:val="TableTextLeft"/>
              <w:rPr>
                <w:highlight w:val="yellow"/>
              </w:rPr>
            </w:pPr>
            <w:r w:rsidRPr="00C94004">
              <w:t>Improving Aged Care Support</w:t>
            </w:r>
          </w:p>
        </w:tc>
        <w:tc>
          <w:tcPr>
            <w:tcW w:w="2283" w:type="dxa"/>
            <w:shd w:val="clear" w:color="auto" w:fill="auto"/>
          </w:tcPr>
          <w:p w14:paraId="34E86A61" w14:textId="7F634B40"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25B46737" w14:textId="77777777">
        <w:trPr>
          <w:cantSplit/>
          <w:trHeight w:val="20"/>
        </w:trPr>
        <w:tc>
          <w:tcPr>
            <w:tcW w:w="1557" w:type="dxa"/>
            <w:shd w:val="clear" w:color="auto" w:fill="auto"/>
          </w:tcPr>
          <w:p w14:paraId="3B21858F" w14:textId="4BCD0917" w:rsidR="00FD16D2" w:rsidRPr="0089547E" w:rsidRDefault="00FD16D2" w:rsidP="00FD16D2">
            <w:pPr>
              <w:pStyle w:val="TableTextLeft"/>
              <w:rPr>
                <w:highlight w:val="yellow"/>
              </w:rPr>
            </w:pPr>
            <w:r w:rsidRPr="00C94004">
              <w:t>Supporting older Australian patients</w:t>
            </w:r>
          </w:p>
        </w:tc>
        <w:tc>
          <w:tcPr>
            <w:tcW w:w="1556" w:type="dxa"/>
            <w:shd w:val="clear" w:color="auto" w:fill="auto"/>
          </w:tcPr>
          <w:p w14:paraId="100D98A4" w14:textId="5F496B4F"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74A58F4F" w14:textId="289AD4D6" w:rsidR="00FD16D2" w:rsidRPr="0089547E" w:rsidRDefault="00FB18E8" w:rsidP="00FD16D2">
            <w:pPr>
              <w:pStyle w:val="TableTextLeft"/>
              <w:rPr>
                <w:highlight w:val="yellow"/>
              </w:rPr>
            </w:pPr>
            <w:r w:rsidRPr="00C94004">
              <w:t>Strengthening Medicare</w:t>
            </w:r>
          </w:p>
        </w:tc>
        <w:tc>
          <w:tcPr>
            <w:tcW w:w="2283" w:type="dxa"/>
            <w:shd w:val="clear" w:color="auto" w:fill="auto"/>
          </w:tcPr>
          <w:p w14:paraId="0E77D1B3" w14:textId="68BB565B"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89547E" w14:paraId="2B68C2C7" w14:textId="77777777">
        <w:trPr>
          <w:cantSplit/>
          <w:trHeight w:val="20"/>
        </w:trPr>
        <w:tc>
          <w:tcPr>
            <w:tcW w:w="1557" w:type="dxa"/>
            <w:shd w:val="clear" w:color="auto" w:fill="auto"/>
          </w:tcPr>
          <w:p w14:paraId="1D762299" w14:textId="77777777" w:rsidR="00E37DF1" w:rsidRDefault="00FD16D2" w:rsidP="00FD16D2">
            <w:pPr>
              <w:pStyle w:val="TableTextLeft"/>
            </w:pPr>
            <w:r w:rsidRPr="00C94004">
              <w:t>Vaccine</w:t>
            </w:r>
            <w:r w:rsidR="00BE2E8A" w:rsidRPr="00C94004">
              <w:noBreakHyphen/>
            </w:r>
          </w:p>
          <w:p w14:paraId="14E882BF" w14:textId="70699496" w:rsidR="00FD16D2" w:rsidRPr="0089547E" w:rsidRDefault="00FD16D2" w:rsidP="00FD16D2">
            <w:pPr>
              <w:pStyle w:val="TableTextLeft"/>
              <w:rPr>
                <w:highlight w:val="yellow"/>
              </w:rPr>
            </w:pPr>
            <w:r w:rsidRPr="00C94004">
              <w:t>preventable diseases surveillance</w:t>
            </w:r>
          </w:p>
        </w:tc>
        <w:tc>
          <w:tcPr>
            <w:tcW w:w="1556" w:type="dxa"/>
            <w:shd w:val="clear" w:color="auto" w:fill="auto"/>
          </w:tcPr>
          <w:p w14:paraId="36ECA417" w14:textId="1EA6AA84"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2F5FE3DE" w14:textId="37B7C39C" w:rsidR="00FD16D2" w:rsidRPr="0089547E" w:rsidRDefault="001350AD" w:rsidP="00FD16D2">
            <w:pPr>
              <w:pStyle w:val="TableTextLeft"/>
              <w:rPr>
                <w:highlight w:val="yellow"/>
              </w:rPr>
            </w:pPr>
            <w:r w:rsidRPr="00C94004">
              <w:t>Preventive Health</w:t>
            </w:r>
          </w:p>
        </w:tc>
        <w:tc>
          <w:tcPr>
            <w:tcW w:w="2283" w:type="dxa"/>
            <w:shd w:val="clear" w:color="auto" w:fill="auto"/>
          </w:tcPr>
          <w:p w14:paraId="0CB58981" w14:textId="21937675" w:rsidR="00FD16D2" w:rsidRPr="0089547E" w:rsidRDefault="00536ED9"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r w:rsidR="00FD16D2" w:rsidRPr="00C94004" w14:paraId="4BFFF89C" w14:textId="77777777">
        <w:trPr>
          <w:cantSplit/>
          <w:trHeight w:val="20"/>
        </w:trPr>
        <w:tc>
          <w:tcPr>
            <w:tcW w:w="1557" w:type="dxa"/>
            <w:shd w:val="clear" w:color="auto" w:fill="auto"/>
          </w:tcPr>
          <w:p w14:paraId="6D050683" w14:textId="4CD2CAE7" w:rsidR="00FD16D2" w:rsidRPr="0089547E" w:rsidRDefault="00FD16D2" w:rsidP="00FD16D2">
            <w:pPr>
              <w:pStyle w:val="TableTextLeft"/>
              <w:rPr>
                <w:highlight w:val="yellow"/>
              </w:rPr>
            </w:pPr>
            <w:r w:rsidRPr="00C94004">
              <w:t>Community Health, Hospitals and Infrastructure projects</w:t>
            </w:r>
          </w:p>
        </w:tc>
        <w:tc>
          <w:tcPr>
            <w:tcW w:w="1556" w:type="dxa"/>
            <w:shd w:val="clear" w:color="auto" w:fill="auto"/>
          </w:tcPr>
          <w:p w14:paraId="74D7AE99" w14:textId="7AE8443E"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8" w:type="dxa"/>
            <w:shd w:val="clear" w:color="auto" w:fill="auto"/>
          </w:tcPr>
          <w:p w14:paraId="115209B6" w14:textId="04BA739D" w:rsidR="00FD16D2" w:rsidRPr="0089547E" w:rsidRDefault="002779C1" w:rsidP="00FD16D2">
            <w:pPr>
              <w:pStyle w:val="TableTextLeft"/>
              <w:rPr>
                <w:highlight w:val="yellow"/>
              </w:rPr>
            </w:pPr>
            <w:r w:rsidRPr="00C94004">
              <w:t>Portfolio Administrative Matters</w:t>
            </w:r>
          </w:p>
        </w:tc>
        <w:tc>
          <w:tcPr>
            <w:tcW w:w="2283" w:type="dxa"/>
            <w:shd w:val="clear" w:color="auto" w:fill="auto"/>
          </w:tcPr>
          <w:p w14:paraId="134B54C6" w14:textId="3D781A25" w:rsidR="00FD16D2" w:rsidRPr="00C94004" w:rsidRDefault="00735BE7" w:rsidP="00FD16D2">
            <w:pPr>
              <w:pStyle w:val="TableTextLeft"/>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404872" w:rsidRPr="00C94004">
              <w:rPr>
                <w:rFonts w:cs="Cambria"/>
                <w:szCs w:val="16"/>
              </w:rPr>
              <w:t>Health and Aged Care</w:t>
            </w:r>
          </w:p>
        </w:tc>
      </w:tr>
    </w:tbl>
    <w:p w14:paraId="636F162C" w14:textId="77777777" w:rsidR="0075201B" w:rsidRPr="00C94004" w:rsidRDefault="0075201B" w:rsidP="00440D21">
      <w:pPr>
        <w:rPr>
          <w:rFonts w:ascii="Arial Bold" w:hAnsi="Arial Bold"/>
          <w:b/>
          <w:sz w:val="20"/>
        </w:rPr>
      </w:pPr>
      <w:r w:rsidRPr="00C94004">
        <w:br w:type="page"/>
      </w:r>
    </w:p>
    <w:p w14:paraId="37B2919E" w14:textId="77777777" w:rsidR="0075201B" w:rsidRPr="00C94004" w:rsidRDefault="0075201B" w:rsidP="0075201B">
      <w:pPr>
        <w:pStyle w:val="TableHeadingcontinued"/>
      </w:pPr>
      <w:r w:rsidRPr="00C94004">
        <w:lastRenderedPageBreak/>
        <w:t>Table 1.4: Measures affecting payments to the states (continued)</w:t>
      </w:r>
    </w:p>
    <w:tbl>
      <w:tblPr>
        <w:tblW w:w="5000" w:type="pct"/>
        <w:tblInd w:w="-3" w:type="dxa"/>
        <w:tblBorders>
          <w:top w:val="single" w:sz="2" w:space="0" w:color="293F5B"/>
          <w:left w:val="single" w:sz="2" w:space="0" w:color="293F5B"/>
          <w:bottom w:val="single" w:sz="2" w:space="0" w:color="293F5B"/>
          <w:right w:val="single" w:sz="2" w:space="0" w:color="293F5B"/>
          <w:insideH w:val="single" w:sz="2" w:space="0" w:color="293F5B"/>
          <w:insideV w:val="single" w:sz="2" w:space="0" w:color="293F5B"/>
        </w:tblBorders>
        <w:tblLayout w:type="fixed"/>
        <w:tblLook w:val="04A0" w:firstRow="1" w:lastRow="0" w:firstColumn="1" w:lastColumn="0" w:noHBand="0" w:noVBand="1"/>
        <w:tblCaption w:val="Table"/>
      </w:tblPr>
      <w:tblGrid>
        <w:gridCol w:w="1561"/>
        <w:gridCol w:w="1558"/>
        <w:gridCol w:w="2304"/>
        <w:gridCol w:w="2281"/>
      </w:tblGrid>
      <w:tr w:rsidR="0075201B" w:rsidRPr="0089547E" w14:paraId="183E4E27" w14:textId="77777777" w:rsidTr="00B342BB">
        <w:trPr>
          <w:cantSplit/>
        </w:trPr>
        <w:tc>
          <w:tcPr>
            <w:tcW w:w="1561" w:type="dxa"/>
          </w:tcPr>
          <w:p w14:paraId="588928FF" w14:textId="77777777" w:rsidR="0075201B" w:rsidRPr="0089547E" w:rsidRDefault="0075201B">
            <w:pPr>
              <w:pStyle w:val="TableColumnHeadingLeft"/>
              <w:rPr>
                <w:highlight w:val="yellow"/>
              </w:rPr>
            </w:pPr>
            <w:r w:rsidRPr="00C94004">
              <w:t>Payment</w:t>
            </w:r>
          </w:p>
        </w:tc>
        <w:tc>
          <w:tcPr>
            <w:tcW w:w="1558" w:type="dxa"/>
          </w:tcPr>
          <w:p w14:paraId="20F6AD3C" w14:textId="317B189E" w:rsidR="0075201B" w:rsidRPr="0089547E" w:rsidRDefault="0075201B">
            <w:pPr>
              <w:pStyle w:val="TableColumnHeadingLeft"/>
              <w:rPr>
                <w:highlight w:val="yellow"/>
              </w:rPr>
            </w:pPr>
            <w:r w:rsidRPr="00C94004">
              <w:t>Section of Budget Paper 3</w:t>
            </w:r>
          </w:p>
        </w:tc>
        <w:tc>
          <w:tcPr>
            <w:tcW w:w="2304" w:type="dxa"/>
            <w:shd w:val="clear" w:color="auto" w:fill="auto"/>
          </w:tcPr>
          <w:p w14:paraId="32608E2C" w14:textId="77777777" w:rsidR="0075201B" w:rsidRPr="0089547E" w:rsidRDefault="0075201B">
            <w:pPr>
              <w:pStyle w:val="TableColumnHeadingLeft"/>
              <w:rPr>
                <w:highlight w:val="yellow"/>
              </w:rPr>
            </w:pPr>
            <w:r w:rsidRPr="00C94004">
              <w:t>Measure title</w:t>
            </w:r>
          </w:p>
        </w:tc>
        <w:tc>
          <w:tcPr>
            <w:tcW w:w="2281" w:type="dxa"/>
          </w:tcPr>
          <w:p w14:paraId="3D3AEA61" w14:textId="77777777" w:rsidR="0075201B" w:rsidRPr="0089547E" w:rsidRDefault="0075201B">
            <w:pPr>
              <w:pStyle w:val="TableColumnHeadingLeft"/>
              <w:rPr>
                <w:highlight w:val="yellow"/>
              </w:rPr>
            </w:pPr>
            <w:r w:rsidRPr="00C94004">
              <w:t>Section of Budget Paper 2</w:t>
            </w:r>
          </w:p>
        </w:tc>
      </w:tr>
      <w:tr w:rsidR="00FD16D2" w:rsidRPr="0089547E" w14:paraId="5EBBFEE4" w14:textId="77777777" w:rsidTr="00B342BB">
        <w:trPr>
          <w:cantSplit/>
        </w:trPr>
        <w:tc>
          <w:tcPr>
            <w:tcW w:w="1561" w:type="dxa"/>
            <w:shd w:val="clear" w:color="auto" w:fill="auto"/>
          </w:tcPr>
          <w:p w14:paraId="2948E983" w14:textId="5388CC2B" w:rsidR="00FD16D2" w:rsidRPr="0089547E" w:rsidRDefault="00FD16D2" w:rsidP="00FD16D2">
            <w:pPr>
              <w:pStyle w:val="TableTextLeft"/>
              <w:rPr>
                <w:highlight w:val="yellow"/>
              </w:rPr>
            </w:pPr>
            <w:r w:rsidRPr="00C94004">
              <w:t>Addressing blood</w:t>
            </w:r>
            <w:r w:rsidR="00BE2E8A" w:rsidRPr="00C94004">
              <w:noBreakHyphen/>
            </w:r>
            <w:r w:rsidRPr="00C94004">
              <w:t>borne viruses and sexually transmissible infections in the Torres Strait</w:t>
            </w:r>
          </w:p>
        </w:tc>
        <w:tc>
          <w:tcPr>
            <w:tcW w:w="1558" w:type="dxa"/>
            <w:shd w:val="clear" w:color="auto" w:fill="auto"/>
          </w:tcPr>
          <w:p w14:paraId="6D331B08" w14:textId="22B14C57"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4" w:type="dxa"/>
            <w:shd w:val="clear" w:color="auto" w:fill="auto"/>
          </w:tcPr>
          <w:p w14:paraId="5CA0F6F1" w14:textId="3A2BCEAB" w:rsidR="00FD16D2" w:rsidRPr="0089547E" w:rsidRDefault="00F353A7" w:rsidP="00FD16D2">
            <w:pPr>
              <w:pStyle w:val="TableTextLeft"/>
              <w:rPr>
                <w:highlight w:val="yellow"/>
              </w:rPr>
            </w:pPr>
            <w:r w:rsidRPr="00C94004">
              <w:t>Management Of Torres Strait and Papua New Guinea Cross Border Health Issues</w:t>
            </w:r>
          </w:p>
        </w:tc>
        <w:tc>
          <w:tcPr>
            <w:tcW w:w="2281" w:type="dxa"/>
            <w:shd w:val="clear" w:color="auto" w:fill="auto"/>
          </w:tcPr>
          <w:p w14:paraId="262E7144" w14:textId="3CFD334F" w:rsidR="00FD16D2" w:rsidRPr="0089547E" w:rsidRDefault="00735BE7"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A41A33" w:rsidRPr="00C94004">
              <w:rPr>
                <w:rFonts w:cs="Cambria"/>
                <w:szCs w:val="16"/>
              </w:rPr>
              <w:t>Health and Aged Care</w:t>
            </w:r>
          </w:p>
        </w:tc>
      </w:tr>
      <w:tr w:rsidR="00B342BB" w:rsidRPr="0089547E" w14:paraId="72D5D877" w14:textId="77777777" w:rsidTr="00B342BB">
        <w:trPr>
          <w:cantSplit/>
        </w:trPr>
        <w:tc>
          <w:tcPr>
            <w:tcW w:w="1561" w:type="dxa"/>
            <w:shd w:val="clear" w:color="auto" w:fill="auto"/>
          </w:tcPr>
          <w:p w14:paraId="6D2E4BB7" w14:textId="4BC47A4F" w:rsidR="00B342BB" w:rsidRPr="0089547E" w:rsidRDefault="00B342BB" w:rsidP="00B342BB">
            <w:pPr>
              <w:pStyle w:val="TableTextLeft"/>
              <w:rPr>
                <w:highlight w:val="yellow"/>
              </w:rPr>
            </w:pPr>
            <w:r w:rsidRPr="00C94004">
              <w:t>Northern Territory Remote Aboriginal Investment – Health component</w:t>
            </w:r>
          </w:p>
        </w:tc>
        <w:tc>
          <w:tcPr>
            <w:tcW w:w="1558" w:type="dxa"/>
            <w:shd w:val="clear" w:color="auto" w:fill="auto"/>
          </w:tcPr>
          <w:p w14:paraId="241B91FC" w14:textId="2A0560AE" w:rsidR="00B342BB" w:rsidRPr="0089547E" w:rsidRDefault="00B342BB" w:rsidP="00B342BB">
            <w:pPr>
              <w:pStyle w:val="TableTextLeft"/>
              <w:rPr>
                <w:highlight w:val="yellow"/>
              </w:rPr>
            </w:pPr>
            <w:r w:rsidRPr="00C94004">
              <w:rPr>
                <w:rFonts w:cs="Cambria"/>
                <w:szCs w:val="16"/>
              </w:rPr>
              <w:t xml:space="preserve">Part 2 </w:t>
            </w:r>
            <w:r w:rsidRPr="00C94004">
              <w:t>– Health</w:t>
            </w:r>
          </w:p>
        </w:tc>
        <w:tc>
          <w:tcPr>
            <w:tcW w:w="2304" w:type="dxa"/>
            <w:shd w:val="clear" w:color="auto" w:fill="auto"/>
          </w:tcPr>
          <w:p w14:paraId="50BC369B" w14:textId="2D9FC57E" w:rsidR="00B342BB" w:rsidRPr="0089547E" w:rsidRDefault="00B342BB" w:rsidP="00B342BB">
            <w:pPr>
              <w:pStyle w:val="TableTextLeft"/>
              <w:rPr>
                <w:highlight w:val="yellow"/>
              </w:rPr>
            </w:pPr>
            <w:r w:rsidRPr="00C94004">
              <w:t>Further Investment to Closing the Gap</w:t>
            </w:r>
          </w:p>
        </w:tc>
        <w:tc>
          <w:tcPr>
            <w:tcW w:w="2281" w:type="dxa"/>
            <w:shd w:val="clear" w:color="auto" w:fill="auto"/>
          </w:tcPr>
          <w:p w14:paraId="5F87ABC7" w14:textId="6C8C8900" w:rsidR="00B342BB" w:rsidRPr="0089547E" w:rsidRDefault="00B342BB" w:rsidP="00B342BB">
            <w:pPr>
              <w:pStyle w:val="TableTextLeft"/>
              <w:rPr>
                <w:highlight w:val="yellow"/>
              </w:rPr>
            </w:pPr>
            <w:r w:rsidRPr="00C94004">
              <w:rPr>
                <w:rFonts w:cs="Cambria"/>
                <w:szCs w:val="16"/>
              </w:rPr>
              <w:t xml:space="preserve">Payments – </w:t>
            </w:r>
            <w:r w:rsidRPr="00C94004">
              <w:t>Prime Minister and Cabinet</w:t>
            </w:r>
          </w:p>
        </w:tc>
      </w:tr>
      <w:tr w:rsidR="00FD16D2" w:rsidRPr="0089547E" w14:paraId="38AC80E7" w14:textId="77777777" w:rsidTr="00B342BB">
        <w:trPr>
          <w:cantSplit/>
        </w:trPr>
        <w:tc>
          <w:tcPr>
            <w:tcW w:w="1561" w:type="dxa"/>
            <w:shd w:val="clear" w:color="auto" w:fill="auto"/>
          </w:tcPr>
          <w:p w14:paraId="10DE5202" w14:textId="7F29C4E1" w:rsidR="00FD16D2" w:rsidRPr="0089547E" w:rsidRDefault="00FD16D2" w:rsidP="00FD16D2">
            <w:pPr>
              <w:pStyle w:val="TableTextLeft"/>
              <w:rPr>
                <w:highlight w:val="yellow"/>
              </w:rPr>
            </w:pPr>
            <w:r w:rsidRPr="00C94004">
              <w:t>Essential vaccines</w:t>
            </w:r>
          </w:p>
        </w:tc>
        <w:tc>
          <w:tcPr>
            <w:tcW w:w="1558" w:type="dxa"/>
            <w:shd w:val="clear" w:color="auto" w:fill="auto"/>
          </w:tcPr>
          <w:p w14:paraId="3BFCC51C" w14:textId="4D302C6E"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4" w:type="dxa"/>
            <w:shd w:val="clear" w:color="auto" w:fill="auto"/>
          </w:tcPr>
          <w:p w14:paraId="6B22875B" w14:textId="480C8FC1" w:rsidR="00FD16D2" w:rsidRPr="0089547E" w:rsidRDefault="00BB6AD7" w:rsidP="00FD16D2">
            <w:pPr>
              <w:pStyle w:val="TableTextLeft"/>
              <w:rPr>
                <w:highlight w:val="yellow"/>
              </w:rPr>
            </w:pPr>
            <w:r w:rsidRPr="00C94004">
              <w:t xml:space="preserve">Supporting Ongoing </w:t>
            </w:r>
            <w:r w:rsidR="00453261" w:rsidRPr="00C94004">
              <w:t>Access to Vaccines</w:t>
            </w:r>
          </w:p>
        </w:tc>
        <w:tc>
          <w:tcPr>
            <w:tcW w:w="2281" w:type="dxa"/>
            <w:shd w:val="clear" w:color="auto" w:fill="auto"/>
          </w:tcPr>
          <w:p w14:paraId="26AF9324" w14:textId="01E1688B" w:rsidR="00FD16D2" w:rsidRPr="0089547E" w:rsidRDefault="00735BE7"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A41A33" w:rsidRPr="00C94004">
              <w:rPr>
                <w:rFonts w:cs="Cambria"/>
                <w:szCs w:val="16"/>
              </w:rPr>
              <w:t>Health and Aged Care</w:t>
            </w:r>
          </w:p>
        </w:tc>
      </w:tr>
      <w:tr w:rsidR="00FD16D2" w:rsidRPr="0089547E" w14:paraId="5A6F07C8" w14:textId="77777777" w:rsidTr="00B342BB">
        <w:trPr>
          <w:cantSplit/>
        </w:trPr>
        <w:tc>
          <w:tcPr>
            <w:tcW w:w="1561" w:type="dxa"/>
          </w:tcPr>
          <w:p w14:paraId="4CD9F9EE" w14:textId="19B0EFBD" w:rsidR="00FD16D2" w:rsidRPr="0089547E" w:rsidRDefault="00FD16D2" w:rsidP="00FD16D2">
            <w:pPr>
              <w:pStyle w:val="TableTextLeft"/>
              <w:rPr>
                <w:highlight w:val="yellow"/>
              </w:rPr>
            </w:pPr>
            <w:r w:rsidRPr="00C94004">
              <w:t>Short</w:t>
            </w:r>
            <w:r w:rsidR="00BE2E8A" w:rsidRPr="00C94004">
              <w:noBreakHyphen/>
            </w:r>
            <w:r w:rsidRPr="00C94004">
              <w:t>term workforce reforms – Kruk Review implementation</w:t>
            </w:r>
          </w:p>
        </w:tc>
        <w:tc>
          <w:tcPr>
            <w:tcW w:w="1558" w:type="dxa"/>
          </w:tcPr>
          <w:p w14:paraId="6155FB65" w14:textId="51828B0C" w:rsidR="00FD16D2" w:rsidRPr="0089547E" w:rsidRDefault="00FD16D2" w:rsidP="00FD16D2">
            <w:pPr>
              <w:pStyle w:val="TableTextLeft"/>
              <w:rPr>
                <w:highlight w:val="yellow"/>
              </w:rPr>
            </w:pPr>
            <w:r w:rsidRPr="00C94004">
              <w:rPr>
                <w:rFonts w:cs="Cambria"/>
                <w:szCs w:val="16"/>
              </w:rPr>
              <w:t xml:space="preserve">Part 2 </w:t>
            </w:r>
            <w:r w:rsidRPr="00C94004">
              <w:t>– Health</w:t>
            </w:r>
          </w:p>
        </w:tc>
        <w:tc>
          <w:tcPr>
            <w:tcW w:w="2304" w:type="dxa"/>
            <w:shd w:val="clear" w:color="auto" w:fill="auto"/>
          </w:tcPr>
          <w:p w14:paraId="3A9A4D06" w14:textId="5786F4AC" w:rsidR="00FD16D2" w:rsidRPr="0089547E" w:rsidRDefault="006B3D51" w:rsidP="00FD16D2">
            <w:pPr>
              <w:pStyle w:val="TableTextLeft"/>
              <w:rPr>
                <w:highlight w:val="yellow"/>
              </w:rPr>
            </w:pPr>
            <w:r w:rsidRPr="00C94004">
              <w:t>Health Workforce</w:t>
            </w:r>
          </w:p>
        </w:tc>
        <w:tc>
          <w:tcPr>
            <w:tcW w:w="2281" w:type="dxa"/>
          </w:tcPr>
          <w:p w14:paraId="4C89B845" w14:textId="284099AF" w:rsidR="00FD16D2" w:rsidRPr="0089547E" w:rsidRDefault="00735BE7" w:rsidP="00FD16D2">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A41A33" w:rsidRPr="00C94004">
              <w:rPr>
                <w:rFonts w:cs="Cambria"/>
                <w:szCs w:val="16"/>
              </w:rPr>
              <w:t>Health and Aged Care</w:t>
            </w:r>
          </w:p>
        </w:tc>
      </w:tr>
      <w:tr w:rsidR="0075201B" w:rsidRPr="0089547E" w14:paraId="34F07BF9" w14:textId="77777777" w:rsidTr="00B342BB">
        <w:trPr>
          <w:cantSplit/>
        </w:trPr>
        <w:tc>
          <w:tcPr>
            <w:tcW w:w="1561" w:type="dxa"/>
          </w:tcPr>
          <w:p w14:paraId="708A5FE4" w14:textId="35C11C8B" w:rsidR="0075201B" w:rsidRPr="0089547E" w:rsidRDefault="003F4848">
            <w:pPr>
              <w:pStyle w:val="TableTextLeft"/>
              <w:rPr>
                <w:highlight w:val="yellow"/>
              </w:rPr>
            </w:pPr>
            <w:r w:rsidRPr="00C94004">
              <w:t>Northern Territory Remote Aboriginal Investment – Children and schooling implementation plan</w:t>
            </w:r>
          </w:p>
        </w:tc>
        <w:tc>
          <w:tcPr>
            <w:tcW w:w="1558" w:type="dxa"/>
          </w:tcPr>
          <w:p w14:paraId="078D9EAD" w14:textId="02112A96" w:rsidR="0075201B" w:rsidRPr="0089547E" w:rsidRDefault="007127AD">
            <w:pPr>
              <w:pStyle w:val="TableTextLeft"/>
              <w:rPr>
                <w:highlight w:val="yellow"/>
              </w:rPr>
            </w:pPr>
            <w:r w:rsidRPr="00C94004">
              <w:rPr>
                <w:rFonts w:cs="Cambria"/>
                <w:szCs w:val="16"/>
              </w:rPr>
              <w:t xml:space="preserve">Part 2 </w:t>
            </w:r>
            <w:r w:rsidRPr="00C94004">
              <w:t>– Education</w:t>
            </w:r>
          </w:p>
        </w:tc>
        <w:tc>
          <w:tcPr>
            <w:tcW w:w="2304" w:type="dxa"/>
            <w:shd w:val="clear" w:color="auto" w:fill="auto"/>
          </w:tcPr>
          <w:p w14:paraId="5F0CF53D" w14:textId="75E796F8" w:rsidR="0075201B" w:rsidRPr="0089547E" w:rsidRDefault="007D51D0">
            <w:pPr>
              <w:pStyle w:val="TableTextLeft"/>
              <w:rPr>
                <w:highlight w:val="yellow"/>
              </w:rPr>
            </w:pPr>
            <w:r w:rsidRPr="00C94004">
              <w:t>Further Investment to Closing the Gap</w:t>
            </w:r>
          </w:p>
        </w:tc>
        <w:tc>
          <w:tcPr>
            <w:tcW w:w="2281" w:type="dxa"/>
          </w:tcPr>
          <w:p w14:paraId="0F290D50" w14:textId="563AF3DE" w:rsidR="0075201B" w:rsidRPr="0089547E" w:rsidRDefault="00492615">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7D51D0" w:rsidRPr="00C94004">
              <w:t>Prime Minister and Cabinet</w:t>
            </w:r>
          </w:p>
        </w:tc>
      </w:tr>
      <w:tr w:rsidR="00F3392C" w:rsidRPr="0089547E" w14:paraId="4D75D608" w14:textId="77777777" w:rsidTr="00B342BB">
        <w:trPr>
          <w:cantSplit/>
        </w:trPr>
        <w:tc>
          <w:tcPr>
            <w:tcW w:w="1561" w:type="dxa"/>
          </w:tcPr>
          <w:p w14:paraId="56C99CAB" w14:textId="58A2CE8E" w:rsidR="00F3392C" w:rsidRPr="0089547E" w:rsidRDefault="001A653E">
            <w:pPr>
              <w:pStyle w:val="TableTextLeft"/>
              <w:rPr>
                <w:highlight w:val="yellow"/>
              </w:rPr>
            </w:pPr>
            <w:r w:rsidRPr="00C94004">
              <w:t>Capital and Equipment Investment Fund</w:t>
            </w:r>
          </w:p>
        </w:tc>
        <w:tc>
          <w:tcPr>
            <w:tcW w:w="1558" w:type="dxa"/>
          </w:tcPr>
          <w:p w14:paraId="0F8C3C5E" w14:textId="09D718AD" w:rsidR="00F3392C" w:rsidRPr="0089547E" w:rsidRDefault="00F3392C">
            <w:pPr>
              <w:pStyle w:val="TableTextLeft"/>
              <w:rPr>
                <w:rFonts w:cs="Cambria"/>
                <w:szCs w:val="16"/>
                <w:highlight w:val="yellow"/>
              </w:rPr>
            </w:pPr>
            <w:r w:rsidRPr="00C94004">
              <w:rPr>
                <w:rFonts w:cs="Cambria"/>
                <w:szCs w:val="16"/>
              </w:rPr>
              <w:t xml:space="preserve">Part 2 </w:t>
            </w:r>
            <w:r w:rsidRPr="00C94004">
              <w:t xml:space="preserve">– </w:t>
            </w:r>
            <w:r w:rsidR="005F5364" w:rsidRPr="00C94004">
              <w:t>Skills and workforce development</w:t>
            </w:r>
          </w:p>
        </w:tc>
        <w:tc>
          <w:tcPr>
            <w:tcW w:w="2304" w:type="dxa"/>
            <w:shd w:val="clear" w:color="auto" w:fill="auto"/>
          </w:tcPr>
          <w:p w14:paraId="11F49960" w14:textId="1069BDF3" w:rsidR="00F3392C" w:rsidRPr="0089547E" w:rsidRDefault="00090AF6">
            <w:pPr>
              <w:pStyle w:val="TableTextLeft"/>
              <w:rPr>
                <w:highlight w:val="yellow"/>
              </w:rPr>
            </w:pPr>
            <w:r w:rsidRPr="00C94004">
              <w:t>Future Made in Australia – Workforce and Trade Partnerships for Renewable Energy Superpower Industries</w:t>
            </w:r>
          </w:p>
        </w:tc>
        <w:tc>
          <w:tcPr>
            <w:tcW w:w="2281" w:type="dxa"/>
          </w:tcPr>
          <w:p w14:paraId="6FACA654" w14:textId="5EE611ED" w:rsidR="00E11FFE" w:rsidRPr="0089547E" w:rsidRDefault="00090AF6">
            <w:pPr>
              <w:pStyle w:val="TableTextLeft"/>
              <w:rPr>
                <w:highlight w:val="yellow"/>
              </w:rPr>
            </w:pPr>
            <w:r w:rsidRPr="00C94004">
              <w:rPr>
                <w:rFonts w:cs="Cambria"/>
                <w:szCs w:val="16"/>
              </w:rPr>
              <w:t xml:space="preserve">Payments – </w:t>
            </w:r>
            <w:r w:rsidRPr="00C94004">
              <w:t xml:space="preserve">Cross Portfolio </w:t>
            </w:r>
          </w:p>
        </w:tc>
      </w:tr>
      <w:tr w:rsidR="006711FE" w:rsidRPr="0089547E" w14:paraId="50922BD5" w14:textId="77777777" w:rsidTr="00B342BB">
        <w:trPr>
          <w:cantSplit/>
        </w:trPr>
        <w:tc>
          <w:tcPr>
            <w:tcW w:w="1561" w:type="dxa"/>
          </w:tcPr>
          <w:p w14:paraId="5AA5A954" w14:textId="2C9DCC80" w:rsidR="006711FE" w:rsidRPr="0089547E" w:rsidRDefault="006711FE" w:rsidP="006711FE">
            <w:pPr>
              <w:pStyle w:val="TableTextLeft"/>
              <w:rPr>
                <w:highlight w:val="yellow"/>
              </w:rPr>
            </w:pPr>
            <w:r w:rsidRPr="00C94004">
              <w:t>Fee</w:t>
            </w:r>
            <w:r w:rsidR="00BE2E8A" w:rsidRPr="00C94004">
              <w:noBreakHyphen/>
            </w:r>
            <w:r w:rsidRPr="00C94004">
              <w:t>Free TAFE Skills Agreement</w:t>
            </w:r>
          </w:p>
        </w:tc>
        <w:tc>
          <w:tcPr>
            <w:tcW w:w="1558" w:type="dxa"/>
          </w:tcPr>
          <w:p w14:paraId="205DF1FB" w14:textId="00BC6AAA" w:rsidR="006711FE" w:rsidRPr="0089547E" w:rsidRDefault="006711FE" w:rsidP="006711FE">
            <w:pPr>
              <w:pStyle w:val="TableTextLeft"/>
              <w:rPr>
                <w:rFonts w:cs="Cambria"/>
                <w:szCs w:val="16"/>
                <w:highlight w:val="yellow"/>
              </w:rPr>
            </w:pPr>
            <w:r w:rsidRPr="00C94004">
              <w:rPr>
                <w:rFonts w:cs="Cambria"/>
                <w:szCs w:val="16"/>
              </w:rPr>
              <w:t xml:space="preserve">Part 2 </w:t>
            </w:r>
            <w:r w:rsidRPr="00C94004">
              <w:t>– Skills and workforce development</w:t>
            </w:r>
          </w:p>
        </w:tc>
        <w:tc>
          <w:tcPr>
            <w:tcW w:w="2304" w:type="dxa"/>
            <w:shd w:val="clear" w:color="auto" w:fill="auto"/>
          </w:tcPr>
          <w:p w14:paraId="4F18E454" w14:textId="402767FB" w:rsidR="006711FE" w:rsidRPr="0089547E" w:rsidRDefault="00725294" w:rsidP="006711FE">
            <w:pPr>
              <w:pStyle w:val="TableTextLeft"/>
              <w:rPr>
                <w:highlight w:val="yellow"/>
              </w:rPr>
            </w:pPr>
            <w:r w:rsidRPr="00C94004">
              <w:t>Housing Support</w:t>
            </w:r>
          </w:p>
        </w:tc>
        <w:tc>
          <w:tcPr>
            <w:tcW w:w="2281" w:type="dxa"/>
          </w:tcPr>
          <w:p w14:paraId="08FC428F" w14:textId="7121263A" w:rsidR="006711FE" w:rsidRPr="0089547E" w:rsidRDefault="00492615" w:rsidP="006711FE">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67604E" w:rsidRPr="00C94004">
              <w:rPr>
                <w:rFonts w:cs="Cambria"/>
                <w:szCs w:val="16"/>
              </w:rPr>
              <w:t>Cross Portfolio</w:t>
            </w:r>
          </w:p>
        </w:tc>
      </w:tr>
      <w:tr w:rsidR="006711FE" w:rsidRPr="0089547E" w14:paraId="06B82B81" w14:textId="77777777" w:rsidTr="00B342BB">
        <w:trPr>
          <w:cantSplit/>
        </w:trPr>
        <w:tc>
          <w:tcPr>
            <w:tcW w:w="1561" w:type="dxa"/>
          </w:tcPr>
          <w:p w14:paraId="371F6C3E" w14:textId="2A50E28F" w:rsidR="006711FE" w:rsidRPr="0089547E" w:rsidRDefault="006711FE" w:rsidP="006711FE">
            <w:pPr>
              <w:pStyle w:val="TableTextLeft"/>
              <w:rPr>
                <w:highlight w:val="yellow"/>
              </w:rPr>
            </w:pPr>
            <w:r w:rsidRPr="00C94004">
              <w:t>Turbocharge the Teacher, Trainer and Assessor Workforce</w:t>
            </w:r>
          </w:p>
        </w:tc>
        <w:tc>
          <w:tcPr>
            <w:tcW w:w="1558" w:type="dxa"/>
          </w:tcPr>
          <w:p w14:paraId="4B88629C" w14:textId="5754A9C3" w:rsidR="006711FE" w:rsidRPr="0089547E" w:rsidRDefault="006711FE" w:rsidP="006711FE">
            <w:pPr>
              <w:pStyle w:val="TableTextLeft"/>
              <w:rPr>
                <w:rFonts w:cs="Cambria"/>
                <w:szCs w:val="16"/>
                <w:highlight w:val="yellow"/>
              </w:rPr>
            </w:pPr>
            <w:r w:rsidRPr="00C94004">
              <w:rPr>
                <w:rFonts w:cs="Cambria"/>
                <w:szCs w:val="16"/>
              </w:rPr>
              <w:t xml:space="preserve">Part 2 </w:t>
            </w:r>
            <w:r w:rsidRPr="00C94004">
              <w:t>– Skills and workforce development</w:t>
            </w:r>
          </w:p>
        </w:tc>
        <w:tc>
          <w:tcPr>
            <w:tcW w:w="2304" w:type="dxa"/>
            <w:shd w:val="clear" w:color="auto" w:fill="auto"/>
          </w:tcPr>
          <w:p w14:paraId="4A3BDD94" w14:textId="1FD6B19C" w:rsidR="006711FE" w:rsidRPr="0089547E" w:rsidRDefault="00B423BD" w:rsidP="006711FE">
            <w:pPr>
              <w:pStyle w:val="TableTextLeft"/>
              <w:rPr>
                <w:highlight w:val="yellow"/>
              </w:rPr>
            </w:pPr>
            <w:r w:rsidRPr="00C94004">
              <w:t>Future Made in Australia – Workforce and Trade Partnerships for Renewable Energy Superpower Industries</w:t>
            </w:r>
          </w:p>
        </w:tc>
        <w:tc>
          <w:tcPr>
            <w:tcW w:w="2281" w:type="dxa"/>
          </w:tcPr>
          <w:p w14:paraId="75B0479C" w14:textId="330E0E49" w:rsidR="006711FE" w:rsidRPr="0089547E" w:rsidRDefault="00492615" w:rsidP="006711FE">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9F625C" w:rsidRPr="00C94004">
              <w:t xml:space="preserve">Cross Portfolio </w:t>
            </w:r>
          </w:p>
        </w:tc>
      </w:tr>
      <w:tr w:rsidR="0075201B" w:rsidRPr="0089547E" w14:paraId="457F4CBF" w14:textId="77777777" w:rsidTr="00B342BB">
        <w:trPr>
          <w:cantSplit/>
          <w:trHeight w:val="20"/>
        </w:trPr>
        <w:tc>
          <w:tcPr>
            <w:tcW w:w="1561" w:type="dxa"/>
            <w:shd w:val="clear" w:color="auto" w:fill="auto"/>
          </w:tcPr>
          <w:p w14:paraId="08D0C4FF" w14:textId="1B65B56E" w:rsidR="0075201B" w:rsidRPr="0089547E" w:rsidRDefault="003A5FBA">
            <w:pPr>
              <w:pStyle w:val="TableTextLeft"/>
              <w:rPr>
                <w:highlight w:val="yellow"/>
              </w:rPr>
            </w:pPr>
            <w:r w:rsidRPr="00C94004">
              <w:t>Extra high visibility police and law enforcement operations</w:t>
            </w:r>
          </w:p>
        </w:tc>
        <w:tc>
          <w:tcPr>
            <w:tcW w:w="1558" w:type="dxa"/>
            <w:shd w:val="clear" w:color="auto" w:fill="auto"/>
          </w:tcPr>
          <w:p w14:paraId="4C220D54" w14:textId="40B8A767" w:rsidR="0075201B" w:rsidRPr="0089547E" w:rsidRDefault="00F22162">
            <w:pPr>
              <w:pStyle w:val="TableTextLeft"/>
              <w:rPr>
                <w:highlight w:val="yellow"/>
              </w:rPr>
            </w:pPr>
            <w:r w:rsidRPr="00C94004">
              <w:rPr>
                <w:rFonts w:cs="Cambria"/>
                <w:szCs w:val="16"/>
              </w:rPr>
              <w:t xml:space="preserve">Part 2 </w:t>
            </w:r>
            <w:r w:rsidRPr="00C94004">
              <w:t xml:space="preserve">– Community </w:t>
            </w:r>
            <w:r w:rsidR="002B2E4A" w:rsidRPr="00C94004">
              <w:t>s</w:t>
            </w:r>
            <w:r w:rsidRPr="00C94004">
              <w:t>ervices</w:t>
            </w:r>
          </w:p>
        </w:tc>
        <w:tc>
          <w:tcPr>
            <w:tcW w:w="2304" w:type="dxa"/>
            <w:shd w:val="clear" w:color="auto" w:fill="auto"/>
          </w:tcPr>
          <w:p w14:paraId="51662D2D" w14:textId="2F75C2CC" w:rsidR="0075201B" w:rsidRPr="0089547E" w:rsidRDefault="00B556B3">
            <w:pPr>
              <w:pStyle w:val="TableTextLeft"/>
              <w:rPr>
                <w:highlight w:val="yellow"/>
              </w:rPr>
            </w:pPr>
            <w:r w:rsidRPr="00C94004">
              <w:t>Attorney</w:t>
            </w:r>
            <w:r w:rsidR="00BE2E8A" w:rsidRPr="00C94004">
              <w:noBreakHyphen/>
            </w:r>
            <w:r w:rsidRPr="00C94004">
              <w:t>General</w:t>
            </w:r>
            <w:r w:rsidR="00BE2E8A" w:rsidRPr="00C94004">
              <w:t>’</w:t>
            </w:r>
            <w:r w:rsidRPr="00C94004">
              <w:t xml:space="preserve">s </w:t>
            </w:r>
            <w:r w:rsidR="00EB2F6C" w:rsidRPr="00C94004">
              <w:t>P</w:t>
            </w:r>
            <w:r w:rsidR="0000365D" w:rsidRPr="00C94004">
              <w:t>ortfolio</w:t>
            </w:r>
            <w:r w:rsidRPr="00C94004">
              <w:t xml:space="preserve"> – additional resourcing</w:t>
            </w:r>
          </w:p>
        </w:tc>
        <w:tc>
          <w:tcPr>
            <w:tcW w:w="2281" w:type="dxa"/>
            <w:shd w:val="clear" w:color="auto" w:fill="auto"/>
          </w:tcPr>
          <w:p w14:paraId="57DFF322" w14:textId="58AEA4D1" w:rsidR="0075201B" w:rsidRPr="0089547E" w:rsidRDefault="00492615">
            <w:pPr>
              <w:pStyle w:val="TableTextLeft"/>
              <w:rPr>
                <w:rFonts w:cs="Cambria"/>
                <w:szCs w:val="16"/>
                <w:highlight w:val="yellow"/>
              </w:rPr>
            </w:pPr>
            <w:r w:rsidRPr="00C94004">
              <w:rPr>
                <w:rFonts w:cs="Cambria"/>
                <w:szCs w:val="16"/>
              </w:rPr>
              <w:t xml:space="preserve">Payments </w:t>
            </w:r>
            <w:r w:rsidR="0056369B" w:rsidRPr="00C94004">
              <w:rPr>
                <w:rFonts w:cs="Cambria"/>
                <w:szCs w:val="16"/>
              </w:rPr>
              <w:t xml:space="preserve">– </w:t>
            </w:r>
            <w:r w:rsidR="00B556B3" w:rsidRPr="00C94004">
              <w:rPr>
                <w:rFonts w:cs="Cambria"/>
                <w:szCs w:val="16"/>
              </w:rPr>
              <w:t>Attorney General</w:t>
            </w:r>
            <w:r w:rsidR="00BE2E8A" w:rsidRPr="00C94004">
              <w:rPr>
                <w:rFonts w:cs="Cambria"/>
                <w:szCs w:val="16"/>
              </w:rPr>
              <w:t>’</w:t>
            </w:r>
            <w:r w:rsidR="00B556B3" w:rsidRPr="00C94004">
              <w:rPr>
                <w:rFonts w:cs="Cambria"/>
                <w:szCs w:val="16"/>
              </w:rPr>
              <w:t>s</w:t>
            </w:r>
          </w:p>
        </w:tc>
      </w:tr>
      <w:tr w:rsidR="007334F8" w:rsidRPr="0089547E" w14:paraId="42B419F3" w14:textId="77777777" w:rsidTr="00B342BB">
        <w:trPr>
          <w:cantSplit/>
          <w:trHeight w:val="20"/>
        </w:trPr>
        <w:tc>
          <w:tcPr>
            <w:tcW w:w="1561" w:type="dxa"/>
            <w:shd w:val="clear" w:color="auto" w:fill="auto"/>
          </w:tcPr>
          <w:p w14:paraId="3FB01CB8" w14:textId="2A2F6FCA" w:rsidR="007334F8" w:rsidRPr="0089547E" w:rsidRDefault="007334F8" w:rsidP="007334F8">
            <w:pPr>
              <w:pStyle w:val="TableTextLeft"/>
              <w:rPr>
                <w:highlight w:val="yellow"/>
              </w:rPr>
            </w:pPr>
            <w:r w:rsidRPr="00C94004">
              <w:t>Northern Territory Remote Aboriginal Investment – Community safety implementation plan</w:t>
            </w:r>
          </w:p>
        </w:tc>
        <w:tc>
          <w:tcPr>
            <w:tcW w:w="1558" w:type="dxa"/>
            <w:shd w:val="clear" w:color="auto" w:fill="auto"/>
          </w:tcPr>
          <w:p w14:paraId="624A96CF" w14:textId="44DB8CE0" w:rsidR="007334F8" w:rsidRPr="0089547E" w:rsidRDefault="007334F8" w:rsidP="007334F8">
            <w:pPr>
              <w:pStyle w:val="TableTextLeft"/>
              <w:rPr>
                <w:highlight w:val="yellow"/>
              </w:rPr>
            </w:pPr>
            <w:r w:rsidRPr="00C94004">
              <w:rPr>
                <w:rFonts w:cs="Cambria"/>
                <w:szCs w:val="16"/>
              </w:rPr>
              <w:t xml:space="preserve">Part 2 </w:t>
            </w:r>
            <w:r w:rsidRPr="00C94004">
              <w:t xml:space="preserve">– Community </w:t>
            </w:r>
            <w:r w:rsidR="002B2E4A" w:rsidRPr="00C94004">
              <w:t>s</w:t>
            </w:r>
            <w:r w:rsidRPr="00C94004">
              <w:t>ervices</w:t>
            </w:r>
          </w:p>
        </w:tc>
        <w:tc>
          <w:tcPr>
            <w:tcW w:w="2304" w:type="dxa"/>
            <w:shd w:val="clear" w:color="auto" w:fill="auto"/>
          </w:tcPr>
          <w:p w14:paraId="0C9C8BD1" w14:textId="3D1FB736" w:rsidR="00755599" w:rsidRPr="00C94004" w:rsidRDefault="00755599" w:rsidP="007334F8">
            <w:pPr>
              <w:pStyle w:val="TableTextLeft"/>
            </w:pPr>
            <w:r w:rsidRPr="00C94004">
              <w:t>Further Investment to Closing the Gap</w:t>
            </w:r>
          </w:p>
          <w:p w14:paraId="6288667A" w14:textId="593186CF" w:rsidR="00C970D8" w:rsidRPr="0089547E" w:rsidRDefault="00C970D8" w:rsidP="007334F8">
            <w:pPr>
              <w:pStyle w:val="TableTextLeft"/>
              <w:rPr>
                <w:highlight w:val="yellow"/>
              </w:rPr>
            </w:pPr>
          </w:p>
        </w:tc>
        <w:tc>
          <w:tcPr>
            <w:tcW w:w="2281" w:type="dxa"/>
            <w:shd w:val="clear" w:color="auto" w:fill="auto"/>
          </w:tcPr>
          <w:p w14:paraId="25D04A03" w14:textId="32CC9ACC" w:rsidR="00755599" w:rsidRPr="0089547E" w:rsidRDefault="00755599" w:rsidP="007334F8">
            <w:pPr>
              <w:pStyle w:val="TableTextLeft"/>
              <w:rPr>
                <w:highlight w:val="yellow"/>
              </w:rPr>
            </w:pPr>
            <w:r w:rsidRPr="00C94004">
              <w:rPr>
                <w:rFonts w:cs="Cambria"/>
                <w:szCs w:val="16"/>
              </w:rPr>
              <w:t xml:space="preserve">Payments – </w:t>
            </w:r>
            <w:r w:rsidRPr="00C94004">
              <w:t>Prime Minister and Cabinet</w:t>
            </w:r>
          </w:p>
        </w:tc>
      </w:tr>
      <w:tr w:rsidR="00CF345D" w:rsidRPr="00C94004" w14:paraId="39765F9B" w14:textId="77777777" w:rsidTr="00B342BB">
        <w:trPr>
          <w:cantSplit/>
          <w:trHeight w:val="20"/>
        </w:trPr>
        <w:tc>
          <w:tcPr>
            <w:tcW w:w="1561" w:type="dxa"/>
            <w:shd w:val="clear" w:color="auto" w:fill="auto"/>
          </w:tcPr>
          <w:p w14:paraId="7B091B3E" w14:textId="1BE7E431" w:rsidR="00CF345D" w:rsidRPr="0089547E" w:rsidRDefault="00CF345D" w:rsidP="00CF345D">
            <w:pPr>
              <w:pStyle w:val="TableTextLeft"/>
              <w:rPr>
                <w:highlight w:val="yellow"/>
              </w:rPr>
            </w:pPr>
            <w:r w:rsidRPr="00C94004">
              <w:t>Northern Territory Remote Aboriginal Investment – Remote Australia strategies implementation plan</w:t>
            </w:r>
          </w:p>
        </w:tc>
        <w:tc>
          <w:tcPr>
            <w:tcW w:w="1558" w:type="dxa"/>
            <w:shd w:val="clear" w:color="auto" w:fill="auto"/>
          </w:tcPr>
          <w:p w14:paraId="27670353" w14:textId="2A29E8CB" w:rsidR="00CF345D" w:rsidRPr="0089547E" w:rsidRDefault="00CF345D" w:rsidP="00CF345D">
            <w:pPr>
              <w:pStyle w:val="TableTextLeft"/>
              <w:rPr>
                <w:rFonts w:cs="Cambria"/>
                <w:szCs w:val="16"/>
                <w:highlight w:val="yellow"/>
              </w:rPr>
            </w:pPr>
            <w:r w:rsidRPr="00C94004">
              <w:rPr>
                <w:rFonts w:cs="Cambria"/>
                <w:szCs w:val="16"/>
              </w:rPr>
              <w:t xml:space="preserve">Part 2 </w:t>
            </w:r>
            <w:r w:rsidRPr="00C94004">
              <w:t>– Community services</w:t>
            </w:r>
          </w:p>
        </w:tc>
        <w:tc>
          <w:tcPr>
            <w:tcW w:w="2304" w:type="dxa"/>
            <w:shd w:val="clear" w:color="auto" w:fill="auto"/>
          </w:tcPr>
          <w:p w14:paraId="24D4880B" w14:textId="77777777" w:rsidR="00CF345D" w:rsidRPr="00C94004" w:rsidRDefault="00CF345D" w:rsidP="00CF345D">
            <w:pPr>
              <w:pStyle w:val="TableTextLeft"/>
            </w:pPr>
            <w:r w:rsidRPr="00C94004">
              <w:t>Further Investment to Closing the Gap</w:t>
            </w:r>
          </w:p>
          <w:p w14:paraId="35F74CE9" w14:textId="77777777" w:rsidR="00CF345D" w:rsidRPr="0089547E" w:rsidRDefault="00CF345D" w:rsidP="00CF345D">
            <w:pPr>
              <w:pStyle w:val="TableTextLeft"/>
              <w:rPr>
                <w:highlight w:val="yellow"/>
              </w:rPr>
            </w:pPr>
          </w:p>
        </w:tc>
        <w:tc>
          <w:tcPr>
            <w:tcW w:w="2281" w:type="dxa"/>
            <w:shd w:val="clear" w:color="auto" w:fill="auto"/>
          </w:tcPr>
          <w:p w14:paraId="6B4E649A" w14:textId="0873CEBD" w:rsidR="00CF345D" w:rsidRPr="00C94004" w:rsidRDefault="00CF345D" w:rsidP="00CF345D">
            <w:pPr>
              <w:pStyle w:val="TableTextLeft"/>
              <w:rPr>
                <w:rFonts w:cs="Cambria"/>
                <w:szCs w:val="16"/>
              </w:rPr>
            </w:pPr>
            <w:r w:rsidRPr="00C94004">
              <w:rPr>
                <w:rFonts w:cs="Cambria"/>
                <w:szCs w:val="16"/>
              </w:rPr>
              <w:t xml:space="preserve">Payments – </w:t>
            </w:r>
            <w:r w:rsidRPr="00C94004">
              <w:t>Prime Minister and Cabinet</w:t>
            </w:r>
          </w:p>
        </w:tc>
      </w:tr>
    </w:tbl>
    <w:p w14:paraId="0FEC85A0" w14:textId="0F0F5AD3" w:rsidR="0075201B" w:rsidRPr="00C94004" w:rsidRDefault="009352F2" w:rsidP="0075201B">
      <w:pPr>
        <w:spacing w:before="0" w:after="160" w:line="259" w:lineRule="auto"/>
        <w:rPr>
          <w:rFonts w:ascii="Arial Bold" w:hAnsi="Arial Bold"/>
          <w:b/>
          <w:sz w:val="20"/>
        </w:rPr>
      </w:pPr>
      <w:r w:rsidRPr="00C94004">
        <w:rPr>
          <w:rFonts w:ascii="Arial Bold" w:hAnsi="Arial Bold"/>
          <w:b/>
          <w:sz w:val="20"/>
        </w:rPr>
        <w:br w:type="page"/>
      </w:r>
    </w:p>
    <w:p w14:paraId="0EC31713" w14:textId="3DF2FAE2" w:rsidR="0075201B" w:rsidRPr="00C94004" w:rsidRDefault="0075201B" w:rsidP="0075201B">
      <w:pPr>
        <w:pStyle w:val="TableHeadingcontinued"/>
      </w:pPr>
      <w:r w:rsidRPr="00C94004">
        <w:lastRenderedPageBreak/>
        <w:t>Table 1.4: Measures affecting payments to the states (continued)</w:t>
      </w:r>
    </w:p>
    <w:tbl>
      <w:tblPr>
        <w:tblW w:w="5000" w:type="pct"/>
        <w:tblInd w:w="-3" w:type="dxa"/>
        <w:tblBorders>
          <w:top w:val="single" w:sz="2" w:space="0" w:color="293F5B"/>
          <w:left w:val="single" w:sz="2" w:space="0" w:color="293F5B"/>
          <w:bottom w:val="single" w:sz="2" w:space="0" w:color="293F5B"/>
          <w:right w:val="single" w:sz="2" w:space="0" w:color="293F5B"/>
          <w:insideH w:val="single" w:sz="2" w:space="0" w:color="293F5B"/>
          <w:insideV w:val="single" w:sz="2" w:space="0" w:color="293F5B"/>
        </w:tblBorders>
        <w:tblLayout w:type="fixed"/>
        <w:tblLook w:val="04A0" w:firstRow="1" w:lastRow="0" w:firstColumn="1" w:lastColumn="0" w:noHBand="0" w:noVBand="1"/>
        <w:tblCaption w:val="Table"/>
      </w:tblPr>
      <w:tblGrid>
        <w:gridCol w:w="1560"/>
        <w:gridCol w:w="1554"/>
        <w:gridCol w:w="2309"/>
        <w:gridCol w:w="2281"/>
      </w:tblGrid>
      <w:tr w:rsidR="0075201B" w:rsidRPr="0089547E" w14:paraId="609DDDDF" w14:textId="77777777" w:rsidTr="00135D88">
        <w:trPr>
          <w:cantSplit/>
        </w:trPr>
        <w:tc>
          <w:tcPr>
            <w:tcW w:w="1560" w:type="dxa"/>
          </w:tcPr>
          <w:p w14:paraId="4310025D" w14:textId="77777777" w:rsidR="0075201B" w:rsidRPr="0089547E" w:rsidRDefault="0075201B">
            <w:pPr>
              <w:pStyle w:val="TableColumnHeadingLeft"/>
              <w:rPr>
                <w:highlight w:val="yellow"/>
              </w:rPr>
            </w:pPr>
            <w:r w:rsidRPr="00C94004">
              <w:t>Payment</w:t>
            </w:r>
          </w:p>
        </w:tc>
        <w:tc>
          <w:tcPr>
            <w:tcW w:w="1554" w:type="dxa"/>
          </w:tcPr>
          <w:p w14:paraId="583771F1" w14:textId="77777777" w:rsidR="0075201B" w:rsidRPr="0089547E" w:rsidRDefault="0075201B">
            <w:pPr>
              <w:pStyle w:val="TableColumnHeadingLeft"/>
              <w:rPr>
                <w:highlight w:val="yellow"/>
              </w:rPr>
            </w:pPr>
            <w:r w:rsidRPr="00C94004">
              <w:t>Section of Budget Paper 3</w:t>
            </w:r>
          </w:p>
        </w:tc>
        <w:tc>
          <w:tcPr>
            <w:tcW w:w="2309" w:type="dxa"/>
            <w:shd w:val="clear" w:color="auto" w:fill="auto"/>
          </w:tcPr>
          <w:p w14:paraId="621B0151" w14:textId="77777777" w:rsidR="0075201B" w:rsidRPr="0089547E" w:rsidRDefault="0075201B">
            <w:pPr>
              <w:pStyle w:val="TableColumnHeadingLeft"/>
              <w:rPr>
                <w:highlight w:val="yellow"/>
              </w:rPr>
            </w:pPr>
            <w:r w:rsidRPr="00C94004">
              <w:t>Measure title</w:t>
            </w:r>
          </w:p>
        </w:tc>
        <w:tc>
          <w:tcPr>
            <w:tcW w:w="2281" w:type="dxa"/>
          </w:tcPr>
          <w:p w14:paraId="410E674D" w14:textId="77777777" w:rsidR="0075201B" w:rsidRPr="0089547E" w:rsidRDefault="0075201B">
            <w:pPr>
              <w:pStyle w:val="TableColumnHeadingLeft"/>
              <w:rPr>
                <w:highlight w:val="yellow"/>
              </w:rPr>
            </w:pPr>
            <w:r w:rsidRPr="00C94004">
              <w:t>Section of Budget Paper 2</w:t>
            </w:r>
          </w:p>
        </w:tc>
      </w:tr>
      <w:tr w:rsidR="009F1B6A" w:rsidRPr="0089547E" w14:paraId="7897661D" w14:textId="77777777" w:rsidTr="00135D88">
        <w:trPr>
          <w:cantSplit/>
        </w:trPr>
        <w:tc>
          <w:tcPr>
            <w:tcW w:w="1560" w:type="dxa"/>
            <w:shd w:val="clear" w:color="auto" w:fill="auto"/>
          </w:tcPr>
          <w:p w14:paraId="0E0222B0" w14:textId="7FA153BD" w:rsidR="009F1B6A" w:rsidRPr="0089547E" w:rsidRDefault="009F1B6A" w:rsidP="009F1B6A">
            <w:pPr>
              <w:pStyle w:val="TableTextLeft"/>
              <w:rPr>
                <w:highlight w:val="yellow"/>
              </w:rPr>
            </w:pPr>
            <w:r w:rsidRPr="00C94004">
              <w:t>National    Agreement on Social Housing and Homelessness</w:t>
            </w:r>
          </w:p>
        </w:tc>
        <w:tc>
          <w:tcPr>
            <w:tcW w:w="1554" w:type="dxa"/>
            <w:shd w:val="clear" w:color="auto" w:fill="auto"/>
          </w:tcPr>
          <w:p w14:paraId="02F97968" w14:textId="6B167597" w:rsidR="009F1B6A" w:rsidRPr="0089547E" w:rsidRDefault="009F1B6A" w:rsidP="009F1B6A">
            <w:pPr>
              <w:pStyle w:val="TableTextLeft"/>
              <w:rPr>
                <w:rFonts w:cs="Cambria"/>
                <w:szCs w:val="16"/>
                <w:highlight w:val="yellow"/>
              </w:rPr>
            </w:pPr>
            <w:r w:rsidRPr="00C94004">
              <w:rPr>
                <w:rFonts w:cs="Cambria"/>
                <w:szCs w:val="16"/>
              </w:rPr>
              <w:t xml:space="preserve">Part 2 </w:t>
            </w:r>
            <w:r w:rsidRPr="00C94004">
              <w:t>– Affordable housing</w:t>
            </w:r>
          </w:p>
        </w:tc>
        <w:tc>
          <w:tcPr>
            <w:tcW w:w="2309" w:type="dxa"/>
            <w:shd w:val="clear" w:color="auto" w:fill="auto"/>
          </w:tcPr>
          <w:p w14:paraId="37B3387D" w14:textId="04234BEF" w:rsidR="009F1B6A" w:rsidRPr="0089547E" w:rsidRDefault="00E8572A" w:rsidP="009F1B6A">
            <w:pPr>
              <w:pStyle w:val="TableTextLeft"/>
              <w:rPr>
                <w:highlight w:val="yellow"/>
              </w:rPr>
            </w:pPr>
            <w:r w:rsidRPr="00C94004">
              <w:t>Housing Support</w:t>
            </w:r>
          </w:p>
        </w:tc>
        <w:tc>
          <w:tcPr>
            <w:tcW w:w="2281" w:type="dxa"/>
            <w:shd w:val="clear" w:color="auto" w:fill="auto"/>
          </w:tcPr>
          <w:p w14:paraId="718AE59B" w14:textId="59DB7591" w:rsidR="009F1B6A" w:rsidRPr="0089547E" w:rsidRDefault="009F1B6A" w:rsidP="009F1B6A">
            <w:pPr>
              <w:pStyle w:val="TableTextLeft"/>
              <w:rPr>
                <w:rFonts w:cs="Cambria"/>
                <w:szCs w:val="16"/>
                <w:highlight w:val="yellow"/>
              </w:rPr>
            </w:pPr>
            <w:r w:rsidRPr="00C94004">
              <w:rPr>
                <w:rFonts w:cs="Cambria"/>
                <w:szCs w:val="16"/>
              </w:rPr>
              <w:t xml:space="preserve">Payments – </w:t>
            </w:r>
            <w:r w:rsidR="00E8572A" w:rsidRPr="00C94004">
              <w:rPr>
                <w:rFonts w:cs="Cambria"/>
                <w:szCs w:val="16"/>
              </w:rPr>
              <w:t>Cross Portfolio</w:t>
            </w:r>
          </w:p>
        </w:tc>
      </w:tr>
      <w:tr w:rsidR="001D7269" w:rsidRPr="0089547E" w14:paraId="4D9F58F4" w14:textId="77777777" w:rsidTr="00135D88">
        <w:trPr>
          <w:cantSplit/>
        </w:trPr>
        <w:tc>
          <w:tcPr>
            <w:tcW w:w="1560" w:type="dxa"/>
            <w:shd w:val="clear" w:color="auto" w:fill="auto"/>
          </w:tcPr>
          <w:p w14:paraId="1A984485" w14:textId="629F7A6E" w:rsidR="001D7269" w:rsidRPr="0089547E" w:rsidRDefault="001D7269" w:rsidP="001D7269">
            <w:pPr>
              <w:pStyle w:val="TableTextLeft"/>
              <w:rPr>
                <w:highlight w:val="yellow"/>
              </w:rPr>
            </w:pPr>
            <w:r w:rsidRPr="00C94004">
              <w:t>Housing Support Program – Priority Works Stream</w:t>
            </w:r>
          </w:p>
        </w:tc>
        <w:tc>
          <w:tcPr>
            <w:tcW w:w="1554" w:type="dxa"/>
            <w:shd w:val="clear" w:color="auto" w:fill="auto"/>
          </w:tcPr>
          <w:p w14:paraId="5E89708A" w14:textId="2199450D" w:rsidR="001D7269" w:rsidRPr="0089547E" w:rsidRDefault="001D7269" w:rsidP="001D7269">
            <w:pPr>
              <w:pStyle w:val="TableTextLeft"/>
              <w:rPr>
                <w:rFonts w:cs="Cambria"/>
                <w:szCs w:val="16"/>
                <w:highlight w:val="yellow"/>
              </w:rPr>
            </w:pPr>
            <w:r w:rsidRPr="00C94004">
              <w:rPr>
                <w:rFonts w:cs="Cambria"/>
                <w:szCs w:val="16"/>
              </w:rPr>
              <w:t xml:space="preserve">Part 2 </w:t>
            </w:r>
            <w:r w:rsidRPr="00C94004">
              <w:t>– Affordable housing</w:t>
            </w:r>
          </w:p>
        </w:tc>
        <w:tc>
          <w:tcPr>
            <w:tcW w:w="2309" w:type="dxa"/>
            <w:shd w:val="clear" w:color="auto" w:fill="auto"/>
          </w:tcPr>
          <w:p w14:paraId="59AF503F" w14:textId="18F20366" w:rsidR="001D7269" w:rsidRPr="0089547E" w:rsidRDefault="001D7269" w:rsidP="001D7269">
            <w:pPr>
              <w:pStyle w:val="TableTextLeft"/>
              <w:rPr>
                <w:highlight w:val="yellow"/>
              </w:rPr>
            </w:pPr>
            <w:r w:rsidRPr="00C94004">
              <w:t>Housing Support</w:t>
            </w:r>
          </w:p>
        </w:tc>
        <w:tc>
          <w:tcPr>
            <w:tcW w:w="2281" w:type="dxa"/>
            <w:shd w:val="clear" w:color="auto" w:fill="auto"/>
          </w:tcPr>
          <w:p w14:paraId="35A6733A" w14:textId="1C538A0B" w:rsidR="001D7269" w:rsidRPr="0089547E" w:rsidRDefault="001D7269" w:rsidP="001D7269">
            <w:pPr>
              <w:pStyle w:val="TableTextLeft"/>
              <w:rPr>
                <w:highlight w:val="yellow"/>
              </w:rPr>
            </w:pPr>
            <w:r w:rsidRPr="00C94004">
              <w:rPr>
                <w:rFonts w:cs="Cambria"/>
                <w:szCs w:val="16"/>
              </w:rPr>
              <w:t>Payments – Cross Portfolio</w:t>
            </w:r>
          </w:p>
        </w:tc>
      </w:tr>
      <w:tr w:rsidR="001104F8" w:rsidRPr="0089547E" w14:paraId="1332E0F6" w14:textId="77777777" w:rsidTr="00135D88">
        <w:trPr>
          <w:cantSplit/>
        </w:trPr>
        <w:tc>
          <w:tcPr>
            <w:tcW w:w="1560" w:type="dxa"/>
            <w:shd w:val="clear" w:color="auto" w:fill="auto"/>
          </w:tcPr>
          <w:p w14:paraId="75245D28" w14:textId="030A8604" w:rsidR="001104F8" w:rsidRPr="0089547E" w:rsidRDefault="001104F8" w:rsidP="001104F8">
            <w:pPr>
              <w:pStyle w:val="TableTextLeft"/>
              <w:rPr>
                <w:highlight w:val="yellow"/>
              </w:rPr>
            </w:pPr>
            <w:r w:rsidRPr="00C94004">
              <w:t>Improving housing and essential services on Northern Territory Homelands</w:t>
            </w:r>
          </w:p>
        </w:tc>
        <w:tc>
          <w:tcPr>
            <w:tcW w:w="1554" w:type="dxa"/>
            <w:shd w:val="clear" w:color="auto" w:fill="auto"/>
          </w:tcPr>
          <w:p w14:paraId="0F16C38A" w14:textId="71FF78C3" w:rsidR="001104F8" w:rsidRPr="0089547E" w:rsidRDefault="001104F8" w:rsidP="001104F8">
            <w:pPr>
              <w:pStyle w:val="TableTextLeft"/>
              <w:rPr>
                <w:rFonts w:cs="Cambria"/>
                <w:szCs w:val="16"/>
                <w:highlight w:val="yellow"/>
              </w:rPr>
            </w:pPr>
            <w:r w:rsidRPr="00C94004">
              <w:rPr>
                <w:rFonts w:cs="Cambria"/>
                <w:szCs w:val="16"/>
              </w:rPr>
              <w:t xml:space="preserve">Part 2 </w:t>
            </w:r>
            <w:r w:rsidRPr="00C94004">
              <w:t>– Affordable housing</w:t>
            </w:r>
          </w:p>
        </w:tc>
        <w:tc>
          <w:tcPr>
            <w:tcW w:w="2309" w:type="dxa"/>
            <w:shd w:val="clear" w:color="auto" w:fill="auto"/>
          </w:tcPr>
          <w:p w14:paraId="77585048" w14:textId="357F0F0D" w:rsidR="001104F8" w:rsidRPr="0089547E" w:rsidRDefault="001104F8" w:rsidP="001104F8">
            <w:pPr>
              <w:pStyle w:val="TableTextLeft"/>
              <w:rPr>
                <w:highlight w:val="yellow"/>
              </w:rPr>
            </w:pPr>
            <w:r w:rsidRPr="00C94004">
              <w:t xml:space="preserve">Northern Territory Homelands and Housing </w:t>
            </w:r>
          </w:p>
        </w:tc>
        <w:tc>
          <w:tcPr>
            <w:tcW w:w="2281" w:type="dxa"/>
            <w:shd w:val="clear" w:color="auto" w:fill="auto"/>
          </w:tcPr>
          <w:p w14:paraId="120CE17B" w14:textId="708DC638" w:rsidR="001104F8" w:rsidRPr="0089547E" w:rsidRDefault="001104F8" w:rsidP="001104F8">
            <w:pPr>
              <w:pStyle w:val="TableTextLeft"/>
              <w:rPr>
                <w:highlight w:val="yellow"/>
              </w:rPr>
            </w:pPr>
            <w:r w:rsidRPr="00C94004">
              <w:rPr>
                <w:rFonts w:cs="Cambria"/>
                <w:szCs w:val="16"/>
              </w:rPr>
              <w:t xml:space="preserve">Payments – Prime Minister and </w:t>
            </w:r>
            <w:r w:rsidR="008B0BE5" w:rsidRPr="00C94004">
              <w:rPr>
                <w:rFonts w:cs="Cambria"/>
                <w:szCs w:val="16"/>
              </w:rPr>
              <w:t>Cabinet</w:t>
            </w:r>
          </w:p>
        </w:tc>
      </w:tr>
      <w:tr w:rsidR="002B2E4A" w:rsidRPr="0089547E" w14:paraId="6CFFB3C2" w14:textId="77777777" w:rsidTr="00135D88">
        <w:trPr>
          <w:cantSplit/>
        </w:trPr>
        <w:tc>
          <w:tcPr>
            <w:tcW w:w="1560" w:type="dxa"/>
            <w:shd w:val="clear" w:color="auto" w:fill="auto"/>
          </w:tcPr>
          <w:p w14:paraId="2355993E" w14:textId="6299135C" w:rsidR="002B2E4A" w:rsidRPr="0089547E" w:rsidRDefault="002B2E4A" w:rsidP="002B2E4A">
            <w:pPr>
              <w:pStyle w:val="TableTextLeft"/>
              <w:rPr>
                <w:highlight w:val="yellow"/>
              </w:rPr>
            </w:pPr>
            <w:r w:rsidRPr="00C94004">
              <w:t>Northern   Territory Remote Housing</w:t>
            </w:r>
          </w:p>
        </w:tc>
        <w:tc>
          <w:tcPr>
            <w:tcW w:w="1554" w:type="dxa"/>
            <w:shd w:val="clear" w:color="auto" w:fill="auto"/>
          </w:tcPr>
          <w:p w14:paraId="25E4A236" w14:textId="2588A05E" w:rsidR="002B2E4A" w:rsidRPr="0089547E" w:rsidRDefault="002B2E4A" w:rsidP="002B2E4A">
            <w:pPr>
              <w:pStyle w:val="TableTextLeft"/>
              <w:rPr>
                <w:highlight w:val="yellow"/>
              </w:rPr>
            </w:pPr>
            <w:r w:rsidRPr="00C94004">
              <w:rPr>
                <w:rFonts w:cs="Cambria"/>
                <w:szCs w:val="16"/>
              </w:rPr>
              <w:t xml:space="preserve">Part 2 </w:t>
            </w:r>
            <w:r w:rsidRPr="00C94004">
              <w:t>– Affordable housing</w:t>
            </w:r>
          </w:p>
        </w:tc>
        <w:tc>
          <w:tcPr>
            <w:tcW w:w="2309" w:type="dxa"/>
            <w:shd w:val="clear" w:color="auto" w:fill="auto"/>
          </w:tcPr>
          <w:p w14:paraId="4F2FBE6B" w14:textId="5A4C7514" w:rsidR="002B2E4A" w:rsidRPr="0089547E" w:rsidRDefault="00EA3121" w:rsidP="002B2E4A">
            <w:pPr>
              <w:pStyle w:val="TableTextLeft"/>
              <w:rPr>
                <w:highlight w:val="yellow"/>
              </w:rPr>
            </w:pPr>
            <w:r w:rsidRPr="00C94004">
              <w:t xml:space="preserve">Northern Territory Homelands and Housing </w:t>
            </w:r>
          </w:p>
        </w:tc>
        <w:tc>
          <w:tcPr>
            <w:tcW w:w="2281" w:type="dxa"/>
            <w:shd w:val="clear" w:color="auto" w:fill="auto"/>
          </w:tcPr>
          <w:p w14:paraId="75A8EFAD" w14:textId="24F737F8" w:rsidR="002B2E4A" w:rsidRPr="0089547E" w:rsidRDefault="00492615" w:rsidP="002B2E4A">
            <w:pPr>
              <w:pStyle w:val="TableTextLeft"/>
              <w:rPr>
                <w:highlight w:val="yellow"/>
              </w:rPr>
            </w:pPr>
            <w:r w:rsidRPr="00C94004">
              <w:rPr>
                <w:rFonts w:cs="Cambria"/>
                <w:szCs w:val="16"/>
              </w:rPr>
              <w:t xml:space="preserve">Payments </w:t>
            </w:r>
            <w:r w:rsidR="00830733" w:rsidRPr="00C94004">
              <w:rPr>
                <w:rFonts w:cs="Cambria"/>
                <w:szCs w:val="16"/>
              </w:rPr>
              <w:t xml:space="preserve">– </w:t>
            </w:r>
            <w:r w:rsidR="001104F8" w:rsidRPr="00C94004">
              <w:rPr>
                <w:rFonts w:cs="Cambria"/>
                <w:szCs w:val="16"/>
              </w:rPr>
              <w:t xml:space="preserve">Prime Minister and </w:t>
            </w:r>
            <w:r w:rsidR="008B0BE5" w:rsidRPr="00C94004">
              <w:rPr>
                <w:rFonts w:cs="Cambria"/>
                <w:szCs w:val="16"/>
              </w:rPr>
              <w:t>Cabinet</w:t>
            </w:r>
          </w:p>
        </w:tc>
      </w:tr>
      <w:tr w:rsidR="0075201B" w:rsidRPr="0089547E" w14:paraId="4757B842" w14:textId="77777777" w:rsidTr="00135D88">
        <w:trPr>
          <w:cantSplit/>
        </w:trPr>
        <w:tc>
          <w:tcPr>
            <w:tcW w:w="1560" w:type="dxa"/>
            <w:shd w:val="clear" w:color="auto" w:fill="auto"/>
          </w:tcPr>
          <w:p w14:paraId="4776B8BE" w14:textId="6309F761" w:rsidR="0075201B" w:rsidRPr="0089547E" w:rsidRDefault="00036A6F">
            <w:pPr>
              <w:pStyle w:val="TableTextLeft"/>
              <w:rPr>
                <w:highlight w:val="yellow"/>
              </w:rPr>
            </w:pPr>
            <w:r w:rsidRPr="00C94004">
              <w:t>Infrastructure Investment Program</w:t>
            </w:r>
            <w:r w:rsidR="00BD10A7" w:rsidRPr="00C94004">
              <w:t xml:space="preserve"> </w:t>
            </w:r>
          </w:p>
        </w:tc>
        <w:tc>
          <w:tcPr>
            <w:tcW w:w="1554" w:type="dxa"/>
            <w:shd w:val="clear" w:color="auto" w:fill="auto"/>
          </w:tcPr>
          <w:p w14:paraId="309A1E6D" w14:textId="63912B4A" w:rsidR="0075201B" w:rsidRPr="0089547E" w:rsidRDefault="00036A6F">
            <w:pPr>
              <w:pStyle w:val="TableTextLeft"/>
              <w:rPr>
                <w:highlight w:val="yellow"/>
              </w:rPr>
            </w:pPr>
            <w:r w:rsidRPr="00C94004">
              <w:rPr>
                <w:rFonts w:cs="Cambria"/>
                <w:szCs w:val="16"/>
              </w:rPr>
              <w:t xml:space="preserve">Part 2 </w:t>
            </w:r>
            <w:r w:rsidRPr="00C94004">
              <w:t>– Infrastructure</w:t>
            </w:r>
          </w:p>
        </w:tc>
        <w:tc>
          <w:tcPr>
            <w:tcW w:w="2309" w:type="dxa"/>
            <w:shd w:val="clear" w:color="auto" w:fill="auto"/>
          </w:tcPr>
          <w:p w14:paraId="238E076D" w14:textId="26043043" w:rsidR="0075201B" w:rsidRPr="0089547E" w:rsidRDefault="006B090A">
            <w:pPr>
              <w:pStyle w:val="TableTextLeft"/>
              <w:rPr>
                <w:highlight w:val="yellow"/>
              </w:rPr>
            </w:pPr>
            <w:r w:rsidRPr="00C94004">
              <w:t>Building a Better Future Through Considered Infrastructure Investment</w:t>
            </w:r>
          </w:p>
        </w:tc>
        <w:tc>
          <w:tcPr>
            <w:tcW w:w="2281" w:type="dxa"/>
            <w:shd w:val="clear" w:color="auto" w:fill="auto"/>
          </w:tcPr>
          <w:p w14:paraId="1ABFB38C" w14:textId="7F1BD0CE" w:rsidR="0075201B" w:rsidRPr="0089547E" w:rsidRDefault="00C839D0">
            <w:pPr>
              <w:pStyle w:val="TableTextLeft"/>
              <w:rPr>
                <w:highlight w:val="yellow"/>
              </w:rPr>
            </w:pPr>
            <w:r w:rsidRPr="00C94004">
              <w:rPr>
                <w:rFonts w:cs="Cambria"/>
                <w:szCs w:val="16"/>
              </w:rPr>
              <w:t xml:space="preserve">Payments </w:t>
            </w:r>
            <w:r w:rsidR="000E6537" w:rsidRPr="00C94004">
              <w:rPr>
                <w:rFonts w:cs="Cambria"/>
                <w:szCs w:val="16"/>
              </w:rPr>
              <w:t>–</w:t>
            </w:r>
            <w:r w:rsidRPr="00C94004">
              <w:rPr>
                <w:rFonts w:cs="Cambria"/>
                <w:szCs w:val="16"/>
              </w:rPr>
              <w:t xml:space="preserve"> </w:t>
            </w:r>
            <w:r w:rsidR="005E35ED" w:rsidRPr="00C94004">
              <w:t>Infrastructure, Transport, Regional Development, Communications and the</w:t>
            </w:r>
            <w:r w:rsidR="004A10F8" w:rsidRPr="00C94004">
              <w:t> </w:t>
            </w:r>
            <w:r w:rsidR="005E35ED" w:rsidRPr="00C94004">
              <w:t>Arts</w:t>
            </w:r>
          </w:p>
        </w:tc>
      </w:tr>
      <w:tr w:rsidR="00F306FE" w:rsidRPr="0089547E" w14:paraId="43DEEFC7" w14:textId="77777777" w:rsidTr="00135D88">
        <w:trPr>
          <w:cantSplit/>
        </w:trPr>
        <w:tc>
          <w:tcPr>
            <w:tcW w:w="1560" w:type="dxa"/>
            <w:shd w:val="clear" w:color="auto" w:fill="auto"/>
          </w:tcPr>
          <w:p w14:paraId="7F13E07C" w14:textId="04ACDB72" w:rsidR="00F306FE" w:rsidRPr="0089547E" w:rsidRDefault="00E356C8">
            <w:pPr>
              <w:pStyle w:val="TableTextLeft"/>
              <w:rPr>
                <w:highlight w:val="yellow"/>
              </w:rPr>
            </w:pPr>
            <w:r w:rsidRPr="00C94004">
              <w:t>Infrastructure Investment Program</w:t>
            </w:r>
            <w:r w:rsidR="00AE37D6" w:rsidRPr="00C94004">
              <w:t>(a)</w:t>
            </w:r>
          </w:p>
        </w:tc>
        <w:tc>
          <w:tcPr>
            <w:tcW w:w="1554" w:type="dxa"/>
            <w:shd w:val="clear" w:color="auto" w:fill="auto"/>
          </w:tcPr>
          <w:p w14:paraId="38980117" w14:textId="61F74FFD" w:rsidR="00F306FE" w:rsidRPr="0089547E" w:rsidRDefault="00E356C8">
            <w:pPr>
              <w:pStyle w:val="TableTextLeft"/>
              <w:rPr>
                <w:rFonts w:cs="Cambria"/>
                <w:szCs w:val="16"/>
                <w:highlight w:val="yellow"/>
              </w:rPr>
            </w:pPr>
            <w:r w:rsidRPr="00C94004">
              <w:rPr>
                <w:rFonts w:cs="Cambria"/>
                <w:szCs w:val="16"/>
              </w:rPr>
              <w:t xml:space="preserve">Part 2 </w:t>
            </w:r>
            <w:r w:rsidRPr="00C94004">
              <w:t>– Infrastructure</w:t>
            </w:r>
          </w:p>
        </w:tc>
        <w:tc>
          <w:tcPr>
            <w:tcW w:w="2309" w:type="dxa"/>
            <w:shd w:val="clear" w:color="auto" w:fill="auto"/>
          </w:tcPr>
          <w:p w14:paraId="3A6E9590" w14:textId="78A5735B" w:rsidR="00F306FE" w:rsidRPr="0089547E" w:rsidRDefault="00E356C8">
            <w:pPr>
              <w:pStyle w:val="TableTextLeft"/>
              <w:rPr>
                <w:highlight w:val="yellow"/>
              </w:rPr>
            </w:pPr>
            <w:r w:rsidRPr="00C94004">
              <w:t>Supporting Transport Priorities</w:t>
            </w:r>
          </w:p>
        </w:tc>
        <w:tc>
          <w:tcPr>
            <w:tcW w:w="2281" w:type="dxa"/>
            <w:shd w:val="clear" w:color="auto" w:fill="auto"/>
          </w:tcPr>
          <w:p w14:paraId="3F6C96B8" w14:textId="32669EC5" w:rsidR="00F306FE" w:rsidRPr="0089547E" w:rsidRDefault="00E356C8">
            <w:pPr>
              <w:pStyle w:val="TableTextLeft"/>
              <w:rPr>
                <w:rFonts w:cs="Cambria"/>
                <w:szCs w:val="16"/>
                <w:highlight w:val="yellow"/>
              </w:rPr>
            </w:pPr>
            <w:r w:rsidRPr="00C94004">
              <w:rPr>
                <w:rFonts w:cs="Cambria"/>
                <w:szCs w:val="16"/>
              </w:rPr>
              <w:t xml:space="preserve">Payments – </w:t>
            </w:r>
            <w:r w:rsidRPr="00C94004">
              <w:t>Infrastructure, Transport, Regional Development, Communications and the</w:t>
            </w:r>
            <w:r w:rsidR="004A10F8" w:rsidRPr="00C94004">
              <w:t> </w:t>
            </w:r>
            <w:r w:rsidRPr="00C94004">
              <w:t>Arts</w:t>
            </w:r>
          </w:p>
        </w:tc>
      </w:tr>
      <w:tr w:rsidR="00A01497" w:rsidRPr="0089547E" w14:paraId="3305AC8C" w14:textId="77777777" w:rsidTr="00135D88">
        <w:trPr>
          <w:cantSplit/>
        </w:trPr>
        <w:tc>
          <w:tcPr>
            <w:tcW w:w="1560" w:type="dxa"/>
            <w:shd w:val="clear" w:color="auto" w:fill="auto"/>
          </w:tcPr>
          <w:p w14:paraId="544E5761" w14:textId="4AE0DFBF" w:rsidR="00A01497" w:rsidRPr="00C94004" w:rsidRDefault="00A01497" w:rsidP="00A01497">
            <w:pPr>
              <w:pStyle w:val="TableTextLeft"/>
            </w:pPr>
            <w:r w:rsidRPr="00C94004">
              <w:t>Darwin Cyclone Tracy Memorial</w:t>
            </w:r>
          </w:p>
        </w:tc>
        <w:tc>
          <w:tcPr>
            <w:tcW w:w="1554" w:type="dxa"/>
            <w:shd w:val="clear" w:color="auto" w:fill="auto"/>
          </w:tcPr>
          <w:p w14:paraId="5C7AFD54" w14:textId="2FF48704" w:rsidR="00A01497" w:rsidRPr="00C94004" w:rsidRDefault="00A01497" w:rsidP="00A01497">
            <w:pPr>
              <w:pStyle w:val="TableTextLeft"/>
              <w:rPr>
                <w:rFonts w:cs="Cambria"/>
                <w:szCs w:val="16"/>
              </w:rPr>
            </w:pPr>
            <w:r w:rsidRPr="00C94004">
              <w:rPr>
                <w:rFonts w:cs="Cambria"/>
                <w:szCs w:val="16"/>
              </w:rPr>
              <w:t xml:space="preserve">Part 2 </w:t>
            </w:r>
            <w:r w:rsidRPr="00C94004">
              <w:rPr>
                <w:iCs/>
              </w:rPr>
              <w:t>– Infrastructure</w:t>
            </w:r>
          </w:p>
        </w:tc>
        <w:tc>
          <w:tcPr>
            <w:tcW w:w="2309" w:type="dxa"/>
            <w:shd w:val="clear" w:color="auto" w:fill="auto"/>
          </w:tcPr>
          <w:p w14:paraId="75556F3B" w14:textId="52EC7C1E" w:rsidR="00A01497" w:rsidRPr="00C94004" w:rsidRDefault="00A01497" w:rsidP="00A01497">
            <w:pPr>
              <w:pStyle w:val="TableTextLeft"/>
            </w:pPr>
            <w:r w:rsidRPr="00C94004">
              <w:t>Funding for the Territories</w:t>
            </w:r>
          </w:p>
        </w:tc>
        <w:tc>
          <w:tcPr>
            <w:tcW w:w="2281" w:type="dxa"/>
            <w:shd w:val="clear" w:color="auto" w:fill="auto"/>
          </w:tcPr>
          <w:p w14:paraId="699923F7" w14:textId="556278AB" w:rsidR="00A01497" w:rsidRPr="00C94004" w:rsidRDefault="00A01497" w:rsidP="00A01497">
            <w:pPr>
              <w:pStyle w:val="TableTextLeft"/>
              <w:rPr>
                <w:rFonts w:cs="Cambria"/>
                <w:szCs w:val="16"/>
              </w:rPr>
            </w:pPr>
            <w:r w:rsidRPr="00C94004">
              <w:rPr>
                <w:rFonts w:cs="Cambria"/>
                <w:szCs w:val="16"/>
              </w:rPr>
              <w:t xml:space="preserve">Payments – </w:t>
            </w:r>
            <w:r w:rsidRPr="00C94004">
              <w:t>Infrastructure, Transport, Regional Development, Communications and the Arts</w:t>
            </w:r>
          </w:p>
        </w:tc>
      </w:tr>
      <w:tr w:rsidR="00A01497" w:rsidRPr="0089547E" w14:paraId="07A8E841" w14:textId="77777777" w:rsidTr="00135D88">
        <w:trPr>
          <w:cantSplit/>
        </w:trPr>
        <w:tc>
          <w:tcPr>
            <w:tcW w:w="1560" w:type="dxa"/>
            <w:shd w:val="clear" w:color="auto" w:fill="auto"/>
          </w:tcPr>
          <w:p w14:paraId="2DF7C41F" w14:textId="3DBC15EF" w:rsidR="00A01497" w:rsidRPr="00C94004" w:rsidRDefault="00A01497" w:rsidP="00A01497">
            <w:pPr>
              <w:pStyle w:val="TableTextLeft"/>
            </w:pPr>
            <w:r w:rsidRPr="00C94004">
              <w:t>Local Roads and Community Infrastructure</w:t>
            </w:r>
          </w:p>
        </w:tc>
        <w:tc>
          <w:tcPr>
            <w:tcW w:w="1554" w:type="dxa"/>
            <w:shd w:val="clear" w:color="auto" w:fill="auto"/>
          </w:tcPr>
          <w:p w14:paraId="152BAC23" w14:textId="73A2352F" w:rsidR="00A01497" w:rsidRPr="00C94004" w:rsidRDefault="00A01497" w:rsidP="00A01497">
            <w:pPr>
              <w:pStyle w:val="TableTextLeft"/>
              <w:rPr>
                <w:rFonts w:cs="Cambria"/>
                <w:szCs w:val="16"/>
              </w:rPr>
            </w:pPr>
            <w:r w:rsidRPr="00C94004">
              <w:rPr>
                <w:rFonts w:cs="Cambria"/>
                <w:szCs w:val="16"/>
              </w:rPr>
              <w:t xml:space="preserve">Part 2 </w:t>
            </w:r>
            <w:r w:rsidRPr="00C94004">
              <w:t>– Infrastructure</w:t>
            </w:r>
          </w:p>
        </w:tc>
        <w:tc>
          <w:tcPr>
            <w:tcW w:w="2309" w:type="dxa"/>
            <w:shd w:val="clear" w:color="auto" w:fill="auto"/>
          </w:tcPr>
          <w:p w14:paraId="47776A25" w14:textId="30DF313B" w:rsidR="00A01497" w:rsidRPr="00C94004" w:rsidRDefault="00A01497" w:rsidP="00A01497">
            <w:pPr>
              <w:pStyle w:val="TableTextLeft"/>
            </w:pPr>
            <w:r w:rsidRPr="00C94004">
              <w:t>Building a Better Future Through Considered Infrastructure Investment</w:t>
            </w:r>
          </w:p>
        </w:tc>
        <w:tc>
          <w:tcPr>
            <w:tcW w:w="2281" w:type="dxa"/>
            <w:shd w:val="clear" w:color="auto" w:fill="auto"/>
          </w:tcPr>
          <w:p w14:paraId="4B2FE675" w14:textId="7D70604C" w:rsidR="00A01497" w:rsidRPr="00C94004" w:rsidRDefault="00A01497" w:rsidP="00A01497">
            <w:pPr>
              <w:pStyle w:val="TableTextLeft"/>
              <w:rPr>
                <w:rFonts w:cs="Cambria"/>
                <w:szCs w:val="16"/>
              </w:rPr>
            </w:pPr>
            <w:r w:rsidRPr="00C94004">
              <w:rPr>
                <w:rFonts w:cs="Cambria"/>
                <w:szCs w:val="16"/>
              </w:rPr>
              <w:t xml:space="preserve">Payments – </w:t>
            </w:r>
            <w:r w:rsidRPr="00C94004">
              <w:t>Infrastructure, Transport, Regional Development, Communications and the Arts</w:t>
            </w:r>
          </w:p>
        </w:tc>
      </w:tr>
      <w:tr w:rsidR="00A01497" w:rsidRPr="0089547E" w14:paraId="42726C74" w14:textId="77777777" w:rsidTr="00135D88">
        <w:trPr>
          <w:cantSplit/>
        </w:trPr>
        <w:tc>
          <w:tcPr>
            <w:tcW w:w="1560" w:type="dxa"/>
            <w:shd w:val="clear" w:color="auto" w:fill="auto"/>
          </w:tcPr>
          <w:p w14:paraId="1C354679" w14:textId="5B2B48D5" w:rsidR="00A01497" w:rsidRPr="00C94004" w:rsidRDefault="00A01497" w:rsidP="00A01497">
            <w:pPr>
              <w:pStyle w:val="TableTextLeft"/>
            </w:pPr>
            <w:r w:rsidRPr="00C94004">
              <w:t>National Water Grid Fund</w:t>
            </w:r>
          </w:p>
        </w:tc>
        <w:tc>
          <w:tcPr>
            <w:tcW w:w="1554" w:type="dxa"/>
            <w:shd w:val="clear" w:color="auto" w:fill="auto"/>
          </w:tcPr>
          <w:p w14:paraId="42DD405C" w14:textId="2695EBB9" w:rsidR="00A01497" w:rsidRPr="00C94004" w:rsidRDefault="00A01497" w:rsidP="00A01497">
            <w:pPr>
              <w:pStyle w:val="TableTextLeft"/>
              <w:rPr>
                <w:rFonts w:cs="Cambria"/>
                <w:szCs w:val="16"/>
              </w:rPr>
            </w:pPr>
            <w:r w:rsidRPr="00C94004">
              <w:rPr>
                <w:rFonts w:cs="Cambria"/>
                <w:szCs w:val="16"/>
              </w:rPr>
              <w:t xml:space="preserve">Part 2 </w:t>
            </w:r>
            <w:r w:rsidRPr="00C94004">
              <w:rPr>
                <w:iCs/>
              </w:rPr>
              <w:t>– Infrastructure</w:t>
            </w:r>
          </w:p>
        </w:tc>
        <w:tc>
          <w:tcPr>
            <w:tcW w:w="2309" w:type="dxa"/>
            <w:shd w:val="clear" w:color="auto" w:fill="auto"/>
          </w:tcPr>
          <w:p w14:paraId="3CFAF04D" w14:textId="6080D19A" w:rsidR="00A01497" w:rsidRPr="00C94004" w:rsidRDefault="00A01497" w:rsidP="00A01497">
            <w:pPr>
              <w:pStyle w:val="TableTextLeft"/>
            </w:pPr>
            <w:r w:rsidRPr="00C94004">
              <w:t>National Water Grid Fund – responsible investment in water infrastructure for the regions</w:t>
            </w:r>
          </w:p>
        </w:tc>
        <w:tc>
          <w:tcPr>
            <w:tcW w:w="2281" w:type="dxa"/>
            <w:shd w:val="clear" w:color="auto" w:fill="auto"/>
          </w:tcPr>
          <w:p w14:paraId="01E17C83" w14:textId="48F5E007" w:rsidR="00A01497" w:rsidRPr="00C94004" w:rsidRDefault="00A01497" w:rsidP="00A01497">
            <w:pPr>
              <w:pStyle w:val="TableTextLeft"/>
              <w:rPr>
                <w:rFonts w:cs="Cambria"/>
                <w:szCs w:val="16"/>
              </w:rPr>
            </w:pPr>
            <w:r w:rsidRPr="00C94004">
              <w:rPr>
                <w:rFonts w:cs="Cambria"/>
                <w:szCs w:val="16"/>
              </w:rPr>
              <w:t xml:space="preserve">Payments – </w:t>
            </w:r>
            <w:r w:rsidRPr="00C94004">
              <w:t>Climate Change, Energy, the Environment and Water</w:t>
            </w:r>
          </w:p>
        </w:tc>
      </w:tr>
      <w:tr w:rsidR="00A01497" w:rsidRPr="0089547E" w14:paraId="196299A2" w14:textId="77777777" w:rsidTr="00135D88">
        <w:trPr>
          <w:cantSplit/>
        </w:trPr>
        <w:tc>
          <w:tcPr>
            <w:tcW w:w="1560" w:type="dxa"/>
            <w:shd w:val="clear" w:color="auto" w:fill="auto"/>
          </w:tcPr>
          <w:p w14:paraId="1C5235C6" w14:textId="1BA059A4" w:rsidR="00A01497" w:rsidRPr="00C94004" w:rsidRDefault="00A01497" w:rsidP="00A01497">
            <w:pPr>
              <w:pStyle w:val="TableTextLeft"/>
            </w:pPr>
            <w:r w:rsidRPr="00C94004">
              <w:t>Upgrades to the Qtopia Sydney Museum</w:t>
            </w:r>
          </w:p>
        </w:tc>
        <w:tc>
          <w:tcPr>
            <w:tcW w:w="1554" w:type="dxa"/>
            <w:shd w:val="clear" w:color="auto" w:fill="auto"/>
          </w:tcPr>
          <w:p w14:paraId="18E5B0AB" w14:textId="719BAE09" w:rsidR="00A01497" w:rsidRPr="00C94004" w:rsidRDefault="00A01497" w:rsidP="00A01497">
            <w:pPr>
              <w:pStyle w:val="TableTextLeft"/>
              <w:rPr>
                <w:rFonts w:cs="Cambria"/>
                <w:szCs w:val="16"/>
              </w:rPr>
            </w:pPr>
            <w:r w:rsidRPr="00C94004">
              <w:rPr>
                <w:rFonts w:cs="Cambria"/>
                <w:szCs w:val="16"/>
              </w:rPr>
              <w:t xml:space="preserve">Part 2 </w:t>
            </w:r>
            <w:r w:rsidRPr="00C94004">
              <w:rPr>
                <w:iCs/>
              </w:rPr>
              <w:t>– Infrastructure</w:t>
            </w:r>
          </w:p>
        </w:tc>
        <w:tc>
          <w:tcPr>
            <w:tcW w:w="2309" w:type="dxa"/>
            <w:shd w:val="clear" w:color="auto" w:fill="auto"/>
          </w:tcPr>
          <w:p w14:paraId="3EB74B64" w14:textId="7C7077B7" w:rsidR="00A01497" w:rsidRPr="00C94004" w:rsidRDefault="00A01497" w:rsidP="00A01497">
            <w:pPr>
              <w:pStyle w:val="TableTextLeft"/>
            </w:pPr>
            <w:r w:rsidRPr="00C94004">
              <w:t xml:space="preserve">Qtopia Sydney </w:t>
            </w:r>
          </w:p>
        </w:tc>
        <w:tc>
          <w:tcPr>
            <w:tcW w:w="2281" w:type="dxa"/>
            <w:shd w:val="clear" w:color="auto" w:fill="auto"/>
          </w:tcPr>
          <w:p w14:paraId="18D408CF" w14:textId="01ADAFC7" w:rsidR="00A01497" w:rsidRPr="00C94004" w:rsidRDefault="00A01497" w:rsidP="00A01497">
            <w:pPr>
              <w:pStyle w:val="TableTextLeft"/>
              <w:rPr>
                <w:rFonts w:cs="Cambria"/>
                <w:szCs w:val="16"/>
              </w:rPr>
            </w:pPr>
            <w:r w:rsidRPr="00C94004">
              <w:rPr>
                <w:rFonts w:cs="Cambria"/>
                <w:szCs w:val="16"/>
              </w:rPr>
              <w:t xml:space="preserve">Payments – </w:t>
            </w:r>
            <w:r w:rsidRPr="00C94004">
              <w:t>Infrastructure, Transport, Regional Development, Communications and the Arts</w:t>
            </w:r>
          </w:p>
        </w:tc>
      </w:tr>
      <w:tr w:rsidR="00A01497" w:rsidRPr="0089547E" w14:paraId="613F0C7C" w14:textId="77777777" w:rsidTr="00135D88">
        <w:trPr>
          <w:cantSplit/>
        </w:trPr>
        <w:tc>
          <w:tcPr>
            <w:tcW w:w="1560" w:type="dxa"/>
            <w:shd w:val="clear" w:color="auto" w:fill="auto"/>
          </w:tcPr>
          <w:p w14:paraId="46F999DA" w14:textId="0752264D" w:rsidR="00A01497" w:rsidRPr="00C94004" w:rsidRDefault="00A01497" w:rsidP="00A01497">
            <w:pPr>
              <w:pStyle w:val="TableTextLeft"/>
            </w:pPr>
            <w:r w:rsidRPr="00C94004">
              <w:t>Energy Bill Relief</w:t>
            </w:r>
          </w:p>
        </w:tc>
        <w:tc>
          <w:tcPr>
            <w:tcW w:w="1554" w:type="dxa"/>
            <w:shd w:val="clear" w:color="auto" w:fill="auto"/>
          </w:tcPr>
          <w:p w14:paraId="70900AD2" w14:textId="759419D5" w:rsidR="00A01497" w:rsidRPr="00C94004" w:rsidRDefault="00A01497" w:rsidP="00A01497">
            <w:pPr>
              <w:pStyle w:val="TableTextLeft"/>
              <w:rPr>
                <w:rFonts w:cs="Cambria"/>
                <w:szCs w:val="16"/>
              </w:rPr>
            </w:pPr>
            <w:r w:rsidRPr="00C94004">
              <w:rPr>
                <w:rFonts w:cs="Cambria"/>
                <w:szCs w:val="16"/>
              </w:rPr>
              <w:t xml:space="preserve">Part 2 </w:t>
            </w:r>
            <w:r w:rsidRPr="00C94004">
              <w:rPr>
                <w:iCs/>
              </w:rPr>
              <w:t>– Environment, energy and water</w:t>
            </w:r>
          </w:p>
        </w:tc>
        <w:tc>
          <w:tcPr>
            <w:tcW w:w="2309" w:type="dxa"/>
            <w:shd w:val="clear" w:color="auto" w:fill="auto"/>
          </w:tcPr>
          <w:p w14:paraId="60FC1731" w14:textId="4DAFF39E" w:rsidR="00A01497" w:rsidRPr="00C94004" w:rsidRDefault="00A01497" w:rsidP="00A01497">
            <w:pPr>
              <w:pStyle w:val="TableTextLeft"/>
            </w:pPr>
            <w:r w:rsidRPr="00C94004">
              <w:t xml:space="preserve">Energy Bill Relief Fund </w:t>
            </w:r>
            <w:r w:rsidRPr="00C94004">
              <w:rPr>
                <w:rFonts w:cs="Cambria"/>
                <w:szCs w:val="16"/>
              </w:rPr>
              <w:t>–</w:t>
            </w:r>
            <w:r w:rsidRPr="00C94004">
              <w:t>extension and expansion</w:t>
            </w:r>
          </w:p>
        </w:tc>
        <w:tc>
          <w:tcPr>
            <w:tcW w:w="2281" w:type="dxa"/>
            <w:shd w:val="clear" w:color="auto" w:fill="auto"/>
          </w:tcPr>
          <w:p w14:paraId="4212AB36" w14:textId="7221DC52" w:rsidR="00A01497" w:rsidRPr="00C94004" w:rsidRDefault="00A01497" w:rsidP="00A01497">
            <w:pPr>
              <w:pStyle w:val="TableTextLeft"/>
              <w:rPr>
                <w:rFonts w:cs="Cambria"/>
                <w:szCs w:val="16"/>
              </w:rPr>
            </w:pPr>
            <w:r w:rsidRPr="00C94004">
              <w:rPr>
                <w:rFonts w:cs="Cambria"/>
                <w:szCs w:val="16"/>
              </w:rPr>
              <w:t xml:space="preserve">Payments – </w:t>
            </w:r>
            <w:r w:rsidRPr="00C94004">
              <w:t>Treasury</w:t>
            </w:r>
          </w:p>
        </w:tc>
      </w:tr>
      <w:tr w:rsidR="00A01497" w:rsidRPr="0089547E" w14:paraId="115AC384" w14:textId="77777777" w:rsidTr="00135D88">
        <w:trPr>
          <w:cantSplit/>
        </w:trPr>
        <w:tc>
          <w:tcPr>
            <w:tcW w:w="1560" w:type="dxa"/>
            <w:shd w:val="clear" w:color="auto" w:fill="auto"/>
          </w:tcPr>
          <w:p w14:paraId="1C312327" w14:textId="180E3386" w:rsidR="00A01497" w:rsidRPr="00C94004" w:rsidRDefault="00A01497" w:rsidP="00A01497">
            <w:pPr>
              <w:pStyle w:val="TableTextLeft"/>
            </w:pPr>
            <w:r w:rsidRPr="00C94004">
              <w:t>Bilateral Energy and Emissions Reduction Agreements(a)</w:t>
            </w:r>
          </w:p>
        </w:tc>
        <w:tc>
          <w:tcPr>
            <w:tcW w:w="1554" w:type="dxa"/>
            <w:shd w:val="clear" w:color="auto" w:fill="auto"/>
          </w:tcPr>
          <w:p w14:paraId="241E5561" w14:textId="73DB475C" w:rsidR="00A01497" w:rsidRPr="00C94004" w:rsidRDefault="00A01497" w:rsidP="00A01497">
            <w:pPr>
              <w:pStyle w:val="TableTextLeft"/>
              <w:rPr>
                <w:rFonts w:cs="Cambria"/>
                <w:szCs w:val="16"/>
              </w:rPr>
            </w:pPr>
            <w:r w:rsidRPr="00C94004">
              <w:rPr>
                <w:rFonts w:cs="Cambria"/>
                <w:szCs w:val="16"/>
              </w:rPr>
              <w:t xml:space="preserve">Part 2 </w:t>
            </w:r>
            <w:r w:rsidRPr="00C94004">
              <w:t>– Environment, energy and water</w:t>
            </w:r>
          </w:p>
        </w:tc>
        <w:tc>
          <w:tcPr>
            <w:tcW w:w="2309" w:type="dxa"/>
            <w:shd w:val="clear" w:color="auto" w:fill="auto"/>
          </w:tcPr>
          <w:p w14:paraId="3ABE2548" w14:textId="3E4D90A7" w:rsidR="00A01497" w:rsidRPr="00C94004" w:rsidRDefault="00A01497" w:rsidP="00A01497">
            <w:pPr>
              <w:pStyle w:val="TableTextLeft"/>
            </w:pPr>
            <w:r w:rsidRPr="00C94004">
              <w:t>Harnessing the Energy Transition to Benefit Consumers</w:t>
            </w:r>
          </w:p>
        </w:tc>
        <w:tc>
          <w:tcPr>
            <w:tcW w:w="2281" w:type="dxa"/>
            <w:shd w:val="clear" w:color="auto" w:fill="auto"/>
          </w:tcPr>
          <w:p w14:paraId="2BA91A18" w14:textId="40B336CD" w:rsidR="00A01497" w:rsidRPr="00C94004" w:rsidRDefault="00A01497" w:rsidP="00A01497">
            <w:pPr>
              <w:pStyle w:val="TableTextLeft"/>
              <w:rPr>
                <w:rFonts w:cs="Cambria"/>
                <w:szCs w:val="16"/>
              </w:rPr>
            </w:pPr>
            <w:r w:rsidRPr="00C94004">
              <w:rPr>
                <w:rFonts w:cs="Cambria"/>
                <w:szCs w:val="16"/>
              </w:rPr>
              <w:t xml:space="preserve">Payments – </w:t>
            </w:r>
            <w:r w:rsidRPr="00C94004">
              <w:t>Climate Change, Energy, the Environment and Water</w:t>
            </w:r>
          </w:p>
        </w:tc>
      </w:tr>
    </w:tbl>
    <w:p w14:paraId="33897126" w14:textId="77777777" w:rsidR="00A01497" w:rsidRDefault="00A01497" w:rsidP="00FE58DB">
      <w:pPr>
        <w:rPr>
          <w:rFonts w:ascii="Arial Bold" w:hAnsi="Arial Bold"/>
          <w:b/>
          <w:sz w:val="20"/>
        </w:rPr>
      </w:pPr>
      <w:r>
        <w:br w:type="page"/>
      </w:r>
    </w:p>
    <w:p w14:paraId="48DC656D" w14:textId="1026975C" w:rsidR="002747F6" w:rsidRPr="00C94004" w:rsidRDefault="002747F6" w:rsidP="002747F6">
      <w:pPr>
        <w:pStyle w:val="TableHeadingcontinued"/>
      </w:pPr>
      <w:r w:rsidRPr="00C94004">
        <w:lastRenderedPageBreak/>
        <w:t>Table 1.4: Measures affecting payments to the states (continued)</w:t>
      </w:r>
    </w:p>
    <w:tbl>
      <w:tblPr>
        <w:tblW w:w="5000" w:type="pct"/>
        <w:tblInd w:w="-3" w:type="dxa"/>
        <w:tblBorders>
          <w:top w:val="single" w:sz="2" w:space="0" w:color="293F5B"/>
          <w:left w:val="single" w:sz="2" w:space="0" w:color="293F5B"/>
          <w:bottom w:val="single" w:sz="2" w:space="0" w:color="293F5B"/>
          <w:right w:val="single" w:sz="2" w:space="0" w:color="293F5B"/>
          <w:insideH w:val="single" w:sz="2" w:space="0" w:color="293F5B"/>
          <w:insideV w:val="single" w:sz="2" w:space="0" w:color="293F5B"/>
        </w:tblBorders>
        <w:tblLayout w:type="fixed"/>
        <w:tblLook w:val="04A0" w:firstRow="1" w:lastRow="0" w:firstColumn="1" w:lastColumn="0" w:noHBand="0" w:noVBand="1"/>
        <w:tblCaption w:val="Table"/>
      </w:tblPr>
      <w:tblGrid>
        <w:gridCol w:w="1560"/>
        <w:gridCol w:w="1554"/>
        <w:gridCol w:w="2309"/>
        <w:gridCol w:w="2281"/>
      </w:tblGrid>
      <w:tr w:rsidR="00DF2BBD" w:rsidRPr="0089547E" w14:paraId="41E241C8" w14:textId="77777777">
        <w:trPr>
          <w:cantSplit/>
        </w:trPr>
        <w:tc>
          <w:tcPr>
            <w:tcW w:w="1560" w:type="dxa"/>
            <w:shd w:val="clear" w:color="auto" w:fill="auto"/>
          </w:tcPr>
          <w:p w14:paraId="4DB9541D" w14:textId="77777777" w:rsidR="00DF2BBD" w:rsidRPr="0089547E" w:rsidRDefault="00DF2BBD">
            <w:pPr>
              <w:pStyle w:val="TableTextLeft"/>
              <w:rPr>
                <w:highlight w:val="yellow"/>
              </w:rPr>
            </w:pPr>
            <w:r w:rsidRPr="00C94004">
              <w:t>Critical Minerals National Productivity Initiative</w:t>
            </w:r>
          </w:p>
        </w:tc>
        <w:tc>
          <w:tcPr>
            <w:tcW w:w="1554" w:type="dxa"/>
            <w:shd w:val="clear" w:color="auto" w:fill="auto"/>
          </w:tcPr>
          <w:p w14:paraId="59DCBE9D" w14:textId="77777777" w:rsidR="00DF2BBD" w:rsidRPr="0089547E" w:rsidRDefault="00DF2BBD">
            <w:pPr>
              <w:pStyle w:val="TableTextLeft"/>
              <w:rPr>
                <w:highlight w:val="yellow"/>
              </w:rPr>
            </w:pPr>
            <w:r w:rsidRPr="00C94004">
              <w:rPr>
                <w:rFonts w:cs="Cambria"/>
                <w:szCs w:val="16"/>
              </w:rPr>
              <w:t xml:space="preserve">Part 2 </w:t>
            </w:r>
            <w:r w:rsidRPr="00C94004">
              <w:t>– Environment, energy and water</w:t>
            </w:r>
          </w:p>
        </w:tc>
        <w:tc>
          <w:tcPr>
            <w:tcW w:w="2309" w:type="dxa"/>
            <w:shd w:val="clear" w:color="auto" w:fill="auto"/>
          </w:tcPr>
          <w:p w14:paraId="04898453" w14:textId="69C1B18E" w:rsidR="00DF2BBD" w:rsidRPr="0089547E" w:rsidRDefault="00E8661E">
            <w:pPr>
              <w:pStyle w:val="TableTextLeft"/>
              <w:rPr>
                <w:highlight w:val="yellow"/>
              </w:rPr>
            </w:pPr>
            <w:r w:rsidRPr="00C94004">
              <w:t>Future Made in Australia – Making Australia a Renewable Energy Superpower</w:t>
            </w:r>
          </w:p>
        </w:tc>
        <w:tc>
          <w:tcPr>
            <w:tcW w:w="2281" w:type="dxa"/>
            <w:shd w:val="clear" w:color="auto" w:fill="auto"/>
          </w:tcPr>
          <w:p w14:paraId="2AA61E39" w14:textId="122FADE8" w:rsidR="00DF2BBD" w:rsidRPr="0089547E" w:rsidRDefault="00DF2BBD">
            <w:pPr>
              <w:pStyle w:val="TableTextLeft"/>
              <w:rPr>
                <w:highlight w:val="yellow"/>
              </w:rPr>
            </w:pPr>
            <w:r w:rsidRPr="00C94004">
              <w:rPr>
                <w:rFonts w:cs="Cambria"/>
                <w:szCs w:val="16"/>
              </w:rPr>
              <w:t xml:space="preserve">Payments – </w:t>
            </w:r>
            <w:r w:rsidR="00E8661E" w:rsidRPr="00C94004">
              <w:t>Cross Portfolio</w:t>
            </w:r>
          </w:p>
        </w:tc>
      </w:tr>
      <w:tr w:rsidR="00DF2BBD" w:rsidRPr="0089547E" w14:paraId="2B053490" w14:textId="77777777">
        <w:trPr>
          <w:cantSplit/>
        </w:trPr>
        <w:tc>
          <w:tcPr>
            <w:tcW w:w="1560" w:type="dxa"/>
            <w:shd w:val="clear" w:color="auto" w:fill="auto"/>
          </w:tcPr>
          <w:p w14:paraId="20025DAA" w14:textId="77777777" w:rsidR="00DF2BBD" w:rsidRPr="0089547E" w:rsidRDefault="00DF2BBD">
            <w:pPr>
              <w:pStyle w:val="TableTextLeft"/>
              <w:rPr>
                <w:highlight w:val="yellow"/>
              </w:rPr>
            </w:pPr>
            <w:r w:rsidRPr="00C94004">
              <w:t>Future Drought Fund – Farm business resilience</w:t>
            </w:r>
          </w:p>
        </w:tc>
        <w:tc>
          <w:tcPr>
            <w:tcW w:w="1554" w:type="dxa"/>
            <w:shd w:val="clear" w:color="auto" w:fill="auto"/>
          </w:tcPr>
          <w:p w14:paraId="15D00B97" w14:textId="77777777" w:rsidR="00DF2BBD" w:rsidRPr="0089547E" w:rsidRDefault="00DF2BBD">
            <w:pPr>
              <w:pStyle w:val="TableTextLeft"/>
              <w:rPr>
                <w:highlight w:val="yellow"/>
              </w:rPr>
            </w:pPr>
            <w:r w:rsidRPr="00C94004">
              <w:rPr>
                <w:rFonts w:cs="Cambria"/>
                <w:szCs w:val="16"/>
              </w:rPr>
              <w:t xml:space="preserve">Part 2 </w:t>
            </w:r>
            <w:r w:rsidRPr="00C94004">
              <w:t>– Environment, energy and water</w:t>
            </w:r>
          </w:p>
        </w:tc>
        <w:tc>
          <w:tcPr>
            <w:tcW w:w="2309" w:type="dxa"/>
            <w:shd w:val="clear" w:color="auto" w:fill="auto"/>
          </w:tcPr>
          <w:p w14:paraId="6959689C" w14:textId="237E32B8" w:rsidR="00DF2BBD" w:rsidRPr="0089547E" w:rsidRDefault="00650EDF">
            <w:pPr>
              <w:pStyle w:val="TableTextLeft"/>
              <w:rPr>
                <w:highlight w:val="yellow"/>
              </w:rPr>
            </w:pPr>
            <w:r w:rsidRPr="00C94004">
              <w:t>Future Drought Fund – better support for farmers and communiti</w:t>
            </w:r>
            <w:r w:rsidR="00ED38A1" w:rsidRPr="00C94004">
              <w:t>es to manage drought and adapt to climate cha</w:t>
            </w:r>
            <w:r w:rsidR="00A05885" w:rsidRPr="00C94004">
              <w:t>nge</w:t>
            </w:r>
          </w:p>
        </w:tc>
        <w:tc>
          <w:tcPr>
            <w:tcW w:w="2281" w:type="dxa"/>
            <w:shd w:val="clear" w:color="auto" w:fill="auto"/>
          </w:tcPr>
          <w:p w14:paraId="260F10D3" w14:textId="683ED499" w:rsidR="00DF2BBD" w:rsidRPr="0089547E" w:rsidRDefault="00A05885">
            <w:pPr>
              <w:pStyle w:val="TableTextLeft"/>
              <w:rPr>
                <w:highlight w:val="yellow"/>
              </w:rPr>
            </w:pPr>
            <w:r w:rsidRPr="00C94004">
              <w:rPr>
                <w:rFonts w:cs="Cambria"/>
                <w:szCs w:val="16"/>
              </w:rPr>
              <w:t xml:space="preserve">Payments – </w:t>
            </w:r>
            <w:r w:rsidRPr="00C94004">
              <w:t>Agriculture, Fisheries and Forestry</w:t>
            </w:r>
          </w:p>
        </w:tc>
      </w:tr>
      <w:tr w:rsidR="00DF2BBD" w:rsidRPr="0089547E" w14:paraId="1F546CB6" w14:textId="77777777">
        <w:trPr>
          <w:cantSplit/>
        </w:trPr>
        <w:tc>
          <w:tcPr>
            <w:tcW w:w="1560" w:type="dxa"/>
            <w:shd w:val="clear" w:color="auto" w:fill="auto"/>
          </w:tcPr>
          <w:p w14:paraId="01BE3DDA" w14:textId="77777777" w:rsidR="00DF2BBD" w:rsidRPr="0089547E" w:rsidRDefault="00DF2BBD">
            <w:pPr>
              <w:pStyle w:val="TableTextLeft"/>
              <w:rPr>
                <w:highlight w:val="yellow"/>
              </w:rPr>
            </w:pPr>
            <w:r w:rsidRPr="00C94004">
              <w:t>Future Drought Fund – Regional drought resilience planning</w:t>
            </w:r>
          </w:p>
        </w:tc>
        <w:tc>
          <w:tcPr>
            <w:tcW w:w="1554" w:type="dxa"/>
            <w:shd w:val="clear" w:color="auto" w:fill="auto"/>
          </w:tcPr>
          <w:p w14:paraId="7A5776E2" w14:textId="77777777" w:rsidR="00DF2BBD" w:rsidRPr="0089547E" w:rsidRDefault="00DF2BBD">
            <w:pPr>
              <w:pStyle w:val="TableTextLeft"/>
              <w:rPr>
                <w:highlight w:val="yellow"/>
              </w:rPr>
            </w:pPr>
            <w:r w:rsidRPr="00C94004">
              <w:rPr>
                <w:rFonts w:cs="Cambria"/>
                <w:szCs w:val="16"/>
              </w:rPr>
              <w:t xml:space="preserve">Part 2 </w:t>
            </w:r>
            <w:r w:rsidRPr="00C94004">
              <w:t>– Environment, energy and water</w:t>
            </w:r>
          </w:p>
        </w:tc>
        <w:tc>
          <w:tcPr>
            <w:tcW w:w="2309" w:type="dxa"/>
            <w:shd w:val="clear" w:color="auto" w:fill="auto"/>
          </w:tcPr>
          <w:p w14:paraId="0878C022" w14:textId="75155245" w:rsidR="00DF2BBD" w:rsidRPr="0089547E" w:rsidRDefault="00A05885">
            <w:pPr>
              <w:pStyle w:val="TableTextLeft"/>
              <w:rPr>
                <w:highlight w:val="yellow"/>
              </w:rPr>
            </w:pPr>
            <w:r w:rsidRPr="00C94004">
              <w:t>Future Drought Fund – better support for farmers and communities to manage drought and adapt to climate change</w:t>
            </w:r>
          </w:p>
        </w:tc>
        <w:tc>
          <w:tcPr>
            <w:tcW w:w="2281" w:type="dxa"/>
            <w:shd w:val="clear" w:color="auto" w:fill="auto"/>
          </w:tcPr>
          <w:p w14:paraId="1B6F7E7E" w14:textId="50069536" w:rsidR="00DF2BBD" w:rsidRPr="0089547E" w:rsidRDefault="00A05885">
            <w:pPr>
              <w:pStyle w:val="TableTextLeft"/>
              <w:rPr>
                <w:highlight w:val="yellow"/>
              </w:rPr>
            </w:pPr>
            <w:r w:rsidRPr="00C94004">
              <w:rPr>
                <w:rFonts w:cs="Cambria"/>
                <w:szCs w:val="16"/>
              </w:rPr>
              <w:t xml:space="preserve">Payments – </w:t>
            </w:r>
            <w:r w:rsidRPr="00C94004">
              <w:t>Agriculture, Fisheries and Forestry</w:t>
            </w:r>
          </w:p>
        </w:tc>
      </w:tr>
      <w:tr w:rsidR="00DF2BBD" w:rsidRPr="0089547E" w14:paraId="7C0A5474" w14:textId="77777777">
        <w:trPr>
          <w:cantSplit/>
        </w:trPr>
        <w:tc>
          <w:tcPr>
            <w:tcW w:w="1560" w:type="dxa"/>
            <w:shd w:val="clear" w:color="auto" w:fill="auto"/>
          </w:tcPr>
          <w:p w14:paraId="04DB39CB" w14:textId="77777777" w:rsidR="00DF2BBD" w:rsidRPr="0089547E" w:rsidRDefault="00DF2BBD">
            <w:pPr>
              <w:pStyle w:val="TableTextLeft"/>
              <w:rPr>
                <w:highlight w:val="yellow"/>
              </w:rPr>
            </w:pPr>
            <w:r w:rsidRPr="00C94004">
              <w:t>Great Artesian Basin Water Security Program</w:t>
            </w:r>
          </w:p>
        </w:tc>
        <w:tc>
          <w:tcPr>
            <w:tcW w:w="1554" w:type="dxa"/>
            <w:shd w:val="clear" w:color="auto" w:fill="auto"/>
          </w:tcPr>
          <w:p w14:paraId="6944D2A5" w14:textId="53F7A06A" w:rsidR="00DF2BBD" w:rsidRPr="0089547E" w:rsidRDefault="00DF2BBD">
            <w:pPr>
              <w:pStyle w:val="TableTextLeft"/>
              <w:rPr>
                <w:highlight w:val="yellow"/>
              </w:rPr>
            </w:pPr>
            <w:r w:rsidRPr="00C94004">
              <w:rPr>
                <w:rFonts w:cs="Cambria"/>
                <w:szCs w:val="16"/>
              </w:rPr>
              <w:t xml:space="preserve">Part 2 </w:t>
            </w:r>
            <w:r w:rsidRPr="00C94004">
              <w:t>– Environment, energy and water</w:t>
            </w:r>
          </w:p>
        </w:tc>
        <w:tc>
          <w:tcPr>
            <w:tcW w:w="2309" w:type="dxa"/>
            <w:shd w:val="clear" w:color="auto" w:fill="auto"/>
          </w:tcPr>
          <w:p w14:paraId="10520319" w14:textId="0AE7A6D4" w:rsidR="00DF2BBD" w:rsidRPr="0089547E" w:rsidRDefault="00D85950">
            <w:pPr>
              <w:pStyle w:val="TableTextLeft"/>
              <w:rPr>
                <w:highlight w:val="yellow"/>
              </w:rPr>
            </w:pPr>
            <w:r w:rsidRPr="00C94004">
              <w:t>S</w:t>
            </w:r>
            <w:r w:rsidR="00684C18" w:rsidRPr="00C94004">
              <w:t>ustaining Water Functions</w:t>
            </w:r>
          </w:p>
        </w:tc>
        <w:tc>
          <w:tcPr>
            <w:tcW w:w="2281" w:type="dxa"/>
            <w:shd w:val="clear" w:color="auto" w:fill="auto"/>
          </w:tcPr>
          <w:p w14:paraId="354D92ED" w14:textId="77777777" w:rsidR="00DF2BBD" w:rsidRPr="0089547E" w:rsidRDefault="00DF2BBD">
            <w:pPr>
              <w:pStyle w:val="TableTextLeft"/>
              <w:rPr>
                <w:highlight w:val="yellow"/>
              </w:rPr>
            </w:pPr>
            <w:r w:rsidRPr="00C94004">
              <w:rPr>
                <w:rFonts w:cs="Cambria"/>
                <w:szCs w:val="16"/>
              </w:rPr>
              <w:t xml:space="preserve">Payments – </w:t>
            </w:r>
            <w:r w:rsidRPr="00C94004">
              <w:t>Climate Change, Energy, the Environment and Water</w:t>
            </w:r>
          </w:p>
        </w:tc>
      </w:tr>
      <w:tr w:rsidR="00DF2BBD" w:rsidRPr="0089547E" w14:paraId="6B2F1AFF" w14:textId="77777777">
        <w:trPr>
          <w:cantSplit/>
        </w:trPr>
        <w:tc>
          <w:tcPr>
            <w:tcW w:w="1560" w:type="dxa"/>
            <w:shd w:val="clear" w:color="auto" w:fill="auto"/>
          </w:tcPr>
          <w:p w14:paraId="3356D57C" w14:textId="77777777" w:rsidR="00DF2BBD" w:rsidRPr="0089547E" w:rsidRDefault="00DF2BBD">
            <w:pPr>
              <w:pStyle w:val="TableTextLeft"/>
              <w:rPr>
                <w:highlight w:val="yellow"/>
              </w:rPr>
            </w:pPr>
            <w:r w:rsidRPr="00C94004">
              <w:t xml:space="preserve">Implementation of the live sheep exports by sea phase out  </w:t>
            </w:r>
          </w:p>
        </w:tc>
        <w:tc>
          <w:tcPr>
            <w:tcW w:w="1554" w:type="dxa"/>
            <w:shd w:val="clear" w:color="auto" w:fill="auto"/>
          </w:tcPr>
          <w:p w14:paraId="2548CCE4" w14:textId="1441423C" w:rsidR="00DF2BBD" w:rsidRPr="0089547E" w:rsidRDefault="00DF2BBD">
            <w:pPr>
              <w:pStyle w:val="TableTextLeft"/>
              <w:rPr>
                <w:highlight w:val="yellow"/>
              </w:rPr>
            </w:pPr>
            <w:r w:rsidRPr="00C94004">
              <w:rPr>
                <w:rFonts w:cs="Cambria"/>
                <w:szCs w:val="16"/>
              </w:rPr>
              <w:t xml:space="preserve">Part 2 </w:t>
            </w:r>
            <w:r w:rsidRPr="00C94004">
              <w:t>– Environment, energy and water</w:t>
            </w:r>
          </w:p>
        </w:tc>
        <w:tc>
          <w:tcPr>
            <w:tcW w:w="2309" w:type="dxa"/>
            <w:shd w:val="clear" w:color="auto" w:fill="auto"/>
          </w:tcPr>
          <w:p w14:paraId="74E90E4F" w14:textId="44B402A3" w:rsidR="00DF2BBD" w:rsidRPr="0089547E" w:rsidRDefault="00DF2BBD">
            <w:pPr>
              <w:pStyle w:val="TableTextLeft"/>
              <w:rPr>
                <w:highlight w:val="yellow"/>
              </w:rPr>
            </w:pPr>
            <w:r w:rsidRPr="00C94004">
              <w:t xml:space="preserve">Phase Out of Live Sheep Exports by Sea – transition support  </w:t>
            </w:r>
          </w:p>
        </w:tc>
        <w:tc>
          <w:tcPr>
            <w:tcW w:w="2281" w:type="dxa"/>
            <w:shd w:val="clear" w:color="auto" w:fill="auto"/>
          </w:tcPr>
          <w:p w14:paraId="2BD6D17B" w14:textId="17879EDC" w:rsidR="00DF2BBD" w:rsidRPr="0089547E" w:rsidRDefault="005D2792">
            <w:pPr>
              <w:pStyle w:val="TableTextLeft"/>
              <w:rPr>
                <w:highlight w:val="yellow"/>
              </w:rPr>
            </w:pPr>
            <w:r w:rsidRPr="00C94004">
              <w:rPr>
                <w:rFonts w:cs="Cambria"/>
                <w:szCs w:val="16"/>
              </w:rPr>
              <w:t xml:space="preserve">Payments – </w:t>
            </w:r>
            <w:r w:rsidRPr="00C94004">
              <w:t>Agriculture, Fisheries and Forestry</w:t>
            </w:r>
          </w:p>
        </w:tc>
      </w:tr>
      <w:tr w:rsidR="00DF2BBD" w:rsidRPr="00C94004" w14:paraId="0D0A652F" w14:textId="77777777">
        <w:trPr>
          <w:cantSplit/>
        </w:trPr>
        <w:tc>
          <w:tcPr>
            <w:tcW w:w="1560" w:type="dxa"/>
            <w:shd w:val="clear" w:color="auto" w:fill="auto"/>
          </w:tcPr>
          <w:p w14:paraId="092B9523" w14:textId="77777777" w:rsidR="00DF2BBD" w:rsidRPr="0089547E" w:rsidRDefault="00DF2BBD">
            <w:pPr>
              <w:pStyle w:val="TableTextLeft"/>
              <w:rPr>
                <w:highlight w:val="yellow"/>
              </w:rPr>
            </w:pPr>
            <w:r w:rsidRPr="00C94004">
              <w:t>Implementing water reform in the Murray–Darling Basin</w:t>
            </w:r>
          </w:p>
        </w:tc>
        <w:tc>
          <w:tcPr>
            <w:tcW w:w="1554" w:type="dxa"/>
            <w:shd w:val="clear" w:color="auto" w:fill="auto"/>
          </w:tcPr>
          <w:p w14:paraId="680513CA" w14:textId="77777777" w:rsidR="00DF2BBD" w:rsidRPr="0089547E" w:rsidRDefault="00DF2BBD">
            <w:pPr>
              <w:pStyle w:val="TableTextLeft"/>
              <w:rPr>
                <w:highlight w:val="yellow"/>
              </w:rPr>
            </w:pPr>
            <w:r w:rsidRPr="00C94004">
              <w:rPr>
                <w:rFonts w:cs="Cambria"/>
                <w:szCs w:val="16"/>
              </w:rPr>
              <w:t xml:space="preserve">Part 2 </w:t>
            </w:r>
            <w:r w:rsidRPr="00C94004">
              <w:t>– Environment, energy and water</w:t>
            </w:r>
          </w:p>
        </w:tc>
        <w:tc>
          <w:tcPr>
            <w:tcW w:w="2309" w:type="dxa"/>
            <w:shd w:val="clear" w:color="auto" w:fill="auto"/>
          </w:tcPr>
          <w:p w14:paraId="25D50F71" w14:textId="13214E8E" w:rsidR="00DF2BBD" w:rsidRPr="0089547E" w:rsidRDefault="00C06CA3">
            <w:pPr>
              <w:pStyle w:val="TableTextLeft"/>
              <w:rPr>
                <w:highlight w:val="yellow"/>
              </w:rPr>
            </w:pPr>
            <w:r w:rsidRPr="00C94004">
              <w:t>Murray</w:t>
            </w:r>
            <w:r w:rsidR="00BE2E8A" w:rsidRPr="00C94004">
              <w:noBreakHyphen/>
            </w:r>
            <w:r w:rsidRPr="00C94004">
              <w:t>Darling Basin Plan – continuing delivery</w:t>
            </w:r>
          </w:p>
        </w:tc>
        <w:tc>
          <w:tcPr>
            <w:tcW w:w="2281" w:type="dxa"/>
            <w:shd w:val="clear" w:color="auto" w:fill="auto"/>
          </w:tcPr>
          <w:p w14:paraId="79BE1A78" w14:textId="77777777" w:rsidR="00DF2BBD" w:rsidRPr="00C94004" w:rsidRDefault="00DF2BBD">
            <w:pPr>
              <w:pStyle w:val="TableTextLeft"/>
            </w:pPr>
            <w:r w:rsidRPr="00C94004">
              <w:rPr>
                <w:rFonts w:cs="Cambria"/>
                <w:szCs w:val="16"/>
              </w:rPr>
              <w:t xml:space="preserve">Payments – </w:t>
            </w:r>
            <w:r w:rsidRPr="00C94004">
              <w:t>Climate Change, Energy, the Environment and Water</w:t>
            </w:r>
          </w:p>
        </w:tc>
      </w:tr>
      <w:tr w:rsidR="00A01497" w:rsidRPr="00C94004" w14:paraId="240EB6C0" w14:textId="77777777">
        <w:trPr>
          <w:cantSplit/>
        </w:trPr>
        <w:tc>
          <w:tcPr>
            <w:tcW w:w="1560" w:type="dxa"/>
            <w:shd w:val="clear" w:color="auto" w:fill="auto"/>
          </w:tcPr>
          <w:p w14:paraId="46906844" w14:textId="061E84BC" w:rsidR="00A01497" w:rsidRPr="00C94004" w:rsidRDefault="00A01497" w:rsidP="00A01497">
            <w:pPr>
              <w:pStyle w:val="TableTextLeft"/>
            </w:pPr>
            <w:r w:rsidRPr="00C94004">
              <w:t xml:space="preserve">Support Forestry Strategy Development  </w:t>
            </w:r>
          </w:p>
        </w:tc>
        <w:tc>
          <w:tcPr>
            <w:tcW w:w="1554" w:type="dxa"/>
            <w:shd w:val="clear" w:color="auto" w:fill="auto"/>
          </w:tcPr>
          <w:p w14:paraId="2CFCC32F" w14:textId="5BD6CEAD" w:rsidR="00A01497" w:rsidRPr="00C94004" w:rsidRDefault="00A01497" w:rsidP="00A01497">
            <w:pPr>
              <w:pStyle w:val="TableTextLeft"/>
              <w:rPr>
                <w:rFonts w:cs="Cambria"/>
                <w:szCs w:val="16"/>
              </w:rPr>
            </w:pPr>
            <w:r w:rsidRPr="00C94004">
              <w:rPr>
                <w:rFonts w:cs="Cambria"/>
                <w:szCs w:val="16"/>
              </w:rPr>
              <w:t xml:space="preserve">Part 2 </w:t>
            </w:r>
            <w:r w:rsidRPr="00C94004">
              <w:t>– Environment, energy and water</w:t>
            </w:r>
          </w:p>
        </w:tc>
        <w:tc>
          <w:tcPr>
            <w:tcW w:w="2309" w:type="dxa"/>
            <w:shd w:val="clear" w:color="auto" w:fill="auto"/>
          </w:tcPr>
          <w:p w14:paraId="77D8AAAD" w14:textId="5AC3AD65" w:rsidR="00A01497" w:rsidRPr="00C94004" w:rsidRDefault="00A01497" w:rsidP="00A01497">
            <w:pPr>
              <w:pStyle w:val="TableTextLeft"/>
            </w:pPr>
            <w:r w:rsidRPr="00C94004">
              <w:t xml:space="preserve">Agriculture – other priorities </w:t>
            </w:r>
          </w:p>
        </w:tc>
        <w:tc>
          <w:tcPr>
            <w:tcW w:w="2281" w:type="dxa"/>
            <w:shd w:val="clear" w:color="auto" w:fill="auto"/>
          </w:tcPr>
          <w:p w14:paraId="4E18AF6D" w14:textId="1FDFE0C6" w:rsidR="00A01497" w:rsidRPr="00C94004" w:rsidRDefault="00A01497" w:rsidP="00A01497">
            <w:pPr>
              <w:pStyle w:val="TableTextLeft"/>
              <w:rPr>
                <w:rFonts w:cs="Cambria"/>
                <w:szCs w:val="16"/>
              </w:rPr>
            </w:pPr>
            <w:r w:rsidRPr="00C94004">
              <w:rPr>
                <w:rFonts w:cs="Cambria"/>
                <w:szCs w:val="16"/>
              </w:rPr>
              <w:t xml:space="preserve">Payments – </w:t>
            </w:r>
            <w:r w:rsidRPr="00C94004">
              <w:t>Agriculture, Fisheries and Forestry</w:t>
            </w:r>
          </w:p>
        </w:tc>
      </w:tr>
      <w:tr w:rsidR="00A01497" w:rsidRPr="00C94004" w14:paraId="58438B58" w14:textId="77777777">
        <w:trPr>
          <w:cantSplit/>
        </w:trPr>
        <w:tc>
          <w:tcPr>
            <w:tcW w:w="1560" w:type="dxa"/>
            <w:shd w:val="clear" w:color="auto" w:fill="auto"/>
          </w:tcPr>
          <w:p w14:paraId="0F9F714A" w14:textId="6ABEC0AD" w:rsidR="00A01497" w:rsidRPr="00C94004" w:rsidRDefault="00A01497" w:rsidP="00A01497">
            <w:pPr>
              <w:pStyle w:val="TableTextLeft"/>
            </w:pPr>
            <w:r w:rsidRPr="00C94004">
              <w:t>Supporting Emissions Reduction in Queensland’s Energy Resources Sector(a)</w:t>
            </w:r>
          </w:p>
        </w:tc>
        <w:tc>
          <w:tcPr>
            <w:tcW w:w="1554" w:type="dxa"/>
            <w:shd w:val="clear" w:color="auto" w:fill="auto"/>
          </w:tcPr>
          <w:p w14:paraId="72C9ED3C" w14:textId="32F2A841" w:rsidR="00A01497" w:rsidRPr="00C94004" w:rsidRDefault="00A01497" w:rsidP="00A01497">
            <w:pPr>
              <w:pStyle w:val="TableTextLeft"/>
              <w:rPr>
                <w:rFonts w:cs="Cambria"/>
                <w:szCs w:val="16"/>
              </w:rPr>
            </w:pPr>
            <w:r w:rsidRPr="00C94004">
              <w:rPr>
                <w:rFonts w:cs="Cambria"/>
                <w:szCs w:val="16"/>
              </w:rPr>
              <w:t xml:space="preserve">Part 2 </w:t>
            </w:r>
            <w:r w:rsidRPr="00C94004">
              <w:t>– Environment, energy and water</w:t>
            </w:r>
          </w:p>
        </w:tc>
        <w:tc>
          <w:tcPr>
            <w:tcW w:w="2309" w:type="dxa"/>
            <w:shd w:val="clear" w:color="auto" w:fill="auto"/>
          </w:tcPr>
          <w:p w14:paraId="479F1055" w14:textId="222DA5AC" w:rsidR="00A01497" w:rsidRPr="00C94004" w:rsidRDefault="00A01497" w:rsidP="00A01497">
            <w:pPr>
              <w:pStyle w:val="TableTextLeft"/>
            </w:pPr>
            <w:r w:rsidRPr="00C94004">
              <w:t>Future Made in Australia – Making Australia a Renewable Energy Superpower</w:t>
            </w:r>
          </w:p>
        </w:tc>
        <w:tc>
          <w:tcPr>
            <w:tcW w:w="2281" w:type="dxa"/>
            <w:shd w:val="clear" w:color="auto" w:fill="auto"/>
          </w:tcPr>
          <w:p w14:paraId="3C425855" w14:textId="4C398C14" w:rsidR="00A01497" w:rsidRPr="00C94004" w:rsidRDefault="00A01497" w:rsidP="00A01497">
            <w:pPr>
              <w:pStyle w:val="TableTextLeft"/>
              <w:rPr>
                <w:rFonts w:cs="Cambria"/>
                <w:szCs w:val="16"/>
              </w:rPr>
            </w:pPr>
            <w:r w:rsidRPr="00C94004">
              <w:rPr>
                <w:rFonts w:cs="Cambria"/>
                <w:szCs w:val="16"/>
              </w:rPr>
              <w:t xml:space="preserve">Payments – </w:t>
            </w:r>
            <w:r w:rsidRPr="00C94004">
              <w:t>Cross Portfolio</w:t>
            </w:r>
          </w:p>
        </w:tc>
      </w:tr>
      <w:tr w:rsidR="00A01497" w:rsidRPr="00C94004" w14:paraId="3A1D5320" w14:textId="77777777">
        <w:trPr>
          <w:cantSplit/>
        </w:trPr>
        <w:tc>
          <w:tcPr>
            <w:tcW w:w="1560" w:type="dxa"/>
            <w:shd w:val="clear" w:color="auto" w:fill="auto"/>
          </w:tcPr>
          <w:p w14:paraId="2FCC728F" w14:textId="56BFB7E0" w:rsidR="00A01497" w:rsidRPr="00C94004" w:rsidRDefault="00A01497" w:rsidP="00A01497">
            <w:pPr>
              <w:pStyle w:val="TableTextLeft"/>
            </w:pPr>
            <w:r w:rsidRPr="00C94004">
              <w:t>Sustainable rural water use and infrastructure program</w:t>
            </w:r>
          </w:p>
        </w:tc>
        <w:tc>
          <w:tcPr>
            <w:tcW w:w="1554" w:type="dxa"/>
            <w:shd w:val="clear" w:color="auto" w:fill="auto"/>
          </w:tcPr>
          <w:p w14:paraId="5153B143" w14:textId="13FDF9B3" w:rsidR="00A01497" w:rsidRPr="00C94004" w:rsidRDefault="00A01497" w:rsidP="00A01497">
            <w:pPr>
              <w:pStyle w:val="TableTextLeft"/>
              <w:rPr>
                <w:rFonts w:cs="Cambria"/>
                <w:szCs w:val="16"/>
              </w:rPr>
            </w:pPr>
            <w:r w:rsidRPr="00C94004">
              <w:rPr>
                <w:rFonts w:cs="Cambria"/>
                <w:szCs w:val="16"/>
              </w:rPr>
              <w:t xml:space="preserve">Part 2 </w:t>
            </w:r>
            <w:r w:rsidRPr="00C94004">
              <w:t>– Environment, energy and water</w:t>
            </w:r>
          </w:p>
        </w:tc>
        <w:tc>
          <w:tcPr>
            <w:tcW w:w="2309" w:type="dxa"/>
            <w:shd w:val="clear" w:color="auto" w:fill="auto"/>
          </w:tcPr>
          <w:p w14:paraId="12C444F7" w14:textId="1160FC08" w:rsidR="00A01497" w:rsidRPr="00C94004" w:rsidRDefault="00A01497" w:rsidP="00A01497">
            <w:pPr>
              <w:pStyle w:val="TableTextLeft"/>
            </w:pPr>
            <w:r w:rsidRPr="00C94004">
              <w:t>Murray</w:t>
            </w:r>
            <w:r w:rsidRPr="00C94004">
              <w:noBreakHyphen/>
              <w:t>Darling Basin Plan – continuing delivery</w:t>
            </w:r>
          </w:p>
        </w:tc>
        <w:tc>
          <w:tcPr>
            <w:tcW w:w="2281" w:type="dxa"/>
            <w:shd w:val="clear" w:color="auto" w:fill="auto"/>
          </w:tcPr>
          <w:p w14:paraId="0E96613E" w14:textId="50B174A1" w:rsidR="00A01497" w:rsidRPr="00C94004" w:rsidRDefault="00A01497" w:rsidP="00A01497">
            <w:pPr>
              <w:pStyle w:val="TableTextLeft"/>
              <w:rPr>
                <w:rFonts w:cs="Cambria"/>
                <w:szCs w:val="16"/>
              </w:rPr>
            </w:pPr>
            <w:r w:rsidRPr="00C94004">
              <w:rPr>
                <w:rFonts w:cs="Cambria"/>
                <w:szCs w:val="16"/>
              </w:rPr>
              <w:t xml:space="preserve">Payments – </w:t>
            </w:r>
            <w:r w:rsidRPr="00C94004">
              <w:t>Climate Change, Energy, the Environment and Water</w:t>
            </w:r>
          </w:p>
        </w:tc>
      </w:tr>
      <w:tr w:rsidR="00A01497" w:rsidRPr="00C94004" w14:paraId="4CE354C2" w14:textId="77777777">
        <w:trPr>
          <w:cantSplit/>
        </w:trPr>
        <w:tc>
          <w:tcPr>
            <w:tcW w:w="1560" w:type="dxa"/>
            <w:shd w:val="clear" w:color="auto" w:fill="auto"/>
          </w:tcPr>
          <w:p w14:paraId="4C5FBBE1" w14:textId="42D42765" w:rsidR="00A01497" w:rsidRPr="00C94004" w:rsidRDefault="00A01497" w:rsidP="00A01497">
            <w:pPr>
              <w:pStyle w:val="TableTextLeft"/>
            </w:pPr>
            <w:r w:rsidRPr="00C94004">
              <w:t>Water for the Environment Special Account – Implementation of Constraints Measures</w:t>
            </w:r>
          </w:p>
        </w:tc>
        <w:tc>
          <w:tcPr>
            <w:tcW w:w="1554" w:type="dxa"/>
            <w:shd w:val="clear" w:color="auto" w:fill="auto"/>
          </w:tcPr>
          <w:p w14:paraId="0FB77CFC" w14:textId="5FF81E8A" w:rsidR="00A01497" w:rsidRPr="00C94004" w:rsidRDefault="00A01497" w:rsidP="00A01497">
            <w:pPr>
              <w:pStyle w:val="TableTextLeft"/>
              <w:rPr>
                <w:rFonts w:cs="Cambria"/>
                <w:szCs w:val="16"/>
              </w:rPr>
            </w:pPr>
            <w:r w:rsidRPr="00C94004">
              <w:rPr>
                <w:rFonts w:cs="Cambria"/>
                <w:szCs w:val="16"/>
              </w:rPr>
              <w:t xml:space="preserve">Part 2 </w:t>
            </w:r>
            <w:r w:rsidRPr="00C94004">
              <w:t>– Environment, energy and water</w:t>
            </w:r>
          </w:p>
        </w:tc>
        <w:tc>
          <w:tcPr>
            <w:tcW w:w="2309" w:type="dxa"/>
            <w:shd w:val="clear" w:color="auto" w:fill="auto"/>
          </w:tcPr>
          <w:p w14:paraId="0D4285A6" w14:textId="4CB86D99" w:rsidR="00A01497" w:rsidRPr="00C94004" w:rsidRDefault="00A01497" w:rsidP="00A01497">
            <w:pPr>
              <w:pStyle w:val="TableTextLeft"/>
            </w:pPr>
            <w:r w:rsidRPr="00C94004">
              <w:t>Murray</w:t>
            </w:r>
            <w:r w:rsidRPr="00C94004">
              <w:noBreakHyphen/>
              <w:t>Darling Basin Plan – continuing delivery</w:t>
            </w:r>
          </w:p>
        </w:tc>
        <w:tc>
          <w:tcPr>
            <w:tcW w:w="2281" w:type="dxa"/>
            <w:shd w:val="clear" w:color="auto" w:fill="auto"/>
          </w:tcPr>
          <w:p w14:paraId="4C0DEA53" w14:textId="5A515BC6" w:rsidR="00A01497" w:rsidRPr="00C94004" w:rsidRDefault="00A01497" w:rsidP="00A01497">
            <w:pPr>
              <w:pStyle w:val="TableTextLeft"/>
              <w:rPr>
                <w:rFonts w:cs="Cambria"/>
                <w:szCs w:val="16"/>
              </w:rPr>
            </w:pPr>
            <w:r w:rsidRPr="00C94004">
              <w:rPr>
                <w:rFonts w:cs="Cambria"/>
                <w:szCs w:val="16"/>
              </w:rPr>
              <w:t xml:space="preserve">Payments – </w:t>
            </w:r>
            <w:r w:rsidRPr="00C94004">
              <w:t>Climate Change, Energy, the Environment and Water</w:t>
            </w:r>
          </w:p>
        </w:tc>
      </w:tr>
      <w:tr w:rsidR="00A01497" w:rsidRPr="00C94004" w14:paraId="621A9331" w14:textId="77777777">
        <w:trPr>
          <w:cantSplit/>
        </w:trPr>
        <w:tc>
          <w:tcPr>
            <w:tcW w:w="1560" w:type="dxa"/>
            <w:shd w:val="clear" w:color="auto" w:fill="auto"/>
          </w:tcPr>
          <w:p w14:paraId="32F86B35" w14:textId="7E3AA8EC" w:rsidR="00A01497" w:rsidRPr="00C94004" w:rsidRDefault="00A01497" w:rsidP="00A01497">
            <w:pPr>
              <w:pStyle w:val="TableTextLeft"/>
            </w:pPr>
            <w:r w:rsidRPr="00C94004">
              <w:t>Water for the Environment Special Account – Off</w:t>
            </w:r>
            <w:r w:rsidRPr="00C94004">
              <w:noBreakHyphen/>
              <w:t xml:space="preserve">farm Efficiency Program </w:t>
            </w:r>
          </w:p>
        </w:tc>
        <w:tc>
          <w:tcPr>
            <w:tcW w:w="1554" w:type="dxa"/>
            <w:shd w:val="clear" w:color="auto" w:fill="auto"/>
          </w:tcPr>
          <w:p w14:paraId="7F35A61E" w14:textId="2B6F5874" w:rsidR="00A01497" w:rsidRPr="00C94004" w:rsidRDefault="00A01497" w:rsidP="00A01497">
            <w:pPr>
              <w:pStyle w:val="TableTextLeft"/>
              <w:rPr>
                <w:rFonts w:cs="Cambria"/>
                <w:szCs w:val="16"/>
              </w:rPr>
            </w:pPr>
            <w:r w:rsidRPr="00C94004">
              <w:rPr>
                <w:rFonts w:cs="Cambria"/>
                <w:szCs w:val="16"/>
              </w:rPr>
              <w:t xml:space="preserve">Part 2 </w:t>
            </w:r>
            <w:r w:rsidRPr="00C94004">
              <w:t>– Environment, energy and water</w:t>
            </w:r>
          </w:p>
        </w:tc>
        <w:tc>
          <w:tcPr>
            <w:tcW w:w="2309" w:type="dxa"/>
            <w:shd w:val="clear" w:color="auto" w:fill="auto"/>
          </w:tcPr>
          <w:p w14:paraId="4832D33F" w14:textId="69A11136" w:rsidR="00A01497" w:rsidRPr="00C94004" w:rsidRDefault="00A01497" w:rsidP="00A01497">
            <w:pPr>
              <w:pStyle w:val="TableTextLeft"/>
            </w:pPr>
            <w:r w:rsidRPr="00C94004">
              <w:t>Murray</w:t>
            </w:r>
            <w:r w:rsidRPr="00C94004">
              <w:noBreakHyphen/>
              <w:t>Darling Basin Plan – continuing delivery</w:t>
            </w:r>
          </w:p>
        </w:tc>
        <w:tc>
          <w:tcPr>
            <w:tcW w:w="2281" w:type="dxa"/>
            <w:shd w:val="clear" w:color="auto" w:fill="auto"/>
          </w:tcPr>
          <w:p w14:paraId="60DEE596" w14:textId="631E31DC" w:rsidR="00A01497" w:rsidRPr="00C94004" w:rsidRDefault="00A01497" w:rsidP="00A01497">
            <w:pPr>
              <w:pStyle w:val="TableTextLeft"/>
              <w:rPr>
                <w:rFonts w:cs="Cambria"/>
                <w:szCs w:val="16"/>
              </w:rPr>
            </w:pPr>
            <w:r w:rsidRPr="00C94004">
              <w:rPr>
                <w:rFonts w:cs="Cambria"/>
                <w:szCs w:val="16"/>
              </w:rPr>
              <w:t xml:space="preserve">Payments – </w:t>
            </w:r>
            <w:r w:rsidRPr="00C94004">
              <w:t>Climate Change, Energy, the Environment and Water</w:t>
            </w:r>
          </w:p>
        </w:tc>
      </w:tr>
      <w:tr w:rsidR="00A01497" w:rsidRPr="00C94004" w14:paraId="68C5FB55" w14:textId="77777777">
        <w:trPr>
          <w:cantSplit/>
        </w:trPr>
        <w:tc>
          <w:tcPr>
            <w:tcW w:w="1560" w:type="dxa"/>
            <w:shd w:val="clear" w:color="auto" w:fill="auto"/>
          </w:tcPr>
          <w:p w14:paraId="30802A64" w14:textId="31E97803" w:rsidR="00A01497" w:rsidRPr="00C94004" w:rsidRDefault="00A01497" w:rsidP="00A01497">
            <w:pPr>
              <w:pStyle w:val="TableTextLeft"/>
            </w:pPr>
            <w:r w:rsidRPr="00C94004">
              <w:t>Water for the Environment Special Account – Resilient Rivers Water Infrastructure Program</w:t>
            </w:r>
          </w:p>
        </w:tc>
        <w:tc>
          <w:tcPr>
            <w:tcW w:w="1554" w:type="dxa"/>
            <w:shd w:val="clear" w:color="auto" w:fill="auto"/>
          </w:tcPr>
          <w:p w14:paraId="3FE6FA32" w14:textId="64ADC648" w:rsidR="00A01497" w:rsidRPr="00C94004" w:rsidRDefault="00A01497" w:rsidP="00A01497">
            <w:pPr>
              <w:pStyle w:val="TableTextLeft"/>
              <w:rPr>
                <w:rFonts w:cs="Cambria"/>
                <w:szCs w:val="16"/>
              </w:rPr>
            </w:pPr>
            <w:r w:rsidRPr="00C94004">
              <w:rPr>
                <w:rFonts w:cs="Cambria"/>
                <w:szCs w:val="16"/>
              </w:rPr>
              <w:t xml:space="preserve">Part 2 </w:t>
            </w:r>
            <w:r w:rsidRPr="00C94004">
              <w:t>– Environment, energy and water</w:t>
            </w:r>
          </w:p>
        </w:tc>
        <w:tc>
          <w:tcPr>
            <w:tcW w:w="2309" w:type="dxa"/>
            <w:shd w:val="clear" w:color="auto" w:fill="auto"/>
          </w:tcPr>
          <w:p w14:paraId="1B192F07" w14:textId="799CA506" w:rsidR="00A01497" w:rsidRPr="00C94004" w:rsidRDefault="00A01497" w:rsidP="00A01497">
            <w:pPr>
              <w:pStyle w:val="TableTextLeft"/>
            </w:pPr>
            <w:r w:rsidRPr="00C94004">
              <w:t>Murray</w:t>
            </w:r>
            <w:r w:rsidRPr="00C94004">
              <w:noBreakHyphen/>
              <w:t>Darling Basin Plan – continuing delivery</w:t>
            </w:r>
          </w:p>
        </w:tc>
        <w:tc>
          <w:tcPr>
            <w:tcW w:w="2281" w:type="dxa"/>
            <w:shd w:val="clear" w:color="auto" w:fill="auto"/>
          </w:tcPr>
          <w:p w14:paraId="302DD15F" w14:textId="0973D477" w:rsidR="00A01497" w:rsidRPr="00C94004" w:rsidRDefault="00A01497" w:rsidP="00A01497">
            <w:pPr>
              <w:pStyle w:val="TableTextLeft"/>
              <w:rPr>
                <w:rFonts w:cs="Cambria"/>
                <w:szCs w:val="16"/>
              </w:rPr>
            </w:pPr>
            <w:r w:rsidRPr="00C94004">
              <w:rPr>
                <w:rFonts w:cs="Cambria"/>
                <w:szCs w:val="16"/>
              </w:rPr>
              <w:t xml:space="preserve">Payments – </w:t>
            </w:r>
            <w:r w:rsidRPr="00C94004">
              <w:t>Climate Change, Energy, the Environment and Water</w:t>
            </w:r>
          </w:p>
        </w:tc>
      </w:tr>
    </w:tbl>
    <w:p w14:paraId="1E742537" w14:textId="5669050C" w:rsidR="008B3FE4" w:rsidRPr="00C94004" w:rsidRDefault="008B3FE4" w:rsidP="008B3FE4">
      <w:pPr>
        <w:pStyle w:val="TableHeadingcontinued"/>
      </w:pPr>
      <w:r w:rsidRPr="00C94004">
        <w:lastRenderedPageBreak/>
        <w:t>Table 1.4: Measures affecting payments to the states (continued)</w:t>
      </w:r>
    </w:p>
    <w:tbl>
      <w:tblPr>
        <w:tblW w:w="5000" w:type="pct"/>
        <w:tblInd w:w="-3" w:type="dxa"/>
        <w:tblBorders>
          <w:top w:val="single" w:sz="2" w:space="0" w:color="293F5B"/>
          <w:left w:val="single" w:sz="2" w:space="0" w:color="293F5B"/>
          <w:bottom w:val="single" w:sz="2" w:space="0" w:color="293F5B"/>
          <w:right w:val="single" w:sz="2" w:space="0" w:color="293F5B"/>
          <w:insideH w:val="single" w:sz="2" w:space="0" w:color="293F5B"/>
          <w:insideV w:val="single" w:sz="2" w:space="0" w:color="293F5B"/>
        </w:tblBorders>
        <w:tblLayout w:type="fixed"/>
        <w:tblLook w:val="04A0" w:firstRow="1" w:lastRow="0" w:firstColumn="1" w:lastColumn="0" w:noHBand="0" w:noVBand="1"/>
        <w:tblCaption w:val="Table"/>
      </w:tblPr>
      <w:tblGrid>
        <w:gridCol w:w="1560"/>
        <w:gridCol w:w="1554"/>
        <w:gridCol w:w="2309"/>
        <w:gridCol w:w="2281"/>
      </w:tblGrid>
      <w:tr w:rsidR="00DF2BBD" w:rsidRPr="0089547E" w14:paraId="3198193C" w14:textId="77777777">
        <w:trPr>
          <w:cantSplit/>
        </w:trPr>
        <w:tc>
          <w:tcPr>
            <w:tcW w:w="1560" w:type="dxa"/>
            <w:shd w:val="clear" w:color="auto" w:fill="auto"/>
          </w:tcPr>
          <w:p w14:paraId="4B9BEEC8" w14:textId="77777777" w:rsidR="00DF2BBD" w:rsidRPr="0089547E" w:rsidRDefault="00DF2BBD">
            <w:pPr>
              <w:pStyle w:val="TableTextLeft"/>
              <w:rPr>
                <w:highlight w:val="yellow"/>
              </w:rPr>
            </w:pPr>
            <w:r w:rsidRPr="00C94004">
              <w:t>Water for the Environment Special Account – Sustainable Communities Program</w:t>
            </w:r>
          </w:p>
        </w:tc>
        <w:tc>
          <w:tcPr>
            <w:tcW w:w="1554" w:type="dxa"/>
            <w:shd w:val="clear" w:color="auto" w:fill="auto"/>
          </w:tcPr>
          <w:p w14:paraId="38244C9E" w14:textId="77777777" w:rsidR="00DF2BBD" w:rsidRPr="0089547E" w:rsidRDefault="00DF2BBD">
            <w:pPr>
              <w:pStyle w:val="TableTextLeft"/>
              <w:rPr>
                <w:rFonts w:cs="Cambria"/>
                <w:szCs w:val="16"/>
                <w:highlight w:val="yellow"/>
              </w:rPr>
            </w:pPr>
            <w:r w:rsidRPr="00C94004">
              <w:rPr>
                <w:rFonts w:cs="Cambria"/>
                <w:szCs w:val="16"/>
              </w:rPr>
              <w:t xml:space="preserve">Part 2 </w:t>
            </w:r>
            <w:r w:rsidRPr="00C94004">
              <w:t>– Environment, energy and water</w:t>
            </w:r>
          </w:p>
        </w:tc>
        <w:tc>
          <w:tcPr>
            <w:tcW w:w="2309" w:type="dxa"/>
            <w:shd w:val="clear" w:color="auto" w:fill="auto"/>
          </w:tcPr>
          <w:p w14:paraId="639C1AB2" w14:textId="365AB0EF" w:rsidR="00DF2BBD" w:rsidRPr="0089547E" w:rsidRDefault="00672E52">
            <w:pPr>
              <w:pStyle w:val="TableTextLeft"/>
              <w:rPr>
                <w:highlight w:val="yellow"/>
              </w:rPr>
            </w:pPr>
            <w:r w:rsidRPr="00C94004">
              <w:t>Murray</w:t>
            </w:r>
            <w:r w:rsidR="00BE2E8A" w:rsidRPr="00C94004">
              <w:noBreakHyphen/>
            </w:r>
            <w:r w:rsidRPr="00C94004">
              <w:t>Darling Basin Plan – continuing delivery</w:t>
            </w:r>
          </w:p>
        </w:tc>
        <w:tc>
          <w:tcPr>
            <w:tcW w:w="2281" w:type="dxa"/>
            <w:shd w:val="clear" w:color="auto" w:fill="auto"/>
          </w:tcPr>
          <w:p w14:paraId="76B8FB92" w14:textId="77777777" w:rsidR="00DF2BBD" w:rsidRPr="0089547E" w:rsidRDefault="00DF2BBD">
            <w:pPr>
              <w:pStyle w:val="TableTextLeft"/>
              <w:rPr>
                <w:highlight w:val="yellow"/>
              </w:rPr>
            </w:pPr>
            <w:r w:rsidRPr="00C94004">
              <w:rPr>
                <w:rFonts w:cs="Cambria"/>
                <w:szCs w:val="16"/>
              </w:rPr>
              <w:t xml:space="preserve">Payments – </w:t>
            </w:r>
            <w:r w:rsidRPr="00C94004">
              <w:t>Climate Change, Energy, the Environment and Water</w:t>
            </w:r>
          </w:p>
        </w:tc>
      </w:tr>
      <w:tr w:rsidR="00DF2BBD" w:rsidRPr="0089547E" w14:paraId="31C4BA8C" w14:textId="77777777">
        <w:trPr>
          <w:cantSplit/>
        </w:trPr>
        <w:tc>
          <w:tcPr>
            <w:tcW w:w="1560" w:type="dxa"/>
            <w:shd w:val="clear" w:color="auto" w:fill="auto"/>
          </w:tcPr>
          <w:p w14:paraId="330CDCC1" w14:textId="77777777" w:rsidR="00DF2BBD" w:rsidRPr="0089547E" w:rsidRDefault="00DF2BBD">
            <w:pPr>
              <w:pStyle w:val="TableTextLeft"/>
              <w:rPr>
                <w:highlight w:val="yellow"/>
              </w:rPr>
            </w:pPr>
            <w:r w:rsidRPr="00C94004">
              <w:t xml:space="preserve">National Legal Assistance Partnership </w:t>
            </w:r>
            <w:r w:rsidRPr="00C94004">
              <w:br/>
              <w:t>2020–25</w:t>
            </w:r>
          </w:p>
        </w:tc>
        <w:tc>
          <w:tcPr>
            <w:tcW w:w="1554" w:type="dxa"/>
            <w:shd w:val="clear" w:color="auto" w:fill="auto"/>
          </w:tcPr>
          <w:p w14:paraId="0F7D964F" w14:textId="77777777" w:rsidR="00DF2BBD" w:rsidRPr="0089547E" w:rsidRDefault="00DF2BBD">
            <w:pPr>
              <w:pStyle w:val="TableTextLeft"/>
              <w:rPr>
                <w:rFonts w:cs="Cambria"/>
                <w:szCs w:val="16"/>
                <w:highlight w:val="yellow"/>
              </w:rPr>
            </w:pPr>
            <w:r w:rsidRPr="00C94004">
              <w:rPr>
                <w:rFonts w:cs="Cambria"/>
                <w:szCs w:val="16"/>
              </w:rPr>
              <w:t xml:space="preserve">Part 2 </w:t>
            </w:r>
            <w:r w:rsidRPr="00C94004">
              <w:t>– Other</w:t>
            </w:r>
          </w:p>
        </w:tc>
        <w:tc>
          <w:tcPr>
            <w:tcW w:w="2309" w:type="dxa"/>
            <w:shd w:val="clear" w:color="auto" w:fill="auto"/>
          </w:tcPr>
          <w:p w14:paraId="5FFBFF08" w14:textId="235CD84B" w:rsidR="00DF2BBD" w:rsidRPr="0089547E" w:rsidRDefault="00DF2BBD">
            <w:pPr>
              <w:pStyle w:val="TableTextLeft"/>
              <w:rPr>
                <w:highlight w:val="yellow"/>
              </w:rPr>
            </w:pPr>
            <w:r w:rsidRPr="00C94004">
              <w:t>National Legal Assistance Partnership</w:t>
            </w:r>
          </w:p>
        </w:tc>
        <w:tc>
          <w:tcPr>
            <w:tcW w:w="2281" w:type="dxa"/>
            <w:shd w:val="clear" w:color="auto" w:fill="auto"/>
          </w:tcPr>
          <w:p w14:paraId="6173C7CC" w14:textId="678E6376" w:rsidR="00DF2BBD" w:rsidRPr="0089547E" w:rsidRDefault="000D308A">
            <w:pPr>
              <w:pStyle w:val="TableTextLeft"/>
              <w:rPr>
                <w:highlight w:val="yellow"/>
              </w:rPr>
            </w:pPr>
            <w:r w:rsidRPr="00C94004">
              <w:rPr>
                <w:rFonts w:cs="Cambria"/>
                <w:szCs w:val="16"/>
              </w:rPr>
              <w:t>Payments – Attorney General</w:t>
            </w:r>
            <w:r w:rsidR="00BE2E8A" w:rsidRPr="00C94004">
              <w:rPr>
                <w:rFonts w:cs="Cambria"/>
                <w:szCs w:val="16"/>
              </w:rPr>
              <w:t>’</w:t>
            </w:r>
            <w:r w:rsidRPr="00C94004">
              <w:rPr>
                <w:rFonts w:cs="Cambria"/>
                <w:szCs w:val="16"/>
              </w:rPr>
              <w:t>s</w:t>
            </w:r>
          </w:p>
        </w:tc>
      </w:tr>
      <w:tr w:rsidR="00DF2BBD" w:rsidRPr="0089547E" w14:paraId="062A537C" w14:textId="77777777">
        <w:trPr>
          <w:cantSplit/>
        </w:trPr>
        <w:tc>
          <w:tcPr>
            <w:tcW w:w="1560" w:type="dxa"/>
            <w:shd w:val="clear" w:color="auto" w:fill="auto"/>
          </w:tcPr>
          <w:p w14:paraId="633553BD" w14:textId="77777777" w:rsidR="00DF2BBD" w:rsidRPr="0089547E" w:rsidRDefault="00DF2BBD">
            <w:pPr>
              <w:pStyle w:val="TableTextLeft"/>
              <w:rPr>
                <w:highlight w:val="yellow"/>
              </w:rPr>
            </w:pPr>
            <w:r w:rsidRPr="00C94004">
              <w:t>Implementation   of Mandatory Country of Origin Labelling for Seafood</w:t>
            </w:r>
          </w:p>
        </w:tc>
        <w:tc>
          <w:tcPr>
            <w:tcW w:w="1554" w:type="dxa"/>
            <w:shd w:val="clear" w:color="auto" w:fill="auto"/>
          </w:tcPr>
          <w:p w14:paraId="0FDA736C" w14:textId="05DFA183" w:rsidR="00DF2BBD" w:rsidRPr="0089547E" w:rsidRDefault="00DF2BBD">
            <w:pPr>
              <w:pStyle w:val="TableTextLeft"/>
              <w:rPr>
                <w:highlight w:val="yellow"/>
              </w:rPr>
            </w:pPr>
            <w:r w:rsidRPr="00C94004">
              <w:rPr>
                <w:rFonts w:cs="Cambria"/>
                <w:szCs w:val="16"/>
              </w:rPr>
              <w:t xml:space="preserve">Part 2 </w:t>
            </w:r>
            <w:r w:rsidRPr="00C94004">
              <w:t>– Other</w:t>
            </w:r>
          </w:p>
        </w:tc>
        <w:tc>
          <w:tcPr>
            <w:tcW w:w="2309" w:type="dxa"/>
            <w:shd w:val="clear" w:color="auto" w:fill="auto"/>
          </w:tcPr>
          <w:p w14:paraId="4A8AB014" w14:textId="2240193B" w:rsidR="00DF2BBD" w:rsidRPr="0089547E" w:rsidRDefault="00546B94">
            <w:pPr>
              <w:pStyle w:val="TableTextLeft"/>
              <w:rPr>
                <w:highlight w:val="yellow"/>
              </w:rPr>
            </w:pPr>
            <w:r w:rsidRPr="00C94004">
              <w:t>Investing in the Future of Industry and Science</w:t>
            </w:r>
          </w:p>
        </w:tc>
        <w:tc>
          <w:tcPr>
            <w:tcW w:w="2281" w:type="dxa"/>
            <w:shd w:val="clear" w:color="auto" w:fill="auto"/>
          </w:tcPr>
          <w:p w14:paraId="4591D1CC" w14:textId="13CADDB4" w:rsidR="00DF2BBD" w:rsidRPr="0089547E" w:rsidRDefault="00DF2BBD">
            <w:pPr>
              <w:pStyle w:val="TableTextLeft"/>
              <w:rPr>
                <w:highlight w:val="yellow"/>
              </w:rPr>
            </w:pPr>
            <w:r w:rsidRPr="00C94004">
              <w:rPr>
                <w:rFonts w:cs="Cambria"/>
                <w:szCs w:val="16"/>
              </w:rPr>
              <w:t xml:space="preserve">Payments – </w:t>
            </w:r>
            <w:r w:rsidR="0060505D" w:rsidRPr="00C94004">
              <w:rPr>
                <w:rFonts w:cs="Cambria"/>
                <w:szCs w:val="16"/>
              </w:rPr>
              <w:t>Industry, Science and Resources</w:t>
            </w:r>
          </w:p>
        </w:tc>
      </w:tr>
      <w:tr w:rsidR="00DF2BBD" w:rsidRPr="0089547E" w14:paraId="2EE3ADCD" w14:textId="77777777">
        <w:trPr>
          <w:cantSplit/>
        </w:trPr>
        <w:tc>
          <w:tcPr>
            <w:tcW w:w="1560" w:type="dxa"/>
            <w:shd w:val="clear" w:color="auto" w:fill="auto"/>
          </w:tcPr>
          <w:p w14:paraId="20D15D64" w14:textId="77777777" w:rsidR="00DF2BBD" w:rsidRPr="0089547E" w:rsidRDefault="00DF2BBD">
            <w:pPr>
              <w:pStyle w:val="TableTextLeft"/>
              <w:rPr>
                <w:highlight w:val="yellow"/>
              </w:rPr>
            </w:pPr>
            <w:r w:rsidRPr="00C94004">
              <w:t>National Firearms Register</w:t>
            </w:r>
          </w:p>
        </w:tc>
        <w:tc>
          <w:tcPr>
            <w:tcW w:w="1554" w:type="dxa"/>
            <w:shd w:val="clear" w:color="auto" w:fill="auto"/>
          </w:tcPr>
          <w:p w14:paraId="1AF898A7" w14:textId="77777777" w:rsidR="00DF2BBD" w:rsidRPr="0089547E" w:rsidRDefault="00DF2BBD">
            <w:pPr>
              <w:pStyle w:val="TableTextLeft"/>
              <w:rPr>
                <w:highlight w:val="yellow"/>
              </w:rPr>
            </w:pPr>
            <w:r w:rsidRPr="00C94004">
              <w:rPr>
                <w:rFonts w:cs="Cambria"/>
                <w:szCs w:val="16"/>
              </w:rPr>
              <w:t xml:space="preserve">Part 2 </w:t>
            </w:r>
            <w:r w:rsidRPr="00C94004">
              <w:t>– Other</w:t>
            </w:r>
          </w:p>
        </w:tc>
        <w:tc>
          <w:tcPr>
            <w:tcW w:w="2309" w:type="dxa"/>
            <w:shd w:val="clear" w:color="auto" w:fill="auto"/>
          </w:tcPr>
          <w:p w14:paraId="4E04F18B" w14:textId="42B955FA" w:rsidR="00DF2BBD" w:rsidRPr="0089547E" w:rsidRDefault="00DF2BBD">
            <w:pPr>
              <w:pStyle w:val="TableTextLeft"/>
              <w:rPr>
                <w:highlight w:val="yellow"/>
              </w:rPr>
            </w:pPr>
            <w:r w:rsidRPr="00C94004">
              <w:t>National Firearms Register</w:t>
            </w:r>
          </w:p>
        </w:tc>
        <w:tc>
          <w:tcPr>
            <w:tcW w:w="2281" w:type="dxa"/>
            <w:shd w:val="clear" w:color="auto" w:fill="auto"/>
          </w:tcPr>
          <w:p w14:paraId="2EB34826" w14:textId="49E1A273" w:rsidR="00DF2BBD" w:rsidRPr="0089547E" w:rsidRDefault="00DF2BBD">
            <w:pPr>
              <w:pStyle w:val="TableTextLeft"/>
              <w:rPr>
                <w:highlight w:val="yellow"/>
              </w:rPr>
            </w:pPr>
            <w:r w:rsidRPr="00C94004">
              <w:rPr>
                <w:rFonts w:cs="Cambria"/>
                <w:szCs w:val="16"/>
              </w:rPr>
              <w:t xml:space="preserve">Payments – </w:t>
            </w:r>
            <w:r w:rsidR="006F2255" w:rsidRPr="00C94004">
              <w:rPr>
                <w:rFonts w:cs="Cambria"/>
                <w:szCs w:val="16"/>
              </w:rPr>
              <w:t>Attorney General</w:t>
            </w:r>
            <w:r w:rsidR="00BE2E8A" w:rsidRPr="00C94004">
              <w:rPr>
                <w:rFonts w:cs="Cambria"/>
                <w:szCs w:val="16"/>
              </w:rPr>
              <w:t>’</w:t>
            </w:r>
            <w:r w:rsidR="000D308A" w:rsidRPr="00C94004">
              <w:rPr>
                <w:rFonts w:cs="Cambria"/>
                <w:szCs w:val="16"/>
              </w:rPr>
              <w:t>s</w:t>
            </w:r>
          </w:p>
        </w:tc>
      </w:tr>
      <w:tr w:rsidR="00DF2BBD" w:rsidRPr="0089547E" w14:paraId="5C5A7818" w14:textId="77777777">
        <w:trPr>
          <w:cantSplit/>
        </w:trPr>
        <w:tc>
          <w:tcPr>
            <w:tcW w:w="1560" w:type="dxa"/>
            <w:shd w:val="clear" w:color="auto" w:fill="auto"/>
          </w:tcPr>
          <w:p w14:paraId="6F8F5CB3" w14:textId="77777777" w:rsidR="00DF2BBD" w:rsidRPr="0089547E" w:rsidRDefault="00DF2BBD">
            <w:pPr>
              <w:pStyle w:val="TableTextLeft"/>
              <w:rPr>
                <w:highlight w:val="yellow"/>
              </w:rPr>
            </w:pPr>
            <w:r w:rsidRPr="00C94004">
              <w:t>National Labour Hire</w:t>
            </w:r>
          </w:p>
        </w:tc>
        <w:tc>
          <w:tcPr>
            <w:tcW w:w="1554" w:type="dxa"/>
            <w:shd w:val="clear" w:color="auto" w:fill="auto"/>
          </w:tcPr>
          <w:p w14:paraId="69E426F3" w14:textId="5683D6DC" w:rsidR="00DF2BBD" w:rsidRPr="0089547E" w:rsidRDefault="00DF2BBD">
            <w:pPr>
              <w:pStyle w:val="TableTextLeft"/>
              <w:rPr>
                <w:highlight w:val="yellow"/>
              </w:rPr>
            </w:pPr>
            <w:r w:rsidRPr="00C94004">
              <w:rPr>
                <w:rFonts w:cs="Cambria"/>
                <w:szCs w:val="16"/>
              </w:rPr>
              <w:t xml:space="preserve">Part 2 </w:t>
            </w:r>
            <w:r w:rsidRPr="00C94004">
              <w:t>– Other</w:t>
            </w:r>
          </w:p>
        </w:tc>
        <w:tc>
          <w:tcPr>
            <w:tcW w:w="2309" w:type="dxa"/>
            <w:shd w:val="clear" w:color="auto" w:fill="auto"/>
          </w:tcPr>
          <w:p w14:paraId="70B73614" w14:textId="4D11A3AC" w:rsidR="00DF2BBD" w:rsidRPr="0089547E" w:rsidRDefault="00DF2BBD">
            <w:pPr>
              <w:pStyle w:val="TableTextLeft"/>
              <w:rPr>
                <w:highlight w:val="yellow"/>
              </w:rPr>
            </w:pPr>
            <w:r w:rsidRPr="00C94004">
              <w:t>Workplace Relations</w:t>
            </w:r>
          </w:p>
        </w:tc>
        <w:tc>
          <w:tcPr>
            <w:tcW w:w="2281" w:type="dxa"/>
            <w:shd w:val="clear" w:color="auto" w:fill="auto"/>
          </w:tcPr>
          <w:p w14:paraId="3FA29C7F" w14:textId="77777777" w:rsidR="00DF2BBD" w:rsidRPr="0089547E" w:rsidRDefault="00DF2BBD">
            <w:pPr>
              <w:pStyle w:val="TableTextLeft"/>
              <w:rPr>
                <w:highlight w:val="yellow"/>
              </w:rPr>
            </w:pPr>
            <w:r w:rsidRPr="00C94004">
              <w:rPr>
                <w:rFonts w:cs="Cambria"/>
                <w:szCs w:val="16"/>
              </w:rPr>
              <w:t xml:space="preserve">Payments – </w:t>
            </w:r>
            <w:r w:rsidRPr="00C94004">
              <w:t>Employment and Workplace Relations</w:t>
            </w:r>
          </w:p>
        </w:tc>
      </w:tr>
      <w:tr w:rsidR="00DF2BBD" w:rsidRPr="0089547E" w14:paraId="42BCACC5" w14:textId="77777777">
        <w:trPr>
          <w:cantSplit/>
        </w:trPr>
        <w:tc>
          <w:tcPr>
            <w:tcW w:w="1560" w:type="dxa"/>
            <w:shd w:val="clear" w:color="auto" w:fill="auto"/>
          </w:tcPr>
          <w:p w14:paraId="15BE2742" w14:textId="77777777" w:rsidR="00DF2BBD" w:rsidRPr="0089547E" w:rsidRDefault="00DF2BBD">
            <w:pPr>
              <w:pStyle w:val="TableTextLeft"/>
              <w:rPr>
                <w:highlight w:val="yellow"/>
              </w:rPr>
            </w:pPr>
            <w:r w:rsidRPr="00C94004">
              <w:t>North Bowen pipeline feasibility study(a)</w:t>
            </w:r>
          </w:p>
        </w:tc>
        <w:tc>
          <w:tcPr>
            <w:tcW w:w="1554" w:type="dxa"/>
            <w:shd w:val="clear" w:color="auto" w:fill="auto"/>
          </w:tcPr>
          <w:p w14:paraId="3AF4D017" w14:textId="09A95CF7" w:rsidR="00DF2BBD" w:rsidRPr="0089547E" w:rsidRDefault="00DF2BBD">
            <w:pPr>
              <w:pStyle w:val="TableTextLeft"/>
              <w:rPr>
                <w:highlight w:val="yellow"/>
              </w:rPr>
            </w:pPr>
            <w:r w:rsidRPr="00C94004">
              <w:rPr>
                <w:rFonts w:cs="Cambria"/>
                <w:szCs w:val="16"/>
              </w:rPr>
              <w:t xml:space="preserve">Part 2 </w:t>
            </w:r>
            <w:r w:rsidRPr="00C94004">
              <w:t>– Other</w:t>
            </w:r>
          </w:p>
        </w:tc>
        <w:tc>
          <w:tcPr>
            <w:tcW w:w="2309" w:type="dxa"/>
            <w:shd w:val="clear" w:color="auto" w:fill="auto"/>
          </w:tcPr>
          <w:p w14:paraId="5CDFD646" w14:textId="57AE2517" w:rsidR="00DF2BBD" w:rsidRPr="0089547E" w:rsidRDefault="008B189B">
            <w:pPr>
              <w:pStyle w:val="TableTextLeft"/>
              <w:rPr>
                <w:highlight w:val="yellow"/>
              </w:rPr>
            </w:pPr>
            <w:r w:rsidRPr="00C94004">
              <w:t>S</w:t>
            </w:r>
            <w:r w:rsidR="00467E09" w:rsidRPr="00C94004">
              <w:t>upporting Safety and Responsible Decommissioning in the Offshore Resources Sector</w:t>
            </w:r>
            <w:r w:rsidRPr="00C94004">
              <w:t xml:space="preserve"> </w:t>
            </w:r>
          </w:p>
        </w:tc>
        <w:tc>
          <w:tcPr>
            <w:tcW w:w="2281" w:type="dxa"/>
            <w:shd w:val="clear" w:color="auto" w:fill="auto"/>
          </w:tcPr>
          <w:p w14:paraId="122C260E" w14:textId="3E61C454" w:rsidR="00DF2BBD" w:rsidRPr="0089547E" w:rsidRDefault="002D7166">
            <w:pPr>
              <w:pStyle w:val="TableTextLeft"/>
              <w:rPr>
                <w:highlight w:val="yellow"/>
              </w:rPr>
            </w:pPr>
            <w:r w:rsidRPr="00C94004">
              <w:rPr>
                <w:rFonts w:cs="Cambria"/>
                <w:szCs w:val="16"/>
              </w:rPr>
              <w:t>Payments – Industry, Science and Resources</w:t>
            </w:r>
          </w:p>
        </w:tc>
      </w:tr>
      <w:tr w:rsidR="00DF2BBD" w:rsidRPr="00C94004" w14:paraId="7E6A4E94" w14:textId="77777777">
        <w:trPr>
          <w:cantSplit/>
        </w:trPr>
        <w:tc>
          <w:tcPr>
            <w:tcW w:w="1560" w:type="dxa"/>
            <w:shd w:val="clear" w:color="auto" w:fill="auto"/>
          </w:tcPr>
          <w:p w14:paraId="5B3CD88F" w14:textId="77777777" w:rsidR="00DF2BBD" w:rsidRPr="0089547E" w:rsidRDefault="00DF2BBD">
            <w:pPr>
              <w:pStyle w:val="TableTextLeft"/>
              <w:rPr>
                <w:highlight w:val="yellow"/>
              </w:rPr>
            </w:pPr>
            <w:r w:rsidRPr="00C94004">
              <w:t>Northern Territory Remote Aboriginal Investment – Evaluation</w:t>
            </w:r>
          </w:p>
        </w:tc>
        <w:tc>
          <w:tcPr>
            <w:tcW w:w="1554" w:type="dxa"/>
            <w:shd w:val="clear" w:color="auto" w:fill="auto"/>
          </w:tcPr>
          <w:p w14:paraId="484CBB5E" w14:textId="77777777" w:rsidR="00DF2BBD" w:rsidRPr="0089547E" w:rsidRDefault="00DF2BBD">
            <w:pPr>
              <w:pStyle w:val="TableTextLeft"/>
              <w:rPr>
                <w:highlight w:val="yellow"/>
              </w:rPr>
            </w:pPr>
            <w:r w:rsidRPr="00C94004">
              <w:rPr>
                <w:rFonts w:cs="Cambria"/>
                <w:szCs w:val="16"/>
              </w:rPr>
              <w:t xml:space="preserve">Part 2 </w:t>
            </w:r>
            <w:r w:rsidRPr="00C94004">
              <w:t>– Other</w:t>
            </w:r>
          </w:p>
        </w:tc>
        <w:tc>
          <w:tcPr>
            <w:tcW w:w="2309" w:type="dxa"/>
            <w:shd w:val="clear" w:color="auto" w:fill="auto"/>
          </w:tcPr>
          <w:p w14:paraId="061A9405" w14:textId="77777777" w:rsidR="003B1FB8" w:rsidRPr="00C94004" w:rsidRDefault="003B1FB8" w:rsidP="003B1FB8">
            <w:pPr>
              <w:pStyle w:val="TableTextLeft"/>
            </w:pPr>
            <w:r w:rsidRPr="00C94004">
              <w:t>Further Investment to Closing the Gap</w:t>
            </w:r>
          </w:p>
          <w:p w14:paraId="42BCE1AF" w14:textId="5653AD55" w:rsidR="00DF2BBD" w:rsidRPr="0089547E" w:rsidRDefault="00DF2BBD">
            <w:pPr>
              <w:pStyle w:val="TableTextLeft"/>
              <w:rPr>
                <w:highlight w:val="yellow"/>
              </w:rPr>
            </w:pPr>
          </w:p>
        </w:tc>
        <w:tc>
          <w:tcPr>
            <w:tcW w:w="2281" w:type="dxa"/>
            <w:shd w:val="clear" w:color="auto" w:fill="auto"/>
          </w:tcPr>
          <w:p w14:paraId="632ADCED" w14:textId="4282BD30" w:rsidR="00DF2BBD" w:rsidRPr="00C94004" w:rsidRDefault="003B1FB8">
            <w:pPr>
              <w:pStyle w:val="TableTextLeft"/>
            </w:pPr>
            <w:r w:rsidRPr="00C94004">
              <w:rPr>
                <w:rFonts w:cs="Cambria"/>
                <w:szCs w:val="16"/>
              </w:rPr>
              <w:t xml:space="preserve">Payments – </w:t>
            </w:r>
            <w:r w:rsidRPr="00C94004">
              <w:t>Prime Minister and Cabinet</w:t>
            </w:r>
          </w:p>
        </w:tc>
      </w:tr>
      <w:tr w:rsidR="00A01497" w:rsidRPr="00C94004" w14:paraId="18574755" w14:textId="77777777" w:rsidTr="00EF04A8">
        <w:trPr>
          <w:cantSplit/>
        </w:trPr>
        <w:tc>
          <w:tcPr>
            <w:tcW w:w="1560" w:type="dxa"/>
            <w:shd w:val="clear" w:color="auto" w:fill="auto"/>
          </w:tcPr>
          <w:p w14:paraId="0E01BA7B" w14:textId="5D4627C1" w:rsidR="00A01497" w:rsidRPr="00C94004" w:rsidRDefault="00A01497" w:rsidP="00A01497">
            <w:pPr>
              <w:pStyle w:val="TableTextLeft"/>
            </w:pPr>
            <w:r w:rsidRPr="00C94004">
              <w:t>GST entitlement</w:t>
            </w:r>
          </w:p>
        </w:tc>
        <w:tc>
          <w:tcPr>
            <w:tcW w:w="1554" w:type="dxa"/>
            <w:shd w:val="clear" w:color="auto" w:fill="auto"/>
          </w:tcPr>
          <w:p w14:paraId="735BB3DB" w14:textId="676FFB8C" w:rsidR="00A01497" w:rsidRPr="00C94004" w:rsidRDefault="00A01497" w:rsidP="00A01497">
            <w:pPr>
              <w:pStyle w:val="TableTextLeft"/>
              <w:rPr>
                <w:rFonts w:cs="Cambria"/>
                <w:szCs w:val="16"/>
              </w:rPr>
            </w:pPr>
            <w:r w:rsidRPr="00C94004">
              <w:rPr>
                <w:rFonts w:cs="Cambria"/>
                <w:szCs w:val="16"/>
              </w:rPr>
              <w:t xml:space="preserve">Part 3 </w:t>
            </w:r>
            <w:r w:rsidRPr="00C94004">
              <w:t>– GST payments</w:t>
            </w:r>
          </w:p>
        </w:tc>
        <w:tc>
          <w:tcPr>
            <w:tcW w:w="2309" w:type="dxa"/>
            <w:shd w:val="clear" w:color="auto" w:fill="auto"/>
            <w:vAlign w:val="center"/>
          </w:tcPr>
          <w:p w14:paraId="200FDB16" w14:textId="4E12220B" w:rsidR="00A01497" w:rsidRPr="00C94004" w:rsidRDefault="00A01497" w:rsidP="00A01497">
            <w:pPr>
              <w:pStyle w:val="TableTextLeft"/>
            </w:pPr>
            <w:r w:rsidRPr="00C94004">
              <w:rPr>
                <w:rFonts w:cs="Arial"/>
                <w:szCs w:val="16"/>
              </w:rPr>
              <w:t>Strengthening Tax Compliance – extending the Shadow Economy Compliance Program</w:t>
            </w:r>
          </w:p>
        </w:tc>
        <w:tc>
          <w:tcPr>
            <w:tcW w:w="2281" w:type="dxa"/>
            <w:shd w:val="clear" w:color="auto" w:fill="auto"/>
          </w:tcPr>
          <w:p w14:paraId="1B549EA8" w14:textId="28B0E753" w:rsidR="00A01497" w:rsidRPr="00C94004" w:rsidRDefault="00A01497" w:rsidP="00A01497">
            <w:pPr>
              <w:pStyle w:val="TableTextLeft"/>
              <w:rPr>
                <w:rFonts w:cs="Cambria"/>
                <w:szCs w:val="16"/>
              </w:rPr>
            </w:pPr>
            <w:r w:rsidRPr="00C94004">
              <w:rPr>
                <w:rFonts w:cs="Cambria"/>
                <w:szCs w:val="16"/>
              </w:rPr>
              <w:t>Receipts – Treasury</w:t>
            </w:r>
          </w:p>
        </w:tc>
      </w:tr>
      <w:tr w:rsidR="00A01497" w:rsidRPr="00C94004" w14:paraId="48239B41" w14:textId="77777777" w:rsidTr="00EF04A8">
        <w:trPr>
          <w:cantSplit/>
        </w:trPr>
        <w:tc>
          <w:tcPr>
            <w:tcW w:w="1560" w:type="dxa"/>
            <w:shd w:val="clear" w:color="auto" w:fill="auto"/>
          </w:tcPr>
          <w:p w14:paraId="08B09355" w14:textId="25A72123" w:rsidR="00A01497" w:rsidRPr="00C94004" w:rsidRDefault="00A01497" w:rsidP="00A01497">
            <w:pPr>
              <w:pStyle w:val="TableTextLeft"/>
            </w:pPr>
            <w:r w:rsidRPr="00C94004">
              <w:t>GST entitlement</w:t>
            </w:r>
          </w:p>
        </w:tc>
        <w:tc>
          <w:tcPr>
            <w:tcW w:w="1554" w:type="dxa"/>
            <w:shd w:val="clear" w:color="auto" w:fill="auto"/>
          </w:tcPr>
          <w:p w14:paraId="7910CCA3" w14:textId="17AF0838" w:rsidR="00A01497" w:rsidRPr="00C94004" w:rsidRDefault="00A01497" w:rsidP="00A01497">
            <w:pPr>
              <w:pStyle w:val="TableTextLeft"/>
              <w:rPr>
                <w:rFonts w:cs="Cambria"/>
                <w:szCs w:val="16"/>
              </w:rPr>
            </w:pPr>
            <w:r w:rsidRPr="00C94004">
              <w:rPr>
                <w:rFonts w:cs="Cambria"/>
                <w:szCs w:val="16"/>
              </w:rPr>
              <w:t xml:space="preserve">Part 3 </w:t>
            </w:r>
            <w:r w:rsidRPr="00C94004">
              <w:t>– GST payments</w:t>
            </w:r>
          </w:p>
        </w:tc>
        <w:tc>
          <w:tcPr>
            <w:tcW w:w="2309" w:type="dxa"/>
            <w:shd w:val="clear" w:color="auto" w:fill="auto"/>
            <w:vAlign w:val="center"/>
          </w:tcPr>
          <w:p w14:paraId="1487823A" w14:textId="30DB1147" w:rsidR="00A01497" w:rsidRPr="00C94004" w:rsidRDefault="00A01497" w:rsidP="00A01497">
            <w:pPr>
              <w:pStyle w:val="TableTextLeft"/>
            </w:pPr>
            <w:r w:rsidRPr="00C94004">
              <w:rPr>
                <w:rFonts w:cs="Arial"/>
                <w:szCs w:val="16"/>
              </w:rPr>
              <w:t>Migration – Mobility Arrangement for Talented Early</w:t>
            </w:r>
            <w:r w:rsidRPr="00C94004">
              <w:rPr>
                <w:rFonts w:cs="Arial"/>
                <w:szCs w:val="16"/>
              </w:rPr>
              <w:noBreakHyphen/>
              <w:t>professionals Scheme (MATES) and extending the validity of the Business Visitor visa for Indian nationals</w:t>
            </w:r>
          </w:p>
        </w:tc>
        <w:tc>
          <w:tcPr>
            <w:tcW w:w="2281" w:type="dxa"/>
            <w:shd w:val="clear" w:color="auto" w:fill="auto"/>
          </w:tcPr>
          <w:p w14:paraId="2D9BAC09" w14:textId="5F32AED4" w:rsidR="00A01497" w:rsidRPr="00C94004" w:rsidRDefault="00A01497" w:rsidP="00A01497">
            <w:pPr>
              <w:pStyle w:val="TableTextLeft"/>
              <w:rPr>
                <w:rFonts w:cs="Cambria"/>
                <w:szCs w:val="16"/>
              </w:rPr>
            </w:pPr>
            <w:r w:rsidRPr="00C94004">
              <w:rPr>
                <w:rFonts w:cs="Cambria"/>
                <w:szCs w:val="16"/>
              </w:rPr>
              <w:t>Receipts – Home Affairs</w:t>
            </w:r>
          </w:p>
        </w:tc>
      </w:tr>
      <w:tr w:rsidR="00A01497" w:rsidRPr="00C94004" w14:paraId="1030CB5E" w14:textId="77777777">
        <w:trPr>
          <w:cantSplit/>
        </w:trPr>
        <w:tc>
          <w:tcPr>
            <w:tcW w:w="1560" w:type="dxa"/>
            <w:shd w:val="clear" w:color="auto" w:fill="auto"/>
          </w:tcPr>
          <w:p w14:paraId="0A2A5FB9" w14:textId="3669D348" w:rsidR="00A01497" w:rsidRPr="00C94004" w:rsidRDefault="00A01497" w:rsidP="00A01497">
            <w:pPr>
              <w:pStyle w:val="TableTextLeft"/>
            </w:pPr>
            <w:r w:rsidRPr="00C94004">
              <w:t>GST entitlement</w:t>
            </w:r>
          </w:p>
        </w:tc>
        <w:tc>
          <w:tcPr>
            <w:tcW w:w="1554" w:type="dxa"/>
            <w:shd w:val="clear" w:color="auto" w:fill="auto"/>
          </w:tcPr>
          <w:p w14:paraId="16A6F90D" w14:textId="14DB49F3" w:rsidR="00A01497" w:rsidRPr="00C94004" w:rsidRDefault="00A01497" w:rsidP="00A01497">
            <w:pPr>
              <w:pStyle w:val="TableTextLeft"/>
              <w:rPr>
                <w:rFonts w:cs="Cambria"/>
                <w:szCs w:val="16"/>
              </w:rPr>
            </w:pPr>
            <w:r w:rsidRPr="00C94004">
              <w:rPr>
                <w:rFonts w:cs="Cambria"/>
                <w:szCs w:val="16"/>
              </w:rPr>
              <w:t xml:space="preserve">Part 3 </w:t>
            </w:r>
            <w:r w:rsidRPr="00C94004">
              <w:t>– GST payments</w:t>
            </w:r>
          </w:p>
        </w:tc>
        <w:tc>
          <w:tcPr>
            <w:tcW w:w="2309" w:type="dxa"/>
            <w:shd w:val="clear" w:color="auto" w:fill="auto"/>
          </w:tcPr>
          <w:p w14:paraId="1EAD2E15" w14:textId="3BB0AC1F" w:rsidR="00A01497" w:rsidRPr="00C94004" w:rsidRDefault="00A01497" w:rsidP="00A01497">
            <w:pPr>
              <w:pStyle w:val="TableTextLeft"/>
            </w:pPr>
            <w:r w:rsidRPr="00C94004">
              <w:rPr>
                <w:rFonts w:cs="Arial"/>
                <w:szCs w:val="16"/>
              </w:rPr>
              <w:t>Permanent Migration Program – 2024</w:t>
            </w:r>
            <w:r w:rsidRPr="00C94004">
              <w:rPr>
                <w:rFonts w:cs="Arial"/>
                <w:szCs w:val="16"/>
              </w:rPr>
              <w:noBreakHyphen/>
              <w:t>25 planning levels and multi</w:t>
            </w:r>
            <w:r w:rsidRPr="00C94004">
              <w:rPr>
                <w:rFonts w:cs="Arial"/>
                <w:szCs w:val="16"/>
              </w:rPr>
              <w:noBreakHyphen/>
              <w:t>year planning</w:t>
            </w:r>
          </w:p>
        </w:tc>
        <w:tc>
          <w:tcPr>
            <w:tcW w:w="2281" w:type="dxa"/>
            <w:shd w:val="clear" w:color="auto" w:fill="auto"/>
          </w:tcPr>
          <w:p w14:paraId="74CDA49B" w14:textId="03C7E7A0" w:rsidR="00A01497" w:rsidRPr="00C94004" w:rsidRDefault="00A01497" w:rsidP="00A01497">
            <w:pPr>
              <w:pStyle w:val="TableTextLeft"/>
              <w:rPr>
                <w:rFonts w:cs="Cambria"/>
                <w:szCs w:val="16"/>
              </w:rPr>
            </w:pPr>
            <w:r w:rsidRPr="00C94004">
              <w:rPr>
                <w:rFonts w:cs="Cambria"/>
                <w:szCs w:val="16"/>
              </w:rPr>
              <w:t>Receipts – Home Affairs</w:t>
            </w:r>
          </w:p>
        </w:tc>
      </w:tr>
      <w:tr w:rsidR="00A01497" w:rsidRPr="00C94004" w14:paraId="33BF4C79" w14:textId="77777777">
        <w:trPr>
          <w:cantSplit/>
        </w:trPr>
        <w:tc>
          <w:tcPr>
            <w:tcW w:w="1560" w:type="dxa"/>
            <w:shd w:val="clear" w:color="auto" w:fill="auto"/>
          </w:tcPr>
          <w:p w14:paraId="78173594" w14:textId="270D87BE" w:rsidR="00A01497" w:rsidRPr="00C94004" w:rsidRDefault="00A01497" w:rsidP="00A01497">
            <w:pPr>
              <w:pStyle w:val="TableTextLeft"/>
            </w:pPr>
            <w:r w:rsidRPr="00C94004">
              <w:t>GST entitlement</w:t>
            </w:r>
          </w:p>
        </w:tc>
        <w:tc>
          <w:tcPr>
            <w:tcW w:w="1554" w:type="dxa"/>
            <w:shd w:val="clear" w:color="auto" w:fill="auto"/>
          </w:tcPr>
          <w:p w14:paraId="2D6F5F76" w14:textId="4D1D5AB7" w:rsidR="00A01497" w:rsidRPr="00C94004" w:rsidRDefault="00A01497" w:rsidP="00A01497">
            <w:pPr>
              <w:pStyle w:val="TableTextLeft"/>
              <w:rPr>
                <w:rFonts w:cs="Cambria"/>
                <w:szCs w:val="16"/>
              </w:rPr>
            </w:pPr>
            <w:r w:rsidRPr="00C94004">
              <w:rPr>
                <w:rFonts w:cs="Cambria"/>
                <w:szCs w:val="16"/>
              </w:rPr>
              <w:t xml:space="preserve">Part 3 </w:t>
            </w:r>
            <w:r w:rsidRPr="00C94004">
              <w:t>– GST payments</w:t>
            </w:r>
          </w:p>
        </w:tc>
        <w:tc>
          <w:tcPr>
            <w:tcW w:w="2309" w:type="dxa"/>
            <w:shd w:val="clear" w:color="auto" w:fill="auto"/>
          </w:tcPr>
          <w:p w14:paraId="24ADEC8A" w14:textId="7A2DFE63" w:rsidR="00A01497" w:rsidRPr="00C94004" w:rsidRDefault="00A01497" w:rsidP="00A01497">
            <w:pPr>
              <w:pStyle w:val="TableTextLeft"/>
            </w:pPr>
            <w:r w:rsidRPr="00C94004">
              <w:rPr>
                <w:rFonts w:cs="Arial"/>
                <w:szCs w:val="16"/>
              </w:rPr>
              <w:t>Migration System Reforms</w:t>
            </w:r>
          </w:p>
        </w:tc>
        <w:tc>
          <w:tcPr>
            <w:tcW w:w="2281" w:type="dxa"/>
            <w:shd w:val="clear" w:color="auto" w:fill="auto"/>
          </w:tcPr>
          <w:p w14:paraId="3F58263A" w14:textId="518508FC" w:rsidR="00A01497" w:rsidRPr="00C94004" w:rsidRDefault="00A01497" w:rsidP="00A01497">
            <w:pPr>
              <w:pStyle w:val="TableTextLeft"/>
              <w:rPr>
                <w:rFonts w:cs="Cambria"/>
                <w:szCs w:val="16"/>
              </w:rPr>
            </w:pPr>
            <w:r w:rsidRPr="00C94004">
              <w:rPr>
                <w:rFonts w:cs="Cambria"/>
                <w:szCs w:val="16"/>
              </w:rPr>
              <w:t>Receipts – Home Affairs</w:t>
            </w:r>
          </w:p>
        </w:tc>
      </w:tr>
      <w:tr w:rsidR="00A01497" w:rsidRPr="00C94004" w14:paraId="1ED9E96C" w14:textId="77777777">
        <w:trPr>
          <w:cantSplit/>
        </w:trPr>
        <w:tc>
          <w:tcPr>
            <w:tcW w:w="1560" w:type="dxa"/>
            <w:shd w:val="clear" w:color="auto" w:fill="auto"/>
          </w:tcPr>
          <w:p w14:paraId="6FDAFE3D" w14:textId="77B69079" w:rsidR="00A01497" w:rsidRPr="00C94004" w:rsidRDefault="00A01497" w:rsidP="00A01497">
            <w:pPr>
              <w:pStyle w:val="TableTextLeft"/>
            </w:pPr>
            <w:r w:rsidRPr="00C94004">
              <w:t>GST entitlement</w:t>
            </w:r>
          </w:p>
        </w:tc>
        <w:tc>
          <w:tcPr>
            <w:tcW w:w="1554" w:type="dxa"/>
            <w:shd w:val="clear" w:color="auto" w:fill="auto"/>
          </w:tcPr>
          <w:p w14:paraId="3F586D5C" w14:textId="31D1657F" w:rsidR="00A01497" w:rsidRPr="00C94004" w:rsidRDefault="00A01497" w:rsidP="00A01497">
            <w:pPr>
              <w:pStyle w:val="TableTextLeft"/>
              <w:rPr>
                <w:rFonts w:cs="Cambria"/>
                <w:szCs w:val="16"/>
              </w:rPr>
            </w:pPr>
            <w:r w:rsidRPr="00C94004">
              <w:rPr>
                <w:rFonts w:cs="Cambria"/>
                <w:szCs w:val="16"/>
              </w:rPr>
              <w:t xml:space="preserve">Part 3 </w:t>
            </w:r>
            <w:r w:rsidRPr="00C94004">
              <w:t>– GST payments</w:t>
            </w:r>
          </w:p>
        </w:tc>
        <w:tc>
          <w:tcPr>
            <w:tcW w:w="2309" w:type="dxa"/>
            <w:shd w:val="clear" w:color="auto" w:fill="auto"/>
          </w:tcPr>
          <w:p w14:paraId="3E683E5C" w14:textId="492F9692" w:rsidR="00A01497" w:rsidRPr="00C94004" w:rsidRDefault="00A01497" w:rsidP="00A01497">
            <w:pPr>
              <w:pStyle w:val="TableTextLeft"/>
            </w:pPr>
            <w:r w:rsidRPr="00C94004">
              <w:rPr>
                <w:rFonts w:cs="Arial"/>
                <w:szCs w:val="16"/>
              </w:rPr>
              <w:t>Modernising Digital Assets and Payments Regulation</w:t>
            </w:r>
          </w:p>
        </w:tc>
        <w:tc>
          <w:tcPr>
            <w:tcW w:w="2281" w:type="dxa"/>
            <w:shd w:val="clear" w:color="auto" w:fill="auto"/>
          </w:tcPr>
          <w:p w14:paraId="402D2464" w14:textId="41B04C49" w:rsidR="00A01497" w:rsidRPr="00C94004" w:rsidRDefault="00A01497" w:rsidP="00A01497">
            <w:pPr>
              <w:pStyle w:val="TableTextLeft"/>
              <w:rPr>
                <w:rFonts w:cs="Cambria"/>
                <w:szCs w:val="16"/>
              </w:rPr>
            </w:pPr>
            <w:r w:rsidRPr="00C94004">
              <w:rPr>
                <w:rFonts w:cs="Cambria"/>
                <w:szCs w:val="16"/>
              </w:rPr>
              <w:t>Receipts – Treasury</w:t>
            </w:r>
          </w:p>
        </w:tc>
      </w:tr>
      <w:tr w:rsidR="00A01497" w:rsidRPr="00C94004" w14:paraId="7E1236EA" w14:textId="77777777">
        <w:trPr>
          <w:cantSplit/>
        </w:trPr>
        <w:tc>
          <w:tcPr>
            <w:tcW w:w="1560" w:type="dxa"/>
            <w:shd w:val="clear" w:color="auto" w:fill="auto"/>
          </w:tcPr>
          <w:p w14:paraId="354CB5C0" w14:textId="5A7D4DAA" w:rsidR="00A01497" w:rsidRPr="00C94004" w:rsidRDefault="00A01497" w:rsidP="00A01497">
            <w:pPr>
              <w:pStyle w:val="TableTextLeft"/>
            </w:pPr>
            <w:r w:rsidRPr="00C94004">
              <w:t>GST entitlement</w:t>
            </w:r>
          </w:p>
        </w:tc>
        <w:tc>
          <w:tcPr>
            <w:tcW w:w="1554" w:type="dxa"/>
            <w:shd w:val="clear" w:color="auto" w:fill="auto"/>
          </w:tcPr>
          <w:p w14:paraId="5AE554E6" w14:textId="14194DB9" w:rsidR="00A01497" w:rsidRPr="00C94004" w:rsidRDefault="00A01497" w:rsidP="00A01497">
            <w:pPr>
              <w:pStyle w:val="TableTextLeft"/>
              <w:rPr>
                <w:rFonts w:cs="Cambria"/>
                <w:szCs w:val="16"/>
              </w:rPr>
            </w:pPr>
            <w:r w:rsidRPr="00C94004">
              <w:rPr>
                <w:rFonts w:cs="Cambria"/>
                <w:szCs w:val="16"/>
              </w:rPr>
              <w:t xml:space="preserve">Part 3 </w:t>
            </w:r>
            <w:r w:rsidRPr="00C94004">
              <w:t>– GST payments</w:t>
            </w:r>
          </w:p>
        </w:tc>
        <w:tc>
          <w:tcPr>
            <w:tcW w:w="2309" w:type="dxa"/>
            <w:shd w:val="clear" w:color="auto" w:fill="auto"/>
          </w:tcPr>
          <w:p w14:paraId="2AF6E6B4" w14:textId="29C77951" w:rsidR="00A01497" w:rsidRPr="00C94004" w:rsidRDefault="00A01497" w:rsidP="00A01497">
            <w:pPr>
              <w:pStyle w:val="TableTextLeft"/>
            </w:pPr>
            <w:r w:rsidRPr="00C94004">
              <w:rPr>
                <w:rFonts w:cs="Arial"/>
                <w:szCs w:val="16"/>
              </w:rPr>
              <w:t>Strengthening Tax Compliance – Australian Taxation Office Counter Fraud Strategy</w:t>
            </w:r>
          </w:p>
        </w:tc>
        <w:tc>
          <w:tcPr>
            <w:tcW w:w="2281" w:type="dxa"/>
            <w:shd w:val="clear" w:color="auto" w:fill="auto"/>
          </w:tcPr>
          <w:p w14:paraId="5CFD577D" w14:textId="6485DA5C" w:rsidR="00A01497" w:rsidRPr="00C94004" w:rsidRDefault="00A01497" w:rsidP="00A01497">
            <w:pPr>
              <w:pStyle w:val="TableTextLeft"/>
              <w:rPr>
                <w:rFonts w:cs="Cambria"/>
                <w:szCs w:val="16"/>
              </w:rPr>
            </w:pPr>
            <w:r w:rsidRPr="00C94004">
              <w:rPr>
                <w:rFonts w:cs="Cambria"/>
                <w:szCs w:val="16"/>
              </w:rPr>
              <w:t>Receipts – Treasury</w:t>
            </w:r>
          </w:p>
        </w:tc>
      </w:tr>
      <w:tr w:rsidR="00A01497" w:rsidRPr="00C94004" w14:paraId="55807EAE" w14:textId="77777777">
        <w:trPr>
          <w:cantSplit/>
        </w:trPr>
        <w:tc>
          <w:tcPr>
            <w:tcW w:w="1560" w:type="dxa"/>
            <w:shd w:val="clear" w:color="auto" w:fill="auto"/>
          </w:tcPr>
          <w:p w14:paraId="29FB3335" w14:textId="7E16F5A0" w:rsidR="00A01497" w:rsidRPr="00C94004" w:rsidRDefault="00A01497" w:rsidP="00A01497">
            <w:pPr>
              <w:pStyle w:val="TableTextLeft"/>
            </w:pPr>
            <w:r w:rsidRPr="00C94004">
              <w:t>GST entitlement</w:t>
            </w:r>
          </w:p>
        </w:tc>
        <w:tc>
          <w:tcPr>
            <w:tcW w:w="1554" w:type="dxa"/>
            <w:shd w:val="clear" w:color="auto" w:fill="auto"/>
          </w:tcPr>
          <w:p w14:paraId="24E8437C" w14:textId="51DA0524" w:rsidR="00A01497" w:rsidRPr="00C94004" w:rsidRDefault="00A01497" w:rsidP="00A01497">
            <w:pPr>
              <w:pStyle w:val="TableTextLeft"/>
              <w:rPr>
                <w:rFonts w:cs="Cambria"/>
                <w:szCs w:val="16"/>
              </w:rPr>
            </w:pPr>
            <w:r w:rsidRPr="00C94004">
              <w:rPr>
                <w:rFonts w:cs="Cambria"/>
                <w:szCs w:val="16"/>
              </w:rPr>
              <w:t xml:space="preserve">Part 3 </w:t>
            </w:r>
            <w:r w:rsidRPr="00C94004">
              <w:t>– GST payments</w:t>
            </w:r>
          </w:p>
        </w:tc>
        <w:tc>
          <w:tcPr>
            <w:tcW w:w="2309" w:type="dxa"/>
            <w:shd w:val="clear" w:color="auto" w:fill="auto"/>
          </w:tcPr>
          <w:p w14:paraId="7D71AD9B" w14:textId="34042666" w:rsidR="00A01497" w:rsidRPr="00C94004" w:rsidRDefault="00A01497" w:rsidP="00A01497">
            <w:pPr>
              <w:pStyle w:val="TableTextLeft"/>
            </w:pPr>
            <w:r w:rsidRPr="00C94004">
              <w:rPr>
                <w:rFonts w:cs="Arial"/>
                <w:szCs w:val="16"/>
              </w:rPr>
              <w:t>Amendments to existing measures</w:t>
            </w:r>
          </w:p>
        </w:tc>
        <w:tc>
          <w:tcPr>
            <w:tcW w:w="2281" w:type="dxa"/>
            <w:shd w:val="clear" w:color="auto" w:fill="auto"/>
          </w:tcPr>
          <w:p w14:paraId="0D1E110B" w14:textId="1E41D53F" w:rsidR="00A01497" w:rsidRPr="00C94004" w:rsidRDefault="00A01497" w:rsidP="00A01497">
            <w:pPr>
              <w:pStyle w:val="TableTextLeft"/>
              <w:rPr>
                <w:rFonts w:cs="Cambria"/>
                <w:szCs w:val="16"/>
              </w:rPr>
            </w:pPr>
            <w:r w:rsidRPr="00C94004">
              <w:rPr>
                <w:rFonts w:cs="Cambria"/>
                <w:szCs w:val="16"/>
              </w:rPr>
              <w:t>Receipts – Treasury</w:t>
            </w:r>
          </w:p>
        </w:tc>
      </w:tr>
    </w:tbl>
    <w:p w14:paraId="4A304B4D" w14:textId="2B2441B5" w:rsidR="00A11F5D" w:rsidRPr="00C94004" w:rsidRDefault="00BA60A8" w:rsidP="0049110E">
      <w:pPr>
        <w:pStyle w:val="ChartandTableFootnoteAlpha"/>
        <w:numPr>
          <w:ilvl w:val="0"/>
          <w:numId w:val="9"/>
        </w:numPr>
        <w:rPr>
          <w:color w:val="auto"/>
        </w:rPr>
      </w:pPr>
      <w:r w:rsidRPr="00C94004">
        <w:rPr>
          <w:color w:val="auto"/>
        </w:rPr>
        <w:t xml:space="preserve">Measure redirects funding allocated to states in the </w:t>
      </w:r>
      <w:r w:rsidR="00AD6041" w:rsidRPr="00C94004">
        <w:rPr>
          <w:rStyle w:val="Emphasis"/>
          <w:color w:val="auto"/>
        </w:rPr>
        <w:t>Mid</w:t>
      </w:r>
      <w:r w:rsidR="00BE2E8A" w:rsidRPr="00C94004">
        <w:rPr>
          <w:rStyle w:val="Emphasis"/>
          <w:color w:val="auto"/>
        </w:rPr>
        <w:noBreakHyphen/>
      </w:r>
      <w:r w:rsidR="00AD6041" w:rsidRPr="00C94004">
        <w:rPr>
          <w:rStyle w:val="Emphasis"/>
          <w:color w:val="auto"/>
        </w:rPr>
        <w:t>Year</w:t>
      </w:r>
      <w:r w:rsidR="00415CEF" w:rsidRPr="00C94004">
        <w:rPr>
          <w:rStyle w:val="Emphasis"/>
          <w:color w:val="auto"/>
        </w:rPr>
        <w:t xml:space="preserve"> Economic and Fiscal Outlook</w:t>
      </w:r>
      <w:r w:rsidR="000F1B02" w:rsidRPr="00C94004">
        <w:rPr>
          <w:rStyle w:val="Emphasis"/>
          <w:color w:val="auto"/>
        </w:rPr>
        <w:t xml:space="preserve"> </w:t>
      </w:r>
      <w:r w:rsidR="00CA35AC" w:rsidRPr="00C94004">
        <w:rPr>
          <w:rStyle w:val="Emphasis"/>
          <w:color w:val="auto"/>
        </w:rPr>
        <w:t>2023–24</w:t>
      </w:r>
      <w:r w:rsidR="00CA35AC" w:rsidRPr="00C94004">
        <w:rPr>
          <w:color w:val="auto"/>
        </w:rPr>
        <w:t xml:space="preserve"> </w:t>
      </w:r>
      <w:r w:rsidR="000F1B02" w:rsidRPr="00C94004">
        <w:rPr>
          <w:color w:val="auto"/>
        </w:rPr>
        <w:t xml:space="preserve">to fund other Australian Government policy priorities. </w:t>
      </w:r>
    </w:p>
    <w:p w14:paraId="04DCBE1F" w14:textId="1674F0B5" w:rsidR="00A11F5D" w:rsidRPr="001C4467" w:rsidRDefault="00A11F5D" w:rsidP="00314337">
      <w:pPr>
        <w:pStyle w:val="ChartLine"/>
        <w:rPr>
          <w:color w:val="FF0000"/>
        </w:rPr>
      </w:pPr>
    </w:p>
    <w:sectPr w:rsidR="00A11F5D" w:rsidRPr="001C4467" w:rsidSect="008E5C3D">
      <w:headerReference w:type="even" r:id="rId15"/>
      <w:headerReference w:type="default" r:id="rId16"/>
      <w:footerReference w:type="even" r:id="rId17"/>
      <w:footerReference w:type="default" r:id="rId18"/>
      <w:headerReference w:type="first" r:id="rId19"/>
      <w:footerReference w:type="first" r:id="rId20"/>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F091" w14:textId="77777777" w:rsidR="003B6B56" w:rsidRDefault="003B6B56" w:rsidP="00E40261">
      <w:pPr>
        <w:spacing w:after="0" w:line="240" w:lineRule="auto"/>
      </w:pPr>
      <w:r>
        <w:separator/>
      </w:r>
    </w:p>
  </w:endnote>
  <w:endnote w:type="continuationSeparator" w:id="0">
    <w:p w14:paraId="2F59B4CC" w14:textId="77777777" w:rsidR="003B6B56" w:rsidRDefault="003B6B56" w:rsidP="00E40261">
      <w:pPr>
        <w:spacing w:after="0" w:line="240" w:lineRule="auto"/>
      </w:pPr>
      <w:r>
        <w:continuationSeparator/>
      </w:r>
    </w:p>
  </w:endnote>
  <w:endnote w:type="continuationNotice" w:id="1">
    <w:p w14:paraId="1B82591D" w14:textId="77777777" w:rsidR="003B6B56" w:rsidRDefault="003B6B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EEC1" w14:textId="7EFFE792"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EF4F00">
      <w:fldChar w:fldCharType="begin"/>
    </w:r>
    <w:r w:rsidR="00EF4F00">
      <w:instrText>SUBJECT   \* MERGEFORMAT</w:instrText>
    </w:r>
    <w:r w:rsidR="00EF4F00">
      <w:fldChar w:fldCharType="separate"/>
    </w:r>
    <w:r w:rsidR="007D0649">
      <w:t>Part 1: Australia’s Federal Relations</w:t>
    </w:r>
    <w:r w:rsidR="00EF4F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B259" w14:textId="224BB083" w:rsidR="00FB5DDD" w:rsidRDefault="00EF4F00" w:rsidP="002A6A16">
    <w:pPr>
      <w:pStyle w:val="FooterOdd"/>
    </w:pPr>
    <w:r>
      <w:fldChar w:fldCharType="begin"/>
    </w:r>
    <w:r>
      <w:instrText>SUBJECT   \* MERGEFORMAT</w:instrText>
    </w:r>
    <w:r>
      <w:fldChar w:fldCharType="separate"/>
    </w:r>
    <w:r w:rsidR="007D0649">
      <w:t>Part 1: Australia’s Federal Relations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62FD" w14:textId="64F3DEDE" w:rsidR="00FB5DDD" w:rsidRDefault="00EF4F00" w:rsidP="00360947">
    <w:pPr>
      <w:pStyle w:val="FooterOdd"/>
    </w:pPr>
    <w:r>
      <w:fldChar w:fldCharType="begin"/>
    </w:r>
    <w:r>
      <w:instrText>SUBJECT   \* MERGEFORMAT</w:instrText>
    </w:r>
    <w:r>
      <w:fldChar w:fldCharType="separate"/>
    </w:r>
    <w:r w:rsidR="007D0649">
      <w:t>Part 1: Australia’s Federal Relations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1835" w14:textId="77777777" w:rsidR="003B6B56" w:rsidRPr="003C1CA4" w:rsidRDefault="003B6B56"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13402AC7" w14:textId="77777777" w:rsidR="003B6B56" w:rsidRDefault="003B6B56" w:rsidP="00E40261">
      <w:pPr>
        <w:spacing w:after="0" w:line="240" w:lineRule="auto"/>
      </w:pPr>
      <w:r>
        <w:continuationSeparator/>
      </w:r>
    </w:p>
  </w:footnote>
  <w:footnote w:type="continuationNotice" w:id="1">
    <w:p w14:paraId="1DDA09ED" w14:textId="77777777" w:rsidR="003B6B56" w:rsidRDefault="003B6B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2A5C" w14:textId="3BC5360E"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6A0CC16D" w14:textId="77777777">
      <w:trPr>
        <w:trHeight w:hRule="exact" w:val="340"/>
      </w:trPr>
      <w:tc>
        <w:tcPr>
          <w:tcW w:w="7797" w:type="dxa"/>
        </w:tcPr>
        <w:p w14:paraId="068CFE84" w14:textId="536FABC3" w:rsidR="00FB5DDD" w:rsidRPr="008C56E1" w:rsidRDefault="00FB5DDD" w:rsidP="00F60EA1">
          <w:pPr>
            <w:pStyle w:val="HeaderEven"/>
          </w:pPr>
          <w:r w:rsidRPr="008C56E1">
            <w:rPr>
              <w:noProof/>
              <w:position w:val="-8"/>
            </w:rPr>
            <w:drawing>
              <wp:inline distT="0" distB="0" distL="0" distR="0" wp14:anchorId="692CFAF1" wp14:editId="05BD19ED">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EF4F00">
            <w:fldChar w:fldCharType="begin"/>
          </w:r>
          <w:r w:rsidR="00EF4F00">
            <w:instrText>TITLE   \* MERGEFORMAT</w:instrText>
          </w:r>
          <w:r w:rsidR="00EF4F00">
            <w:fldChar w:fldCharType="separate"/>
          </w:r>
          <w:r w:rsidR="007D0649">
            <w:t>Budget Paper No. 3</w:t>
          </w:r>
          <w:r w:rsidR="00EF4F00">
            <w:fldChar w:fldCharType="end"/>
          </w:r>
        </w:p>
      </w:tc>
    </w:tr>
  </w:tbl>
  <w:p w14:paraId="06656AA3" w14:textId="77777777" w:rsidR="00FB5DDD" w:rsidRPr="00AA5439" w:rsidRDefault="00FB5DDD" w:rsidP="00AA5439">
    <w:pPr>
      <w:pStyle w:val="HeaderEven"/>
      <w:rPr>
        <w:sz w:val="2"/>
        <w:szCs w:val="4"/>
      </w:rPr>
    </w:pPr>
  </w:p>
  <w:p w14:paraId="7BB8A23D"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7B82" w14:textId="3975FC42"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CA41BB" w14:paraId="0B51F6D4" w14:textId="77777777">
      <w:trPr>
        <w:trHeight w:hRule="exact" w:val="340"/>
      </w:trPr>
      <w:tc>
        <w:tcPr>
          <w:tcW w:w="7797" w:type="dxa"/>
          <w:tcMar>
            <w:left w:w="108" w:type="dxa"/>
            <w:right w:w="108" w:type="dxa"/>
          </w:tcMar>
        </w:tcPr>
        <w:p w14:paraId="2AA4B21E" w14:textId="43E4B0E8" w:rsidR="00CA41BB" w:rsidRPr="00D13BF9" w:rsidRDefault="00EF4F00" w:rsidP="00D13BF9">
          <w:pPr>
            <w:pStyle w:val="HeaderOdd"/>
          </w:pPr>
          <w:r>
            <w:fldChar w:fldCharType="begin"/>
          </w:r>
          <w:r>
            <w:instrText>TITLE   \* MERGEFORMAT</w:instrText>
          </w:r>
          <w:r>
            <w:fldChar w:fldCharType="separate"/>
          </w:r>
          <w:r w:rsidR="007D0649">
            <w:t>Budget Paper No. 3</w:t>
          </w:r>
          <w:r>
            <w:fldChar w:fldCharType="end"/>
          </w:r>
          <w:r w:rsidR="00CA41BB" w:rsidRPr="00D13BF9">
            <w:t xml:space="preserve">  |  </w:t>
          </w:r>
          <w:r w:rsidR="00CA41BB" w:rsidRPr="00C9389A">
            <w:rPr>
              <w:noProof/>
              <w:position w:val="-8"/>
            </w:rPr>
            <w:drawing>
              <wp:inline distT="0" distB="0" distL="0" distR="0" wp14:anchorId="6276D2E5" wp14:editId="42985D95">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FF36752"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A1EC" w14:textId="27F5DF8B" w:rsidR="00FB5DDD" w:rsidRDefault="00FB5DDD">
    <w:pPr>
      <w:pStyle w:val="Header"/>
      <w:rPr>
        <w:sz w:val="2"/>
        <w:szCs w:val="2"/>
      </w:rPr>
    </w:pPr>
  </w:p>
  <w:p w14:paraId="6D6AA5A9" w14:textId="77777777" w:rsidR="00FB5DDD" w:rsidRDefault="00FB5DDD">
    <w:pPr>
      <w:pStyle w:val="Header"/>
      <w:rPr>
        <w:sz w:val="2"/>
        <w:szCs w:val="2"/>
      </w:rPr>
    </w:pPr>
  </w:p>
  <w:p w14:paraId="7F2F21FD" w14:textId="6792FDA3" w:rsidR="00FB5DDD" w:rsidRPr="005B2F30" w:rsidRDefault="00FB5DD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63E6E040"/>
    <w:lvl w:ilvl="0">
      <w:start w:val="1"/>
      <w:numFmt w:val="lowerLetter"/>
      <w:pStyle w:val="ChartandTableFootnoteAlpha"/>
      <w:lvlText w:val="%1)"/>
      <w:lvlJc w:val="left"/>
      <w:pPr>
        <w:ind w:left="284" w:hanging="284"/>
      </w:pPr>
      <w:rPr>
        <w:rFonts w:ascii="Arial" w:eastAsiaTheme="minorHAnsi" w:hAnsi="Arial" w:cs="Times New Roman"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2E705FF"/>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CC466E5"/>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6" w15:restartNumberingAfterBreak="0">
    <w:nsid w:val="4B084398"/>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53E7503"/>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FB57515"/>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51A6F02"/>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692877BF"/>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E0211C7"/>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E131A4E"/>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0FF2538"/>
    <w:multiLevelType w:val="multilevel"/>
    <w:tmpl w:val="A80E94D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0"/>
  </w:num>
  <w:num w:numId="4">
    <w:abstractNumId w:val="10"/>
  </w:num>
  <w:num w:numId="5">
    <w:abstractNumId w:val="12"/>
  </w:num>
  <w:num w:numId="6">
    <w:abstractNumId w:val="12"/>
  </w:num>
  <w:num w:numId="7">
    <w:abstractNumId w:val="1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23"/>
  </w:num>
  <w:num w:numId="13">
    <w:abstractNumId w:val="14"/>
  </w:num>
  <w:num w:numId="14">
    <w:abstractNumId w:val="19"/>
  </w:num>
  <w:num w:numId="15">
    <w:abstractNumId w:val="21"/>
  </w:num>
  <w:num w:numId="16">
    <w:abstractNumId w:val="13"/>
  </w:num>
  <w:num w:numId="17">
    <w:abstractNumId w:val="22"/>
  </w:num>
  <w:num w:numId="18">
    <w:abstractNumId w:val="24"/>
  </w:num>
  <w:num w:numId="19">
    <w:abstractNumId w:val="18"/>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75201B"/>
    <w:rsid w:val="000004EA"/>
    <w:rsid w:val="000007C8"/>
    <w:rsid w:val="00000E6C"/>
    <w:rsid w:val="0000120B"/>
    <w:rsid w:val="000013B3"/>
    <w:rsid w:val="00001974"/>
    <w:rsid w:val="00002104"/>
    <w:rsid w:val="00002406"/>
    <w:rsid w:val="0000249A"/>
    <w:rsid w:val="000026E2"/>
    <w:rsid w:val="000028A2"/>
    <w:rsid w:val="0000365D"/>
    <w:rsid w:val="00003C08"/>
    <w:rsid w:val="0000542E"/>
    <w:rsid w:val="00005BBF"/>
    <w:rsid w:val="00005DCE"/>
    <w:rsid w:val="000063C6"/>
    <w:rsid w:val="00006541"/>
    <w:rsid w:val="00006A4D"/>
    <w:rsid w:val="00006C8D"/>
    <w:rsid w:val="00006D6A"/>
    <w:rsid w:val="00007043"/>
    <w:rsid w:val="000072BA"/>
    <w:rsid w:val="0000743F"/>
    <w:rsid w:val="000077BA"/>
    <w:rsid w:val="000101D4"/>
    <w:rsid w:val="00010375"/>
    <w:rsid w:val="00010728"/>
    <w:rsid w:val="00010A10"/>
    <w:rsid w:val="00010AAD"/>
    <w:rsid w:val="00010EB0"/>
    <w:rsid w:val="000115B5"/>
    <w:rsid w:val="000116CA"/>
    <w:rsid w:val="00011DBB"/>
    <w:rsid w:val="000127D4"/>
    <w:rsid w:val="00012AE9"/>
    <w:rsid w:val="0001339B"/>
    <w:rsid w:val="0001347A"/>
    <w:rsid w:val="00013796"/>
    <w:rsid w:val="00013EA8"/>
    <w:rsid w:val="000153C6"/>
    <w:rsid w:val="0001541E"/>
    <w:rsid w:val="0001547D"/>
    <w:rsid w:val="00016382"/>
    <w:rsid w:val="000167E4"/>
    <w:rsid w:val="00016913"/>
    <w:rsid w:val="00016E7E"/>
    <w:rsid w:val="000174C7"/>
    <w:rsid w:val="000177E0"/>
    <w:rsid w:val="00017E16"/>
    <w:rsid w:val="00017F2F"/>
    <w:rsid w:val="0002024D"/>
    <w:rsid w:val="00020391"/>
    <w:rsid w:val="000208EA"/>
    <w:rsid w:val="000209A7"/>
    <w:rsid w:val="00020A7C"/>
    <w:rsid w:val="00021525"/>
    <w:rsid w:val="00021B7D"/>
    <w:rsid w:val="00021D1C"/>
    <w:rsid w:val="000220EB"/>
    <w:rsid w:val="00022311"/>
    <w:rsid w:val="00022895"/>
    <w:rsid w:val="00022A4B"/>
    <w:rsid w:val="00022AAF"/>
    <w:rsid w:val="00023025"/>
    <w:rsid w:val="00023331"/>
    <w:rsid w:val="000238D9"/>
    <w:rsid w:val="00023A2C"/>
    <w:rsid w:val="00023DFE"/>
    <w:rsid w:val="00023E5A"/>
    <w:rsid w:val="0002418B"/>
    <w:rsid w:val="0002479F"/>
    <w:rsid w:val="00024BA4"/>
    <w:rsid w:val="00024C70"/>
    <w:rsid w:val="00024ECE"/>
    <w:rsid w:val="000254BA"/>
    <w:rsid w:val="00026723"/>
    <w:rsid w:val="00026ABD"/>
    <w:rsid w:val="00026B35"/>
    <w:rsid w:val="00026B51"/>
    <w:rsid w:val="00026F7C"/>
    <w:rsid w:val="0002705E"/>
    <w:rsid w:val="00030661"/>
    <w:rsid w:val="00030B0A"/>
    <w:rsid w:val="00030D36"/>
    <w:rsid w:val="0003110B"/>
    <w:rsid w:val="00032014"/>
    <w:rsid w:val="0003221D"/>
    <w:rsid w:val="000326DB"/>
    <w:rsid w:val="00033888"/>
    <w:rsid w:val="00033A96"/>
    <w:rsid w:val="0003410C"/>
    <w:rsid w:val="00034473"/>
    <w:rsid w:val="000350DB"/>
    <w:rsid w:val="0003537A"/>
    <w:rsid w:val="000355CD"/>
    <w:rsid w:val="00035960"/>
    <w:rsid w:val="00035B56"/>
    <w:rsid w:val="00035D8D"/>
    <w:rsid w:val="00035DC5"/>
    <w:rsid w:val="00036A6F"/>
    <w:rsid w:val="00036DB1"/>
    <w:rsid w:val="00037079"/>
    <w:rsid w:val="00037374"/>
    <w:rsid w:val="00037500"/>
    <w:rsid w:val="00037602"/>
    <w:rsid w:val="00037820"/>
    <w:rsid w:val="00037C0C"/>
    <w:rsid w:val="00037EB3"/>
    <w:rsid w:val="0004047B"/>
    <w:rsid w:val="0004073E"/>
    <w:rsid w:val="00040C63"/>
    <w:rsid w:val="00040DF6"/>
    <w:rsid w:val="00041A8F"/>
    <w:rsid w:val="00041BD5"/>
    <w:rsid w:val="00041C31"/>
    <w:rsid w:val="00041D68"/>
    <w:rsid w:val="00041FAD"/>
    <w:rsid w:val="0004202C"/>
    <w:rsid w:val="000420F3"/>
    <w:rsid w:val="00042339"/>
    <w:rsid w:val="00042547"/>
    <w:rsid w:val="0004275E"/>
    <w:rsid w:val="00043667"/>
    <w:rsid w:val="00043735"/>
    <w:rsid w:val="00043CE8"/>
    <w:rsid w:val="00043F92"/>
    <w:rsid w:val="000447B8"/>
    <w:rsid w:val="00044A85"/>
    <w:rsid w:val="00045361"/>
    <w:rsid w:val="00046516"/>
    <w:rsid w:val="00046861"/>
    <w:rsid w:val="000474FA"/>
    <w:rsid w:val="00047BC2"/>
    <w:rsid w:val="00050490"/>
    <w:rsid w:val="0005060D"/>
    <w:rsid w:val="00050A73"/>
    <w:rsid w:val="00050BBD"/>
    <w:rsid w:val="00050E8F"/>
    <w:rsid w:val="00050F46"/>
    <w:rsid w:val="00050F83"/>
    <w:rsid w:val="000516D7"/>
    <w:rsid w:val="00051944"/>
    <w:rsid w:val="00051D53"/>
    <w:rsid w:val="000524EE"/>
    <w:rsid w:val="00052BBB"/>
    <w:rsid w:val="0005307F"/>
    <w:rsid w:val="00053833"/>
    <w:rsid w:val="000545F1"/>
    <w:rsid w:val="000546EB"/>
    <w:rsid w:val="00054D08"/>
    <w:rsid w:val="00055CB7"/>
    <w:rsid w:val="00055EA6"/>
    <w:rsid w:val="00056857"/>
    <w:rsid w:val="00056E16"/>
    <w:rsid w:val="00057276"/>
    <w:rsid w:val="00057A5B"/>
    <w:rsid w:val="00057D39"/>
    <w:rsid w:val="0006063F"/>
    <w:rsid w:val="000607B4"/>
    <w:rsid w:val="000619A8"/>
    <w:rsid w:val="000622DA"/>
    <w:rsid w:val="0006282D"/>
    <w:rsid w:val="000628DF"/>
    <w:rsid w:val="00062A88"/>
    <w:rsid w:val="00062E36"/>
    <w:rsid w:val="000633BE"/>
    <w:rsid w:val="000635BE"/>
    <w:rsid w:val="00063C14"/>
    <w:rsid w:val="000641F7"/>
    <w:rsid w:val="00064616"/>
    <w:rsid w:val="000648C6"/>
    <w:rsid w:val="00064BC1"/>
    <w:rsid w:val="00064BD2"/>
    <w:rsid w:val="00064E47"/>
    <w:rsid w:val="00065262"/>
    <w:rsid w:val="0006565D"/>
    <w:rsid w:val="00065C38"/>
    <w:rsid w:val="0006624A"/>
    <w:rsid w:val="000664F0"/>
    <w:rsid w:val="00066D0A"/>
    <w:rsid w:val="000670E5"/>
    <w:rsid w:val="00067181"/>
    <w:rsid w:val="00067226"/>
    <w:rsid w:val="0007024E"/>
    <w:rsid w:val="000702E6"/>
    <w:rsid w:val="00070728"/>
    <w:rsid w:val="00070D2A"/>
    <w:rsid w:val="0007113E"/>
    <w:rsid w:val="000713BE"/>
    <w:rsid w:val="00071E69"/>
    <w:rsid w:val="000722FC"/>
    <w:rsid w:val="000732E0"/>
    <w:rsid w:val="00073C04"/>
    <w:rsid w:val="00073EF0"/>
    <w:rsid w:val="00073F6C"/>
    <w:rsid w:val="00074007"/>
    <w:rsid w:val="0007403E"/>
    <w:rsid w:val="0007409F"/>
    <w:rsid w:val="000742E2"/>
    <w:rsid w:val="000744B8"/>
    <w:rsid w:val="00074AF7"/>
    <w:rsid w:val="00074BD7"/>
    <w:rsid w:val="00074C8E"/>
    <w:rsid w:val="00074E9F"/>
    <w:rsid w:val="000753A7"/>
    <w:rsid w:val="00075516"/>
    <w:rsid w:val="00075918"/>
    <w:rsid w:val="00075D9D"/>
    <w:rsid w:val="00075EA9"/>
    <w:rsid w:val="000761D4"/>
    <w:rsid w:val="000771F6"/>
    <w:rsid w:val="00077234"/>
    <w:rsid w:val="00077434"/>
    <w:rsid w:val="00077999"/>
    <w:rsid w:val="000779FF"/>
    <w:rsid w:val="00077D44"/>
    <w:rsid w:val="00080051"/>
    <w:rsid w:val="00080220"/>
    <w:rsid w:val="000810D2"/>
    <w:rsid w:val="000811D9"/>
    <w:rsid w:val="00081441"/>
    <w:rsid w:val="00081513"/>
    <w:rsid w:val="00081818"/>
    <w:rsid w:val="00081927"/>
    <w:rsid w:val="0008218C"/>
    <w:rsid w:val="000821D9"/>
    <w:rsid w:val="000826A4"/>
    <w:rsid w:val="0008306E"/>
    <w:rsid w:val="000835FB"/>
    <w:rsid w:val="0008387A"/>
    <w:rsid w:val="0008399A"/>
    <w:rsid w:val="00083C0D"/>
    <w:rsid w:val="00083CD3"/>
    <w:rsid w:val="00083D0A"/>
    <w:rsid w:val="000841F9"/>
    <w:rsid w:val="000844B6"/>
    <w:rsid w:val="00084C51"/>
    <w:rsid w:val="000852D5"/>
    <w:rsid w:val="00085813"/>
    <w:rsid w:val="0008597F"/>
    <w:rsid w:val="000859BB"/>
    <w:rsid w:val="00085C50"/>
    <w:rsid w:val="00086489"/>
    <w:rsid w:val="0008660C"/>
    <w:rsid w:val="000866F6"/>
    <w:rsid w:val="00086824"/>
    <w:rsid w:val="00086A04"/>
    <w:rsid w:val="00086A7D"/>
    <w:rsid w:val="00086D9E"/>
    <w:rsid w:val="0008794C"/>
    <w:rsid w:val="000879D2"/>
    <w:rsid w:val="000906C0"/>
    <w:rsid w:val="000907A3"/>
    <w:rsid w:val="00090AF6"/>
    <w:rsid w:val="00090C7E"/>
    <w:rsid w:val="00090F20"/>
    <w:rsid w:val="000910DA"/>
    <w:rsid w:val="00091669"/>
    <w:rsid w:val="000923EE"/>
    <w:rsid w:val="00092A43"/>
    <w:rsid w:val="00092A4E"/>
    <w:rsid w:val="00092AE9"/>
    <w:rsid w:val="000935EF"/>
    <w:rsid w:val="0009391B"/>
    <w:rsid w:val="00093D55"/>
    <w:rsid w:val="00094A61"/>
    <w:rsid w:val="00094C87"/>
    <w:rsid w:val="000951C8"/>
    <w:rsid w:val="000954FA"/>
    <w:rsid w:val="000956B8"/>
    <w:rsid w:val="00095DBC"/>
    <w:rsid w:val="00096130"/>
    <w:rsid w:val="000963E8"/>
    <w:rsid w:val="000968E4"/>
    <w:rsid w:val="0009734C"/>
    <w:rsid w:val="00097570"/>
    <w:rsid w:val="000A05F2"/>
    <w:rsid w:val="000A0642"/>
    <w:rsid w:val="000A06BA"/>
    <w:rsid w:val="000A119D"/>
    <w:rsid w:val="000A1557"/>
    <w:rsid w:val="000A1CAB"/>
    <w:rsid w:val="000A1D35"/>
    <w:rsid w:val="000A1E0B"/>
    <w:rsid w:val="000A2104"/>
    <w:rsid w:val="000A22FE"/>
    <w:rsid w:val="000A2BF1"/>
    <w:rsid w:val="000A2C35"/>
    <w:rsid w:val="000A3836"/>
    <w:rsid w:val="000A3A2D"/>
    <w:rsid w:val="000A3B9C"/>
    <w:rsid w:val="000A3F19"/>
    <w:rsid w:val="000A41C1"/>
    <w:rsid w:val="000A41D6"/>
    <w:rsid w:val="000A459D"/>
    <w:rsid w:val="000A45B9"/>
    <w:rsid w:val="000A4869"/>
    <w:rsid w:val="000A4CD1"/>
    <w:rsid w:val="000A4FB5"/>
    <w:rsid w:val="000A5FE6"/>
    <w:rsid w:val="000A6971"/>
    <w:rsid w:val="000A6B43"/>
    <w:rsid w:val="000A6D73"/>
    <w:rsid w:val="000A6E44"/>
    <w:rsid w:val="000A6EFD"/>
    <w:rsid w:val="000A7659"/>
    <w:rsid w:val="000A78FC"/>
    <w:rsid w:val="000B037A"/>
    <w:rsid w:val="000B0424"/>
    <w:rsid w:val="000B0D64"/>
    <w:rsid w:val="000B14D5"/>
    <w:rsid w:val="000B2280"/>
    <w:rsid w:val="000B2366"/>
    <w:rsid w:val="000B310D"/>
    <w:rsid w:val="000B38A8"/>
    <w:rsid w:val="000B39CD"/>
    <w:rsid w:val="000B3F49"/>
    <w:rsid w:val="000B3F77"/>
    <w:rsid w:val="000B4717"/>
    <w:rsid w:val="000B4A68"/>
    <w:rsid w:val="000B61F4"/>
    <w:rsid w:val="000B6C7F"/>
    <w:rsid w:val="000B707B"/>
    <w:rsid w:val="000B71E9"/>
    <w:rsid w:val="000B7944"/>
    <w:rsid w:val="000B7A73"/>
    <w:rsid w:val="000B7D54"/>
    <w:rsid w:val="000B7E41"/>
    <w:rsid w:val="000C013F"/>
    <w:rsid w:val="000C0AE4"/>
    <w:rsid w:val="000C101F"/>
    <w:rsid w:val="000C10D7"/>
    <w:rsid w:val="000C1A1D"/>
    <w:rsid w:val="000C29AA"/>
    <w:rsid w:val="000C2CD9"/>
    <w:rsid w:val="000C32A1"/>
    <w:rsid w:val="000C350F"/>
    <w:rsid w:val="000C3F00"/>
    <w:rsid w:val="000C40EB"/>
    <w:rsid w:val="000C42BC"/>
    <w:rsid w:val="000C47ED"/>
    <w:rsid w:val="000C48CE"/>
    <w:rsid w:val="000C552D"/>
    <w:rsid w:val="000C55E1"/>
    <w:rsid w:val="000C598F"/>
    <w:rsid w:val="000C5A4A"/>
    <w:rsid w:val="000C669E"/>
    <w:rsid w:val="000C6AA8"/>
    <w:rsid w:val="000C6DA1"/>
    <w:rsid w:val="000C722C"/>
    <w:rsid w:val="000C7862"/>
    <w:rsid w:val="000C7D8E"/>
    <w:rsid w:val="000C7E07"/>
    <w:rsid w:val="000D0573"/>
    <w:rsid w:val="000D1432"/>
    <w:rsid w:val="000D1FCD"/>
    <w:rsid w:val="000D2137"/>
    <w:rsid w:val="000D2E07"/>
    <w:rsid w:val="000D308A"/>
    <w:rsid w:val="000D310F"/>
    <w:rsid w:val="000D35C0"/>
    <w:rsid w:val="000D4AD5"/>
    <w:rsid w:val="000D4C5F"/>
    <w:rsid w:val="000D5128"/>
    <w:rsid w:val="000D674D"/>
    <w:rsid w:val="000D6997"/>
    <w:rsid w:val="000D6CAA"/>
    <w:rsid w:val="000D7469"/>
    <w:rsid w:val="000D7751"/>
    <w:rsid w:val="000D78F4"/>
    <w:rsid w:val="000D7AD1"/>
    <w:rsid w:val="000D7B93"/>
    <w:rsid w:val="000D7ED2"/>
    <w:rsid w:val="000D7EF0"/>
    <w:rsid w:val="000D7EF4"/>
    <w:rsid w:val="000E043D"/>
    <w:rsid w:val="000E056B"/>
    <w:rsid w:val="000E0CFC"/>
    <w:rsid w:val="000E105B"/>
    <w:rsid w:val="000E141C"/>
    <w:rsid w:val="000E149B"/>
    <w:rsid w:val="000E229B"/>
    <w:rsid w:val="000E2465"/>
    <w:rsid w:val="000E2601"/>
    <w:rsid w:val="000E2EDB"/>
    <w:rsid w:val="000E3785"/>
    <w:rsid w:val="000E3899"/>
    <w:rsid w:val="000E4474"/>
    <w:rsid w:val="000E44F6"/>
    <w:rsid w:val="000E48AC"/>
    <w:rsid w:val="000E4BF0"/>
    <w:rsid w:val="000E51C6"/>
    <w:rsid w:val="000E5AD8"/>
    <w:rsid w:val="000E5CF6"/>
    <w:rsid w:val="000E5E75"/>
    <w:rsid w:val="000E5FBB"/>
    <w:rsid w:val="000E62DB"/>
    <w:rsid w:val="000E6537"/>
    <w:rsid w:val="000E657A"/>
    <w:rsid w:val="000E65F0"/>
    <w:rsid w:val="000E66B5"/>
    <w:rsid w:val="000E6C12"/>
    <w:rsid w:val="000E7715"/>
    <w:rsid w:val="000E7A1C"/>
    <w:rsid w:val="000E7AE4"/>
    <w:rsid w:val="000E7B64"/>
    <w:rsid w:val="000E7D44"/>
    <w:rsid w:val="000E7DB7"/>
    <w:rsid w:val="000F087B"/>
    <w:rsid w:val="000F0E4D"/>
    <w:rsid w:val="000F0ED6"/>
    <w:rsid w:val="000F100D"/>
    <w:rsid w:val="000F1A16"/>
    <w:rsid w:val="000F1AF5"/>
    <w:rsid w:val="000F1B02"/>
    <w:rsid w:val="000F1E93"/>
    <w:rsid w:val="000F21C5"/>
    <w:rsid w:val="000F2921"/>
    <w:rsid w:val="000F2A1A"/>
    <w:rsid w:val="000F3207"/>
    <w:rsid w:val="000F3EAE"/>
    <w:rsid w:val="000F5493"/>
    <w:rsid w:val="000F635C"/>
    <w:rsid w:val="000F63D9"/>
    <w:rsid w:val="000F6F2A"/>
    <w:rsid w:val="000F6FA2"/>
    <w:rsid w:val="000F7743"/>
    <w:rsid w:val="000F791D"/>
    <w:rsid w:val="000F7B6A"/>
    <w:rsid w:val="000F7C00"/>
    <w:rsid w:val="00100166"/>
    <w:rsid w:val="00100506"/>
    <w:rsid w:val="00100689"/>
    <w:rsid w:val="001006AF"/>
    <w:rsid w:val="00101573"/>
    <w:rsid w:val="001019F9"/>
    <w:rsid w:val="00102507"/>
    <w:rsid w:val="001027A8"/>
    <w:rsid w:val="00102B65"/>
    <w:rsid w:val="00102C5E"/>
    <w:rsid w:val="00102D2C"/>
    <w:rsid w:val="00103D98"/>
    <w:rsid w:val="00103F65"/>
    <w:rsid w:val="00104380"/>
    <w:rsid w:val="0010473E"/>
    <w:rsid w:val="00105752"/>
    <w:rsid w:val="001059D8"/>
    <w:rsid w:val="00105B36"/>
    <w:rsid w:val="00105B48"/>
    <w:rsid w:val="00106011"/>
    <w:rsid w:val="001069D4"/>
    <w:rsid w:val="0010786D"/>
    <w:rsid w:val="0011044F"/>
    <w:rsid w:val="001104F8"/>
    <w:rsid w:val="00110564"/>
    <w:rsid w:val="001107E2"/>
    <w:rsid w:val="00110BD5"/>
    <w:rsid w:val="00110D6A"/>
    <w:rsid w:val="00111273"/>
    <w:rsid w:val="00111282"/>
    <w:rsid w:val="001114C3"/>
    <w:rsid w:val="00111750"/>
    <w:rsid w:val="0011175D"/>
    <w:rsid w:val="00112418"/>
    <w:rsid w:val="00112505"/>
    <w:rsid w:val="00112687"/>
    <w:rsid w:val="00112711"/>
    <w:rsid w:val="0011285A"/>
    <w:rsid w:val="00112967"/>
    <w:rsid w:val="00112DF3"/>
    <w:rsid w:val="00112DF4"/>
    <w:rsid w:val="00113244"/>
    <w:rsid w:val="001134EF"/>
    <w:rsid w:val="0011419E"/>
    <w:rsid w:val="00114DAC"/>
    <w:rsid w:val="00114F56"/>
    <w:rsid w:val="00115047"/>
    <w:rsid w:val="0011571E"/>
    <w:rsid w:val="00115D33"/>
    <w:rsid w:val="00116290"/>
    <w:rsid w:val="00116B4E"/>
    <w:rsid w:val="00116CDB"/>
    <w:rsid w:val="0011771E"/>
    <w:rsid w:val="00117C49"/>
    <w:rsid w:val="00117EEA"/>
    <w:rsid w:val="001200B8"/>
    <w:rsid w:val="00120622"/>
    <w:rsid w:val="00120679"/>
    <w:rsid w:val="001209B4"/>
    <w:rsid w:val="00120B17"/>
    <w:rsid w:val="00120C4E"/>
    <w:rsid w:val="00121577"/>
    <w:rsid w:val="00121D84"/>
    <w:rsid w:val="001224D9"/>
    <w:rsid w:val="00123B6A"/>
    <w:rsid w:val="00123D76"/>
    <w:rsid w:val="0012441F"/>
    <w:rsid w:val="00124ABE"/>
    <w:rsid w:val="00124B92"/>
    <w:rsid w:val="001258A3"/>
    <w:rsid w:val="00125A8E"/>
    <w:rsid w:val="00127042"/>
    <w:rsid w:val="00127B1E"/>
    <w:rsid w:val="00127B8C"/>
    <w:rsid w:val="00130073"/>
    <w:rsid w:val="0013032A"/>
    <w:rsid w:val="00130D2F"/>
    <w:rsid w:val="0013103F"/>
    <w:rsid w:val="0013116C"/>
    <w:rsid w:val="001313F3"/>
    <w:rsid w:val="0013150E"/>
    <w:rsid w:val="0013153B"/>
    <w:rsid w:val="00131B7C"/>
    <w:rsid w:val="00131BA8"/>
    <w:rsid w:val="00132017"/>
    <w:rsid w:val="00132293"/>
    <w:rsid w:val="00132719"/>
    <w:rsid w:val="00132D95"/>
    <w:rsid w:val="001334EE"/>
    <w:rsid w:val="0013404C"/>
    <w:rsid w:val="00134385"/>
    <w:rsid w:val="0013472C"/>
    <w:rsid w:val="001350AD"/>
    <w:rsid w:val="0013549F"/>
    <w:rsid w:val="00135999"/>
    <w:rsid w:val="00135D88"/>
    <w:rsid w:val="00135EE6"/>
    <w:rsid w:val="0013612C"/>
    <w:rsid w:val="001362B3"/>
    <w:rsid w:val="001365E5"/>
    <w:rsid w:val="00136862"/>
    <w:rsid w:val="00136B15"/>
    <w:rsid w:val="00136BC9"/>
    <w:rsid w:val="00137D19"/>
    <w:rsid w:val="00140A9B"/>
    <w:rsid w:val="001413C5"/>
    <w:rsid w:val="0014148A"/>
    <w:rsid w:val="00141A5E"/>
    <w:rsid w:val="00141B6D"/>
    <w:rsid w:val="00143D68"/>
    <w:rsid w:val="001442E9"/>
    <w:rsid w:val="00144D2B"/>
    <w:rsid w:val="00144DB1"/>
    <w:rsid w:val="00144DF3"/>
    <w:rsid w:val="0014509E"/>
    <w:rsid w:val="001451F7"/>
    <w:rsid w:val="001456E1"/>
    <w:rsid w:val="0014650C"/>
    <w:rsid w:val="001466B0"/>
    <w:rsid w:val="00146A71"/>
    <w:rsid w:val="00146C6E"/>
    <w:rsid w:val="00146C92"/>
    <w:rsid w:val="001472CA"/>
    <w:rsid w:val="001472D9"/>
    <w:rsid w:val="00147531"/>
    <w:rsid w:val="00147591"/>
    <w:rsid w:val="00147B37"/>
    <w:rsid w:val="00147E43"/>
    <w:rsid w:val="001504F7"/>
    <w:rsid w:val="00150907"/>
    <w:rsid w:val="001509A3"/>
    <w:rsid w:val="00150D6C"/>
    <w:rsid w:val="00150FBD"/>
    <w:rsid w:val="00151555"/>
    <w:rsid w:val="001522BF"/>
    <w:rsid w:val="00152354"/>
    <w:rsid w:val="0015273A"/>
    <w:rsid w:val="00152AA7"/>
    <w:rsid w:val="00152B66"/>
    <w:rsid w:val="00152D35"/>
    <w:rsid w:val="00153098"/>
    <w:rsid w:val="00153258"/>
    <w:rsid w:val="001533AE"/>
    <w:rsid w:val="00153674"/>
    <w:rsid w:val="001538B6"/>
    <w:rsid w:val="00153B7D"/>
    <w:rsid w:val="00154181"/>
    <w:rsid w:val="001544E1"/>
    <w:rsid w:val="00154FF0"/>
    <w:rsid w:val="00155144"/>
    <w:rsid w:val="001556DA"/>
    <w:rsid w:val="00155D9E"/>
    <w:rsid w:val="001564BA"/>
    <w:rsid w:val="0015670E"/>
    <w:rsid w:val="00156918"/>
    <w:rsid w:val="001569CF"/>
    <w:rsid w:val="00156E48"/>
    <w:rsid w:val="00156EA5"/>
    <w:rsid w:val="001578E3"/>
    <w:rsid w:val="001579FF"/>
    <w:rsid w:val="00157B44"/>
    <w:rsid w:val="00157D3C"/>
    <w:rsid w:val="00157DBA"/>
    <w:rsid w:val="00157F58"/>
    <w:rsid w:val="00157FE3"/>
    <w:rsid w:val="001600F3"/>
    <w:rsid w:val="00160928"/>
    <w:rsid w:val="001609D3"/>
    <w:rsid w:val="00160EB9"/>
    <w:rsid w:val="001610BA"/>
    <w:rsid w:val="001611BF"/>
    <w:rsid w:val="00161356"/>
    <w:rsid w:val="001616A1"/>
    <w:rsid w:val="001617A2"/>
    <w:rsid w:val="001618A1"/>
    <w:rsid w:val="0016217C"/>
    <w:rsid w:val="00162380"/>
    <w:rsid w:val="001624EC"/>
    <w:rsid w:val="001628AC"/>
    <w:rsid w:val="00162B78"/>
    <w:rsid w:val="00162DD5"/>
    <w:rsid w:val="00162F69"/>
    <w:rsid w:val="001638DB"/>
    <w:rsid w:val="00163AA2"/>
    <w:rsid w:val="001643AF"/>
    <w:rsid w:val="00164755"/>
    <w:rsid w:val="00164C77"/>
    <w:rsid w:val="0016501E"/>
    <w:rsid w:val="001653D0"/>
    <w:rsid w:val="00165D51"/>
    <w:rsid w:val="00166369"/>
    <w:rsid w:val="00166A25"/>
    <w:rsid w:val="001674F2"/>
    <w:rsid w:val="00167BE9"/>
    <w:rsid w:val="00167E89"/>
    <w:rsid w:val="001704F3"/>
    <w:rsid w:val="00171389"/>
    <w:rsid w:val="00171671"/>
    <w:rsid w:val="00171DCD"/>
    <w:rsid w:val="00172459"/>
    <w:rsid w:val="00172CFE"/>
    <w:rsid w:val="00173035"/>
    <w:rsid w:val="00173956"/>
    <w:rsid w:val="00173B93"/>
    <w:rsid w:val="0017452A"/>
    <w:rsid w:val="0017461F"/>
    <w:rsid w:val="00174C04"/>
    <w:rsid w:val="00174EE3"/>
    <w:rsid w:val="00175036"/>
    <w:rsid w:val="0017507D"/>
    <w:rsid w:val="001751AF"/>
    <w:rsid w:val="00175B8A"/>
    <w:rsid w:val="0017754B"/>
    <w:rsid w:val="001775D1"/>
    <w:rsid w:val="00177612"/>
    <w:rsid w:val="00177E84"/>
    <w:rsid w:val="00180034"/>
    <w:rsid w:val="00180707"/>
    <w:rsid w:val="00180E10"/>
    <w:rsid w:val="00180F11"/>
    <w:rsid w:val="001811A6"/>
    <w:rsid w:val="001817C4"/>
    <w:rsid w:val="00181AF1"/>
    <w:rsid w:val="00181BE6"/>
    <w:rsid w:val="00182D90"/>
    <w:rsid w:val="00183189"/>
    <w:rsid w:val="00183365"/>
    <w:rsid w:val="00183FA7"/>
    <w:rsid w:val="001843E7"/>
    <w:rsid w:val="00184609"/>
    <w:rsid w:val="00184D20"/>
    <w:rsid w:val="00184D86"/>
    <w:rsid w:val="001850B3"/>
    <w:rsid w:val="00185BFB"/>
    <w:rsid w:val="0018635B"/>
    <w:rsid w:val="001863EC"/>
    <w:rsid w:val="00186A79"/>
    <w:rsid w:val="00186B56"/>
    <w:rsid w:val="00187CE1"/>
    <w:rsid w:val="00190FCD"/>
    <w:rsid w:val="00191150"/>
    <w:rsid w:val="0019115B"/>
    <w:rsid w:val="0019116C"/>
    <w:rsid w:val="0019127E"/>
    <w:rsid w:val="00191957"/>
    <w:rsid w:val="001920B5"/>
    <w:rsid w:val="00192220"/>
    <w:rsid w:val="001928CC"/>
    <w:rsid w:val="00192C4F"/>
    <w:rsid w:val="00192E61"/>
    <w:rsid w:val="00193BC9"/>
    <w:rsid w:val="00193F34"/>
    <w:rsid w:val="0019461D"/>
    <w:rsid w:val="00194894"/>
    <w:rsid w:val="0019500F"/>
    <w:rsid w:val="00195874"/>
    <w:rsid w:val="0019651D"/>
    <w:rsid w:val="001969EB"/>
    <w:rsid w:val="00196C25"/>
    <w:rsid w:val="00196DDF"/>
    <w:rsid w:val="001970E6"/>
    <w:rsid w:val="00197112"/>
    <w:rsid w:val="001971A7"/>
    <w:rsid w:val="001974B7"/>
    <w:rsid w:val="00197510"/>
    <w:rsid w:val="00197526"/>
    <w:rsid w:val="0019776A"/>
    <w:rsid w:val="001A00B7"/>
    <w:rsid w:val="001A0127"/>
    <w:rsid w:val="001A038E"/>
    <w:rsid w:val="001A0935"/>
    <w:rsid w:val="001A0C69"/>
    <w:rsid w:val="001A1001"/>
    <w:rsid w:val="001A118E"/>
    <w:rsid w:val="001A12BE"/>
    <w:rsid w:val="001A1444"/>
    <w:rsid w:val="001A1500"/>
    <w:rsid w:val="001A1744"/>
    <w:rsid w:val="001A1905"/>
    <w:rsid w:val="001A1F7F"/>
    <w:rsid w:val="001A20C1"/>
    <w:rsid w:val="001A2123"/>
    <w:rsid w:val="001A2738"/>
    <w:rsid w:val="001A2A94"/>
    <w:rsid w:val="001A2AA2"/>
    <w:rsid w:val="001A2AE0"/>
    <w:rsid w:val="001A2E6D"/>
    <w:rsid w:val="001A3A56"/>
    <w:rsid w:val="001A3C9C"/>
    <w:rsid w:val="001A3D38"/>
    <w:rsid w:val="001A3DC8"/>
    <w:rsid w:val="001A3FA8"/>
    <w:rsid w:val="001A4799"/>
    <w:rsid w:val="001A4863"/>
    <w:rsid w:val="001A4FF4"/>
    <w:rsid w:val="001A5314"/>
    <w:rsid w:val="001A5A92"/>
    <w:rsid w:val="001A5AF8"/>
    <w:rsid w:val="001A6419"/>
    <w:rsid w:val="001A653E"/>
    <w:rsid w:val="001A6658"/>
    <w:rsid w:val="001A738E"/>
    <w:rsid w:val="001A7712"/>
    <w:rsid w:val="001A7BB2"/>
    <w:rsid w:val="001B0315"/>
    <w:rsid w:val="001B0D39"/>
    <w:rsid w:val="001B0DB9"/>
    <w:rsid w:val="001B14DC"/>
    <w:rsid w:val="001B1F85"/>
    <w:rsid w:val="001B2223"/>
    <w:rsid w:val="001B249C"/>
    <w:rsid w:val="001B3091"/>
    <w:rsid w:val="001B36A0"/>
    <w:rsid w:val="001B39BA"/>
    <w:rsid w:val="001B4F08"/>
    <w:rsid w:val="001B5208"/>
    <w:rsid w:val="001B5372"/>
    <w:rsid w:val="001B55DA"/>
    <w:rsid w:val="001B5786"/>
    <w:rsid w:val="001B5C75"/>
    <w:rsid w:val="001B5EAC"/>
    <w:rsid w:val="001B6263"/>
    <w:rsid w:val="001B6A35"/>
    <w:rsid w:val="001B6CAF"/>
    <w:rsid w:val="001B6EF4"/>
    <w:rsid w:val="001B75F4"/>
    <w:rsid w:val="001B7A74"/>
    <w:rsid w:val="001C0477"/>
    <w:rsid w:val="001C1C04"/>
    <w:rsid w:val="001C1E9C"/>
    <w:rsid w:val="001C1EC1"/>
    <w:rsid w:val="001C22D1"/>
    <w:rsid w:val="001C2581"/>
    <w:rsid w:val="001C26E9"/>
    <w:rsid w:val="001C276A"/>
    <w:rsid w:val="001C29BA"/>
    <w:rsid w:val="001C2A5B"/>
    <w:rsid w:val="001C2CC0"/>
    <w:rsid w:val="001C2DAD"/>
    <w:rsid w:val="001C3060"/>
    <w:rsid w:val="001C3BF8"/>
    <w:rsid w:val="001C3C26"/>
    <w:rsid w:val="001C3D92"/>
    <w:rsid w:val="001C3FD3"/>
    <w:rsid w:val="001C43B0"/>
    <w:rsid w:val="001C4467"/>
    <w:rsid w:val="001C453F"/>
    <w:rsid w:val="001C47DF"/>
    <w:rsid w:val="001C49C5"/>
    <w:rsid w:val="001C5213"/>
    <w:rsid w:val="001C565B"/>
    <w:rsid w:val="001C56D5"/>
    <w:rsid w:val="001C57CE"/>
    <w:rsid w:val="001C5E21"/>
    <w:rsid w:val="001C5FAB"/>
    <w:rsid w:val="001C6E6A"/>
    <w:rsid w:val="001C7068"/>
    <w:rsid w:val="001C7CAB"/>
    <w:rsid w:val="001C7E64"/>
    <w:rsid w:val="001D0523"/>
    <w:rsid w:val="001D0FF3"/>
    <w:rsid w:val="001D1048"/>
    <w:rsid w:val="001D16E4"/>
    <w:rsid w:val="001D17EE"/>
    <w:rsid w:val="001D1B94"/>
    <w:rsid w:val="001D1C85"/>
    <w:rsid w:val="001D1CED"/>
    <w:rsid w:val="001D24D4"/>
    <w:rsid w:val="001D2E96"/>
    <w:rsid w:val="001D33D6"/>
    <w:rsid w:val="001D371F"/>
    <w:rsid w:val="001D388C"/>
    <w:rsid w:val="001D3AE7"/>
    <w:rsid w:val="001D3D70"/>
    <w:rsid w:val="001D3E22"/>
    <w:rsid w:val="001D44F1"/>
    <w:rsid w:val="001D47D5"/>
    <w:rsid w:val="001D545E"/>
    <w:rsid w:val="001D5AA1"/>
    <w:rsid w:val="001D5BB2"/>
    <w:rsid w:val="001D68FE"/>
    <w:rsid w:val="001D6C38"/>
    <w:rsid w:val="001D7269"/>
    <w:rsid w:val="001D728F"/>
    <w:rsid w:val="001D7C92"/>
    <w:rsid w:val="001E0318"/>
    <w:rsid w:val="001E034E"/>
    <w:rsid w:val="001E0639"/>
    <w:rsid w:val="001E06A3"/>
    <w:rsid w:val="001E06C5"/>
    <w:rsid w:val="001E073C"/>
    <w:rsid w:val="001E0906"/>
    <w:rsid w:val="001E0A55"/>
    <w:rsid w:val="001E0C0E"/>
    <w:rsid w:val="001E0FD7"/>
    <w:rsid w:val="001E1086"/>
    <w:rsid w:val="001E10A5"/>
    <w:rsid w:val="001E2049"/>
    <w:rsid w:val="001E2560"/>
    <w:rsid w:val="001E28F7"/>
    <w:rsid w:val="001E2A47"/>
    <w:rsid w:val="001E2BA0"/>
    <w:rsid w:val="001E2D61"/>
    <w:rsid w:val="001E30C2"/>
    <w:rsid w:val="001E3418"/>
    <w:rsid w:val="001E3449"/>
    <w:rsid w:val="001E35C7"/>
    <w:rsid w:val="001E3DE9"/>
    <w:rsid w:val="001E40AC"/>
    <w:rsid w:val="001E4236"/>
    <w:rsid w:val="001E43B3"/>
    <w:rsid w:val="001E480D"/>
    <w:rsid w:val="001E4BF0"/>
    <w:rsid w:val="001E501B"/>
    <w:rsid w:val="001E5121"/>
    <w:rsid w:val="001E5370"/>
    <w:rsid w:val="001E57D8"/>
    <w:rsid w:val="001E582B"/>
    <w:rsid w:val="001E5C86"/>
    <w:rsid w:val="001E603D"/>
    <w:rsid w:val="001E61C2"/>
    <w:rsid w:val="001E6FD3"/>
    <w:rsid w:val="001E758E"/>
    <w:rsid w:val="001E774A"/>
    <w:rsid w:val="001E7751"/>
    <w:rsid w:val="001E7A90"/>
    <w:rsid w:val="001F075A"/>
    <w:rsid w:val="001F08E1"/>
    <w:rsid w:val="001F0EF5"/>
    <w:rsid w:val="001F1028"/>
    <w:rsid w:val="001F12A2"/>
    <w:rsid w:val="001F1B8C"/>
    <w:rsid w:val="001F1E3F"/>
    <w:rsid w:val="001F2007"/>
    <w:rsid w:val="001F282C"/>
    <w:rsid w:val="001F2CE0"/>
    <w:rsid w:val="001F2D39"/>
    <w:rsid w:val="001F341F"/>
    <w:rsid w:val="001F3A2A"/>
    <w:rsid w:val="001F3B2B"/>
    <w:rsid w:val="001F3C7C"/>
    <w:rsid w:val="001F3CAE"/>
    <w:rsid w:val="001F425C"/>
    <w:rsid w:val="001F42BF"/>
    <w:rsid w:val="001F5147"/>
    <w:rsid w:val="001F539E"/>
    <w:rsid w:val="001F5EFC"/>
    <w:rsid w:val="001F6193"/>
    <w:rsid w:val="001F630E"/>
    <w:rsid w:val="001F64FC"/>
    <w:rsid w:val="001F6581"/>
    <w:rsid w:val="001F6934"/>
    <w:rsid w:val="001F6C21"/>
    <w:rsid w:val="001F6D1C"/>
    <w:rsid w:val="001F6EDE"/>
    <w:rsid w:val="001F7122"/>
    <w:rsid w:val="001F755F"/>
    <w:rsid w:val="001F764E"/>
    <w:rsid w:val="001F7EAE"/>
    <w:rsid w:val="001F7FA5"/>
    <w:rsid w:val="00200651"/>
    <w:rsid w:val="00200A69"/>
    <w:rsid w:val="00201CA3"/>
    <w:rsid w:val="00202549"/>
    <w:rsid w:val="00202683"/>
    <w:rsid w:val="00202714"/>
    <w:rsid w:val="002027B4"/>
    <w:rsid w:val="00203373"/>
    <w:rsid w:val="002034A4"/>
    <w:rsid w:val="00203C2F"/>
    <w:rsid w:val="00203D16"/>
    <w:rsid w:val="00203E3C"/>
    <w:rsid w:val="00204A2C"/>
    <w:rsid w:val="00204AFB"/>
    <w:rsid w:val="00204C31"/>
    <w:rsid w:val="00205033"/>
    <w:rsid w:val="0020507D"/>
    <w:rsid w:val="002050EA"/>
    <w:rsid w:val="00205652"/>
    <w:rsid w:val="0020599E"/>
    <w:rsid w:val="002064ED"/>
    <w:rsid w:val="00206A05"/>
    <w:rsid w:val="002070BD"/>
    <w:rsid w:val="002072E5"/>
    <w:rsid w:val="00207751"/>
    <w:rsid w:val="00207AA5"/>
    <w:rsid w:val="00207ABF"/>
    <w:rsid w:val="00210112"/>
    <w:rsid w:val="002106B9"/>
    <w:rsid w:val="002106E5"/>
    <w:rsid w:val="002109E4"/>
    <w:rsid w:val="002111C5"/>
    <w:rsid w:val="00211486"/>
    <w:rsid w:val="00211C68"/>
    <w:rsid w:val="00211E3E"/>
    <w:rsid w:val="00211FA9"/>
    <w:rsid w:val="002126BE"/>
    <w:rsid w:val="00212A14"/>
    <w:rsid w:val="00212F34"/>
    <w:rsid w:val="0021333B"/>
    <w:rsid w:val="002135C3"/>
    <w:rsid w:val="00213B0C"/>
    <w:rsid w:val="0021410A"/>
    <w:rsid w:val="0021450A"/>
    <w:rsid w:val="002145B6"/>
    <w:rsid w:val="002145DC"/>
    <w:rsid w:val="00214C57"/>
    <w:rsid w:val="002150CC"/>
    <w:rsid w:val="00215472"/>
    <w:rsid w:val="002154C9"/>
    <w:rsid w:val="00215C79"/>
    <w:rsid w:val="00215FB8"/>
    <w:rsid w:val="0021610C"/>
    <w:rsid w:val="0021627C"/>
    <w:rsid w:val="00216679"/>
    <w:rsid w:val="00217114"/>
    <w:rsid w:val="0021736C"/>
    <w:rsid w:val="00217A44"/>
    <w:rsid w:val="002203D2"/>
    <w:rsid w:val="00220882"/>
    <w:rsid w:val="00220BD3"/>
    <w:rsid w:val="00221790"/>
    <w:rsid w:val="0022184E"/>
    <w:rsid w:val="00221EFC"/>
    <w:rsid w:val="002223CB"/>
    <w:rsid w:val="0022264B"/>
    <w:rsid w:val="00222998"/>
    <w:rsid w:val="00222E89"/>
    <w:rsid w:val="0022330A"/>
    <w:rsid w:val="00223605"/>
    <w:rsid w:val="0022468C"/>
    <w:rsid w:val="00224B2D"/>
    <w:rsid w:val="00224C9B"/>
    <w:rsid w:val="00224DEB"/>
    <w:rsid w:val="002253AC"/>
    <w:rsid w:val="00225E9B"/>
    <w:rsid w:val="00225FEF"/>
    <w:rsid w:val="0022629E"/>
    <w:rsid w:val="00226389"/>
    <w:rsid w:val="002263A3"/>
    <w:rsid w:val="002264F1"/>
    <w:rsid w:val="002268FD"/>
    <w:rsid w:val="0022715A"/>
    <w:rsid w:val="00227938"/>
    <w:rsid w:val="00227AB4"/>
    <w:rsid w:val="00227C7E"/>
    <w:rsid w:val="002308DE"/>
    <w:rsid w:val="00230BC7"/>
    <w:rsid w:val="00230D4A"/>
    <w:rsid w:val="00230FE8"/>
    <w:rsid w:val="00231438"/>
    <w:rsid w:val="002315FF"/>
    <w:rsid w:val="00231816"/>
    <w:rsid w:val="00231F45"/>
    <w:rsid w:val="002332B3"/>
    <w:rsid w:val="002332EB"/>
    <w:rsid w:val="002335A8"/>
    <w:rsid w:val="00233688"/>
    <w:rsid w:val="00233826"/>
    <w:rsid w:val="00233E44"/>
    <w:rsid w:val="00233EBD"/>
    <w:rsid w:val="00233F83"/>
    <w:rsid w:val="0023441E"/>
    <w:rsid w:val="00234695"/>
    <w:rsid w:val="00235328"/>
    <w:rsid w:val="0023543C"/>
    <w:rsid w:val="00236927"/>
    <w:rsid w:val="00236E31"/>
    <w:rsid w:val="002373CA"/>
    <w:rsid w:val="002375F9"/>
    <w:rsid w:val="002377E9"/>
    <w:rsid w:val="00237B0E"/>
    <w:rsid w:val="00237C33"/>
    <w:rsid w:val="00237F04"/>
    <w:rsid w:val="00240005"/>
    <w:rsid w:val="00240205"/>
    <w:rsid w:val="00240334"/>
    <w:rsid w:val="00240B9F"/>
    <w:rsid w:val="00241D13"/>
    <w:rsid w:val="0024228B"/>
    <w:rsid w:val="00242462"/>
    <w:rsid w:val="00242479"/>
    <w:rsid w:val="00242B1A"/>
    <w:rsid w:val="00242E1F"/>
    <w:rsid w:val="0024404B"/>
    <w:rsid w:val="002445F6"/>
    <w:rsid w:val="00244AD7"/>
    <w:rsid w:val="00244D3D"/>
    <w:rsid w:val="00244EDE"/>
    <w:rsid w:val="0024521A"/>
    <w:rsid w:val="00245558"/>
    <w:rsid w:val="00245B3D"/>
    <w:rsid w:val="00245CBA"/>
    <w:rsid w:val="002468EC"/>
    <w:rsid w:val="00246948"/>
    <w:rsid w:val="002471C5"/>
    <w:rsid w:val="00247622"/>
    <w:rsid w:val="0024776A"/>
    <w:rsid w:val="00247FB9"/>
    <w:rsid w:val="00250029"/>
    <w:rsid w:val="00250208"/>
    <w:rsid w:val="00250416"/>
    <w:rsid w:val="00250651"/>
    <w:rsid w:val="00250857"/>
    <w:rsid w:val="00250951"/>
    <w:rsid w:val="00250A9A"/>
    <w:rsid w:val="00250DE4"/>
    <w:rsid w:val="002510FB"/>
    <w:rsid w:val="0025151D"/>
    <w:rsid w:val="002515C4"/>
    <w:rsid w:val="002515DC"/>
    <w:rsid w:val="002516D3"/>
    <w:rsid w:val="0025194C"/>
    <w:rsid w:val="00251C79"/>
    <w:rsid w:val="00251D03"/>
    <w:rsid w:val="002521DE"/>
    <w:rsid w:val="00252ABC"/>
    <w:rsid w:val="00252D63"/>
    <w:rsid w:val="00252E7B"/>
    <w:rsid w:val="00252F52"/>
    <w:rsid w:val="00253138"/>
    <w:rsid w:val="00253B96"/>
    <w:rsid w:val="002546E2"/>
    <w:rsid w:val="00254A22"/>
    <w:rsid w:val="00254B1E"/>
    <w:rsid w:val="00254BD5"/>
    <w:rsid w:val="00254D70"/>
    <w:rsid w:val="002552A8"/>
    <w:rsid w:val="00255603"/>
    <w:rsid w:val="00255970"/>
    <w:rsid w:val="00255D83"/>
    <w:rsid w:val="00256334"/>
    <w:rsid w:val="002565CA"/>
    <w:rsid w:val="002565D7"/>
    <w:rsid w:val="00256613"/>
    <w:rsid w:val="0025671B"/>
    <w:rsid w:val="002569F3"/>
    <w:rsid w:val="00256DE1"/>
    <w:rsid w:val="00256F50"/>
    <w:rsid w:val="002572C4"/>
    <w:rsid w:val="002579D2"/>
    <w:rsid w:val="00257FCA"/>
    <w:rsid w:val="002600A0"/>
    <w:rsid w:val="002604E6"/>
    <w:rsid w:val="002605CD"/>
    <w:rsid w:val="0026118A"/>
    <w:rsid w:val="00261206"/>
    <w:rsid w:val="00261312"/>
    <w:rsid w:val="00261346"/>
    <w:rsid w:val="002618D5"/>
    <w:rsid w:val="00261C98"/>
    <w:rsid w:val="002628E9"/>
    <w:rsid w:val="00262A4A"/>
    <w:rsid w:val="0026310E"/>
    <w:rsid w:val="00263212"/>
    <w:rsid w:val="0026379B"/>
    <w:rsid w:val="002637C1"/>
    <w:rsid w:val="002648D0"/>
    <w:rsid w:val="00264D74"/>
    <w:rsid w:val="00264D77"/>
    <w:rsid w:val="00265051"/>
    <w:rsid w:val="00265196"/>
    <w:rsid w:val="002652E7"/>
    <w:rsid w:val="0026578F"/>
    <w:rsid w:val="002657BC"/>
    <w:rsid w:val="00265E4F"/>
    <w:rsid w:val="00265F84"/>
    <w:rsid w:val="00266124"/>
    <w:rsid w:val="002669E8"/>
    <w:rsid w:val="00266B2F"/>
    <w:rsid w:val="00266CFC"/>
    <w:rsid w:val="00267200"/>
    <w:rsid w:val="002673E4"/>
    <w:rsid w:val="00267621"/>
    <w:rsid w:val="002678A2"/>
    <w:rsid w:val="00267A83"/>
    <w:rsid w:val="00267B74"/>
    <w:rsid w:val="00267E82"/>
    <w:rsid w:val="00267F8A"/>
    <w:rsid w:val="00270157"/>
    <w:rsid w:val="00270974"/>
    <w:rsid w:val="00270E18"/>
    <w:rsid w:val="00271263"/>
    <w:rsid w:val="00271FCB"/>
    <w:rsid w:val="00272084"/>
    <w:rsid w:val="00272239"/>
    <w:rsid w:val="00272348"/>
    <w:rsid w:val="00272614"/>
    <w:rsid w:val="00272712"/>
    <w:rsid w:val="00272DD1"/>
    <w:rsid w:val="002730DE"/>
    <w:rsid w:val="00273826"/>
    <w:rsid w:val="00273BB5"/>
    <w:rsid w:val="00274615"/>
    <w:rsid w:val="0027466F"/>
    <w:rsid w:val="0027478D"/>
    <w:rsid w:val="002747F6"/>
    <w:rsid w:val="00274C77"/>
    <w:rsid w:val="00274CC8"/>
    <w:rsid w:val="00274DD7"/>
    <w:rsid w:val="00275187"/>
    <w:rsid w:val="00275909"/>
    <w:rsid w:val="002763EA"/>
    <w:rsid w:val="002770A8"/>
    <w:rsid w:val="0027765F"/>
    <w:rsid w:val="002776BE"/>
    <w:rsid w:val="002779C1"/>
    <w:rsid w:val="00277BDF"/>
    <w:rsid w:val="00277C84"/>
    <w:rsid w:val="002807F0"/>
    <w:rsid w:val="002809E0"/>
    <w:rsid w:val="002811E7"/>
    <w:rsid w:val="00281716"/>
    <w:rsid w:val="00281842"/>
    <w:rsid w:val="00281D8F"/>
    <w:rsid w:val="00281FD9"/>
    <w:rsid w:val="0028202B"/>
    <w:rsid w:val="00282049"/>
    <w:rsid w:val="0028227E"/>
    <w:rsid w:val="00282418"/>
    <w:rsid w:val="0028247B"/>
    <w:rsid w:val="00282DF6"/>
    <w:rsid w:val="00282EF8"/>
    <w:rsid w:val="002847C2"/>
    <w:rsid w:val="00284A81"/>
    <w:rsid w:val="00284CCE"/>
    <w:rsid w:val="00285BDE"/>
    <w:rsid w:val="00285EE3"/>
    <w:rsid w:val="00286990"/>
    <w:rsid w:val="00286C3F"/>
    <w:rsid w:val="002870B3"/>
    <w:rsid w:val="002872D5"/>
    <w:rsid w:val="00287E46"/>
    <w:rsid w:val="00291186"/>
    <w:rsid w:val="002914CF"/>
    <w:rsid w:val="002916F0"/>
    <w:rsid w:val="00291E41"/>
    <w:rsid w:val="00291E7B"/>
    <w:rsid w:val="002929B6"/>
    <w:rsid w:val="00293177"/>
    <w:rsid w:val="002934E6"/>
    <w:rsid w:val="00293850"/>
    <w:rsid w:val="0029443A"/>
    <w:rsid w:val="002948EE"/>
    <w:rsid w:val="00294EFD"/>
    <w:rsid w:val="00295A9A"/>
    <w:rsid w:val="00295D13"/>
    <w:rsid w:val="00297010"/>
    <w:rsid w:val="0029709F"/>
    <w:rsid w:val="00297184"/>
    <w:rsid w:val="0029765B"/>
    <w:rsid w:val="002978AB"/>
    <w:rsid w:val="002A013C"/>
    <w:rsid w:val="002A026F"/>
    <w:rsid w:val="002A0AC8"/>
    <w:rsid w:val="002A1002"/>
    <w:rsid w:val="002A1410"/>
    <w:rsid w:val="002A2541"/>
    <w:rsid w:val="002A26FB"/>
    <w:rsid w:val="002A278D"/>
    <w:rsid w:val="002A2DF3"/>
    <w:rsid w:val="002A30C5"/>
    <w:rsid w:val="002A31C5"/>
    <w:rsid w:val="002A3642"/>
    <w:rsid w:val="002A3D82"/>
    <w:rsid w:val="002A3E44"/>
    <w:rsid w:val="002A45FD"/>
    <w:rsid w:val="002A4667"/>
    <w:rsid w:val="002A4BA5"/>
    <w:rsid w:val="002A4F09"/>
    <w:rsid w:val="002A521C"/>
    <w:rsid w:val="002A5FCD"/>
    <w:rsid w:val="002A6356"/>
    <w:rsid w:val="002A66CF"/>
    <w:rsid w:val="002A6A16"/>
    <w:rsid w:val="002A6C8C"/>
    <w:rsid w:val="002A6E49"/>
    <w:rsid w:val="002A7181"/>
    <w:rsid w:val="002B0334"/>
    <w:rsid w:val="002B04B5"/>
    <w:rsid w:val="002B0526"/>
    <w:rsid w:val="002B1B78"/>
    <w:rsid w:val="002B1C23"/>
    <w:rsid w:val="002B22DF"/>
    <w:rsid w:val="002B2947"/>
    <w:rsid w:val="002B2991"/>
    <w:rsid w:val="002B2BB7"/>
    <w:rsid w:val="002B2E4A"/>
    <w:rsid w:val="002B32DA"/>
    <w:rsid w:val="002B4580"/>
    <w:rsid w:val="002B5591"/>
    <w:rsid w:val="002B5B86"/>
    <w:rsid w:val="002B5C30"/>
    <w:rsid w:val="002B5C69"/>
    <w:rsid w:val="002B5CF8"/>
    <w:rsid w:val="002B6106"/>
    <w:rsid w:val="002B63AE"/>
    <w:rsid w:val="002B6899"/>
    <w:rsid w:val="002B7668"/>
    <w:rsid w:val="002B766E"/>
    <w:rsid w:val="002B7EB6"/>
    <w:rsid w:val="002C0672"/>
    <w:rsid w:val="002C0871"/>
    <w:rsid w:val="002C0F39"/>
    <w:rsid w:val="002C0F84"/>
    <w:rsid w:val="002C11E2"/>
    <w:rsid w:val="002C125F"/>
    <w:rsid w:val="002C1770"/>
    <w:rsid w:val="002C1939"/>
    <w:rsid w:val="002C1AC0"/>
    <w:rsid w:val="002C1C95"/>
    <w:rsid w:val="002C1CC3"/>
    <w:rsid w:val="002C2097"/>
    <w:rsid w:val="002C21D9"/>
    <w:rsid w:val="002C28A4"/>
    <w:rsid w:val="002C3252"/>
    <w:rsid w:val="002C3907"/>
    <w:rsid w:val="002C3D39"/>
    <w:rsid w:val="002C3D82"/>
    <w:rsid w:val="002C3DEB"/>
    <w:rsid w:val="002C3E73"/>
    <w:rsid w:val="002C40FE"/>
    <w:rsid w:val="002C46B4"/>
    <w:rsid w:val="002C508B"/>
    <w:rsid w:val="002C54AE"/>
    <w:rsid w:val="002C595D"/>
    <w:rsid w:val="002C596C"/>
    <w:rsid w:val="002C5E31"/>
    <w:rsid w:val="002C5FCC"/>
    <w:rsid w:val="002C6190"/>
    <w:rsid w:val="002C644A"/>
    <w:rsid w:val="002C65BB"/>
    <w:rsid w:val="002C6C2F"/>
    <w:rsid w:val="002C784D"/>
    <w:rsid w:val="002C7DDD"/>
    <w:rsid w:val="002D0207"/>
    <w:rsid w:val="002D0761"/>
    <w:rsid w:val="002D189B"/>
    <w:rsid w:val="002D2436"/>
    <w:rsid w:val="002D2F0A"/>
    <w:rsid w:val="002D301C"/>
    <w:rsid w:val="002D34CA"/>
    <w:rsid w:val="002D38A5"/>
    <w:rsid w:val="002D3BF6"/>
    <w:rsid w:val="002D45AF"/>
    <w:rsid w:val="002D45E9"/>
    <w:rsid w:val="002D479C"/>
    <w:rsid w:val="002D4F3A"/>
    <w:rsid w:val="002D5508"/>
    <w:rsid w:val="002D64B2"/>
    <w:rsid w:val="002D65FC"/>
    <w:rsid w:val="002D686E"/>
    <w:rsid w:val="002D6AB8"/>
    <w:rsid w:val="002D7166"/>
    <w:rsid w:val="002D7742"/>
    <w:rsid w:val="002D77FC"/>
    <w:rsid w:val="002D789E"/>
    <w:rsid w:val="002E03A9"/>
    <w:rsid w:val="002E0F42"/>
    <w:rsid w:val="002E1258"/>
    <w:rsid w:val="002E218F"/>
    <w:rsid w:val="002E2694"/>
    <w:rsid w:val="002E2D71"/>
    <w:rsid w:val="002E3006"/>
    <w:rsid w:val="002E31FE"/>
    <w:rsid w:val="002E327D"/>
    <w:rsid w:val="002E332F"/>
    <w:rsid w:val="002E3AC1"/>
    <w:rsid w:val="002E3ACD"/>
    <w:rsid w:val="002E40A0"/>
    <w:rsid w:val="002E45D6"/>
    <w:rsid w:val="002E4658"/>
    <w:rsid w:val="002E4A42"/>
    <w:rsid w:val="002E4CF1"/>
    <w:rsid w:val="002E545E"/>
    <w:rsid w:val="002E57E3"/>
    <w:rsid w:val="002E59AC"/>
    <w:rsid w:val="002E5B28"/>
    <w:rsid w:val="002E5D8C"/>
    <w:rsid w:val="002E6122"/>
    <w:rsid w:val="002E62F8"/>
    <w:rsid w:val="002E634B"/>
    <w:rsid w:val="002E638A"/>
    <w:rsid w:val="002E649D"/>
    <w:rsid w:val="002E6677"/>
    <w:rsid w:val="002E76A5"/>
    <w:rsid w:val="002E77CA"/>
    <w:rsid w:val="002E7A1A"/>
    <w:rsid w:val="002E7B71"/>
    <w:rsid w:val="002E7C34"/>
    <w:rsid w:val="002E7CA9"/>
    <w:rsid w:val="002F01A8"/>
    <w:rsid w:val="002F10EF"/>
    <w:rsid w:val="002F1206"/>
    <w:rsid w:val="002F12FA"/>
    <w:rsid w:val="002F1727"/>
    <w:rsid w:val="002F19D4"/>
    <w:rsid w:val="002F1D55"/>
    <w:rsid w:val="002F1F2A"/>
    <w:rsid w:val="002F22EE"/>
    <w:rsid w:val="002F2459"/>
    <w:rsid w:val="002F2B67"/>
    <w:rsid w:val="002F2BF3"/>
    <w:rsid w:val="002F3048"/>
    <w:rsid w:val="002F36D9"/>
    <w:rsid w:val="002F390F"/>
    <w:rsid w:val="002F3995"/>
    <w:rsid w:val="002F3BE8"/>
    <w:rsid w:val="002F400B"/>
    <w:rsid w:val="002F40F3"/>
    <w:rsid w:val="002F4906"/>
    <w:rsid w:val="002F5579"/>
    <w:rsid w:val="002F5799"/>
    <w:rsid w:val="002F5F31"/>
    <w:rsid w:val="002F6206"/>
    <w:rsid w:val="002F674F"/>
    <w:rsid w:val="002F7193"/>
    <w:rsid w:val="002F71B3"/>
    <w:rsid w:val="002F75F6"/>
    <w:rsid w:val="002F7841"/>
    <w:rsid w:val="002F7B31"/>
    <w:rsid w:val="003001F6"/>
    <w:rsid w:val="00300FE7"/>
    <w:rsid w:val="00301427"/>
    <w:rsid w:val="003020F9"/>
    <w:rsid w:val="003026D5"/>
    <w:rsid w:val="0030273F"/>
    <w:rsid w:val="00302A60"/>
    <w:rsid w:val="0030321A"/>
    <w:rsid w:val="00303525"/>
    <w:rsid w:val="003041F5"/>
    <w:rsid w:val="003047DE"/>
    <w:rsid w:val="003050CC"/>
    <w:rsid w:val="00305105"/>
    <w:rsid w:val="00305171"/>
    <w:rsid w:val="00305423"/>
    <w:rsid w:val="00305599"/>
    <w:rsid w:val="00305776"/>
    <w:rsid w:val="00305B19"/>
    <w:rsid w:val="00305EDE"/>
    <w:rsid w:val="0030608C"/>
    <w:rsid w:val="0030609A"/>
    <w:rsid w:val="003065B4"/>
    <w:rsid w:val="00306AF5"/>
    <w:rsid w:val="00310A5A"/>
    <w:rsid w:val="00310F83"/>
    <w:rsid w:val="00311215"/>
    <w:rsid w:val="003118A0"/>
    <w:rsid w:val="00312FDB"/>
    <w:rsid w:val="003130CC"/>
    <w:rsid w:val="003132B2"/>
    <w:rsid w:val="00314337"/>
    <w:rsid w:val="0031508F"/>
    <w:rsid w:val="00315C86"/>
    <w:rsid w:val="00316491"/>
    <w:rsid w:val="0031653B"/>
    <w:rsid w:val="00316865"/>
    <w:rsid w:val="00316ACD"/>
    <w:rsid w:val="00317071"/>
    <w:rsid w:val="003174E4"/>
    <w:rsid w:val="0031783B"/>
    <w:rsid w:val="00320514"/>
    <w:rsid w:val="0032076B"/>
    <w:rsid w:val="003211D0"/>
    <w:rsid w:val="003216A6"/>
    <w:rsid w:val="0032170D"/>
    <w:rsid w:val="00321991"/>
    <w:rsid w:val="00321FA3"/>
    <w:rsid w:val="00322674"/>
    <w:rsid w:val="003227B3"/>
    <w:rsid w:val="00323557"/>
    <w:rsid w:val="00323714"/>
    <w:rsid w:val="00323F96"/>
    <w:rsid w:val="00324276"/>
    <w:rsid w:val="0032451C"/>
    <w:rsid w:val="00326108"/>
    <w:rsid w:val="00326688"/>
    <w:rsid w:val="00326AB5"/>
    <w:rsid w:val="00326E38"/>
    <w:rsid w:val="00326ED4"/>
    <w:rsid w:val="003271E3"/>
    <w:rsid w:val="00327BFB"/>
    <w:rsid w:val="00327EAD"/>
    <w:rsid w:val="003303B0"/>
    <w:rsid w:val="00330CA5"/>
    <w:rsid w:val="00331054"/>
    <w:rsid w:val="00331379"/>
    <w:rsid w:val="00331ACF"/>
    <w:rsid w:val="00331B93"/>
    <w:rsid w:val="00331C71"/>
    <w:rsid w:val="00332501"/>
    <w:rsid w:val="003328F5"/>
    <w:rsid w:val="00332944"/>
    <w:rsid w:val="00332BBC"/>
    <w:rsid w:val="00332E06"/>
    <w:rsid w:val="00333402"/>
    <w:rsid w:val="0033359F"/>
    <w:rsid w:val="003335D1"/>
    <w:rsid w:val="003335F8"/>
    <w:rsid w:val="00333A4E"/>
    <w:rsid w:val="00333CE8"/>
    <w:rsid w:val="0033474F"/>
    <w:rsid w:val="00335307"/>
    <w:rsid w:val="003356B6"/>
    <w:rsid w:val="003357A6"/>
    <w:rsid w:val="00335B0F"/>
    <w:rsid w:val="00335B6B"/>
    <w:rsid w:val="00336613"/>
    <w:rsid w:val="003379CE"/>
    <w:rsid w:val="003379D1"/>
    <w:rsid w:val="00337BD4"/>
    <w:rsid w:val="00337C1E"/>
    <w:rsid w:val="00340135"/>
    <w:rsid w:val="00340A5A"/>
    <w:rsid w:val="00340C25"/>
    <w:rsid w:val="00342156"/>
    <w:rsid w:val="003421CD"/>
    <w:rsid w:val="0034248B"/>
    <w:rsid w:val="0034257D"/>
    <w:rsid w:val="0034264B"/>
    <w:rsid w:val="00342B27"/>
    <w:rsid w:val="00342C76"/>
    <w:rsid w:val="00343202"/>
    <w:rsid w:val="00343AC6"/>
    <w:rsid w:val="00343CC8"/>
    <w:rsid w:val="00343D9F"/>
    <w:rsid w:val="00344068"/>
    <w:rsid w:val="003445A7"/>
    <w:rsid w:val="00344EF3"/>
    <w:rsid w:val="003451F5"/>
    <w:rsid w:val="003458E9"/>
    <w:rsid w:val="003460CA"/>
    <w:rsid w:val="003467C6"/>
    <w:rsid w:val="00346FDF"/>
    <w:rsid w:val="00347771"/>
    <w:rsid w:val="003478ED"/>
    <w:rsid w:val="00347CC6"/>
    <w:rsid w:val="003506C0"/>
    <w:rsid w:val="00350C1E"/>
    <w:rsid w:val="00351065"/>
    <w:rsid w:val="00351D9A"/>
    <w:rsid w:val="00351DD7"/>
    <w:rsid w:val="00351E07"/>
    <w:rsid w:val="00352739"/>
    <w:rsid w:val="0035279B"/>
    <w:rsid w:val="00352C0F"/>
    <w:rsid w:val="0035328D"/>
    <w:rsid w:val="003537AC"/>
    <w:rsid w:val="00353EF8"/>
    <w:rsid w:val="00353F6A"/>
    <w:rsid w:val="00354188"/>
    <w:rsid w:val="0035423E"/>
    <w:rsid w:val="003544B2"/>
    <w:rsid w:val="003547EF"/>
    <w:rsid w:val="0035483A"/>
    <w:rsid w:val="00355067"/>
    <w:rsid w:val="0035539D"/>
    <w:rsid w:val="00355494"/>
    <w:rsid w:val="003555D3"/>
    <w:rsid w:val="00355A17"/>
    <w:rsid w:val="00355C0C"/>
    <w:rsid w:val="00356FFA"/>
    <w:rsid w:val="00357A32"/>
    <w:rsid w:val="00357B1A"/>
    <w:rsid w:val="00357C7A"/>
    <w:rsid w:val="00357DC6"/>
    <w:rsid w:val="0036017C"/>
    <w:rsid w:val="0036029A"/>
    <w:rsid w:val="00360660"/>
    <w:rsid w:val="00360947"/>
    <w:rsid w:val="00360BAC"/>
    <w:rsid w:val="003611CA"/>
    <w:rsid w:val="003618BA"/>
    <w:rsid w:val="00361C1C"/>
    <w:rsid w:val="0036332D"/>
    <w:rsid w:val="00363598"/>
    <w:rsid w:val="00363AE8"/>
    <w:rsid w:val="003641A5"/>
    <w:rsid w:val="00364251"/>
    <w:rsid w:val="0036445F"/>
    <w:rsid w:val="00364623"/>
    <w:rsid w:val="0036480C"/>
    <w:rsid w:val="00364A24"/>
    <w:rsid w:val="00364CC4"/>
    <w:rsid w:val="00364D9D"/>
    <w:rsid w:val="003655F5"/>
    <w:rsid w:val="00365C04"/>
    <w:rsid w:val="00365C42"/>
    <w:rsid w:val="003667E2"/>
    <w:rsid w:val="00366E08"/>
    <w:rsid w:val="0036710B"/>
    <w:rsid w:val="00367445"/>
    <w:rsid w:val="0036768E"/>
    <w:rsid w:val="00367716"/>
    <w:rsid w:val="003677EB"/>
    <w:rsid w:val="00367FF0"/>
    <w:rsid w:val="00370324"/>
    <w:rsid w:val="00370B97"/>
    <w:rsid w:val="00370C5F"/>
    <w:rsid w:val="00370D2E"/>
    <w:rsid w:val="003711FF"/>
    <w:rsid w:val="0037148A"/>
    <w:rsid w:val="00371D6D"/>
    <w:rsid w:val="00372491"/>
    <w:rsid w:val="003727BD"/>
    <w:rsid w:val="0037280E"/>
    <w:rsid w:val="0037283B"/>
    <w:rsid w:val="00372BA8"/>
    <w:rsid w:val="00372D16"/>
    <w:rsid w:val="0037315B"/>
    <w:rsid w:val="00373B95"/>
    <w:rsid w:val="00373C8E"/>
    <w:rsid w:val="00373D70"/>
    <w:rsid w:val="00374277"/>
    <w:rsid w:val="00374DDA"/>
    <w:rsid w:val="00374F7C"/>
    <w:rsid w:val="0037516E"/>
    <w:rsid w:val="0037548A"/>
    <w:rsid w:val="00376330"/>
    <w:rsid w:val="00376432"/>
    <w:rsid w:val="003769A1"/>
    <w:rsid w:val="00376A8B"/>
    <w:rsid w:val="00376C3E"/>
    <w:rsid w:val="0037709C"/>
    <w:rsid w:val="00377300"/>
    <w:rsid w:val="0037785F"/>
    <w:rsid w:val="00377927"/>
    <w:rsid w:val="0038040D"/>
    <w:rsid w:val="003805C7"/>
    <w:rsid w:val="00380C54"/>
    <w:rsid w:val="00381902"/>
    <w:rsid w:val="00381CBE"/>
    <w:rsid w:val="00381D29"/>
    <w:rsid w:val="003823D6"/>
    <w:rsid w:val="00382DE5"/>
    <w:rsid w:val="00382E3D"/>
    <w:rsid w:val="003837A0"/>
    <w:rsid w:val="00384090"/>
    <w:rsid w:val="003842F2"/>
    <w:rsid w:val="003848FD"/>
    <w:rsid w:val="00384C6E"/>
    <w:rsid w:val="00384E41"/>
    <w:rsid w:val="0038531B"/>
    <w:rsid w:val="0038539E"/>
    <w:rsid w:val="003857BD"/>
    <w:rsid w:val="00385815"/>
    <w:rsid w:val="00385B34"/>
    <w:rsid w:val="00385C33"/>
    <w:rsid w:val="00386376"/>
    <w:rsid w:val="00386AA8"/>
    <w:rsid w:val="00386FC4"/>
    <w:rsid w:val="00386FE3"/>
    <w:rsid w:val="00387003"/>
    <w:rsid w:val="00390158"/>
    <w:rsid w:val="00391763"/>
    <w:rsid w:val="00392061"/>
    <w:rsid w:val="003923D3"/>
    <w:rsid w:val="003928B5"/>
    <w:rsid w:val="00393517"/>
    <w:rsid w:val="00393567"/>
    <w:rsid w:val="00393E35"/>
    <w:rsid w:val="00394DDD"/>
    <w:rsid w:val="0039569D"/>
    <w:rsid w:val="00395961"/>
    <w:rsid w:val="00395B8C"/>
    <w:rsid w:val="00395CCA"/>
    <w:rsid w:val="003964D0"/>
    <w:rsid w:val="00397593"/>
    <w:rsid w:val="00397B13"/>
    <w:rsid w:val="00397E86"/>
    <w:rsid w:val="003A095D"/>
    <w:rsid w:val="003A10FF"/>
    <w:rsid w:val="003A1A65"/>
    <w:rsid w:val="003A20EB"/>
    <w:rsid w:val="003A2AE0"/>
    <w:rsid w:val="003A2CB6"/>
    <w:rsid w:val="003A2D1C"/>
    <w:rsid w:val="003A2D8E"/>
    <w:rsid w:val="003A362A"/>
    <w:rsid w:val="003A3AC2"/>
    <w:rsid w:val="003A44A7"/>
    <w:rsid w:val="003A4822"/>
    <w:rsid w:val="003A536A"/>
    <w:rsid w:val="003A55C3"/>
    <w:rsid w:val="003A5663"/>
    <w:rsid w:val="003A56D5"/>
    <w:rsid w:val="003A5B12"/>
    <w:rsid w:val="003A5FBA"/>
    <w:rsid w:val="003A628E"/>
    <w:rsid w:val="003A65AC"/>
    <w:rsid w:val="003A73E9"/>
    <w:rsid w:val="003A7490"/>
    <w:rsid w:val="003A79EC"/>
    <w:rsid w:val="003A7D00"/>
    <w:rsid w:val="003B0402"/>
    <w:rsid w:val="003B0501"/>
    <w:rsid w:val="003B0894"/>
    <w:rsid w:val="003B0E64"/>
    <w:rsid w:val="003B15BA"/>
    <w:rsid w:val="003B15FB"/>
    <w:rsid w:val="003B1AAF"/>
    <w:rsid w:val="003B1E9A"/>
    <w:rsid w:val="003B1FB8"/>
    <w:rsid w:val="003B2C87"/>
    <w:rsid w:val="003B2EEA"/>
    <w:rsid w:val="003B2EF8"/>
    <w:rsid w:val="003B30BD"/>
    <w:rsid w:val="003B30D2"/>
    <w:rsid w:val="003B3670"/>
    <w:rsid w:val="003B5396"/>
    <w:rsid w:val="003B57A0"/>
    <w:rsid w:val="003B5A10"/>
    <w:rsid w:val="003B5AAD"/>
    <w:rsid w:val="003B5B31"/>
    <w:rsid w:val="003B5C54"/>
    <w:rsid w:val="003B6606"/>
    <w:rsid w:val="003B6765"/>
    <w:rsid w:val="003B69FC"/>
    <w:rsid w:val="003B6B56"/>
    <w:rsid w:val="003B737B"/>
    <w:rsid w:val="003B7824"/>
    <w:rsid w:val="003C02AA"/>
    <w:rsid w:val="003C1580"/>
    <w:rsid w:val="003C1CA4"/>
    <w:rsid w:val="003C1E64"/>
    <w:rsid w:val="003C2571"/>
    <w:rsid w:val="003C2714"/>
    <w:rsid w:val="003C2C95"/>
    <w:rsid w:val="003C364B"/>
    <w:rsid w:val="003C4656"/>
    <w:rsid w:val="003C5E9A"/>
    <w:rsid w:val="003C7207"/>
    <w:rsid w:val="003C7948"/>
    <w:rsid w:val="003C7AEB"/>
    <w:rsid w:val="003C7D05"/>
    <w:rsid w:val="003D0356"/>
    <w:rsid w:val="003D0594"/>
    <w:rsid w:val="003D07F3"/>
    <w:rsid w:val="003D1271"/>
    <w:rsid w:val="003D15DF"/>
    <w:rsid w:val="003D1FE6"/>
    <w:rsid w:val="003D221D"/>
    <w:rsid w:val="003D2D47"/>
    <w:rsid w:val="003D30B8"/>
    <w:rsid w:val="003D354D"/>
    <w:rsid w:val="003D3A2C"/>
    <w:rsid w:val="003D46CD"/>
    <w:rsid w:val="003D4C35"/>
    <w:rsid w:val="003D4CDE"/>
    <w:rsid w:val="003D5447"/>
    <w:rsid w:val="003D5C55"/>
    <w:rsid w:val="003D640E"/>
    <w:rsid w:val="003D6D6A"/>
    <w:rsid w:val="003D6F00"/>
    <w:rsid w:val="003D700B"/>
    <w:rsid w:val="003D710A"/>
    <w:rsid w:val="003D7268"/>
    <w:rsid w:val="003D7B28"/>
    <w:rsid w:val="003D7B4E"/>
    <w:rsid w:val="003D7DF6"/>
    <w:rsid w:val="003E005F"/>
    <w:rsid w:val="003E0A29"/>
    <w:rsid w:val="003E0A6F"/>
    <w:rsid w:val="003E0CAB"/>
    <w:rsid w:val="003E2A64"/>
    <w:rsid w:val="003E3F8B"/>
    <w:rsid w:val="003E406B"/>
    <w:rsid w:val="003E43F1"/>
    <w:rsid w:val="003E4428"/>
    <w:rsid w:val="003E484A"/>
    <w:rsid w:val="003E4D5E"/>
    <w:rsid w:val="003E4DC0"/>
    <w:rsid w:val="003E53E5"/>
    <w:rsid w:val="003E5B52"/>
    <w:rsid w:val="003E5FD2"/>
    <w:rsid w:val="003E7AB6"/>
    <w:rsid w:val="003E7D44"/>
    <w:rsid w:val="003F0DE4"/>
    <w:rsid w:val="003F0FB5"/>
    <w:rsid w:val="003F1310"/>
    <w:rsid w:val="003F1A72"/>
    <w:rsid w:val="003F1D41"/>
    <w:rsid w:val="003F27EF"/>
    <w:rsid w:val="003F29C0"/>
    <w:rsid w:val="003F2C5B"/>
    <w:rsid w:val="003F326F"/>
    <w:rsid w:val="003F3B7A"/>
    <w:rsid w:val="003F3E87"/>
    <w:rsid w:val="003F3ED6"/>
    <w:rsid w:val="003F4223"/>
    <w:rsid w:val="003F42F4"/>
    <w:rsid w:val="003F4409"/>
    <w:rsid w:val="003F4848"/>
    <w:rsid w:val="003F4DED"/>
    <w:rsid w:val="003F50DF"/>
    <w:rsid w:val="003F520D"/>
    <w:rsid w:val="003F55DF"/>
    <w:rsid w:val="003F5AB0"/>
    <w:rsid w:val="003F645F"/>
    <w:rsid w:val="003F6484"/>
    <w:rsid w:val="003F65D4"/>
    <w:rsid w:val="003F6A91"/>
    <w:rsid w:val="003F6F89"/>
    <w:rsid w:val="003F6FD6"/>
    <w:rsid w:val="003F76DB"/>
    <w:rsid w:val="003F7ABF"/>
    <w:rsid w:val="00400125"/>
    <w:rsid w:val="00400866"/>
    <w:rsid w:val="004008F0"/>
    <w:rsid w:val="0040091E"/>
    <w:rsid w:val="00400C68"/>
    <w:rsid w:val="00400D01"/>
    <w:rsid w:val="00401187"/>
    <w:rsid w:val="0040123C"/>
    <w:rsid w:val="00401581"/>
    <w:rsid w:val="004015EA"/>
    <w:rsid w:val="00401732"/>
    <w:rsid w:val="00401A38"/>
    <w:rsid w:val="00401B09"/>
    <w:rsid w:val="00402582"/>
    <w:rsid w:val="00402784"/>
    <w:rsid w:val="00403DE2"/>
    <w:rsid w:val="00404651"/>
    <w:rsid w:val="00404807"/>
    <w:rsid w:val="00404872"/>
    <w:rsid w:val="0040568A"/>
    <w:rsid w:val="004057E3"/>
    <w:rsid w:val="00405EB3"/>
    <w:rsid w:val="00405FAD"/>
    <w:rsid w:val="00406282"/>
    <w:rsid w:val="0040699F"/>
    <w:rsid w:val="00406F7A"/>
    <w:rsid w:val="00407017"/>
    <w:rsid w:val="0040774D"/>
    <w:rsid w:val="00407A60"/>
    <w:rsid w:val="004101D4"/>
    <w:rsid w:val="00410AC2"/>
    <w:rsid w:val="0041120A"/>
    <w:rsid w:val="00411899"/>
    <w:rsid w:val="0041195A"/>
    <w:rsid w:val="00411AAD"/>
    <w:rsid w:val="0041208D"/>
    <w:rsid w:val="004126E5"/>
    <w:rsid w:val="004129BB"/>
    <w:rsid w:val="00412EDA"/>
    <w:rsid w:val="00413275"/>
    <w:rsid w:val="00413766"/>
    <w:rsid w:val="004138EC"/>
    <w:rsid w:val="004139F0"/>
    <w:rsid w:val="0041462E"/>
    <w:rsid w:val="00414747"/>
    <w:rsid w:val="00414D61"/>
    <w:rsid w:val="004158AC"/>
    <w:rsid w:val="00415CEF"/>
    <w:rsid w:val="00415D0F"/>
    <w:rsid w:val="00416419"/>
    <w:rsid w:val="00416438"/>
    <w:rsid w:val="00416465"/>
    <w:rsid w:val="004169D0"/>
    <w:rsid w:val="00417459"/>
    <w:rsid w:val="00417B4A"/>
    <w:rsid w:val="00417E09"/>
    <w:rsid w:val="00420138"/>
    <w:rsid w:val="004203CC"/>
    <w:rsid w:val="004206C7"/>
    <w:rsid w:val="004209A6"/>
    <w:rsid w:val="00420A44"/>
    <w:rsid w:val="004211C9"/>
    <w:rsid w:val="004212FF"/>
    <w:rsid w:val="00421AA8"/>
    <w:rsid w:val="00421AB3"/>
    <w:rsid w:val="00422167"/>
    <w:rsid w:val="004223D1"/>
    <w:rsid w:val="004223F4"/>
    <w:rsid w:val="00422526"/>
    <w:rsid w:val="004225CB"/>
    <w:rsid w:val="0042286E"/>
    <w:rsid w:val="00422AAF"/>
    <w:rsid w:val="00422D88"/>
    <w:rsid w:val="00422E80"/>
    <w:rsid w:val="004233A6"/>
    <w:rsid w:val="004233DE"/>
    <w:rsid w:val="004236CC"/>
    <w:rsid w:val="00423C55"/>
    <w:rsid w:val="00423DE3"/>
    <w:rsid w:val="00423E3B"/>
    <w:rsid w:val="00424E7F"/>
    <w:rsid w:val="00424F51"/>
    <w:rsid w:val="00425BB9"/>
    <w:rsid w:val="00425F21"/>
    <w:rsid w:val="00426452"/>
    <w:rsid w:val="0042654C"/>
    <w:rsid w:val="00426835"/>
    <w:rsid w:val="00426C90"/>
    <w:rsid w:val="00426E4B"/>
    <w:rsid w:val="00426E99"/>
    <w:rsid w:val="0042734B"/>
    <w:rsid w:val="00427A98"/>
    <w:rsid w:val="0043121E"/>
    <w:rsid w:val="00431518"/>
    <w:rsid w:val="00431A6D"/>
    <w:rsid w:val="00431DED"/>
    <w:rsid w:val="0043209D"/>
    <w:rsid w:val="004323A4"/>
    <w:rsid w:val="004323FD"/>
    <w:rsid w:val="00432614"/>
    <w:rsid w:val="00432BD3"/>
    <w:rsid w:val="00432D8C"/>
    <w:rsid w:val="00433E48"/>
    <w:rsid w:val="00433F35"/>
    <w:rsid w:val="004340BA"/>
    <w:rsid w:val="004348B7"/>
    <w:rsid w:val="00435B74"/>
    <w:rsid w:val="00435D9B"/>
    <w:rsid w:val="00436269"/>
    <w:rsid w:val="00436F70"/>
    <w:rsid w:val="004378B2"/>
    <w:rsid w:val="00437E00"/>
    <w:rsid w:val="00437E51"/>
    <w:rsid w:val="00440865"/>
    <w:rsid w:val="00440D21"/>
    <w:rsid w:val="00441416"/>
    <w:rsid w:val="00441617"/>
    <w:rsid w:val="00441918"/>
    <w:rsid w:val="0044199E"/>
    <w:rsid w:val="00441A1F"/>
    <w:rsid w:val="00441A3B"/>
    <w:rsid w:val="00441F2A"/>
    <w:rsid w:val="00441F62"/>
    <w:rsid w:val="0044259E"/>
    <w:rsid w:val="0044285D"/>
    <w:rsid w:val="004432E5"/>
    <w:rsid w:val="004438D5"/>
    <w:rsid w:val="00443D4C"/>
    <w:rsid w:val="00443E1F"/>
    <w:rsid w:val="00443FFB"/>
    <w:rsid w:val="00444062"/>
    <w:rsid w:val="00444606"/>
    <w:rsid w:val="004446E7"/>
    <w:rsid w:val="004448FC"/>
    <w:rsid w:val="00444C5B"/>
    <w:rsid w:val="00444CCE"/>
    <w:rsid w:val="00444D2F"/>
    <w:rsid w:val="004454C0"/>
    <w:rsid w:val="00445787"/>
    <w:rsid w:val="00445E98"/>
    <w:rsid w:val="0044656C"/>
    <w:rsid w:val="0044665F"/>
    <w:rsid w:val="00446AE2"/>
    <w:rsid w:val="00446DE1"/>
    <w:rsid w:val="00447005"/>
    <w:rsid w:val="00447BEF"/>
    <w:rsid w:val="00447E2C"/>
    <w:rsid w:val="004501E0"/>
    <w:rsid w:val="004505A3"/>
    <w:rsid w:val="00450B17"/>
    <w:rsid w:val="00450D2A"/>
    <w:rsid w:val="004515E1"/>
    <w:rsid w:val="004516D0"/>
    <w:rsid w:val="00451E9E"/>
    <w:rsid w:val="00452161"/>
    <w:rsid w:val="004529F1"/>
    <w:rsid w:val="00452FA0"/>
    <w:rsid w:val="00453085"/>
    <w:rsid w:val="00453261"/>
    <w:rsid w:val="0045338A"/>
    <w:rsid w:val="00453445"/>
    <w:rsid w:val="00453A0C"/>
    <w:rsid w:val="00453D18"/>
    <w:rsid w:val="00453D63"/>
    <w:rsid w:val="00453D8F"/>
    <w:rsid w:val="004541CB"/>
    <w:rsid w:val="004542EE"/>
    <w:rsid w:val="00454747"/>
    <w:rsid w:val="004548B8"/>
    <w:rsid w:val="004551E0"/>
    <w:rsid w:val="0045544E"/>
    <w:rsid w:val="00455BA1"/>
    <w:rsid w:val="00455FEA"/>
    <w:rsid w:val="00456379"/>
    <w:rsid w:val="004563F7"/>
    <w:rsid w:val="00456BD2"/>
    <w:rsid w:val="00456EB2"/>
    <w:rsid w:val="004578CA"/>
    <w:rsid w:val="00457C63"/>
    <w:rsid w:val="004600EC"/>
    <w:rsid w:val="0046019F"/>
    <w:rsid w:val="004604C6"/>
    <w:rsid w:val="00461142"/>
    <w:rsid w:val="0046123D"/>
    <w:rsid w:val="00461C00"/>
    <w:rsid w:val="004620B9"/>
    <w:rsid w:val="0046286A"/>
    <w:rsid w:val="00462BDB"/>
    <w:rsid w:val="0046307D"/>
    <w:rsid w:val="0046391C"/>
    <w:rsid w:val="00463B13"/>
    <w:rsid w:val="00463D62"/>
    <w:rsid w:val="00464594"/>
    <w:rsid w:val="00464DA0"/>
    <w:rsid w:val="00465220"/>
    <w:rsid w:val="004653D2"/>
    <w:rsid w:val="00466215"/>
    <w:rsid w:val="0046658A"/>
    <w:rsid w:val="004665F6"/>
    <w:rsid w:val="004669B2"/>
    <w:rsid w:val="00466A8B"/>
    <w:rsid w:val="00467E09"/>
    <w:rsid w:val="00467E5C"/>
    <w:rsid w:val="0047011E"/>
    <w:rsid w:val="00470995"/>
    <w:rsid w:val="00470C48"/>
    <w:rsid w:val="0047112E"/>
    <w:rsid w:val="004711AA"/>
    <w:rsid w:val="004717A2"/>
    <w:rsid w:val="00471E07"/>
    <w:rsid w:val="00472224"/>
    <w:rsid w:val="00472AC3"/>
    <w:rsid w:val="00472E68"/>
    <w:rsid w:val="004730F0"/>
    <w:rsid w:val="0047319E"/>
    <w:rsid w:val="00473411"/>
    <w:rsid w:val="00473906"/>
    <w:rsid w:val="00474E00"/>
    <w:rsid w:val="00475BB8"/>
    <w:rsid w:val="00476078"/>
    <w:rsid w:val="00476416"/>
    <w:rsid w:val="0047641D"/>
    <w:rsid w:val="00477229"/>
    <w:rsid w:val="004779C0"/>
    <w:rsid w:val="004803F9"/>
    <w:rsid w:val="0048107C"/>
    <w:rsid w:val="00481CFC"/>
    <w:rsid w:val="00481E05"/>
    <w:rsid w:val="0048214B"/>
    <w:rsid w:val="00482257"/>
    <w:rsid w:val="00482605"/>
    <w:rsid w:val="0048261E"/>
    <w:rsid w:val="00482846"/>
    <w:rsid w:val="004829D4"/>
    <w:rsid w:val="00483533"/>
    <w:rsid w:val="0048397F"/>
    <w:rsid w:val="00483A27"/>
    <w:rsid w:val="00483BE5"/>
    <w:rsid w:val="00484465"/>
    <w:rsid w:val="004848F2"/>
    <w:rsid w:val="00484E49"/>
    <w:rsid w:val="00485421"/>
    <w:rsid w:val="0048563A"/>
    <w:rsid w:val="00485814"/>
    <w:rsid w:val="00485FCC"/>
    <w:rsid w:val="00486E8C"/>
    <w:rsid w:val="00487D4B"/>
    <w:rsid w:val="00490576"/>
    <w:rsid w:val="00490A85"/>
    <w:rsid w:val="00490D22"/>
    <w:rsid w:val="0049110E"/>
    <w:rsid w:val="004921F7"/>
    <w:rsid w:val="00492615"/>
    <w:rsid w:val="004929B9"/>
    <w:rsid w:val="0049467E"/>
    <w:rsid w:val="0049494B"/>
    <w:rsid w:val="00494B75"/>
    <w:rsid w:val="00494E6B"/>
    <w:rsid w:val="00494EB7"/>
    <w:rsid w:val="00495994"/>
    <w:rsid w:val="00495A9C"/>
    <w:rsid w:val="00496934"/>
    <w:rsid w:val="00496B1F"/>
    <w:rsid w:val="004972E1"/>
    <w:rsid w:val="00497353"/>
    <w:rsid w:val="004975C7"/>
    <w:rsid w:val="00497CCA"/>
    <w:rsid w:val="00497D68"/>
    <w:rsid w:val="004A05D9"/>
    <w:rsid w:val="004A10F8"/>
    <w:rsid w:val="004A1651"/>
    <w:rsid w:val="004A2215"/>
    <w:rsid w:val="004A23B2"/>
    <w:rsid w:val="004A346B"/>
    <w:rsid w:val="004A35FE"/>
    <w:rsid w:val="004A4190"/>
    <w:rsid w:val="004A458C"/>
    <w:rsid w:val="004A4EBA"/>
    <w:rsid w:val="004A4FC5"/>
    <w:rsid w:val="004A5629"/>
    <w:rsid w:val="004A5A6B"/>
    <w:rsid w:val="004A5F70"/>
    <w:rsid w:val="004A6143"/>
    <w:rsid w:val="004A63C1"/>
    <w:rsid w:val="004A664C"/>
    <w:rsid w:val="004A6B2D"/>
    <w:rsid w:val="004A6C9B"/>
    <w:rsid w:val="004A7237"/>
    <w:rsid w:val="004A73E1"/>
    <w:rsid w:val="004A7B2F"/>
    <w:rsid w:val="004A7C13"/>
    <w:rsid w:val="004A7C55"/>
    <w:rsid w:val="004B021A"/>
    <w:rsid w:val="004B0B2D"/>
    <w:rsid w:val="004B0B9B"/>
    <w:rsid w:val="004B0F27"/>
    <w:rsid w:val="004B0F99"/>
    <w:rsid w:val="004B102B"/>
    <w:rsid w:val="004B12ED"/>
    <w:rsid w:val="004B15B0"/>
    <w:rsid w:val="004B19E8"/>
    <w:rsid w:val="004B1C7F"/>
    <w:rsid w:val="004B1EFD"/>
    <w:rsid w:val="004B1FC6"/>
    <w:rsid w:val="004B20F8"/>
    <w:rsid w:val="004B2A4B"/>
    <w:rsid w:val="004B2DCC"/>
    <w:rsid w:val="004B2EF2"/>
    <w:rsid w:val="004B3251"/>
    <w:rsid w:val="004B336C"/>
    <w:rsid w:val="004B3746"/>
    <w:rsid w:val="004B3767"/>
    <w:rsid w:val="004B4304"/>
    <w:rsid w:val="004B4476"/>
    <w:rsid w:val="004B47B2"/>
    <w:rsid w:val="004B4F97"/>
    <w:rsid w:val="004B51E7"/>
    <w:rsid w:val="004B5C7A"/>
    <w:rsid w:val="004B5E72"/>
    <w:rsid w:val="004B6097"/>
    <w:rsid w:val="004B6460"/>
    <w:rsid w:val="004B69E5"/>
    <w:rsid w:val="004B6AFC"/>
    <w:rsid w:val="004B6BAF"/>
    <w:rsid w:val="004B7525"/>
    <w:rsid w:val="004B752F"/>
    <w:rsid w:val="004B76EB"/>
    <w:rsid w:val="004B7AEE"/>
    <w:rsid w:val="004C030C"/>
    <w:rsid w:val="004C0437"/>
    <w:rsid w:val="004C057D"/>
    <w:rsid w:val="004C0C26"/>
    <w:rsid w:val="004C10FD"/>
    <w:rsid w:val="004C135C"/>
    <w:rsid w:val="004C1721"/>
    <w:rsid w:val="004C1F41"/>
    <w:rsid w:val="004C238C"/>
    <w:rsid w:val="004C23B2"/>
    <w:rsid w:val="004C250A"/>
    <w:rsid w:val="004C253F"/>
    <w:rsid w:val="004C343E"/>
    <w:rsid w:val="004C3F27"/>
    <w:rsid w:val="004C456B"/>
    <w:rsid w:val="004C4632"/>
    <w:rsid w:val="004C512D"/>
    <w:rsid w:val="004C5138"/>
    <w:rsid w:val="004C5390"/>
    <w:rsid w:val="004C55F5"/>
    <w:rsid w:val="004C5814"/>
    <w:rsid w:val="004C5864"/>
    <w:rsid w:val="004C63D2"/>
    <w:rsid w:val="004C6C22"/>
    <w:rsid w:val="004C6CF8"/>
    <w:rsid w:val="004C6D82"/>
    <w:rsid w:val="004C6F83"/>
    <w:rsid w:val="004C700C"/>
    <w:rsid w:val="004C7B38"/>
    <w:rsid w:val="004C7F72"/>
    <w:rsid w:val="004D0468"/>
    <w:rsid w:val="004D17A9"/>
    <w:rsid w:val="004D1AFE"/>
    <w:rsid w:val="004D1EFB"/>
    <w:rsid w:val="004D22CB"/>
    <w:rsid w:val="004D2442"/>
    <w:rsid w:val="004D2483"/>
    <w:rsid w:val="004D2A5F"/>
    <w:rsid w:val="004D39DE"/>
    <w:rsid w:val="004D3B2D"/>
    <w:rsid w:val="004D3F58"/>
    <w:rsid w:val="004D402F"/>
    <w:rsid w:val="004D42FB"/>
    <w:rsid w:val="004D497A"/>
    <w:rsid w:val="004D58BD"/>
    <w:rsid w:val="004D61A6"/>
    <w:rsid w:val="004D6497"/>
    <w:rsid w:val="004D6667"/>
    <w:rsid w:val="004D6A1B"/>
    <w:rsid w:val="004D6A9F"/>
    <w:rsid w:val="004D6C4A"/>
    <w:rsid w:val="004D7064"/>
    <w:rsid w:val="004D7528"/>
    <w:rsid w:val="004D7A61"/>
    <w:rsid w:val="004D7C57"/>
    <w:rsid w:val="004E0D41"/>
    <w:rsid w:val="004E0FE5"/>
    <w:rsid w:val="004E188E"/>
    <w:rsid w:val="004E2151"/>
    <w:rsid w:val="004E21B2"/>
    <w:rsid w:val="004E26C1"/>
    <w:rsid w:val="004E3897"/>
    <w:rsid w:val="004E39E1"/>
    <w:rsid w:val="004E3DBE"/>
    <w:rsid w:val="004E43EC"/>
    <w:rsid w:val="004E5C71"/>
    <w:rsid w:val="004E6478"/>
    <w:rsid w:val="004E6A63"/>
    <w:rsid w:val="004E6B71"/>
    <w:rsid w:val="004E6D24"/>
    <w:rsid w:val="004E6D82"/>
    <w:rsid w:val="004E7884"/>
    <w:rsid w:val="004F0043"/>
    <w:rsid w:val="004F0307"/>
    <w:rsid w:val="004F033C"/>
    <w:rsid w:val="004F0431"/>
    <w:rsid w:val="004F08CE"/>
    <w:rsid w:val="004F0B2B"/>
    <w:rsid w:val="004F1034"/>
    <w:rsid w:val="004F1D4F"/>
    <w:rsid w:val="004F1F3F"/>
    <w:rsid w:val="004F2310"/>
    <w:rsid w:val="004F2488"/>
    <w:rsid w:val="004F261E"/>
    <w:rsid w:val="004F27A4"/>
    <w:rsid w:val="004F2A7A"/>
    <w:rsid w:val="004F2BF4"/>
    <w:rsid w:val="004F2C67"/>
    <w:rsid w:val="004F2FFD"/>
    <w:rsid w:val="004F314C"/>
    <w:rsid w:val="004F3242"/>
    <w:rsid w:val="004F3311"/>
    <w:rsid w:val="004F39DC"/>
    <w:rsid w:val="004F3FD9"/>
    <w:rsid w:val="004F445A"/>
    <w:rsid w:val="004F44BD"/>
    <w:rsid w:val="004F452B"/>
    <w:rsid w:val="004F456C"/>
    <w:rsid w:val="004F458B"/>
    <w:rsid w:val="004F4DDA"/>
    <w:rsid w:val="004F5069"/>
    <w:rsid w:val="004F507A"/>
    <w:rsid w:val="004F510C"/>
    <w:rsid w:val="004F5336"/>
    <w:rsid w:val="004F60DD"/>
    <w:rsid w:val="004F664E"/>
    <w:rsid w:val="004F720E"/>
    <w:rsid w:val="004F7F6E"/>
    <w:rsid w:val="0050043E"/>
    <w:rsid w:val="0050043F"/>
    <w:rsid w:val="00500D76"/>
    <w:rsid w:val="005013A9"/>
    <w:rsid w:val="0050186B"/>
    <w:rsid w:val="00501A7A"/>
    <w:rsid w:val="00501AB1"/>
    <w:rsid w:val="005026DA"/>
    <w:rsid w:val="0050281E"/>
    <w:rsid w:val="00502AB3"/>
    <w:rsid w:val="00502B23"/>
    <w:rsid w:val="0050352B"/>
    <w:rsid w:val="005036A5"/>
    <w:rsid w:val="00503CCE"/>
    <w:rsid w:val="00503CD6"/>
    <w:rsid w:val="00503D6F"/>
    <w:rsid w:val="0050488E"/>
    <w:rsid w:val="00504C10"/>
    <w:rsid w:val="00504C7B"/>
    <w:rsid w:val="00505803"/>
    <w:rsid w:val="0050594C"/>
    <w:rsid w:val="005065C3"/>
    <w:rsid w:val="00506A9A"/>
    <w:rsid w:val="00506FE9"/>
    <w:rsid w:val="00507D14"/>
    <w:rsid w:val="00507D90"/>
    <w:rsid w:val="00507DA1"/>
    <w:rsid w:val="00510007"/>
    <w:rsid w:val="00510273"/>
    <w:rsid w:val="005105C2"/>
    <w:rsid w:val="00510926"/>
    <w:rsid w:val="00510D6C"/>
    <w:rsid w:val="00511382"/>
    <w:rsid w:val="005113C1"/>
    <w:rsid w:val="0051199C"/>
    <w:rsid w:val="00511D68"/>
    <w:rsid w:val="0051204B"/>
    <w:rsid w:val="005123B1"/>
    <w:rsid w:val="005129BC"/>
    <w:rsid w:val="00512D91"/>
    <w:rsid w:val="00513157"/>
    <w:rsid w:val="00513BD5"/>
    <w:rsid w:val="00513CD3"/>
    <w:rsid w:val="00513FCE"/>
    <w:rsid w:val="0051418B"/>
    <w:rsid w:val="005142B3"/>
    <w:rsid w:val="00514391"/>
    <w:rsid w:val="00514E1B"/>
    <w:rsid w:val="005151D9"/>
    <w:rsid w:val="005157A4"/>
    <w:rsid w:val="0051580B"/>
    <w:rsid w:val="00515EDE"/>
    <w:rsid w:val="00517299"/>
    <w:rsid w:val="005173BA"/>
    <w:rsid w:val="005175DA"/>
    <w:rsid w:val="005175F2"/>
    <w:rsid w:val="00517C90"/>
    <w:rsid w:val="005202E4"/>
    <w:rsid w:val="005211A7"/>
    <w:rsid w:val="00521763"/>
    <w:rsid w:val="00521E91"/>
    <w:rsid w:val="0052223B"/>
    <w:rsid w:val="00522EEF"/>
    <w:rsid w:val="00523E7F"/>
    <w:rsid w:val="005241B3"/>
    <w:rsid w:val="005242FF"/>
    <w:rsid w:val="00524978"/>
    <w:rsid w:val="00524C21"/>
    <w:rsid w:val="00524C9F"/>
    <w:rsid w:val="005250D3"/>
    <w:rsid w:val="005255AA"/>
    <w:rsid w:val="00525B6A"/>
    <w:rsid w:val="00525D37"/>
    <w:rsid w:val="00525DE2"/>
    <w:rsid w:val="005262C8"/>
    <w:rsid w:val="00526499"/>
    <w:rsid w:val="005268D3"/>
    <w:rsid w:val="0052706B"/>
    <w:rsid w:val="0052737F"/>
    <w:rsid w:val="0052757C"/>
    <w:rsid w:val="005277BE"/>
    <w:rsid w:val="00527F90"/>
    <w:rsid w:val="00530655"/>
    <w:rsid w:val="005309E9"/>
    <w:rsid w:val="00530C29"/>
    <w:rsid w:val="00530CC3"/>
    <w:rsid w:val="00530DB9"/>
    <w:rsid w:val="0053117A"/>
    <w:rsid w:val="00531311"/>
    <w:rsid w:val="00531752"/>
    <w:rsid w:val="00531A14"/>
    <w:rsid w:val="00532259"/>
    <w:rsid w:val="00532319"/>
    <w:rsid w:val="005326B6"/>
    <w:rsid w:val="00532DAA"/>
    <w:rsid w:val="00532F66"/>
    <w:rsid w:val="00533392"/>
    <w:rsid w:val="00533543"/>
    <w:rsid w:val="005337A7"/>
    <w:rsid w:val="00533C8A"/>
    <w:rsid w:val="00533D2B"/>
    <w:rsid w:val="00534002"/>
    <w:rsid w:val="005340ED"/>
    <w:rsid w:val="0053430B"/>
    <w:rsid w:val="00534A43"/>
    <w:rsid w:val="00534B43"/>
    <w:rsid w:val="005352F7"/>
    <w:rsid w:val="0053559D"/>
    <w:rsid w:val="00535C06"/>
    <w:rsid w:val="00535E75"/>
    <w:rsid w:val="005361BC"/>
    <w:rsid w:val="005361CC"/>
    <w:rsid w:val="005361CF"/>
    <w:rsid w:val="005368AC"/>
    <w:rsid w:val="00536BD9"/>
    <w:rsid w:val="00536E3E"/>
    <w:rsid w:val="00536ED9"/>
    <w:rsid w:val="00537575"/>
    <w:rsid w:val="0053766D"/>
    <w:rsid w:val="00537783"/>
    <w:rsid w:val="00537D10"/>
    <w:rsid w:val="005400B1"/>
    <w:rsid w:val="00540267"/>
    <w:rsid w:val="0054056C"/>
    <w:rsid w:val="00540822"/>
    <w:rsid w:val="00540F28"/>
    <w:rsid w:val="00541660"/>
    <w:rsid w:val="00541E8F"/>
    <w:rsid w:val="0054227C"/>
    <w:rsid w:val="00542388"/>
    <w:rsid w:val="00543557"/>
    <w:rsid w:val="005435BD"/>
    <w:rsid w:val="005438AA"/>
    <w:rsid w:val="005442BD"/>
    <w:rsid w:val="005446C8"/>
    <w:rsid w:val="005448CE"/>
    <w:rsid w:val="00544D48"/>
    <w:rsid w:val="00546773"/>
    <w:rsid w:val="0054683A"/>
    <w:rsid w:val="00546B94"/>
    <w:rsid w:val="005476BD"/>
    <w:rsid w:val="005476E9"/>
    <w:rsid w:val="00547C6A"/>
    <w:rsid w:val="00550C2C"/>
    <w:rsid w:val="00550C58"/>
    <w:rsid w:val="00550FD7"/>
    <w:rsid w:val="005512B4"/>
    <w:rsid w:val="00551E91"/>
    <w:rsid w:val="00551FD3"/>
    <w:rsid w:val="00552252"/>
    <w:rsid w:val="005527B5"/>
    <w:rsid w:val="00552857"/>
    <w:rsid w:val="00552D44"/>
    <w:rsid w:val="005530EB"/>
    <w:rsid w:val="00553476"/>
    <w:rsid w:val="005539B5"/>
    <w:rsid w:val="005540EA"/>
    <w:rsid w:val="0055468B"/>
    <w:rsid w:val="00554B9F"/>
    <w:rsid w:val="00554FD6"/>
    <w:rsid w:val="005550B1"/>
    <w:rsid w:val="00555565"/>
    <w:rsid w:val="0055762B"/>
    <w:rsid w:val="005576BC"/>
    <w:rsid w:val="00557850"/>
    <w:rsid w:val="00557A1C"/>
    <w:rsid w:val="00557CEC"/>
    <w:rsid w:val="00560407"/>
    <w:rsid w:val="00560755"/>
    <w:rsid w:val="00560D55"/>
    <w:rsid w:val="00560F09"/>
    <w:rsid w:val="0056100D"/>
    <w:rsid w:val="0056135E"/>
    <w:rsid w:val="00561545"/>
    <w:rsid w:val="0056184C"/>
    <w:rsid w:val="00561DDE"/>
    <w:rsid w:val="00561FAA"/>
    <w:rsid w:val="005620C2"/>
    <w:rsid w:val="0056278C"/>
    <w:rsid w:val="00563520"/>
    <w:rsid w:val="0056369B"/>
    <w:rsid w:val="005638B8"/>
    <w:rsid w:val="00563BFA"/>
    <w:rsid w:val="005642C7"/>
    <w:rsid w:val="00564725"/>
    <w:rsid w:val="0056486F"/>
    <w:rsid w:val="00564DAF"/>
    <w:rsid w:val="005653DB"/>
    <w:rsid w:val="00565775"/>
    <w:rsid w:val="00566283"/>
    <w:rsid w:val="005662F0"/>
    <w:rsid w:val="0056674C"/>
    <w:rsid w:val="00566D13"/>
    <w:rsid w:val="00566EB7"/>
    <w:rsid w:val="00567764"/>
    <w:rsid w:val="00567ECF"/>
    <w:rsid w:val="0057000A"/>
    <w:rsid w:val="00570548"/>
    <w:rsid w:val="005708E9"/>
    <w:rsid w:val="00570B21"/>
    <w:rsid w:val="00570CC4"/>
    <w:rsid w:val="00570FD5"/>
    <w:rsid w:val="00571653"/>
    <w:rsid w:val="00571801"/>
    <w:rsid w:val="00571BFB"/>
    <w:rsid w:val="00571CA4"/>
    <w:rsid w:val="005721C1"/>
    <w:rsid w:val="00572738"/>
    <w:rsid w:val="005733CD"/>
    <w:rsid w:val="0057346F"/>
    <w:rsid w:val="0057356A"/>
    <w:rsid w:val="00573922"/>
    <w:rsid w:val="00573F8E"/>
    <w:rsid w:val="0057406E"/>
    <w:rsid w:val="00574096"/>
    <w:rsid w:val="00574AD7"/>
    <w:rsid w:val="00574B91"/>
    <w:rsid w:val="00574C5A"/>
    <w:rsid w:val="00575259"/>
    <w:rsid w:val="0057527D"/>
    <w:rsid w:val="0057537B"/>
    <w:rsid w:val="005760C4"/>
    <w:rsid w:val="005760C6"/>
    <w:rsid w:val="00576783"/>
    <w:rsid w:val="00576809"/>
    <w:rsid w:val="00576B6E"/>
    <w:rsid w:val="00576F35"/>
    <w:rsid w:val="005772E4"/>
    <w:rsid w:val="0057732F"/>
    <w:rsid w:val="005776B0"/>
    <w:rsid w:val="005777C9"/>
    <w:rsid w:val="00577983"/>
    <w:rsid w:val="00577B8D"/>
    <w:rsid w:val="00577C2E"/>
    <w:rsid w:val="00577E9E"/>
    <w:rsid w:val="0058005A"/>
    <w:rsid w:val="00580067"/>
    <w:rsid w:val="005803D7"/>
    <w:rsid w:val="00580472"/>
    <w:rsid w:val="00580636"/>
    <w:rsid w:val="0058082D"/>
    <w:rsid w:val="00580844"/>
    <w:rsid w:val="00580B59"/>
    <w:rsid w:val="00580B6A"/>
    <w:rsid w:val="00580DB3"/>
    <w:rsid w:val="0058127D"/>
    <w:rsid w:val="00581838"/>
    <w:rsid w:val="00581C2B"/>
    <w:rsid w:val="00583679"/>
    <w:rsid w:val="00583AE1"/>
    <w:rsid w:val="00583E1C"/>
    <w:rsid w:val="00584FD0"/>
    <w:rsid w:val="00585469"/>
    <w:rsid w:val="00586003"/>
    <w:rsid w:val="005862C9"/>
    <w:rsid w:val="00587069"/>
    <w:rsid w:val="00587172"/>
    <w:rsid w:val="0058743C"/>
    <w:rsid w:val="00587873"/>
    <w:rsid w:val="0058799F"/>
    <w:rsid w:val="00587C52"/>
    <w:rsid w:val="005902E0"/>
    <w:rsid w:val="00590419"/>
    <w:rsid w:val="00590704"/>
    <w:rsid w:val="00590783"/>
    <w:rsid w:val="00590948"/>
    <w:rsid w:val="00590AEC"/>
    <w:rsid w:val="00590B1E"/>
    <w:rsid w:val="00590D22"/>
    <w:rsid w:val="00591006"/>
    <w:rsid w:val="005910FD"/>
    <w:rsid w:val="005911B8"/>
    <w:rsid w:val="00591DD2"/>
    <w:rsid w:val="00592326"/>
    <w:rsid w:val="00592558"/>
    <w:rsid w:val="005929D8"/>
    <w:rsid w:val="00592A87"/>
    <w:rsid w:val="00592ABB"/>
    <w:rsid w:val="00592AFC"/>
    <w:rsid w:val="005930BB"/>
    <w:rsid w:val="005934BF"/>
    <w:rsid w:val="00593619"/>
    <w:rsid w:val="00593BB8"/>
    <w:rsid w:val="00593E75"/>
    <w:rsid w:val="00594872"/>
    <w:rsid w:val="00594FBC"/>
    <w:rsid w:val="00595427"/>
    <w:rsid w:val="00595E22"/>
    <w:rsid w:val="00596DFE"/>
    <w:rsid w:val="00596EA2"/>
    <w:rsid w:val="00597531"/>
    <w:rsid w:val="0059794B"/>
    <w:rsid w:val="00597DB7"/>
    <w:rsid w:val="005A03B4"/>
    <w:rsid w:val="005A188F"/>
    <w:rsid w:val="005A1DB5"/>
    <w:rsid w:val="005A2119"/>
    <w:rsid w:val="005A222A"/>
    <w:rsid w:val="005A2C57"/>
    <w:rsid w:val="005A2D60"/>
    <w:rsid w:val="005A43A4"/>
    <w:rsid w:val="005A4779"/>
    <w:rsid w:val="005A5391"/>
    <w:rsid w:val="005A5A31"/>
    <w:rsid w:val="005A5C96"/>
    <w:rsid w:val="005A5D2B"/>
    <w:rsid w:val="005A5E65"/>
    <w:rsid w:val="005A6234"/>
    <w:rsid w:val="005A686D"/>
    <w:rsid w:val="005A6CF6"/>
    <w:rsid w:val="005A6F5F"/>
    <w:rsid w:val="005A72DC"/>
    <w:rsid w:val="005A77AC"/>
    <w:rsid w:val="005A7B36"/>
    <w:rsid w:val="005A7F3C"/>
    <w:rsid w:val="005B0148"/>
    <w:rsid w:val="005B0A2E"/>
    <w:rsid w:val="005B109F"/>
    <w:rsid w:val="005B13DC"/>
    <w:rsid w:val="005B1DA1"/>
    <w:rsid w:val="005B1DC4"/>
    <w:rsid w:val="005B217B"/>
    <w:rsid w:val="005B21E6"/>
    <w:rsid w:val="005B23A4"/>
    <w:rsid w:val="005B2487"/>
    <w:rsid w:val="005B2B59"/>
    <w:rsid w:val="005B2C36"/>
    <w:rsid w:val="005B2D4C"/>
    <w:rsid w:val="005B2F30"/>
    <w:rsid w:val="005B3010"/>
    <w:rsid w:val="005B3AC5"/>
    <w:rsid w:val="005B5054"/>
    <w:rsid w:val="005B54A0"/>
    <w:rsid w:val="005B58D8"/>
    <w:rsid w:val="005B5EA5"/>
    <w:rsid w:val="005B5EB0"/>
    <w:rsid w:val="005B5FAB"/>
    <w:rsid w:val="005B6C88"/>
    <w:rsid w:val="005B714C"/>
    <w:rsid w:val="005B72A7"/>
    <w:rsid w:val="005B7FB5"/>
    <w:rsid w:val="005C06B8"/>
    <w:rsid w:val="005C0AAF"/>
    <w:rsid w:val="005C1290"/>
    <w:rsid w:val="005C1C4A"/>
    <w:rsid w:val="005C2230"/>
    <w:rsid w:val="005C2B5C"/>
    <w:rsid w:val="005C2E27"/>
    <w:rsid w:val="005C3909"/>
    <w:rsid w:val="005C3EDE"/>
    <w:rsid w:val="005C3F77"/>
    <w:rsid w:val="005C4E1E"/>
    <w:rsid w:val="005C4E75"/>
    <w:rsid w:val="005C4FB2"/>
    <w:rsid w:val="005C51AD"/>
    <w:rsid w:val="005C57F3"/>
    <w:rsid w:val="005C6696"/>
    <w:rsid w:val="005C6EF4"/>
    <w:rsid w:val="005D011D"/>
    <w:rsid w:val="005D0793"/>
    <w:rsid w:val="005D07C9"/>
    <w:rsid w:val="005D107E"/>
    <w:rsid w:val="005D1956"/>
    <w:rsid w:val="005D1E24"/>
    <w:rsid w:val="005D203E"/>
    <w:rsid w:val="005D23CB"/>
    <w:rsid w:val="005D2517"/>
    <w:rsid w:val="005D2552"/>
    <w:rsid w:val="005D2792"/>
    <w:rsid w:val="005D29DF"/>
    <w:rsid w:val="005D2BA4"/>
    <w:rsid w:val="005D2C6E"/>
    <w:rsid w:val="005D2ED5"/>
    <w:rsid w:val="005D2F4D"/>
    <w:rsid w:val="005D30E7"/>
    <w:rsid w:val="005D3549"/>
    <w:rsid w:val="005D3E9E"/>
    <w:rsid w:val="005D4337"/>
    <w:rsid w:val="005D4475"/>
    <w:rsid w:val="005D46E4"/>
    <w:rsid w:val="005D51C0"/>
    <w:rsid w:val="005D66E1"/>
    <w:rsid w:val="005D6ADA"/>
    <w:rsid w:val="005E0117"/>
    <w:rsid w:val="005E11C7"/>
    <w:rsid w:val="005E11F1"/>
    <w:rsid w:val="005E1C50"/>
    <w:rsid w:val="005E1D32"/>
    <w:rsid w:val="005E1F6F"/>
    <w:rsid w:val="005E1FDA"/>
    <w:rsid w:val="005E230E"/>
    <w:rsid w:val="005E30C0"/>
    <w:rsid w:val="005E312A"/>
    <w:rsid w:val="005E35ED"/>
    <w:rsid w:val="005E3B5B"/>
    <w:rsid w:val="005E3CDD"/>
    <w:rsid w:val="005E4137"/>
    <w:rsid w:val="005E4F85"/>
    <w:rsid w:val="005E589C"/>
    <w:rsid w:val="005E58BD"/>
    <w:rsid w:val="005E6562"/>
    <w:rsid w:val="005E6DCC"/>
    <w:rsid w:val="005E6E0D"/>
    <w:rsid w:val="005E712A"/>
    <w:rsid w:val="005E77F4"/>
    <w:rsid w:val="005E792C"/>
    <w:rsid w:val="005E7CF1"/>
    <w:rsid w:val="005E7F12"/>
    <w:rsid w:val="005F080F"/>
    <w:rsid w:val="005F1407"/>
    <w:rsid w:val="005F20DD"/>
    <w:rsid w:val="005F2139"/>
    <w:rsid w:val="005F21DA"/>
    <w:rsid w:val="005F254A"/>
    <w:rsid w:val="005F2B22"/>
    <w:rsid w:val="005F3153"/>
    <w:rsid w:val="005F3724"/>
    <w:rsid w:val="005F3876"/>
    <w:rsid w:val="005F3F74"/>
    <w:rsid w:val="005F418F"/>
    <w:rsid w:val="005F4E48"/>
    <w:rsid w:val="005F4E8D"/>
    <w:rsid w:val="005F4F55"/>
    <w:rsid w:val="005F5364"/>
    <w:rsid w:val="005F5BA8"/>
    <w:rsid w:val="005F5FA9"/>
    <w:rsid w:val="005F67FB"/>
    <w:rsid w:val="00600321"/>
    <w:rsid w:val="00600E44"/>
    <w:rsid w:val="00600ECA"/>
    <w:rsid w:val="006012CF"/>
    <w:rsid w:val="00601321"/>
    <w:rsid w:val="00601679"/>
    <w:rsid w:val="006019C2"/>
    <w:rsid w:val="00601B60"/>
    <w:rsid w:val="00602396"/>
    <w:rsid w:val="00602471"/>
    <w:rsid w:val="006028DA"/>
    <w:rsid w:val="0060305C"/>
    <w:rsid w:val="006030F8"/>
    <w:rsid w:val="0060396C"/>
    <w:rsid w:val="00603B6B"/>
    <w:rsid w:val="00604983"/>
    <w:rsid w:val="00604B85"/>
    <w:rsid w:val="0060505D"/>
    <w:rsid w:val="006052ED"/>
    <w:rsid w:val="006053CC"/>
    <w:rsid w:val="0060551F"/>
    <w:rsid w:val="00605B0C"/>
    <w:rsid w:val="00606296"/>
    <w:rsid w:val="006067AA"/>
    <w:rsid w:val="00606DA9"/>
    <w:rsid w:val="0060746A"/>
    <w:rsid w:val="006101E0"/>
    <w:rsid w:val="00610C1C"/>
    <w:rsid w:val="00610D23"/>
    <w:rsid w:val="006115B6"/>
    <w:rsid w:val="00611BCE"/>
    <w:rsid w:val="00611CEF"/>
    <w:rsid w:val="00611DB6"/>
    <w:rsid w:val="006123DE"/>
    <w:rsid w:val="0061264F"/>
    <w:rsid w:val="00612FF3"/>
    <w:rsid w:val="00613153"/>
    <w:rsid w:val="006131EB"/>
    <w:rsid w:val="00613511"/>
    <w:rsid w:val="00614554"/>
    <w:rsid w:val="0061495A"/>
    <w:rsid w:val="00614B63"/>
    <w:rsid w:val="00614BD6"/>
    <w:rsid w:val="00614FC4"/>
    <w:rsid w:val="006153E2"/>
    <w:rsid w:val="00615761"/>
    <w:rsid w:val="006159DD"/>
    <w:rsid w:val="00615AC0"/>
    <w:rsid w:val="00615D79"/>
    <w:rsid w:val="00616131"/>
    <w:rsid w:val="006161D1"/>
    <w:rsid w:val="00616A91"/>
    <w:rsid w:val="00617379"/>
    <w:rsid w:val="006178C1"/>
    <w:rsid w:val="00617AF4"/>
    <w:rsid w:val="00617DC3"/>
    <w:rsid w:val="0062152E"/>
    <w:rsid w:val="00621B2E"/>
    <w:rsid w:val="006221FA"/>
    <w:rsid w:val="0062268C"/>
    <w:rsid w:val="00622866"/>
    <w:rsid w:val="006228FC"/>
    <w:rsid w:val="00622CDB"/>
    <w:rsid w:val="006230BE"/>
    <w:rsid w:val="00623632"/>
    <w:rsid w:val="0062367C"/>
    <w:rsid w:val="0062390D"/>
    <w:rsid w:val="0062397F"/>
    <w:rsid w:val="0062460D"/>
    <w:rsid w:val="0062570B"/>
    <w:rsid w:val="00625841"/>
    <w:rsid w:val="00625C7E"/>
    <w:rsid w:val="00625C9B"/>
    <w:rsid w:val="00626283"/>
    <w:rsid w:val="00626703"/>
    <w:rsid w:val="00626814"/>
    <w:rsid w:val="00626C5A"/>
    <w:rsid w:val="00627903"/>
    <w:rsid w:val="006303A6"/>
    <w:rsid w:val="006304CA"/>
    <w:rsid w:val="00630B8D"/>
    <w:rsid w:val="00631700"/>
    <w:rsid w:val="00632112"/>
    <w:rsid w:val="0063223C"/>
    <w:rsid w:val="006324B9"/>
    <w:rsid w:val="006325E0"/>
    <w:rsid w:val="00632978"/>
    <w:rsid w:val="00633196"/>
    <w:rsid w:val="006332EA"/>
    <w:rsid w:val="00633985"/>
    <w:rsid w:val="006339AA"/>
    <w:rsid w:val="00633CF2"/>
    <w:rsid w:val="006345B5"/>
    <w:rsid w:val="006347CE"/>
    <w:rsid w:val="00634FEE"/>
    <w:rsid w:val="0063574D"/>
    <w:rsid w:val="006359A0"/>
    <w:rsid w:val="00635ECE"/>
    <w:rsid w:val="00636126"/>
    <w:rsid w:val="0063626A"/>
    <w:rsid w:val="0063653D"/>
    <w:rsid w:val="0063677E"/>
    <w:rsid w:val="00636A73"/>
    <w:rsid w:val="00636B3A"/>
    <w:rsid w:val="00636D7F"/>
    <w:rsid w:val="00636ECC"/>
    <w:rsid w:val="006379C4"/>
    <w:rsid w:val="00637DA3"/>
    <w:rsid w:val="00637DBA"/>
    <w:rsid w:val="00640362"/>
    <w:rsid w:val="006404E5"/>
    <w:rsid w:val="006404E8"/>
    <w:rsid w:val="00640637"/>
    <w:rsid w:val="00640D18"/>
    <w:rsid w:val="00640E94"/>
    <w:rsid w:val="00640EA1"/>
    <w:rsid w:val="00640F30"/>
    <w:rsid w:val="0064107B"/>
    <w:rsid w:val="0064191A"/>
    <w:rsid w:val="00641EA0"/>
    <w:rsid w:val="00642004"/>
    <w:rsid w:val="00642256"/>
    <w:rsid w:val="00642FB6"/>
    <w:rsid w:val="00643013"/>
    <w:rsid w:val="006430C8"/>
    <w:rsid w:val="00643CCF"/>
    <w:rsid w:val="00643D28"/>
    <w:rsid w:val="006442FC"/>
    <w:rsid w:val="00644448"/>
    <w:rsid w:val="00644564"/>
    <w:rsid w:val="0064459C"/>
    <w:rsid w:val="0064483F"/>
    <w:rsid w:val="006450F3"/>
    <w:rsid w:val="006453FC"/>
    <w:rsid w:val="006455E3"/>
    <w:rsid w:val="006468F1"/>
    <w:rsid w:val="0064694E"/>
    <w:rsid w:val="0064696F"/>
    <w:rsid w:val="0064697F"/>
    <w:rsid w:val="00646BE5"/>
    <w:rsid w:val="00646CA2"/>
    <w:rsid w:val="00647739"/>
    <w:rsid w:val="00647D14"/>
    <w:rsid w:val="00647D5B"/>
    <w:rsid w:val="0065045E"/>
    <w:rsid w:val="00650921"/>
    <w:rsid w:val="00650EDF"/>
    <w:rsid w:val="00650FC8"/>
    <w:rsid w:val="00651233"/>
    <w:rsid w:val="00651370"/>
    <w:rsid w:val="006516D9"/>
    <w:rsid w:val="0065251C"/>
    <w:rsid w:val="00652E04"/>
    <w:rsid w:val="006530B6"/>
    <w:rsid w:val="006532B8"/>
    <w:rsid w:val="00653D2B"/>
    <w:rsid w:val="00653E1D"/>
    <w:rsid w:val="00654117"/>
    <w:rsid w:val="0065461E"/>
    <w:rsid w:val="00654A52"/>
    <w:rsid w:val="00654ABC"/>
    <w:rsid w:val="00654C9C"/>
    <w:rsid w:val="006552AC"/>
    <w:rsid w:val="0065552A"/>
    <w:rsid w:val="00655893"/>
    <w:rsid w:val="00656744"/>
    <w:rsid w:val="006568AA"/>
    <w:rsid w:val="00656B5A"/>
    <w:rsid w:val="00657082"/>
    <w:rsid w:val="00657BFB"/>
    <w:rsid w:val="00657CEB"/>
    <w:rsid w:val="00657E84"/>
    <w:rsid w:val="00660D83"/>
    <w:rsid w:val="00660F79"/>
    <w:rsid w:val="006614FD"/>
    <w:rsid w:val="0066169D"/>
    <w:rsid w:val="00661B2B"/>
    <w:rsid w:val="00661B92"/>
    <w:rsid w:val="00661EFF"/>
    <w:rsid w:val="00661FA6"/>
    <w:rsid w:val="0066216D"/>
    <w:rsid w:val="00662603"/>
    <w:rsid w:val="00662779"/>
    <w:rsid w:val="00662B31"/>
    <w:rsid w:val="00662F4A"/>
    <w:rsid w:val="0066314F"/>
    <w:rsid w:val="0066371F"/>
    <w:rsid w:val="006643AF"/>
    <w:rsid w:val="00664429"/>
    <w:rsid w:val="006644E0"/>
    <w:rsid w:val="00664F1B"/>
    <w:rsid w:val="00664FAA"/>
    <w:rsid w:val="0066593C"/>
    <w:rsid w:val="00665B87"/>
    <w:rsid w:val="00665B8D"/>
    <w:rsid w:val="00666037"/>
    <w:rsid w:val="006663B9"/>
    <w:rsid w:val="0066685E"/>
    <w:rsid w:val="00666AFF"/>
    <w:rsid w:val="00666B84"/>
    <w:rsid w:val="00666C49"/>
    <w:rsid w:val="006678C4"/>
    <w:rsid w:val="00667B46"/>
    <w:rsid w:val="00667B6C"/>
    <w:rsid w:val="00667D02"/>
    <w:rsid w:val="00667EB5"/>
    <w:rsid w:val="00667F41"/>
    <w:rsid w:val="00670462"/>
    <w:rsid w:val="00670658"/>
    <w:rsid w:val="00670BE7"/>
    <w:rsid w:val="00670D3C"/>
    <w:rsid w:val="00670E55"/>
    <w:rsid w:val="006711FE"/>
    <w:rsid w:val="006716FD"/>
    <w:rsid w:val="00672081"/>
    <w:rsid w:val="006723FB"/>
    <w:rsid w:val="00672844"/>
    <w:rsid w:val="006728DA"/>
    <w:rsid w:val="00672E52"/>
    <w:rsid w:val="00672F21"/>
    <w:rsid w:val="006730FC"/>
    <w:rsid w:val="00673296"/>
    <w:rsid w:val="0067373F"/>
    <w:rsid w:val="00673885"/>
    <w:rsid w:val="00673D2A"/>
    <w:rsid w:val="0067425E"/>
    <w:rsid w:val="00674786"/>
    <w:rsid w:val="0067516C"/>
    <w:rsid w:val="006752FB"/>
    <w:rsid w:val="00675751"/>
    <w:rsid w:val="0067593D"/>
    <w:rsid w:val="0067604E"/>
    <w:rsid w:val="00676C12"/>
    <w:rsid w:val="00677076"/>
    <w:rsid w:val="00677946"/>
    <w:rsid w:val="00677EBB"/>
    <w:rsid w:val="006801CE"/>
    <w:rsid w:val="00680613"/>
    <w:rsid w:val="006806D2"/>
    <w:rsid w:val="00680768"/>
    <w:rsid w:val="00680BC8"/>
    <w:rsid w:val="00680E35"/>
    <w:rsid w:val="00681695"/>
    <w:rsid w:val="00681A4E"/>
    <w:rsid w:val="00681F34"/>
    <w:rsid w:val="006823F2"/>
    <w:rsid w:val="006825C5"/>
    <w:rsid w:val="00682B0C"/>
    <w:rsid w:val="00682D05"/>
    <w:rsid w:val="006835A1"/>
    <w:rsid w:val="00683DBE"/>
    <w:rsid w:val="006848C6"/>
    <w:rsid w:val="00684C18"/>
    <w:rsid w:val="00684ED0"/>
    <w:rsid w:val="00684F16"/>
    <w:rsid w:val="00685548"/>
    <w:rsid w:val="00685D51"/>
    <w:rsid w:val="006860A5"/>
    <w:rsid w:val="006862CE"/>
    <w:rsid w:val="0068682A"/>
    <w:rsid w:val="00687103"/>
    <w:rsid w:val="006901BF"/>
    <w:rsid w:val="00690674"/>
    <w:rsid w:val="006912B6"/>
    <w:rsid w:val="00691511"/>
    <w:rsid w:val="00691A19"/>
    <w:rsid w:val="00692105"/>
    <w:rsid w:val="0069232A"/>
    <w:rsid w:val="00692BED"/>
    <w:rsid w:val="00692F40"/>
    <w:rsid w:val="006932A7"/>
    <w:rsid w:val="00693932"/>
    <w:rsid w:val="00693C66"/>
    <w:rsid w:val="006943E2"/>
    <w:rsid w:val="00694F30"/>
    <w:rsid w:val="00695024"/>
    <w:rsid w:val="00696058"/>
    <w:rsid w:val="00696215"/>
    <w:rsid w:val="00696CF4"/>
    <w:rsid w:val="00697235"/>
    <w:rsid w:val="006A0506"/>
    <w:rsid w:val="006A0A21"/>
    <w:rsid w:val="006A0CD7"/>
    <w:rsid w:val="006A17F6"/>
    <w:rsid w:val="006A1EB2"/>
    <w:rsid w:val="006A21E1"/>
    <w:rsid w:val="006A2237"/>
    <w:rsid w:val="006A22AB"/>
    <w:rsid w:val="006A22B3"/>
    <w:rsid w:val="006A2D19"/>
    <w:rsid w:val="006A2F55"/>
    <w:rsid w:val="006A361F"/>
    <w:rsid w:val="006A3931"/>
    <w:rsid w:val="006A3A17"/>
    <w:rsid w:val="006A463B"/>
    <w:rsid w:val="006A495D"/>
    <w:rsid w:val="006A4AA6"/>
    <w:rsid w:val="006A5152"/>
    <w:rsid w:val="006A5675"/>
    <w:rsid w:val="006A6107"/>
    <w:rsid w:val="006A6B4C"/>
    <w:rsid w:val="006A6D63"/>
    <w:rsid w:val="006A794C"/>
    <w:rsid w:val="006A7A39"/>
    <w:rsid w:val="006B0112"/>
    <w:rsid w:val="006B0260"/>
    <w:rsid w:val="006B08ED"/>
    <w:rsid w:val="006B090A"/>
    <w:rsid w:val="006B0CA3"/>
    <w:rsid w:val="006B0E02"/>
    <w:rsid w:val="006B1AFF"/>
    <w:rsid w:val="006B1B0C"/>
    <w:rsid w:val="006B1D18"/>
    <w:rsid w:val="006B24EB"/>
    <w:rsid w:val="006B2938"/>
    <w:rsid w:val="006B3100"/>
    <w:rsid w:val="006B3788"/>
    <w:rsid w:val="006B3CFE"/>
    <w:rsid w:val="006B3D51"/>
    <w:rsid w:val="006B3E0E"/>
    <w:rsid w:val="006B3F39"/>
    <w:rsid w:val="006B43B9"/>
    <w:rsid w:val="006B4437"/>
    <w:rsid w:val="006B44B3"/>
    <w:rsid w:val="006B4920"/>
    <w:rsid w:val="006B57FB"/>
    <w:rsid w:val="006B5D8F"/>
    <w:rsid w:val="006B625D"/>
    <w:rsid w:val="006B64D7"/>
    <w:rsid w:val="006B67A0"/>
    <w:rsid w:val="006B6975"/>
    <w:rsid w:val="006B6B30"/>
    <w:rsid w:val="006B6F14"/>
    <w:rsid w:val="006B71C7"/>
    <w:rsid w:val="006B72CD"/>
    <w:rsid w:val="006B75BE"/>
    <w:rsid w:val="006B7A86"/>
    <w:rsid w:val="006B7ABA"/>
    <w:rsid w:val="006B7D6A"/>
    <w:rsid w:val="006B7E32"/>
    <w:rsid w:val="006B7FB8"/>
    <w:rsid w:val="006C06F3"/>
    <w:rsid w:val="006C0A1D"/>
    <w:rsid w:val="006C117E"/>
    <w:rsid w:val="006C147A"/>
    <w:rsid w:val="006C1494"/>
    <w:rsid w:val="006C1EDD"/>
    <w:rsid w:val="006C1FCC"/>
    <w:rsid w:val="006C215C"/>
    <w:rsid w:val="006C2510"/>
    <w:rsid w:val="006C26EF"/>
    <w:rsid w:val="006C299D"/>
    <w:rsid w:val="006C29DD"/>
    <w:rsid w:val="006C2D92"/>
    <w:rsid w:val="006C2F0A"/>
    <w:rsid w:val="006C3088"/>
    <w:rsid w:val="006C35CC"/>
    <w:rsid w:val="006C3E1F"/>
    <w:rsid w:val="006C40F7"/>
    <w:rsid w:val="006C40FA"/>
    <w:rsid w:val="006C4809"/>
    <w:rsid w:val="006C49E6"/>
    <w:rsid w:val="006C4A90"/>
    <w:rsid w:val="006C4BD0"/>
    <w:rsid w:val="006C5003"/>
    <w:rsid w:val="006C5C82"/>
    <w:rsid w:val="006C6079"/>
    <w:rsid w:val="006C6627"/>
    <w:rsid w:val="006C7478"/>
    <w:rsid w:val="006C784D"/>
    <w:rsid w:val="006C7A2E"/>
    <w:rsid w:val="006C7B4D"/>
    <w:rsid w:val="006D017D"/>
    <w:rsid w:val="006D055B"/>
    <w:rsid w:val="006D0703"/>
    <w:rsid w:val="006D087E"/>
    <w:rsid w:val="006D0E81"/>
    <w:rsid w:val="006D1235"/>
    <w:rsid w:val="006D1A5C"/>
    <w:rsid w:val="006D25CA"/>
    <w:rsid w:val="006D25DD"/>
    <w:rsid w:val="006D28EF"/>
    <w:rsid w:val="006D2DA0"/>
    <w:rsid w:val="006D376D"/>
    <w:rsid w:val="006D393D"/>
    <w:rsid w:val="006D3F9E"/>
    <w:rsid w:val="006D4305"/>
    <w:rsid w:val="006D482A"/>
    <w:rsid w:val="006D4A4D"/>
    <w:rsid w:val="006D4A89"/>
    <w:rsid w:val="006D4B5D"/>
    <w:rsid w:val="006D4EF7"/>
    <w:rsid w:val="006D548E"/>
    <w:rsid w:val="006D6478"/>
    <w:rsid w:val="006D6684"/>
    <w:rsid w:val="006D672B"/>
    <w:rsid w:val="006D72A9"/>
    <w:rsid w:val="006D7538"/>
    <w:rsid w:val="006D7A0C"/>
    <w:rsid w:val="006D7C0F"/>
    <w:rsid w:val="006E02F2"/>
    <w:rsid w:val="006E0716"/>
    <w:rsid w:val="006E1381"/>
    <w:rsid w:val="006E14F8"/>
    <w:rsid w:val="006E16BC"/>
    <w:rsid w:val="006E1BCE"/>
    <w:rsid w:val="006E1DF8"/>
    <w:rsid w:val="006E1F4A"/>
    <w:rsid w:val="006E20F0"/>
    <w:rsid w:val="006E218B"/>
    <w:rsid w:val="006E23A8"/>
    <w:rsid w:val="006E2DC4"/>
    <w:rsid w:val="006E2FE9"/>
    <w:rsid w:val="006E3092"/>
    <w:rsid w:val="006E3457"/>
    <w:rsid w:val="006E4047"/>
    <w:rsid w:val="006E40CA"/>
    <w:rsid w:val="006E46E5"/>
    <w:rsid w:val="006E48FC"/>
    <w:rsid w:val="006E565D"/>
    <w:rsid w:val="006E58D1"/>
    <w:rsid w:val="006E5D1C"/>
    <w:rsid w:val="006E5D37"/>
    <w:rsid w:val="006E5EC1"/>
    <w:rsid w:val="006E6357"/>
    <w:rsid w:val="006E697C"/>
    <w:rsid w:val="006E6B21"/>
    <w:rsid w:val="006E7575"/>
    <w:rsid w:val="006E7A2B"/>
    <w:rsid w:val="006E7F46"/>
    <w:rsid w:val="006F0337"/>
    <w:rsid w:val="006F0408"/>
    <w:rsid w:val="006F0FF7"/>
    <w:rsid w:val="006F150D"/>
    <w:rsid w:val="006F1D5A"/>
    <w:rsid w:val="006F2255"/>
    <w:rsid w:val="006F2517"/>
    <w:rsid w:val="006F283C"/>
    <w:rsid w:val="006F28BC"/>
    <w:rsid w:val="006F2F80"/>
    <w:rsid w:val="006F32D3"/>
    <w:rsid w:val="006F4A89"/>
    <w:rsid w:val="006F4C54"/>
    <w:rsid w:val="006F528F"/>
    <w:rsid w:val="006F69D1"/>
    <w:rsid w:val="006F711D"/>
    <w:rsid w:val="006F7A3B"/>
    <w:rsid w:val="006F7A6D"/>
    <w:rsid w:val="0070077D"/>
    <w:rsid w:val="007009CC"/>
    <w:rsid w:val="0070128B"/>
    <w:rsid w:val="00701914"/>
    <w:rsid w:val="00701AD2"/>
    <w:rsid w:val="00701CD6"/>
    <w:rsid w:val="00702304"/>
    <w:rsid w:val="007028C5"/>
    <w:rsid w:val="00702B9C"/>
    <w:rsid w:val="00702CD1"/>
    <w:rsid w:val="00702F69"/>
    <w:rsid w:val="00703664"/>
    <w:rsid w:val="0070382D"/>
    <w:rsid w:val="00704313"/>
    <w:rsid w:val="007045EB"/>
    <w:rsid w:val="00704826"/>
    <w:rsid w:val="00704972"/>
    <w:rsid w:val="00704C0D"/>
    <w:rsid w:val="0070570E"/>
    <w:rsid w:val="007057A8"/>
    <w:rsid w:val="00705824"/>
    <w:rsid w:val="00705E55"/>
    <w:rsid w:val="00705E5A"/>
    <w:rsid w:val="00705E8D"/>
    <w:rsid w:val="00706144"/>
    <w:rsid w:val="00706B88"/>
    <w:rsid w:val="00707342"/>
    <w:rsid w:val="00707D41"/>
    <w:rsid w:val="00710202"/>
    <w:rsid w:val="00710B26"/>
    <w:rsid w:val="00711272"/>
    <w:rsid w:val="00711C70"/>
    <w:rsid w:val="007120FE"/>
    <w:rsid w:val="007121C4"/>
    <w:rsid w:val="00712332"/>
    <w:rsid w:val="007127AD"/>
    <w:rsid w:val="00712F42"/>
    <w:rsid w:val="00713A08"/>
    <w:rsid w:val="0071433E"/>
    <w:rsid w:val="00714D48"/>
    <w:rsid w:val="00714E4B"/>
    <w:rsid w:val="0071540C"/>
    <w:rsid w:val="0071541D"/>
    <w:rsid w:val="007158E7"/>
    <w:rsid w:val="00715966"/>
    <w:rsid w:val="00715AD3"/>
    <w:rsid w:val="007160BE"/>
    <w:rsid w:val="0071633D"/>
    <w:rsid w:val="007174E9"/>
    <w:rsid w:val="0071795B"/>
    <w:rsid w:val="00717F43"/>
    <w:rsid w:val="0072091A"/>
    <w:rsid w:val="00720964"/>
    <w:rsid w:val="007209FA"/>
    <w:rsid w:val="00720F6A"/>
    <w:rsid w:val="007219CD"/>
    <w:rsid w:val="00721B46"/>
    <w:rsid w:val="00722B7E"/>
    <w:rsid w:val="00723178"/>
    <w:rsid w:val="007231B1"/>
    <w:rsid w:val="0072401B"/>
    <w:rsid w:val="007242BB"/>
    <w:rsid w:val="0072449F"/>
    <w:rsid w:val="00724A12"/>
    <w:rsid w:val="00724F75"/>
    <w:rsid w:val="00724FDA"/>
    <w:rsid w:val="00725294"/>
    <w:rsid w:val="0072587C"/>
    <w:rsid w:val="0072639C"/>
    <w:rsid w:val="00726CAA"/>
    <w:rsid w:val="0072732E"/>
    <w:rsid w:val="00727541"/>
    <w:rsid w:val="00730551"/>
    <w:rsid w:val="0073068A"/>
    <w:rsid w:val="00730E20"/>
    <w:rsid w:val="00731899"/>
    <w:rsid w:val="00731937"/>
    <w:rsid w:val="00731D74"/>
    <w:rsid w:val="00731FC0"/>
    <w:rsid w:val="00732455"/>
    <w:rsid w:val="00732488"/>
    <w:rsid w:val="0073257E"/>
    <w:rsid w:val="00732E0D"/>
    <w:rsid w:val="00733421"/>
    <w:rsid w:val="007334F8"/>
    <w:rsid w:val="00733E73"/>
    <w:rsid w:val="00733F72"/>
    <w:rsid w:val="00733F82"/>
    <w:rsid w:val="00734CEC"/>
    <w:rsid w:val="007351EC"/>
    <w:rsid w:val="0073522A"/>
    <w:rsid w:val="007353B5"/>
    <w:rsid w:val="00735BE7"/>
    <w:rsid w:val="00735CA1"/>
    <w:rsid w:val="00735EED"/>
    <w:rsid w:val="00736EB3"/>
    <w:rsid w:val="0073759D"/>
    <w:rsid w:val="00737812"/>
    <w:rsid w:val="00737A92"/>
    <w:rsid w:val="00737BF3"/>
    <w:rsid w:val="00740D6E"/>
    <w:rsid w:val="00741344"/>
    <w:rsid w:val="007413B0"/>
    <w:rsid w:val="00741E5C"/>
    <w:rsid w:val="00741FCE"/>
    <w:rsid w:val="007426EA"/>
    <w:rsid w:val="00742AE1"/>
    <w:rsid w:val="007434F0"/>
    <w:rsid w:val="00743A7F"/>
    <w:rsid w:val="00745190"/>
    <w:rsid w:val="0074527D"/>
    <w:rsid w:val="00745941"/>
    <w:rsid w:val="00745FD0"/>
    <w:rsid w:val="00746311"/>
    <w:rsid w:val="0074654B"/>
    <w:rsid w:val="007468D9"/>
    <w:rsid w:val="00746ED6"/>
    <w:rsid w:val="00747467"/>
    <w:rsid w:val="00747484"/>
    <w:rsid w:val="00747D06"/>
    <w:rsid w:val="00747E91"/>
    <w:rsid w:val="00750F05"/>
    <w:rsid w:val="00750F59"/>
    <w:rsid w:val="00750F6F"/>
    <w:rsid w:val="0075201B"/>
    <w:rsid w:val="0075263E"/>
    <w:rsid w:val="0075283A"/>
    <w:rsid w:val="0075390C"/>
    <w:rsid w:val="00753FAF"/>
    <w:rsid w:val="007545EF"/>
    <w:rsid w:val="007546C5"/>
    <w:rsid w:val="00754A53"/>
    <w:rsid w:val="00754CF2"/>
    <w:rsid w:val="00754FBD"/>
    <w:rsid w:val="00755599"/>
    <w:rsid w:val="0075575A"/>
    <w:rsid w:val="007559A2"/>
    <w:rsid w:val="00755F34"/>
    <w:rsid w:val="0075619B"/>
    <w:rsid w:val="00756808"/>
    <w:rsid w:val="007575CB"/>
    <w:rsid w:val="00760401"/>
    <w:rsid w:val="00760841"/>
    <w:rsid w:val="00761EA5"/>
    <w:rsid w:val="00762021"/>
    <w:rsid w:val="00762516"/>
    <w:rsid w:val="00762B8E"/>
    <w:rsid w:val="00762BD8"/>
    <w:rsid w:val="00763E5F"/>
    <w:rsid w:val="00764F23"/>
    <w:rsid w:val="00765CF9"/>
    <w:rsid w:val="0076605E"/>
    <w:rsid w:val="00766077"/>
    <w:rsid w:val="007660C3"/>
    <w:rsid w:val="007661CD"/>
    <w:rsid w:val="0076620E"/>
    <w:rsid w:val="0076658E"/>
    <w:rsid w:val="007665D2"/>
    <w:rsid w:val="00766C66"/>
    <w:rsid w:val="0076739E"/>
    <w:rsid w:val="00767D20"/>
    <w:rsid w:val="007703C7"/>
    <w:rsid w:val="00770A89"/>
    <w:rsid w:val="00771B7A"/>
    <w:rsid w:val="00772999"/>
    <w:rsid w:val="00773071"/>
    <w:rsid w:val="007733BB"/>
    <w:rsid w:val="00773446"/>
    <w:rsid w:val="007735D1"/>
    <w:rsid w:val="00773BDC"/>
    <w:rsid w:val="00774203"/>
    <w:rsid w:val="00774CEF"/>
    <w:rsid w:val="00774E82"/>
    <w:rsid w:val="00775A4D"/>
    <w:rsid w:val="00775AA8"/>
    <w:rsid w:val="007765D4"/>
    <w:rsid w:val="00776903"/>
    <w:rsid w:val="00776E70"/>
    <w:rsid w:val="00777145"/>
    <w:rsid w:val="00777498"/>
    <w:rsid w:val="007779BC"/>
    <w:rsid w:val="00777C81"/>
    <w:rsid w:val="0078024A"/>
    <w:rsid w:val="0078065F"/>
    <w:rsid w:val="007807CF"/>
    <w:rsid w:val="00780A55"/>
    <w:rsid w:val="00780D3A"/>
    <w:rsid w:val="00781397"/>
    <w:rsid w:val="00781A89"/>
    <w:rsid w:val="00782DC5"/>
    <w:rsid w:val="0078311A"/>
    <w:rsid w:val="00783330"/>
    <w:rsid w:val="00783ED2"/>
    <w:rsid w:val="00783FCE"/>
    <w:rsid w:val="00784187"/>
    <w:rsid w:val="007842EB"/>
    <w:rsid w:val="007846E8"/>
    <w:rsid w:val="00784823"/>
    <w:rsid w:val="007848D6"/>
    <w:rsid w:val="0078696A"/>
    <w:rsid w:val="00786E4F"/>
    <w:rsid w:val="007870D9"/>
    <w:rsid w:val="00787B67"/>
    <w:rsid w:val="00787DEE"/>
    <w:rsid w:val="00787F13"/>
    <w:rsid w:val="0079042B"/>
    <w:rsid w:val="00790539"/>
    <w:rsid w:val="0079097F"/>
    <w:rsid w:val="00791275"/>
    <w:rsid w:val="007913DD"/>
    <w:rsid w:val="007917A8"/>
    <w:rsid w:val="007917A9"/>
    <w:rsid w:val="00792239"/>
    <w:rsid w:val="0079229A"/>
    <w:rsid w:val="0079281A"/>
    <w:rsid w:val="0079283E"/>
    <w:rsid w:val="00792BD8"/>
    <w:rsid w:val="00792F0C"/>
    <w:rsid w:val="00793214"/>
    <w:rsid w:val="0079321C"/>
    <w:rsid w:val="007932A6"/>
    <w:rsid w:val="00794B8C"/>
    <w:rsid w:val="007953B2"/>
    <w:rsid w:val="007959F3"/>
    <w:rsid w:val="0079609A"/>
    <w:rsid w:val="0079647B"/>
    <w:rsid w:val="007967B1"/>
    <w:rsid w:val="00796826"/>
    <w:rsid w:val="00796B95"/>
    <w:rsid w:val="00796CFB"/>
    <w:rsid w:val="00797583"/>
    <w:rsid w:val="0079782F"/>
    <w:rsid w:val="007A07A0"/>
    <w:rsid w:val="007A0F4B"/>
    <w:rsid w:val="007A16DC"/>
    <w:rsid w:val="007A1A3A"/>
    <w:rsid w:val="007A1BE5"/>
    <w:rsid w:val="007A1E9E"/>
    <w:rsid w:val="007A255C"/>
    <w:rsid w:val="007A2596"/>
    <w:rsid w:val="007A3702"/>
    <w:rsid w:val="007A3848"/>
    <w:rsid w:val="007A38F8"/>
    <w:rsid w:val="007A3DB7"/>
    <w:rsid w:val="007A41CB"/>
    <w:rsid w:val="007A46A0"/>
    <w:rsid w:val="007A4EF1"/>
    <w:rsid w:val="007A507E"/>
    <w:rsid w:val="007A566E"/>
    <w:rsid w:val="007A57E6"/>
    <w:rsid w:val="007A593A"/>
    <w:rsid w:val="007A5B01"/>
    <w:rsid w:val="007A5B0C"/>
    <w:rsid w:val="007A6632"/>
    <w:rsid w:val="007A6842"/>
    <w:rsid w:val="007A6919"/>
    <w:rsid w:val="007A6F2D"/>
    <w:rsid w:val="007A74BD"/>
    <w:rsid w:val="007B0071"/>
    <w:rsid w:val="007B037C"/>
    <w:rsid w:val="007B0775"/>
    <w:rsid w:val="007B0B71"/>
    <w:rsid w:val="007B0D93"/>
    <w:rsid w:val="007B1123"/>
    <w:rsid w:val="007B13F1"/>
    <w:rsid w:val="007B195D"/>
    <w:rsid w:val="007B1A6B"/>
    <w:rsid w:val="007B1E0E"/>
    <w:rsid w:val="007B236A"/>
    <w:rsid w:val="007B251F"/>
    <w:rsid w:val="007B2BE3"/>
    <w:rsid w:val="007B332D"/>
    <w:rsid w:val="007B3AC0"/>
    <w:rsid w:val="007B3D53"/>
    <w:rsid w:val="007B4D55"/>
    <w:rsid w:val="007B5A41"/>
    <w:rsid w:val="007B5C53"/>
    <w:rsid w:val="007B633E"/>
    <w:rsid w:val="007B7017"/>
    <w:rsid w:val="007B7422"/>
    <w:rsid w:val="007C02D4"/>
    <w:rsid w:val="007C0971"/>
    <w:rsid w:val="007C0AE6"/>
    <w:rsid w:val="007C0EAE"/>
    <w:rsid w:val="007C1129"/>
    <w:rsid w:val="007C154F"/>
    <w:rsid w:val="007C189E"/>
    <w:rsid w:val="007C1BC7"/>
    <w:rsid w:val="007C20B3"/>
    <w:rsid w:val="007C274D"/>
    <w:rsid w:val="007C3692"/>
    <w:rsid w:val="007C373C"/>
    <w:rsid w:val="007C3DE7"/>
    <w:rsid w:val="007C40D5"/>
    <w:rsid w:val="007C453D"/>
    <w:rsid w:val="007C4C6A"/>
    <w:rsid w:val="007C5930"/>
    <w:rsid w:val="007C5CD9"/>
    <w:rsid w:val="007C6049"/>
    <w:rsid w:val="007C6D27"/>
    <w:rsid w:val="007C6EE8"/>
    <w:rsid w:val="007C7A18"/>
    <w:rsid w:val="007C7D81"/>
    <w:rsid w:val="007D05DA"/>
    <w:rsid w:val="007D0649"/>
    <w:rsid w:val="007D083F"/>
    <w:rsid w:val="007D09B5"/>
    <w:rsid w:val="007D09FA"/>
    <w:rsid w:val="007D0AF9"/>
    <w:rsid w:val="007D1589"/>
    <w:rsid w:val="007D19EF"/>
    <w:rsid w:val="007D1B9A"/>
    <w:rsid w:val="007D208F"/>
    <w:rsid w:val="007D22FF"/>
    <w:rsid w:val="007D2440"/>
    <w:rsid w:val="007D271B"/>
    <w:rsid w:val="007D274C"/>
    <w:rsid w:val="007D3126"/>
    <w:rsid w:val="007D32E4"/>
    <w:rsid w:val="007D35E8"/>
    <w:rsid w:val="007D3B07"/>
    <w:rsid w:val="007D3C01"/>
    <w:rsid w:val="007D3DA0"/>
    <w:rsid w:val="007D42D8"/>
    <w:rsid w:val="007D45C2"/>
    <w:rsid w:val="007D4F79"/>
    <w:rsid w:val="007D5135"/>
    <w:rsid w:val="007D51D0"/>
    <w:rsid w:val="007D525E"/>
    <w:rsid w:val="007D5459"/>
    <w:rsid w:val="007D5864"/>
    <w:rsid w:val="007D5978"/>
    <w:rsid w:val="007D5AEF"/>
    <w:rsid w:val="007D5B5E"/>
    <w:rsid w:val="007D5BA5"/>
    <w:rsid w:val="007D6652"/>
    <w:rsid w:val="007D6748"/>
    <w:rsid w:val="007D6B47"/>
    <w:rsid w:val="007D6DC7"/>
    <w:rsid w:val="007D725E"/>
    <w:rsid w:val="007E0759"/>
    <w:rsid w:val="007E0D2A"/>
    <w:rsid w:val="007E16DD"/>
    <w:rsid w:val="007E1AF7"/>
    <w:rsid w:val="007E2371"/>
    <w:rsid w:val="007E2579"/>
    <w:rsid w:val="007E2DC2"/>
    <w:rsid w:val="007E34A4"/>
    <w:rsid w:val="007E3882"/>
    <w:rsid w:val="007E3A91"/>
    <w:rsid w:val="007E3C06"/>
    <w:rsid w:val="007E3D92"/>
    <w:rsid w:val="007E4635"/>
    <w:rsid w:val="007E47BA"/>
    <w:rsid w:val="007E4BF3"/>
    <w:rsid w:val="007E51C7"/>
    <w:rsid w:val="007E52CB"/>
    <w:rsid w:val="007E569E"/>
    <w:rsid w:val="007E6818"/>
    <w:rsid w:val="007E6BC4"/>
    <w:rsid w:val="007E6D2B"/>
    <w:rsid w:val="007E6FE4"/>
    <w:rsid w:val="007E7188"/>
    <w:rsid w:val="007E719F"/>
    <w:rsid w:val="007E7AF2"/>
    <w:rsid w:val="007E7DE3"/>
    <w:rsid w:val="007F02EF"/>
    <w:rsid w:val="007F0966"/>
    <w:rsid w:val="007F12E9"/>
    <w:rsid w:val="007F17CB"/>
    <w:rsid w:val="007F191E"/>
    <w:rsid w:val="007F21D9"/>
    <w:rsid w:val="007F3031"/>
    <w:rsid w:val="007F51C2"/>
    <w:rsid w:val="007F54FC"/>
    <w:rsid w:val="007F5765"/>
    <w:rsid w:val="007F6419"/>
    <w:rsid w:val="007F64AC"/>
    <w:rsid w:val="007F65D5"/>
    <w:rsid w:val="007F67A5"/>
    <w:rsid w:val="007F6AFB"/>
    <w:rsid w:val="007F7761"/>
    <w:rsid w:val="007F77C9"/>
    <w:rsid w:val="00800104"/>
    <w:rsid w:val="0080019A"/>
    <w:rsid w:val="00800265"/>
    <w:rsid w:val="008002B6"/>
    <w:rsid w:val="008006A6"/>
    <w:rsid w:val="008007A2"/>
    <w:rsid w:val="00801473"/>
    <w:rsid w:val="00801874"/>
    <w:rsid w:val="00801B64"/>
    <w:rsid w:val="00802116"/>
    <w:rsid w:val="0080243E"/>
    <w:rsid w:val="008025BE"/>
    <w:rsid w:val="00802974"/>
    <w:rsid w:val="00802CC5"/>
    <w:rsid w:val="00802E85"/>
    <w:rsid w:val="00803860"/>
    <w:rsid w:val="00803A88"/>
    <w:rsid w:val="00803E79"/>
    <w:rsid w:val="00804062"/>
    <w:rsid w:val="008044BC"/>
    <w:rsid w:val="008046FD"/>
    <w:rsid w:val="0080476E"/>
    <w:rsid w:val="00804E28"/>
    <w:rsid w:val="00805170"/>
    <w:rsid w:val="00805541"/>
    <w:rsid w:val="00805C35"/>
    <w:rsid w:val="00806056"/>
    <w:rsid w:val="00806A91"/>
    <w:rsid w:val="00806E02"/>
    <w:rsid w:val="00806EBF"/>
    <w:rsid w:val="008075AE"/>
    <w:rsid w:val="00807A69"/>
    <w:rsid w:val="00807CB5"/>
    <w:rsid w:val="00810522"/>
    <w:rsid w:val="0081152C"/>
    <w:rsid w:val="008117A0"/>
    <w:rsid w:val="008117B5"/>
    <w:rsid w:val="00811A86"/>
    <w:rsid w:val="00811AF7"/>
    <w:rsid w:val="008123E8"/>
    <w:rsid w:val="008126E3"/>
    <w:rsid w:val="00812C45"/>
    <w:rsid w:val="00813279"/>
    <w:rsid w:val="0081329F"/>
    <w:rsid w:val="00813B78"/>
    <w:rsid w:val="00813E84"/>
    <w:rsid w:val="008147D8"/>
    <w:rsid w:val="00814BBC"/>
    <w:rsid w:val="008160EA"/>
    <w:rsid w:val="0081775F"/>
    <w:rsid w:val="00820023"/>
    <w:rsid w:val="008209C5"/>
    <w:rsid w:val="00820A76"/>
    <w:rsid w:val="00820EE4"/>
    <w:rsid w:val="00820F49"/>
    <w:rsid w:val="008210A4"/>
    <w:rsid w:val="008210C0"/>
    <w:rsid w:val="00821582"/>
    <w:rsid w:val="008215C4"/>
    <w:rsid w:val="00821ADF"/>
    <w:rsid w:val="00821C24"/>
    <w:rsid w:val="008220D9"/>
    <w:rsid w:val="00822814"/>
    <w:rsid w:val="00822B3A"/>
    <w:rsid w:val="00822FA5"/>
    <w:rsid w:val="00823086"/>
    <w:rsid w:val="0082312D"/>
    <w:rsid w:val="00823947"/>
    <w:rsid w:val="00824ABE"/>
    <w:rsid w:val="00824E07"/>
    <w:rsid w:val="008253FB"/>
    <w:rsid w:val="008255F7"/>
    <w:rsid w:val="00825DBB"/>
    <w:rsid w:val="00826495"/>
    <w:rsid w:val="008266EE"/>
    <w:rsid w:val="008267EF"/>
    <w:rsid w:val="00826CCD"/>
    <w:rsid w:val="00827243"/>
    <w:rsid w:val="00827F6B"/>
    <w:rsid w:val="00830733"/>
    <w:rsid w:val="00831092"/>
    <w:rsid w:val="0083228A"/>
    <w:rsid w:val="00832A2F"/>
    <w:rsid w:val="00832C2F"/>
    <w:rsid w:val="00832D40"/>
    <w:rsid w:val="00832D45"/>
    <w:rsid w:val="00833055"/>
    <w:rsid w:val="00833394"/>
    <w:rsid w:val="008335AE"/>
    <w:rsid w:val="0083412D"/>
    <w:rsid w:val="00834BC3"/>
    <w:rsid w:val="00834EF2"/>
    <w:rsid w:val="008350FC"/>
    <w:rsid w:val="00835595"/>
    <w:rsid w:val="00835760"/>
    <w:rsid w:val="008357F2"/>
    <w:rsid w:val="00836827"/>
    <w:rsid w:val="00836864"/>
    <w:rsid w:val="00836BD4"/>
    <w:rsid w:val="0083721D"/>
    <w:rsid w:val="0083771F"/>
    <w:rsid w:val="0083775E"/>
    <w:rsid w:val="00837AFC"/>
    <w:rsid w:val="00837E98"/>
    <w:rsid w:val="00840303"/>
    <w:rsid w:val="00840950"/>
    <w:rsid w:val="00840B58"/>
    <w:rsid w:val="00840F37"/>
    <w:rsid w:val="00841032"/>
    <w:rsid w:val="00841039"/>
    <w:rsid w:val="00841723"/>
    <w:rsid w:val="0084174B"/>
    <w:rsid w:val="00841AE3"/>
    <w:rsid w:val="00841B4C"/>
    <w:rsid w:val="00841D87"/>
    <w:rsid w:val="00841E59"/>
    <w:rsid w:val="00842141"/>
    <w:rsid w:val="008421CA"/>
    <w:rsid w:val="0084357D"/>
    <w:rsid w:val="00843E89"/>
    <w:rsid w:val="0084439A"/>
    <w:rsid w:val="00845108"/>
    <w:rsid w:val="00845130"/>
    <w:rsid w:val="0084591D"/>
    <w:rsid w:val="0084599A"/>
    <w:rsid w:val="008459C4"/>
    <w:rsid w:val="0084609D"/>
    <w:rsid w:val="008460B9"/>
    <w:rsid w:val="008466A0"/>
    <w:rsid w:val="008468EB"/>
    <w:rsid w:val="008469C0"/>
    <w:rsid w:val="00846AC2"/>
    <w:rsid w:val="00846CE0"/>
    <w:rsid w:val="00847445"/>
    <w:rsid w:val="0084751E"/>
    <w:rsid w:val="00847605"/>
    <w:rsid w:val="0084788E"/>
    <w:rsid w:val="00850A09"/>
    <w:rsid w:val="00850F08"/>
    <w:rsid w:val="00851264"/>
    <w:rsid w:val="00851877"/>
    <w:rsid w:val="00851A5A"/>
    <w:rsid w:val="0085215C"/>
    <w:rsid w:val="0085216B"/>
    <w:rsid w:val="008523E0"/>
    <w:rsid w:val="008529D2"/>
    <w:rsid w:val="008529ED"/>
    <w:rsid w:val="00852DA0"/>
    <w:rsid w:val="0085303D"/>
    <w:rsid w:val="008535B3"/>
    <w:rsid w:val="00853804"/>
    <w:rsid w:val="008538DB"/>
    <w:rsid w:val="0085390A"/>
    <w:rsid w:val="0085429F"/>
    <w:rsid w:val="008546BF"/>
    <w:rsid w:val="00854881"/>
    <w:rsid w:val="00854996"/>
    <w:rsid w:val="00854BBD"/>
    <w:rsid w:val="00854CCE"/>
    <w:rsid w:val="00855D84"/>
    <w:rsid w:val="00855E09"/>
    <w:rsid w:val="008560CC"/>
    <w:rsid w:val="008565F0"/>
    <w:rsid w:val="00857457"/>
    <w:rsid w:val="00857495"/>
    <w:rsid w:val="008601A7"/>
    <w:rsid w:val="0086066F"/>
    <w:rsid w:val="0086086B"/>
    <w:rsid w:val="008610B3"/>
    <w:rsid w:val="00861290"/>
    <w:rsid w:val="0086187E"/>
    <w:rsid w:val="00861D73"/>
    <w:rsid w:val="00863B5F"/>
    <w:rsid w:val="00863C3D"/>
    <w:rsid w:val="00864286"/>
    <w:rsid w:val="0086444A"/>
    <w:rsid w:val="00864BDA"/>
    <w:rsid w:val="00864CBD"/>
    <w:rsid w:val="00865315"/>
    <w:rsid w:val="00865CA5"/>
    <w:rsid w:val="00865D15"/>
    <w:rsid w:val="0086653A"/>
    <w:rsid w:val="00866DAF"/>
    <w:rsid w:val="0086708B"/>
    <w:rsid w:val="00867093"/>
    <w:rsid w:val="00867949"/>
    <w:rsid w:val="00867FCF"/>
    <w:rsid w:val="00870241"/>
    <w:rsid w:val="008702D7"/>
    <w:rsid w:val="00870355"/>
    <w:rsid w:val="00870362"/>
    <w:rsid w:val="00870B0E"/>
    <w:rsid w:val="00871810"/>
    <w:rsid w:val="0087182F"/>
    <w:rsid w:val="008718F1"/>
    <w:rsid w:val="00871A55"/>
    <w:rsid w:val="008722B0"/>
    <w:rsid w:val="008725C7"/>
    <w:rsid w:val="00872BE1"/>
    <w:rsid w:val="00874022"/>
    <w:rsid w:val="008744A6"/>
    <w:rsid w:val="00874961"/>
    <w:rsid w:val="00874F42"/>
    <w:rsid w:val="008754B1"/>
    <w:rsid w:val="00875F47"/>
    <w:rsid w:val="00876550"/>
    <w:rsid w:val="00876980"/>
    <w:rsid w:val="00876CE0"/>
    <w:rsid w:val="00880525"/>
    <w:rsid w:val="00880FD8"/>
    <w:rsid w:val="008815B3"/>
    <w:rsid w:val="00881C9A"/>
    <w:rsid w:val="00881D59"/>
    <w:rsid w:val="00882045"/>
    <w:rsid w:val="008828AD"/>
    <w:rsid w:val="00882BA5"/>
    <w:rsid w:val="00882D72"/>
    <w:rsid w:val="00883768"/>
    <w:rsid w:val="00883E27"/>
    <w:rsid w:val="008845FD"/>
    <w:rsid w:val="00885052"/>
    <w:rsid w:val="00885547"/>
    <w:rsid w:val="00885620"/>
    <w:rsid w:val="00885986"/>
    <w:rsid w:val="00885C62"/>
    <w:rsid w:val="0088639D"/>
    <w:rsid w:val="008865A8"/>
    <w:rsid w:val="00886BB9"/>
    <w:rsid w:val="00886ED0"/>
    <w:rsid w:val="00887277"/>
    <w:rsid w:val="0088729D"/>
    <w:rsid w:val="008873BF"/>
    <w:rsid w:val="00887670"/>
    <w:rsid w:val="0088775A"/>
    <w:rsid w:val="00887AB8"/>
    <w:rsid w:val="00887B91"/>
    <w:rsid w:val="00887C24"/>
    <w:rsid w:val="00887E5E"/>
    <w:rsid w:val="008905EC"/>
    <w:rsid w:val="008907CE"/>
    <w:rsid w:val="0089164E"/>
    <w:rsid w:val="00891C16"/>
    <w:rsid w:val="008927A8"/>
    <w:rsid w:val="00893610"/>
    <w:rsid w:val="008938E2"/>
    <w:rsid w:val="00893C52"/>
    <w:rsid w:val="00893C5B"/>
    <w:rsid w:val="008941E6"/>
    <w:rsid w:val="0089469E"/>
    <w:rsid w:val="008949BB"/>
    <w:rsid w:val="00894ED3"/>
    <w:rsid w:val="0089547E"/>
    <w:rsid w:val="00896672"/>
    <w:rsid w:val="00896E15"/>
    <w:rsid w:val="00896F7B"/>
    <w:rsid w:val="00897182"/>
    <w:rsid w:val="0089798D"/>
    <w:rsid w:val="008A01A3"/>
    <w:rsid w:val="008A0293"/>
    <w:rsid w:val="008A03C8"/>
    <w:rsid w:val="008A1048"/>
    <w:rsid w:val="008A10E7"/>
    <w:rsid w:val="008A13E0"/>
    <w:rsid w:val="008A15D0"/>
    <w:rsid w:val="008A1910"/>
    <w:rsid w:val="008A1B5A"/>
    <w:rsid w:val="008A1BC4"/>
    <w:rsid w:val="008A1E03"/>
    <w:rsid w:val="008A1E0E"/>
    <w:rsid w:val="008A1EA1"/>
    <w:rsid w:val="008A22E3"/>
    <w:rsid w:val="008A23DD"/>
    <w:rsid w:val="008A2536"/>
    <w:rsid w:val="008A3B3A"/>
    <w:rsid w:val="008A404D"/>
    <w:rsid w:val="008A4A41"/>
    <w:rsid w:val="008A4D46"/>
    <w:rsid w:val="008A5F76"/>
    <w:rsid w:val="008A6E13"/>
    <w:rsid w:val="008A742B"/>
    <w:rsid w:val="008A7876"/>
    <w:rsid w:val="008A7FA3"/>
    <w:rsid w:val="008B00F9"/>
    <w:rsid w:val="008B01E0"/>
    <w:rsid w:val="008B02D7"/>
    <w:rsid w:val="008B0605"/>
    <w:rsid w:val="008B08B7"/>
    <w:rsid w:val="008B0BE5"/>
    <w:rsid w:val="008B0F5F"/>
    <w:rsid w:val="008B165F"/>
    <w:rsid w:val="008B189B"/>
    <w:rsid w:val="008B1BF5"/>
    <w:rsid w:val="008B1F23"/>
    <w:rsid w:val="008B2B42"/>
    <w:rsid w:val="008B2DA7"/>
    <w:rsid w:val="008B35EF"/>
    <w:rsid w:val="008B38BC"/>
    <w:rsid w:val="008B3FE4"/>
    <w:rsid w:val="008B455F"/>
    <w:rsid w:val="008B458D"/>
    <w:rsid w:val="008B4698"/>
    <w:rsid w:val="008B4832"/>
    <w:rsid w:val="008B4D22"/>
    <w:rsid w:val="008B54D2"/>
    <w:rsid w:val="008B5940"/>
    <w:rsid w:val="008B5BCB"/>
    <w:rsid w:val="008B5BF5"/>
    <w:rsid w:val="008B6298"/>
    <w:rsid w:val="008B6329"/>
    <w:rsid w:val="008B6374"/>
    <w:rsid w:val="008B6C8B"/>
    <w:rsid w:val="008B6E05"/>
    <w:rsid w:val="008B7007"/>
    <w:rsid w:val="008B7559"/>
    <w:rsid w:val="008B787D"/>
    <w:rsid w:val="008B795E"/>
    <w:rsid w:val="008B79E6"/>
    <w:rsid w:val="008B7C4C"/>
    <w:rsid w:val="008B7D96"/>
    <w:rsid w:val="008C04BF"/>
    <w:rsid w:val="008C0507"/>
    <w:rsid w:val="008C0809"/>
    <w:rsid w:val="008C0951"/>
    <w:rsid w:val="008C0FFB"/>
    <w:rsid w:val="008C1923"/>
    <w:rsid w:val="008C1E24"/>
    <w:rsid w:val="008C1EC6"/>
    <w:rsid w:val="008C21D0"/>
    <w:rsid w:val="008C2AAD"/>
    <w:rsid w:val="008C2C45"/>
    <w:rsid w:val="008C2C8B"/>
    <w:rsid w:val="008C34B7"/>
    <w:rsid w:val="008C362F"/>
    <w:rsid w:val="008C3638"/>
    <w:rsid w:val="008C3DA9"/>
    <w:rsid w:val="008C43AE"/>
    <w:rsid w:val="008C43B8"/>
    <w:rsid w:val="008C47B5"/>
    <w:rsid w:val="008C530C"/>
    <w:rsid w:val="008C53B6"/>
    <w:rsid w:val="008C56E1"/>
    <w:rsid w:val="008C6296"/>
    <w:rsid w:val="008C6596"/>
    <w:rsid w:val="008C67E3"/>
    <w:rsid w:val="008C6C72"/>
    <w:rsid w:val="008C703D"/>
    <w:rsid w:val="008C756F"/>
    <w:rsid w:val="008C7A14"/>
    <w:rsid w:val="008C7E16"/>
    <w:rsid w:val="008D0143"/>
    <w:rsid w:val="008D04BC"/>
    <w:rsid w:val="008D0610"/>
    <w:rsid w:val="008D074D"/>
    <w:rsid w:val="008D0787"/>
    <w:rsid w:val="008D08E5"/>
    <w:rsid w:val="008D0C36"/>
    <w:rsid w:val="008D12EF"/>
    <w:rsid w:val="008D1502"/>
    <w:rsid w:val="008D1E95"/>
    <w:rsid w:val="008D2032"/>
    <w:rsid w:val="008D22DA"/>
    <w:rsid w:val="008D3976"/>
    <w:rsid w:val="008D3CA1"/>
    <w:rsid w:val="008D3EF8"/>
    <w:rsid w:val="008D45DE"/>
    <w:rsid w:val="008D46F2"/>
    <w:rsid w:val="008D487A"/>
    <w:rsid w:val="008D4DEB"/>
    <w:rsid w:val="008D531E"/>
    <w:rsid w:val="008D5741"/>
    <w:rsid w:val="008D5901"/>
    <w:rsid w:val="008D5C1E"/>
    <w:rsid w:val="008D6242"/>
    <w:rsid w:val="008D64B3"/>
    <w:rsid w:val="008D719A"/>
    <w:rsid w:val="008D71E5"/>
    <w:rsid w:val="008D7C8C"/>
    <w:rsid w:val="008D7D11"/>
    <w:rsid w:val="008E0793"/>
    <w:rsid w:val="008E08B0"/>
    <w:rsid w:val="008E100D"/>
    <w:rsid w:val="008E10D2"/>
    <w:rsid w:val="008E1191"/>
    <w:rsid w:val="008E17A8"/>
    <w:rsid w:val="008E1FD7"/>
    <w:rsid w:val="008E2BE9"/>
    <w:rsid w:val="008E2C3C"/>
    <w:rsid w:val="008E31C2"/>
    <w:rsid w:val="008E3DFF"/>
    <w:rsid w:val="008E41DD"/>
    <w:rsid w:val="008E443C"/>
    <w:rsid w:val="008E4B3C"/>
    <w:rsid w:val="008E55BA"/>
    <w:rsid w:val="008E5796"/>
    <w:rsid w:val="008E57A6"/>
    <w:rsid w:val="008E5C02"/>
    <w:rsid w:val="008E5C0D"/>
    <w:rsid w:val="008E5C3D"/>
    <w:rsid w:val="008E5E0A"/>
    <w:rsid w:val="008E66C5"/>
    <w:rsid w:val="008E6C02"/>
    <w:rsid w:val="008E71EE"/>
    <w:rsid w:val="008E7225"/>
    <w:rsid w:val="008E727C"/>
    <w:rsid w:val="008E7CA4"/>
    <w:rsid w:val="008E7D04"/>
    <w:rsid w:val="008F0B8D"/>
    <w:rsid w:val="008F12A7"/>
    <w:rsid w:val="008F15E6"/>
    <w:rsid w:val="008F1D25"/>
    <w:rsid w:val="008F220F"/>
    <w:rsid w:val="008F28B6"/>
    <w:rsid w:val="008F2986"/>
    <w:rsid w:val="008F2B56"/>
    <w:rsid w:val="008F3E95"/>
    <w:rsid w:val="008F402D"/>
    <w:rsid w:val="008F4D0C"/>
    <w:rsid w:val="008F4D1D"/>
    <w:rsid w:val="008F4E22"/>
    <w:rsid w:val="008F50CB"/>
    <w:rsid w:val="008F55F8"/>
    <w:rsid w:val="008F5D48"/>
    <w:rsid w:val="008F60E1"/>
    <w:rsid w:val="008F6296"/>
    <w:rsid w:val="008F63CF"/>
    <w:rsid w:val="008F66D8"/>
    <w:rsid w:val="008F6A3E"/>
    <w:rsid w:val="008F6DBC"/>
    <w:rsid w:val="008F72F9"/>
    <w:rsid w:val="008F7513"/>
    <w:rsid w:val="008F79AD"/>
    <w:rsid w:val="008F7A30"/>
    <w:rsid w:val="008F7F68"/>
    <w:rsid w:val="00900315"/>
    <w:rsid w:val="0090031C"/>
    <w:rsid w:val="009003E7"/>
    <w:rsid w:val="00900788"/>
    <w:rsid w:val="009007B9"/>
    <w:rsid w:val="00900C1D"/>
    <w:rsid w:val="00901509"/>
    <w:rsid w:val="00901B16"/>
    <w:rsid w:val="00901D4A"/>
    <w:rsid w:val="0090276E"/>
    <w:rsid w:val="00902812"/>
    <w:rsid w:val="009028F9"/>
    <w:rsid w:val="00902972"/>
    <w:rsid w:val="00902A3E"/>
    <w:rsid w:val="0090325F"/>
    <w:rsid w:val="0090389E"/>
    <w:rsid w:val="00903901"/>
    <w:rsid w:val="00903BD4"/>
    <w:rsid w:val="00903CD6"/>
    <w:rsid w:val="00903FFB"/>
    <w:rsid w:val="00904554"/>
    <w:rsid w:val="00904C68"/>
    <w:rsid w:val="00905680"/>
    <w:rsid w:val="009056D7"/>
    <w:rsid w:val="0090671F"/>
    <w:rsid w:val="00906A00"/>
    <w:rsid w:val="00906C69"/>
    <w:rsid w:val="00906CF6"/>
    <w:rsid w:val="00906E55"/>
    <w:rsid w:val="00906EA7"/>
    <w:rsid w:val="0090743F"/>
    <w:rsid w:val="00907550"/>
    <w:rsid w:val="0091012C"/>
    <w:rsid w:val="00910316"/>
    <w:rsid w:val="00910981"/>
    <w:rsid w:val="009114B5"/>
    <w:rsid w:val="00911944"/>
    <w:rsid w:val="0091236B"/>
    <w:rsid w:val="00912EDE"/>
    <w:rsid w:val="009135CD"/>
    <w:rsid w:val="00913886"/>
    <w:rsid w:val="00913BAE"/>
    <w:rsid w:val="00913D52"/>
    <w:rsid w:val="00913E79"/>
    <w:rsid w:val="009142E1"/>
    <w:rsid w:val="009145A6"/>
    <w:rsid w:val="009146A6"/>
    <w:rsid w:val="00914AB5"/>
    <w:rsid w:val="00914C98"/>
    <w:rsid w:val="00915111"/>
    <w:rsid w:val="00915849"/>
    <w:rsid w:val="0091680D"/>
    <w:rsid w:val="00916ACE"/>
    <w:rsid w:val="00917023"/>
    <w:rsid w:val="009206E0"/>
    <w:rsid w:val="00920C45"/>
    <w:rsid w:val="00921FB5"/>
    <w:rsid w:val="0092249A"/>
    <w:rsid w:val="00922897"/>
    <w:rsid w:val="009230DD"/>
    <w:rsid w:val="0092348A"/>
    <w:rsid w:val="00923B2C"/>
    <w:rsid w:val="00924691"/>
    <w:rsid w:val="009248A5"/>
    <w:rsid w:val="009252D0"/>
    <w:rsid w:val="00925921"/>
    <w:rsid w:val="00925EF1"/>
    <w:rsid w:val="009260EE"/>
    <w:rsid w:val="0092613B"/>
    <w:rsid w:val="00926163"/>
    <w:rsid w:val="00926172"/>
    <w:rsid w:val="0092642A"/>
    <w:rsid w:val="00926449"/>
    <w:rsid w:val="00926F92"/>
    <w:rsid w:val="00927EBA"/>
    <w:rsid w:val="00927F89"/>
    <w:rsid w:val="009305E2"/>
    <w:rsid w:val="00931093"/>
    <w:rsid w:val="00931986"/>
    <w:rsid w:val="00931A10"/>
    <w:rsid w:val="00931A7C"/>
    <w:rsid w:val="009327A4"/>
    <w:rsid w:val="00932D8E"/>
    <w:rsid w:val="009332FA"/>
    <w:rsid w:val="0093363A"/>
    <w:rsid w:val="00933DED"/>
    <w:rsid w:val="0093403F"/>
    <w:rsid w:val="00934474"/>
    <w:rsid w:val="0093456B"/>
    <w:rsid w:val="009345C5"/>
    <w:rsid w:val="009345E6"/>
    <w:rsid w:val="00934AB8"/>
    <w:rsid w:val="00934CBB"/>
    <w:rsid w:val="00934E5C"/>
    <w:rsid w:val="00934F20"/>
    <w:rsid w:val="009352F2"/>
    <w:rsid w:val="00935560"/>
    <w:rsid w:val="00935947"/>
    <w:rsid w:val="00935EBB"/>
    <w:rsid w:val="00936091"/>
    <w:rsid w:val="0093688A"/>
    <w:rsid w:val="00937D04"/>
    <w:rsid w:val="00940061"/>
    <w:rsid w:val="0094116D"/>
    <w:rsid w:val="00941DB7"/>
    <w:rsid w:val="00941E2C"/>
    <w:rsid w:val="00942428"/>
    <w:rsid w:val="009426F6"/>
    <w:rsid w:val="00942703"/>
    <w:rsid w:val="00942CB6"/>
    <w:rsid w:val="009433A8"/>
    <w:rsid w:val="0094345F"/>
    <w:rsid w:val="0094347D"/>
    <w:rsid w:val="00943849"/>
    <w:rsid w:val="00943C6E"/>
    <w:rsid w:val="00943C8B"/>
    <w:rsid w:val="00943FC0"/>
    <w:rsid w:val="009443B0"/>
    <w:rsid w:val="00944473"/>
    <w:rsid w:val="00944526"/>
    <w:rsid w:val="00944629"/>
    <w:rsid w:val="00944AB8"/>
    <w:rsid w:val="00944D48"/>
    <w:rsid w:val="009453BC"/>
    <w:rsid w:val="00945C29"/>
    <w:rsid w:val="00945D2D"/>
    <w:rsid w:val="00946090"/>
    <w:rsid w:val="00946290"/>
    <w:rsid w:val="009462B1"/>
    <w:rsid w:val="00946689"/>
    <w:rsid w:val="00946C0A"/>
    <w:rsid w:val="00946C83"/>
    <w:rsid w:val="00946D3C"/>
    <w:rsid w:val="00946EE1"/>
    <w:rsid w:val="00946EF8"/>
    <w:rsid w:val="00947033"/>
    <w:rsid w:val="009472D0"/>
    <w:rsid w:val="009475CD"/>
    <w:rsid w:val="009475E5"/>
    <w:rsid w:val="00947B92"/>
    <w:rsid w:val="00950218"/>
    <w:rsid w:val="0095053D"/>
    <w:rsid w:val="00950E1E"/>
    <w:rsid w:val="009510E5"/>
    <w:rsid w:val="009517F4"/>
    <w:rsid w:val="00951A84"/>
    <w:rsid w:val="009524E8"/>
    <w:rsid w:val="0095269D"/>
    <w:rsid w:val="009526DA"/>
    <w:rsid w:val="00953FB3"/>
    <w:rsid w:val="00954265"/>
    <w:rsid w:val="0095464E"/>
    <w:rsid w:val="00954BC5"/>
    <w:rsid w:val="00954E69"/>
    <w:rsid w:val="00954F01"/>
    <w:rsid w:val="00954F1E"/>
    <w:rsid w:val="00954F92"/>
    <w:rsid w:val="0095543C"/>
    <w:rsid w:val="00955F39"/>
    <w:rsid w:val="009567F9"/>
    <w:rsid w:val="00956DB8"/>
    <w:rsid w:val="00957EDF"/>
    <w:rsid w:val="0096131A"/>
    <w:rsid w:val="00961E44"/>
    <w:rsid w:val="009628D1"/>
    <w:rsid w:val="00962C16"/>
    <w:rsid w:val="00962FE4"/>
    <w:rsid w:val="009631B1"/>
    <w:rsid w:val="00963B0B"/>
    <w:rsid w:val="00963B6D"/>
    <w:rsid w:val="00964028"/>
    <w:rsid w:val="00964EFC"/>
    <w:rsid w:val="0096515A"/>
    <w:rsid w:val="009652FE"/>
    <w:rsid w:val="009654C8"/>
    <w:rsid w:val="0096561C"/>
    <w:rsid w:val="00965A3F"/>
    <w:rsid w:val="00965E62"/>
    <w:rsid w:val="00966238"/>
    <w:rsid w:val="00966365"/>
    <w:rsid w:val="00966573"/>
    <w:rsid w:val="00966B21"/>
    <w:rsid w:val="00966CFC"/>
    <w:rsid w:val="00966DEC"/>
    <w:rsid w:val="009671C8"/>
    <w:rsid w:val="00967FC8"/>
    <w:rsid w:val="0097056D"/>
    <w:rsid w:val="0097072D"/>
    <w:rsid w:val="00970835"/>
    <w:rsid w:val="00971614"/>
    <w:rsid w:val="00971D51"/>
    <w:rsid w:val="00971F83"/>
    <w:rsid w:val="0097202A"/>
    <w:rsid w:val="0097228B"/>
    <w:rsid w:val="00972661"/>
    <w:rsid w:val="00972692"/>
    <w:rsid w:val="009726CC"/>
    <w:rsid w:val="009728B1"/>
    <w:rsid w:val="00973245"/>
    <w:rsid w:val="00973A43"/>
    <w:rsid w:val="00974263"/>
    <w:rsid w:val="009749EA"/>
    <w:rsid w:val="00974C52"/>
    <w:rsid w:val="00974C85"/>
    <w:rsid w:val="00975204"/>
    <w:rsid w:val="0097522A"/>
    <w:rsid w:val="009755D8"/>
    <w:rsid w:val="00976C60"/>
    <w:rsid w:val="0097734D"/>
    <w:rsid w:val="009775D2"/>
    <w:rsid w:val="00977A19"/>
    <w:rsid w:val="009804F5"/>
    <w:rsid w:val="0098076D"/>
    <w:rsid w:val="00980AEC"/>
    <w:rsid w:val="00980C0A"/>
    <w:rsid w:val="00980CF9"/>
    <w:rsid w:val="009815FE"/>
    <w:rsid w:val="00981C7B"/>
    <w:rsid w:val="00982029"/>
    <w:rsid w:val="00983497"/>
    <w:rsid w:val="00983FA5"/>
    <w:rsid w:val="00984976"/>
    <w:rsid w:val="00984B31"/>
    <w:rsid w:val="00984F1D"/>
    <w:rsid w:val="00984F5E"/>
    <w:rsid w:val="009851C1"/>
    <w:rsid w:val="009854DC"/>
    <w:rsid w:val="0098571D"/>
    <w:rsid w:val="00985A05"/>
    <w:rsid w:val="00985B60"/>
    <w:rsid w:val="0098610C"/>
    <w:rsid w:val="0098629D"/>
    <w:rsid w:val="00986B6F"/>
    <w:rsid w:val="00986CCD"/>
    <w:rsid w:val="0098717C"/>
    <w:rsid w:val="009871A5"/>
    <w:rsid w:val="009874CF"/>
    <w:rsid w:val="009875CB"/>
    <w:rsid w:val="00987D9A"/>
    <w:rsid w:val="0099002F"/>
    <w:rsid w:val="009902CF"/>
    <w:rsid w:val="00990418"/>
    <w:rsid w:val="00990DB7"/>
    <w:rsid w:val="00990EEF"/>
    <w:rsid w:val="0099153C"/>
    <w:rsid w:val="009915FB"/>
    <w:rsid w:val="0099236E"/>
    <w:rsid w:val="00992467"/>
    <w:rsid w:val="009924ED"/>
    <w:rsid w:val="00992777"/>
    <w:rsid w:val="00992BD5"/>
    <w:rsid w:val="0099343F"/>
    <w:rsid w:val="009936F7"/>
    <w:rsid w:val="00994379"/>
    <w:rsid w:val="00994449"/>
    <w:rsid w:val="00994611"/>
    <w:rsid w:val="00994793"/>
    <w:rsid w:val="0099484F"/>
    <w:rsid w:val="00994A9F"/>
    <w:rsid w:val="00994C6D"/>
    <w:rsid w:val="00995C6F"/>
    <w:rsid w:val="009964E3"/>
    <w:rsid w:val="00996C75"/>
    <w:rsid w:val="00996D96"/>
    <w:rsid w:val="00997029"/>
    <w:rsid w:val="00997400"/>
    <w:rsid w:val="00997423"/>
    <w:rsid w:val="00997882"/>
    <w:rsid w:val="009A0227"/>
    <w:rsid w:val="009A086C"/>
    <w:rsid w:val="009A0C67"/>
    <w:rsid w:val="009A134B"/>
    <w:rsid w:val="009A1542"/>
    <w:rsid w:val="009A1CBF"/>
    <w:rsid w:val="009A1F6D"/>
    <w:rsid w:val="009A264A"/>
    <w:rsid w:val="009A2AAE"/>
    <w:rsid w:val="009A2CB9"/>
    <w:rsid w:val="009A316C"/>
    <w:rsid w:val="009A3785"/>
    <w:rsid w:val="009A3AC7"/>
    <w:rsid w:val="009A40BC"/>
    <w:rsid w:val="009A40D5"/>
    <w:rsid w:val="009A4AE9"/>
    <w:rsid w:val="009A4BC4"/>
    <w:rsid w:val="009A553C"/>
    <w:rsid w:val="009A5D0A"/>
    <w:rsid w:val="009A6917"/>
    <w:rsid w:val="009A6E98"/>
    <w:rsid w:val="009A7B09"/>
    <w:rsid w:val="009A7DCC"/>
    <w:rsid w:val="009A7DFB"/>
    <w:rsid w:val="009B0196"/>
    <w:rsid w:val="009B0A6E"/>
    <w:rsid w:val="009B1724"/>
    <w:rsid w:val="009B2CFA"/>
    <w:rsid w:val="009B2DCE"/>
    <w:rsid w:val="009B2FF9"/>
    <w:rsid w:val="009B32C4"/>
    <w:rsid w:val="009B380B"/>
    <w:rsid w:val="009B3991"/>
    <w:rsid w:val="009B3A4E"/>
    <w:rsid w:val="009B4940"/>
    <w:rsid w:val="009B4CEF"/>
    <w:rsid w:val="009B4DED"/>
    <w:rsid w:val="009B5194"/>
    <w:rsid w:val="009B5725"/>
    <w:rsid w:val="009B57E1"/>
    <w:rsid w:val="009B59CD"/>
    <w:rsid w:val="009B6B20"/>
    <w:rsid w:val="009B6CA4"/>
    <w:rsid w:val="009B752D"/>
    <w:rsid w:val="009B7A89"/>
    <w:rsid w:val="009B7AAC"/>
    <w:rsid w:val="009C047A"/>
    <w:rsid w:val="009C049E"/>
    <w:rsid w:val="009C083C"/>
    <w:rsid w:val="009C16A7"/>
    <w:rsid w:val="009C1863"/>
    <w:rsid w:val="009C2532"/>
    <w:rsid w:val="009C28FA"/>
    <w:rsid w:val="009C2C1F"/>
    <w:rsid w:val="009C2F0A"/>
    <w:rsid w:val="009C31C7"/>
    <w:rsid w:val="009C33A5"/>
    <w:rsid w:val="009C3518"/>
    <w:rsid w:val="009C3538"/>
    <w:rsid w:val="009C37DA"/>
    <w:rsid w:val="009C37E9"/>
    <w:rsid w:val="009C3A40"/>
    <w:rsid w:val="009C3B14"/>
    <w:rsid w:val="009C44C2"/>
    <w:rsid w:val="009C4905"/>
    <w:rsid w:val="009C4ADE"/>
    <w:rsid w:val="009C4D42"/>
    <w:rsid w:val="009C4E5E"/>
    <w:rsid w:val="009C5CA5"/>
    <w:rsid w:val="009C631D"/>
    <w:rsid w:val="009C6371"/>
    <w:rsid w:val="009C6464"/>
    <w:rsid w:val="009C6E30"/>
    <w:rsid w:val="009C6E31"/>
    <w:rsid w:val="009C71A1"/>
    <w:rsid w:val="009C7367"/>
    <w:rsid w:val="009C78E4"/>
    <w:rsid w:val="009C7989"/>
    <w:rsid w:val="009C7BF1"/>
    <w:rsid w:val="009C7CB1"/>
    <w:rsid w:val="009D0529"/>
    <w:rsid w:val="009D091A"/>
    <w:rsid w:val="009D15BD"/>
    <w:rsid w:val="009D1B30"/>
    <w:rsid w:val="009D1C0B"/>
    <w:rsid w:val="009D1E03"/>
    <w:rsid w:val="009D2F0B"/>
    <w:rsid w:val="009D3A16"/>
    <w:rsid w:val="009D3B39"/>
    <w:rsid w:val="009D3EEA"/>
    <w:rsid w:val="009D3F13"/>
    <w:rsid w:val="009D3F72"/>
    <w:rsid w:val="009D3F8F"/>
    <w:rsid w:val="009D4382"/>
    <w:rsid w:val="009D43D8"/>
    <w:rsid w:val="009D44CF"/>
    <w:rsid w:val="009D521A"/>
    <w:rsid w:val="009D5AED"/>
    <w:rsid w:val="009D5AF7"/>
    <w:rsid w:val="009D6128"/>
    <w:rsid w:val="009D655D"/>
    <w:rsid w:val="009D6C7F"/>
    <w:rsid w:val="009D763F"/>
    <w:rsid w:val="009D7646"/>
    <w:rsid w:val="009D7662"/>
    <w:rsid w:val="009D7E21"/>
    <w:rsid w:val="009E01DB"/>
    <w:rsid w:val="009E0240"/>
    <w:rsid w:val="009E0CE8"/>
    <w:rsid w:val="009E0E5D"/>
    <w:rsid w:val="009E0EB1"/>
    <w:rsid w:val="009E10A7"/>
    <w:rsid w:val="009E10F3"/>
    <w:rsid w:val="009E1EA3"/>
    <w:rsid w:val="009E21DD"/>
    <w:rsid w:val="009E21E5"/>
    <w:rsid w:val="009E2211"/>
    <w:rsid w:val="009E2696"/>
    <w:rsid w:val="009E27E4"/>
    <w:rsid w:val="009E2970"/>
    <w:rsid w:val="009E2D15"/>
    <w:rsid w:val="009E2E73"/>
    <w:rsid w:val="009E339D"/>
    <w:rsid w:val="009E3882"/>
    <w:rsid w:val="009E3965"/>
    <w:rsid w:val="009E3D6B"/>
    <w:rsid w:val="009E3EF7"/>
    <w:rsid w:val="009E4759"/>
    <w:rsid w:val="009E49A5"/>
    <w:rsid w:val="009E4C03"/>
    <w:rsid w:val="009E4D8C"/>
    <w:rsid w:val="009E4F95"/>
    <w:rsid w:val="009E4FDD"/>
    <w:rsid w:val="009E665D"/>
    <w:rsid w:val="009E6AC8"/>
    <w:rsid w:val="009E6C92"/>
    <w:rsid w:val="009E766A"/>
    <w:rsid w:val="009E76DF"/>
    <w:rsid w:val="009F02FD"/>
    <w:rsid w:val="009F0937"/>
    <w:rsid w:val="009F0EA7"/>
    <w:rsid w:val="009F1069"/>
    <w:rsid w:val="009F1761"/>
    <w:rsid w:val="009F1812"/>
    <w:rsid w:val="009F1821"/>
    <w:rsid w:val="009F1937"/>
    <w:rsid w:val="009F1B6A"/>
    <w:rsid w:val="009F1D17"/>
    <w:rsid w:val="009F225D"/>
    <w:rsid w:val="009F2277"/>
    <w:rsid w:val="009F2292"/>
    <w:rsid w:val="009F2692"/>
    <w:rsid w:val="009F29CA"/>
    <w:rsid w:val="009F2BAD"/>
    <w:rsid w:val="009F2C44"/>
    <w:rsid w:val="009F3089"/>
    <w:rsid w:val="009F316B"/>
    <w:rsid w:val="009F329A"/>
    <w:rsid w:val="009F385D"/>
    <w:rsid w:val="009F3C8D"/>
    <w:rsid w:val="009F3F41"/>
    <w:rsid w:val="009F46DF"/>
    <w:rsid w:val="009F4D67"/>
    <w:rsid w:val="009F4DE8"/>
    <w:rsid w:val="009F4E47"/>
    <w:rsid w:val="009F508B"/>
    <w:rsid w:val="009F5233"/>
    <w:rsid w:val="009F56FA"/>
    <w:rsid w:val="009F5ACE"/>
    <w:rsid w:val="009F5DAB"/>
    <w:rsid w:val="009F5EC0"/>
    <w:rsid w:val="009F625C"/>
    <w:rsid w:val="009F6A4E"/>
    <w:rsid w:val="009F6FF2"/>
    <w:rsid w:val="009F712A"/>
    <w:rsid w:val="009F736D"/>
    <w:rsid w:val="009F7441"/>
    <w:rsid w:val="009F7D1F"/>
    <w:rsid w:val="00A001C0"/>
    <w:rsid w:val="00A002E7"/>
    <w:rsid w:val="00A0136B"/>
    <w:rsid w:val="00A01497"/>
    <w:rsid w:val="00A03B38"/>
    <w:rsid w:val="00A04475"/>
    <w:rsid w:val="00A045C0"/>
    <w:rsid w:val="00A04A36"/>
    <w:rsid w:val="00A04CAF"/>
    <w:rsid w:val="00A04F21"/>
    <w:rsid w:val="00A05116"/>
    <w:rsid w:val="00A0532A"/>
    <w:rsid w:val="00A05885"/>
    <w:rsid w:val="00A05EC8"/>
    <w:rsid w:val="00A0619A"/>
    <w:rsid w:val="00A062B5"/>
    <w:rsid w:val="00A064BF"/>
    <w:rsid w:val="00A06CAB"/>
    <w:rsid w:val="00A0703F"/>
    <w:rsid w:val="00A07E0E"/>
    <w:rsid w:val="00A1044D"/>
    <w:rsid w:val="00A106F2"/>
    <w:rsid w:val="00A10AB4"/>
    <w:rsid w:val="00A10C16"/>
    <w:rsid w:val="00A10D13"/>
    <w:rsid w:val="00A117B7"/>
    <w:rsid w:val="00A11AE7"/>
    <w:rsid w:val="00A11D60"/>
    <w:rsid w:val="00A11F5D"/>
    <w:rsid w:val="00A120BF"/>
    <w:rsid w:val="00A121ED"/>
    <w:rsid w:val="00A124F4"/>
    <w:rsid w:val="00A1262F"/>
    <w:rsid w:val="00A129E3"/>
    <w:rsid w:val="00A13592"/>
    <w:rsid w:val="00A13E10"/>
    <w:rsid w:val="00A1400F"/>
    <w:rsid w:val="00A154AA"/>
    <w:rsid w:val="00A15848"/>
    <w:rsid w:val="00A15A19"/>
    <w:rsid w:val="00A168A2"/>
    <w:rsid w:val="00A16BD0"/>
    <w:rsid w:val="00A16CE0"/>
    <w:rsid w:val="00A16FCE"/>
    <w:rsid w:val="00A173B6"/>
    <w:rsid w:val="00A1752F"/>
    <w:rsid w:val="00A17C26"/>
    <w:rsid w:val="00A2007A"/>
    <w:rsid w:val="00A20419"/>
    <w:rsid w:val="00A20649"/>
    <w:rsid w:val="00A2117A"/>
    <w:rsid w:val="00A21744"/>
    <w:rsid w:val="00A21879"/>
    <w:rsid w:val="00A21D9B"/>
    <w:rsid w:val="00A22B35"/>
    <w:rsid w:val="00A22D6C"/>
    <w:rsid w:val="00A22F1A"/>
    <w:rsid w:val="00A22FC3"/>
    <w:rsid w:val="00A232BA"/>
    <w:rsid w:val="00A235CB"/>
    <w:rsid w:val="00A238B0"/>
    <w:rsid w:val="00A238C9"/>
    <w:rsid w:val="00A23AF7"/>
    <w:rsid w:val="00A23CC8"/>
    <w:rsid w:val="00A23E64"/>
    <w:rsid w:val="00A24688"/>
    <w:rsid w:val="00A24942"/>
    <w:rsid w:val="00A24CB9"/>
    <w:rsid w:val="00A24DFB"/>
    <w:rsid w:val="00A25C32"/>
    <w:rsid w:val="00A26245"/>
    <w:rsid w:val="00A26321"/>
    <w:rsid w:val="00A267BA"/>
    <w:rsid w:val="00A268AC"/>
    <w:rsid w:val="00A2692C"/>
    <w:rsid w:val="00A269F6"/>
    <w:rsid w:val="00A27810"/>
    <w:rsid w:val="00A2784E"/>
    <w:rsid w:val="00A278B2"/>
    <w:rsid w:val="00A27919"/>
    <w:rsid w:val="00A30546"/>
    <w:rsid w:val="00A311B8"/>
    <w:rsid w:val="00A31E3F"/>
    <w:rsid w:val="00A3206C"/>
    <w:rsid w:val="00A320DF"/>
    <w:rsid w:val="00A324DC"/>
    <w:rsid w:val="00A32B2C"/>
    <w:rsid w:val="00A32D4D"/>
    <w:rsid w:val="00A32DC1"/>
    <w:rsid w:val="00A33AC3"/>
    <w:rsid w:val="00A340AD"/>
    <w:rsid w:val="00A342C8"/>
    <w:rsid w:val="00A3469E"/>
    <w:rsid w:val="00A34D00"/>
    <w:rsid w:val="00A352B1"/>
    <w:rsid w:val="00A353AA"/>
    <w:rsid w:val="00A356BE"/>
    <w:rsid w:val="00A35EF3"/>
    <w:rsid w:val="00A36383"/>
    <w:rsid w:val="00A367A6"/>
    <w:rsid w:val="00A36880"/>
    <w:rsid w:val="00A37EF4"/>
    <w:rsid w:val="00A4026C"/>
    <w:rsid w:val="00A40920"/>
    <w:rsid w:val="00A40B30"/>
    <w:rsid w:val="00A40BF9"/>
    <w:rsid w:val="00A410B1"/>
    <w:rsid w:val="00A41A33"/>
    <w:rsid w:val="00A41C05"/>
    <w:rsid w:val="00A42082"/>
    <w:rsid w:val="00A42D89"/>
    <w:rsid w:val="00A42DBE"/>
    <w:rsid w:val="00A43839"/>
    <w:rsid w:val="00A43918"/>
    <w:rsid w:val="00A44696"/>
    <w:rsid w:val="00A4525E"/>
    <w:rsid w:val="00A4548C"/>
    <w:rsid w:val="00A45CB2"/>
    <w:rsid w:val="00A45E3A"/>
    <w:rsid w:val="00A45EE0"/>
    <w:rsid w:val="00A464AC"/>
    <w:rsid w:val="00A472AA"/>
    <w:rsid w:val="00A479DB"/>
    <w:rsid w:val="00A47BEE"/>
    <w:rsid w:val="00A503EB"/>
    <w:rsid w:val="00A50609"/>
    <w:rsid w:val="00A50C86"/>
    <w:rsid w:val="00A50F44"/>
    <w:rsid w:val="00A51598"/>
    <w:rsid w:val="00A518FE"/>
    <w:rsid w:val="00A51928"/>
    <w:rsid w:val="00A51949"/>
    <w:rsid w:val="00A51F8A"/>
    <w:rsid w:val="00A522C6"/>
    <w:rsid w:val="00A52634"/>
    <w:rsid w:val="00A52AFA"/>
    <w:rsid w:val="00A52C95"/>
    <w:rsid w:val="00A534BC"/>
    <w:rsid w:val="00A537A0"/>
    <w:rsid w:val="00A53C65"/>
    <w:rsid w:val="00A53E52"/>
    <w:rsid w:val="00A53F90"/>
    <w:rsid w:val="00A54632"/>
    <w:rsid w:val="00A5469B"/>
    <w:rsid w:val="00A555CE"/>
    <w:rsid w:val="00A555D0"/>
    <w:rsid w:val="00A556A1"/>
    <w:rsid w:val="00A55ABD"/>
    <w:rsid w:val="00A55B5B"/>
    <w:rsid w:val="00A55D27"/>
    <w:rsid w:val="00A562D5"/>
    <w:rsid w:val="00A5632F"/>
    <w:rsid w:val="00A5679B"/>
    <w:rsid w:val="00A56A78"/>
    <w:rsid w:val="00A571E1"/>
    <w:rsid w:val="00A5748E"/>
    <w:rsid w:val="00A575B1"/>
    <w:rsid w:val="00A601E1"/>
    <w:rsid w:val="00A6030F"/>
    <w:rsid w:val="00A6043D"/>
    <w:rsid w:val="00A60767"/>
    <w:rsid w:val="00A608A5"/>
    <w:rsid w:val="00A6090A"/>
    <w:rsid w:val="00A60AA3"/>
    <w:rsid w:val="00A60FE8"/>
    <w:rsid w:val="00A61352"/>
    <w:rsid w:val="00A613A6"/>
    <w:rsid w:val="00A61946"/>
    <w:rsid w:val="00A62383"/>
    <w:rsid w:val="00A6288B"/>
    <w:rsid w:val="00A62A45"/>
    <w:rsid w:val="00A63093"/>
    <w:rsid w:val="00A639EA"/>
    <w:rsid w:val="00A63D45"/>
    <w:rsid w:val="00A64088"/>
    <w:rsid w:val="00A64420"/>
    <w:rsid w:val="00A64BC9"/>
    <w:rsid w:val="00A64E54"/>
    <w:rsid w:val="00A65206"/>
    <w:rsid w:val="00A65500"/>
    <w:rsid w:val="00A6580E"/>
    <w:rsid w:val="00A65BBE"/>
    <w:rsid w:val="00A65D74"/>
    <w:rsid w:val="00A6702D"/>
    <w:rsid w:val="00A677FB"/>
    <w:rsid w:val="00A67C64"/>
    <w:rsid w:val="00A70324"/>
    <w:rsid w:val="00A70633"/>
    <w:rsid w:val="00A7119D"/>
    <w:rsid w:val="00A721DE"/>
    <w:rsid w:val="00A73423"/>
    <w:rsid w:val="00A73432"/>
    <w:rsid w:val="00A735CD"/>
    <w:rsid w:val="00A73BD9"/>
    <w:rsid w:val="00A74234"/>
    <w:rsid w:val="00A74237"/>
    <w:rsid w:val="00A74E54"/>
    <w:rsid w:val="00A752F7"/>
    <w:rsid w:val="00A7558C"/>
    <w:rsid w:val="00A75B6D"/>
    <w:rsid w:val="00A75C53"/>
    <w:rsid w:val="00A76280"/>
    <w:rsid w:val="00A763C9"/>
    <w:rsid w:val="00A7691D"/>
    <w:rsid w:val="00A76DE8"/>
    <w:rsid w:val="00A774E5"/>
    <w:rsid w:val="00A77A1A"/>
    <w:rsid w:val="00A77C0A"/>
    <w:rsid w:val="00A80380"/>
    <w:rsid w:val="00A819BF"/>
    <w:rsid w:val="00A81E9F"/>
    <w:rsid w:val="00A821EA"/>
    <w:rsid w:val="00A82469"/>
    <w:rsid w:val="00A82C00"/>
    <w:rsid w:val="00A82C29"/>
    <w:rsid w:val="00A83389"/>
    <w:rsid w:val="00A83665"/>
    <w:rsid w:val="00A838F1"/>
    <w:rsid w:val="00A83A28"/>
    <w:rsid w:val="00A83BC4"/>
    <w:rsid w:val="00A840F4"/>
    <w:rsid w:val="00A841CF"/>
    <w:rsid w:val="00A84224"/>
    <w:rsid w:val="00A8517B"/>
    <w:rsid w:val="00A85845"/>
    <w:rsid w:val="00A86637"/>
    <w:rsid w:val="00A86A78"/>
    <w:rsid w:val="00A86CAD"/>
    <w:rsid w:val="00A86F22"/>
    <w:rsid w:val="00A87063"/>
    <w:rsid w:val="00A87730"/>
    <w:rsid w:val="00A87894"/>
    <w:rsid w:val="00A87F18"/>
    <w:rsid w:val="00A90039"/>
    <w:rsid w:val="00A900A7"/>
    <w:rsid w:val="00A900B4"/>
    <w:rsid w:val="00A903D5"/>
    <w:rsid w:val="00A906B0"/>
    <w:rsid w:val="00A906F7"/>
    <w:rsid w:val="00A910DD"/>
    <w:rsid w:val="00A91AEA"/>
    <w:rsid w:val="00A91B3D"/>
    <w:rsid w:val="00A928A3"/>
    <w:rsid w:val="00A92C1D"/>
    <w:rsid w:val="00A92C26"/>
    <w:rsid w:val="00A93754"/>
    <w:rsid w:val="00A937FA"/>
    <w:rsid w:val="00A93895"/>
    <w:rsid w:val="00A93F8F"/>
    <w:rsid w:val="00A940B6"/>
    <w:rsid w:val="00A94611"/>
    <w:rsid w:val="00A94612"/>
    <w:rsid w:val="00A94B56"/>
    <w:rsid w:val="00A94DF4"/>
    <w:rsid w:val="00A9527F"/>
    <w:rsid w:val="00A95EF1"/>
    <w:rsid w:val="00A965E2"/>
    <w:rsid w:val="00A96761"/>
    <w:rsid w:val="00A97077"/>
    <w:rsid w:val="00A970EC"/>
    <w:rsid w:val="00A97365"/>
    <w:rsid w:val="00A975B2"/>
    <w:rsid w:val="00A97A13"/>
    <w:rsid w:val="00AA0140"/>
    <w:rsid w:val="00AA01D5"/>
    <w:rsid w:val="00AA0895"/>
    <w:rsid w:val="00AA0C9E"/>
    <w:rsid w:val="00AA0EC3"/>
    <w:rsid w:val="00AA0FB4"/>
    <w:rsid w:val="00AA1D5B"/>
    <w:rsid w:val="00AA22A9"/>
    <w:rsid w:val="00AA2336"/>
    <w:rsid w:val="00AA2494"/>
    <w:rsid w:val="00AA24C3"/>
    <w:rsid w:val="00AA2B9A"/>
    <w:rsid w:val="00AA2F1B"/>
    <w:rsid w:val="00AA30ED"/>
    <w:rsid w:val="00AA3642"/>
    <w:rsid w:val="00AA5439"/>
    <w:rsid w:val="00AA59D9"/>
    <w:rsid w:val="00AA5D18"/>
    <w:rsid w:val="00AA6B63"/>
    <w:rsid w:val="00AA710E"/>
    <w:rsid w:val="00AA714C"/>
    <w:rsid w:val="00AA71F1"/>
    <w:rsid w:val="00AA731B"/>
    <w:rsid w:val="00AA7331"/>
    <w:rsid w:val="00AA735F"/>
    <w:rsid w:val="00AA7B87"/>
    <w:rsid w:val="00AB004B"/>
    <w:rsid w:val="00AB04C8"/>
    <w:rsid w:val="00AB0A22"/>
    <w:rsid w:val="00AB0EEA"/>
    <w:rsid w:val="00AB1509"/>
    <w:rsid w:val="00AB25C9"/>
    <w:rsid w:val="00AB3B93"/>
    <w:rsid w:val="00AB4051"/>
    <w:rsid w:val="00AB43B3"/>
    <w:rsid w:val="00AB4B04"/>
    <w:rsid w:val="00AB51A0"/>
    <w:rsid w:val="00AB526E"/>
    <w:rsid w:val="00AB53CD"/>
    <w:rsid w:val="00AB5C8D"/>
    <w:rsid w:val="00AB5E40"/>
    <w:rsid w:val="00AB5E51"/>
    <w:rsid w:val="00AB63E5"/>
    <w:rsid w:val="00AB6D7F"/>
    <w:rsid w:val="00AB6FC1"/>
    <w:rsid w:val="00AB70B5"/>
    <w:rsid w:val="00AB7B10"/>
    <w:rsid w:val="00AB7C0B"/>
    <w:rsid w:val="00AC03BD"/>
    <w:rsid w:val="00AC05BD"/>
    <w:rsid w:val="00AC05F7"/>
    <w:rsid w:val="00AC1047"/>
    <w:rsid w:val="00AC10D6"/>
    <w:rsid w:val="00AC27B3"/>
    <w:rsid w:val="00AC2FED"/>
    <w:rsid w:val="00AC4227"/>
    <w:rsid w:val="00AC42A0"/>
    <w:rsid w:val="00AC4D17"/>
    <w:rsid w:val="00AC4EBB"/>
    <w:rsid w:val="00AC4F1D"/>
    <w:rsid w:val="00AC51DA"/>
    <w:rsid w:val="00AC6230"/>
    <w:rsid w:val="00AC6F31"/>
    <w:rsid w:val="00AC714C"/>
    <w:rsid w:val="00AC71CA"/>
    <w:rsid w:val="00AC72FF"/>
    <w:rsid w:val="00AC78AE"/>
    <w:rsid w:val="00AC7AF2"/>
    <w:rsid w:val="00AC7FB3"/>
    <w:rsid w:val="00AD083D"/>
    <w:rsid w:val="00AD1073"/>
    <w:rsid w:val="00AD1FD6"/>
    <w:rsid w:val="00AD2913"/>
    <w:rsid w:val="00AD294F"/>
    <w:rsid w:val="00AD2BF2"/>
    <w:rsid w:val="00AD2EC5"/>
    <w:rsid w:val="00AD3756"/>
    <w:rsid w:val="00AD3F7B"/>
    <w:rsid w:val="00AD430F"/>
    <w:rsid w:val="00AD4408"/>
    <w:rsid w:val="00AD4BC7"/>
    <w:rsid w:val="00AD4D1F"/>
    <w:rsid w:val="00AD4F23"/>
    <w:rsid w:val="00AD517E"/>
    <w:rsid w:val="00AD568E"/>
    <w:rsid w:val="00AD582E"/>
    <w:rsid w:val="00AD598C"/>
    <w:rsid w:val="00AD5B55"/>
    <w:rsid w:val="00AD6041"/>
    <w:rsid w:val="00AD621D"/>
    <w:rsid w:val="00AD65F9"/>
    <w:rsid w:val="00AD68DA"/>
    <w:rsid w:val="00AD77BB"/>
    <w:rsid w:val="00AE00BE"/>
    <w:rsid w:val="00AE0101"/>
    <w:rsid w:val="00AE02CE"/>
    <w:rsid w:val="00AE04E6"/>
    <w:rsid w:val="00AE06F1"/>
    <w:rsid w:val="00AE1325"/>
    <w:rsid w:val="00AE17CA"/>
    <w:rsid w:val="00AE1F79"/>
    <w:rsid w:val="00AE2704"/>
    <w:rsid w:val="00AE2C6D"/>
    <w:rsid w:val="00AE309D"/>
    <w:rsid w:val="00AE3212"/>
    <w:rsid w:val="00AE325F"/>
    <w:rsid w:val="00AE3329"/>
    <w:rsid w:val="00AE3470"/>
    <w:rsid w:val="00AE3652"/>
    <w:rsid w:val="00AE37D6"/>
    <w:rsid w:val="00AE38B1"/>
    <w:rsid w:val="00AE3B78"/>
    <w:rsid w:val="00AE3F40"/>
    <w:rsid w:val="00AE438F"/>
    <w:rsid w:val="00AE4775"/>
    <w:rsid w:val="00AE4FB5"/>
    <w:rsid w:val="00AE54D7"/>
    <w:rsid w:val="00AE5541"/>
    <w:rsid w:val="00AE5728"/>
    <w:rsid w:val="00AE5F69"/>
    <w:rsid w:val="00AE5FD4"/>
    <w:rsid w:val="00AE68D1"/>
    <w:rsid w:val="00AE7D45"/>
    <w:rsid w:val="00AE7F9C"/>
    <w:rsid w:val="00AF0381"/>
    <w:rsid w:val="00AF0783"/>
    <w:rsid w:val="00AF0866"/>
    <w:rsid w:val="00AF0870"/>
    <w:rsid w:val="00AF0CEE"/>
    <w:rsid w:val="00AF1434"/>
    <w:rsid w:val="00AF18B6"/>
    <w:rsid w:val="00AF2322"/>
    <w:rsid w:val="00AF2619"/>
    <w:rsid w:val="00AF2C48"/>
    <w:rsid w:val="00AF4CCD"/>
    <w:rsid w:val="00AF5955"/>
    <w:rsid w:val="00AF65FF"/>
    <w:rsid w:val="00AF668F"/>
    <w:rsid w:val="00AF6A35"/>
    <w:rsid w:val="00AF6C8C"/>
    <w:rsid w:val="00AF6FB9"/>
    <w:rsid w:val="00AF70F4"/>
    <w:rsid w:val="00AF791B"/>
    <w:rsid w:val="00AF7B0C"/>
    <w:rsid w:val="00AF7E54"/>
    <w:rsid w:val="00B0065E"/>
    <w:rsid w:val="00B00AB8"/>
    <w:rsid w:val="00B014FD"/>
    <w:rsid w:val="00B02478"/>
    <w:rsid w:val="00B02A94"/>
    <w:rsid w:val="00B02F2D"/>
    <w:rsid w:val="00B02FDC"/>
    <w:rsid w:val="00B031AB"/>
    <w:rsid w:val="00B034A9"/>
    <w:rsid w:val="00B041F3"/>
    <w:rsid w:val="00B045B8"/>
    <w:rsid w:val="00B05126"/>
    <w:rsid w:val="00B051A6"/>
    <w:rsid w:val="00B0548A"/>
    <w:rsid w:val="00B064EB"/>
    <w:rsid w:val="00B069F6"/>
    <w:rsid w:val="00B070CD"/>
    <w:rsid w:val="00B075AF"/>
    <w:rsid w:val="00B07C30"/>
    <w:rsid w:val="00B07DC5"/>
    <w:rsid w:val="00B07E74"/>
    <w:rsid w:val="00B110E8"/>
    <w:rsid w:val="00B112DC"/>
    <w:rsid w:val="00B11CD1"/>
    <w:rsid w:val="00B12250"/>
    <w:rsid w:val="00B12A3D"/>
    <w:rsid w:val="00B12C01"/>
    <w:rsid w:val="00B12CBE"/>
    <w:rsid w:val="00B12DDF"/>
    <w:rsid w:val="00B133E4"/>
    <w:rsid w:val="00B139C2"/>
    <w:rsid w:val="00B139D9"/>
    <w:rsid w:val="00B13B68"/>
    <w:rsid w:val="00B144DE"/>
    <w:rsid w:val="00B146BE"/>
    <w:rsid w:val="00B1475E"/>
    <w:rsid w:val="00B148F8"/>
    <w:rsid w:val="00B1495B"/>
    <w:rsid w:val="00B14D22"/>
    <w:rsid w:val="00B14F6A"/>
    <w:rsid w:val="00B14F7C"/>
    <w:rsid w:val="00B1513D"/>
    <w:rsid w:val="00B15595"/>
    <w:rsid w:val="00B15853"/>
    <w:rsid w:val="00B16026"/>
    <w:rsid w:val="00B161ED"/>
    <w:rsid w:val="00B16B3F"/>
    <w:rsid w:val="00B175AF"/>
    <w:rsid w:val="00B175CB"/>
    <w:rsid w:val="00B17AC5"/>
    <w:rsid w:val="00B201C4"/>
    <w:rsid w:val="00B203D3"/>
    <w:rsid w:val="00B204FA"/>
    <w:rsid w:val="00B2066B"/>
    <w:rsid w:val="00B206DC"/>
    <w:rsid w:val="00B20966"/>
    <w:rsid w:val="00B20A63"/>
    <w:rsid w:val="00B20D87"/>
    <w:rsid w:val="00B21181"/>
    <w:rsid w:val="00B21772"/>
    <w:rsid w:val="00B21930"/>
    <w:rsid w:val="00B21AD3"/>
    <w:rsid w:val="00B21FA9"/>
    <w:rsid w:val="00B22852"/>
    <w:rsid w:val="00B22AC8"/>
    <w:rsid w:val="00B22BDE"/>
    <w:rsid w:val="00B236B7"/>
    <w:rsid w:val="00B23D83"/>
    <w:rsid w:val="00B23E7E"/>
    <w:rsid w:val="00B23FF1"/>
    <w:rsid w:val="00B2424A"/>
    <w:rsid w:val="00B2465E"/>
    <w:rsid w:val="00B25681"/>
    <w:rsid w:val="00B2569B"/>
    <w:rsid w:val="00B2570F"/>
    <w:rsid w:val="00B257FC"/>
    <w:rsid w:val="00B25C1F"/>
    <w:rsid w:val="00B25E49"/>
    <w:rsid w:val="00B2681F"/>
    <w:rsid w:val="00B26C0C"/>
    <w:rsid w:val="00B3073F"/>
    <w:rsid w:val="00B30AFC"/>
    <w:rsid w:val="00B30DAD"/>
    <w:rsid w:val="00B3100C"/>
    <w:rsid w:val="00B310D9"/>
    <w:rsid w:val="00B3184F"/>
    <w:rsid w:val="00B318BE"/>
    <w:rsid w:val="00B31C9C"/>
    <w:rsid w:val="00B32059"/>
    <w:rsid w:val="00B3254C"/>
    <w:rsid w:val="00B325C4"/>
    <w:rsid w:val="00B326FB"/>
    <w:rsid w:val="00B329B4"/>
    <w:rsid w:val="00B329D8"/>
    <w:rsid w:val="00B32B0C"/>
    <w:rsid w:val="00B3310F"/>
    <w:rsid w:val="00B334E2"/>
    <w:rsid w:val="00B3364C"/>
    <w:rsid w:val="00B3384E"/>
    <w:rsid w:val="00B3392B"/>
    <w:rsid w:val="00B33995"/>
    <w:rsid w:val="00B3425B"/>
    <w:rsid w:val="00B342BB"/>
    <w:rsid w:val="00B34A79"/>
    <w:rsid w:val="00B34AC7"/>
    <w:rsid w:val="00B34B2D"/>
    <w:rsid w:val="00B34ED0"/>
    <w:rsid w:val="00B354EC"/>
    <w:rsid w:val="00B35C21"/>
    <w:rsid w:val="00B35D8A"/>
    <w:rsid w:val="00B36205"/>
    <w:rsid w:val="00B3690C"/>
    <w:rsid w:val="00B37E2D"/>
    <w:rsid w:val="00B40061"/>
    <w:rsid w:val="00B406EB"/>
    <w:rsid w:val="00B40C6E"/>
    <w:rsid w:val="00B411BD"/>
    <w:rsid w:val="00B41A2B"/>
    <w:rsid w:val="00B41FF2"/>
    <w:rsid w:val="00B421BD"/>
    <w:rsid w:val="00B423BD"/>
    <w:rsid w:val="00B424E5"/>
    <w:rsid w:val="00B42590"/>
    <w:rsid w:val="00B425D8"/>
    <w:rsid w:val="00B428A3"/>
    <w:rsid w:val="00B42D60"/>
    <w:rsid w:val="00B44396"/>
    <w:rsid w:val="00B4479F"/>
    <w:rsid w:val="00B447F3"/>
    <w:rsid w:val="00B44991"/>
    <w:rsid w:val="00B45866"/>
    <w:rsid w:val="00B45CD3"/>
    <w:rsid w:val="00B45CEA"/>
    <w:rsid w:val="00B45E50"/>
    <w:rsid w:val="00B46661"/>
    <w:rsid w:val="00B4670C"/>
    <w:rsid w:val="00B4754D"/>
    <w:rsid w:val="00B478F3"/>
    <w:rsid w:val="00B47D80"/>
    <w:rsid w:val="00B50DE4"/>
    <w:rsid w:val="00B51010"/>
    <w:rsid w:val="00B51024"/>
    <w:rsid w:val="00B5119A"/>
    <w:rsid w:val="00B51671"/>
    <w:rsid w:val="00B51A8A"/>
    <w:rsid w:val="00B51B69"/>
    <w:rsid w:val="00B51D99"/>
    <w:rsid w:val="00B51E99"/>
    <w:rsid w:val="00B51F12"/>
    <w:rsid w:val="00B52323"/>
    <w:rsid w:val="00B52434"/>
    <w:rsid w:val="00B527C9"/>
    <w:rsid w:val="00B5284A"/>
    <w:rsid w:val="00B52922"/>
    <w:rsid w:val="00B52BE7"/>
    <w:rsid w:val="00B52D9C"/>
    <w:rsid w:val="00B53003"/>
    <w:rsid w:val="00B535BD"/>
    <w:rsid w:val="00B53723"/>
    <w:rsid w:val="00B543E6"/>
    <w:rsid w:val="00B54637"/>
    <w:rsid w:val="00B54645"/>
    <w:rsid w:val="00B54C95"/>
    <w:rsid w:val="00B55444"/>
    <w:rsid w:val="00B556B3"/>
    <w:rsid w:val="00B55EC6"/>
    <w:rsid w:val="00B55F06"/>
    <w:rsid w:val="00B56A9A"/>
    <w:rsid w:val="00B57404"/>
    <w:rsid w:val="00B5760B"/>
    <w:rsid w:val="00B57BFB"/>
    <w:rsid w:val="00B57E34"/>
    <w:rsid w:val="00B6022B"/>
    <w:rsid w:val="00B602DF"/>
    <w:rsid w:val="00B6036E"/>
    <w:rsid w:val="00B6058B"/>
    <w:rsid w:val="00B6107F"/>
    <w:rsid w:val="00B61432"/>
    <w:rsid w:val="00B617B9"/>
    <w:rsid w:val="00B6189B"/>
    <w:rsid w:val="00B626B9"/>
    <w:rsid w:val="00B62C31"/>
    <w:rsid w:val="00B62ED2"/>
    <w:rsid w:val="00B62F8F"/>
    <w:rsid w:val="00B63813"/>
    <w:rsid w:val="00B63ECC"/>
    <w:rsid w:val="00B6415D"/>
    <w:rsid w:val="00B6418A"/>
    <w:rsid w:val="00B64BAE"/>
    <w:rsid w:val="00B6543B"/>
    <w:rsid w:val="00B6595C"/>
    <w:rsid w:val="00B666D7"/>
    <w:rsid w:val="00B66730"/>
    <w:rsid w:val="00B66A85"/>
    <w:rsid w:val="00B66C2F"/>
    <w:rsid w:val="00B66F89"/>
    <w:rsid w:val="00B672F6"/>
    <w:rsid w:val="00B67951"/>
    <w:rsid w:val="00B67E55"/>
    <w:rsid w:val="00B70329"/>
    <w:rsid w:val="00B710E8"/>
    <w:rsid w:val="00B712AA"/>
    <w:rsid w:val="00B712C0"/>
    <w:rsid w:val="00B7140B"/>
    <w:rsid w:val="00B71AAA"/>
    <w:rsid w:val="00B71ED2"/>
    <w:rsid w:val="00B7332C"/>
    <w:rsid w:val="00B742E3"/>
    <w:rsid w:val="00B74304"/>
    <w:rsid w:val="00B74923"/>
    <w:rsid w:val="00B74DB7"/>
    <w:rsid w:val="00B75040"/>
    <w:rsid w:val="00B75077"/>
    <w:rsid w:val="00B75873"/>
    <w:rsid w:val="00B75AEC"/>
    <w:rsid w:val="00B75E2C"/>
    <w:rsid w:val="00B75F01"/>
    <w:rsid w:val="00B75FD1"/>
    <w:rsid w:val="00B7644B"/>
    <w:rsid w:val="00B7693E"/>
    <w:rsid w:val="00B76D4A"/>
    <w:rsid w:val="00B771E5"/>
    <w:rsid w:val="00B77A9D"/>
    <w:rsid w:val="00B77CE7"/>
    <w:rsid w:val="00B77D09"/>
    <w:rsid w:val="00B77D4A"/>
    <w:rsid w:val="00B80325"/>
    <w:rsid w:val="00B80A08"/>
    <w:rsid w:val="00B80F41"/>
    <w:rsid w:val="00B81CCB"/>
    <w:rsid w:val="00B81EDE"/>
    <w:rsid w:val="00B82132"/>
    <w:rsid w:val="00B825A7"/>
    <w:rsid w:val="00B8302B"/>
    <w:rsid w:val="00B84387"/>
    <w:rsid w:val="00B84558"/>
    <w:rsid w:val="00B84F1E"/>
    <w:rsid w:val="00B850D9"/>
    <w:rsid w:val="00B85164"/>
    <w:rsid w:val="00B851A1"/>
    <w:rsid w:val="00B8541A"/>
    <w:rsid w:val="00B854C7"/>
    <w:rsid w:val="00B8550B"/>
    <w:rsid w:val="00B864BC"/>
    <w:rsid w:val="00B86AF7"/>
    <w:rsid w:val="00B86B2A"/>
    <w:rsid w:val="00B872E1"/>
    <w:rsid w:val="00B8741E"/>
    <w:rsid w:val="00B87575"/>
    <w:rsid w:val="00B877AD"/>
    <w:rsid w:val="00B8795A"/>
    <w:rsid w:val="00B87C15"/>
    <w:rsid w:val="00B902B4"/>
    <w:rsid w:val="00B906BF"/>
    <w:rsid w:val="00B90CA4"/>
    <w:rsid w:val="00B919B1"/>
    <w:rsid w:val="00B91A60"/>
    <w:rsid w:val="00B91AED"/>
    <w:rsid w:val="00B923A6"/>
    <w:rsid w:val="00B92888"/>
    <w:rsid w:val="00B92964"/>
    <w:rsid w:val="00B93850"/>
    <w:rsid w:val="00B93870"/>
    <w:rsid w:val="00B939A4"/>
    <w:rsid w:val="00B93CDA"/>
    <w:rsid w:val="00B9590A"/>
    <w:rsid w:val="00B95C58"/>
    <w:rsid w:val="00B95C6D"/>
    <w:rsid w:val="00B95DD9"/>
    <w:rsid w:val="00B960A6"/>
    <w:rsid w:val="00B96A23"/>
    <w:rsid w:val="00B96FFF"/>
    <w:rsid w:val="00BA00C9"/>
    <w:rsid w:val="00BA02AD"/>
    <w:rsid w:val="00BA0476"/>
    <w:rsid w:val="00BA16A4"/>
    <w:rsid w:val="00BA191C"/>
    <w:rsid w:val="00BA2181"/>
    <w:rsid w:val="00BA2B7E"/>
    <w:rsid w:val="00BA30FD"/>
    <w:rsid w:val="00BA31A8"/>
    <w:rsid w:val="00BA359C"/>
    <w:rsid w:val="00BA36AD"/>
    <w:rsid w:val="00BA37F7"/>
    <w:rsid w:val="00BA3ACC"/>
    <w:rsid w:val="00BA3E15"/>
    <w:rsid w:val="00BA4343"/>
    <w:rsid w:val="00BA4A22"/>
    <w:rsid w:val="00BA4DEF"/>
    <w:rsid w:val="00BA4EA2"/>
    <w:rsid w:val="00BA5498"/>
    <w:rsid w:val="00BA60A8"/>
    <w:rsid w:val="00BA620C"/>
    <w:rsid w:val="00BA6DC4"/>
    <w:rsid w:val="00BA7060"/>
    <w:rsid w:val="00BA7246"/>
    <w:rsid w:val="00BA7325"/>
    <w:rsid w:val="00BA790E"/>
    <w:rsid w:val="00BA7CB6"/>
    <w:rsid w:val="00BA7D4E"/>
    <w:rsid w:val="00BB0024"/>
    <w:rsid w:val="00BB0935"/>
    <w:rsid w:val="00BB0954"/>
    <w:rsid w:val="00BB0AFD"/>
    <w:rsid w:val="00BB0DCD"/>
    <w:rsid w:val="00BB1234"/>
    <w:rsid w:val="00BB136E"/>
    <w:rsid w:val="00BB1EBD"/>
    <w:rsid w:val="00BB1F83"/>
    <w:rsid w:val="00BB207D"/>
    <w:rsid w:val="00BB2E27"/>
    <w:rsid w:val="00BB2EC6"/>
    <w:rsid w:val="00BB33A8"/>
    <w:rsid w:val="00BB3637"/>
    <w:rsid w:val="00BB3DF4"/>
    <w:rsid w:val="00BB4EA0"/>
    <w:rsid w:val="00BB52EC"/>
    <w:rsid w:val="00BB562B"/>
    <w:rsid w:val="00BB5F6E"/>
    <w:rsid w:val="00BB6013"/>
    <w:rsid w:val="00BB68E5"/>
    <w:rsid w:val="00BB68FD"/>
    <w:rsid w:val="00BB6AD7"/>
    <w:rsid w:val="00BB6E6D"/>
    <w:rsid w:val="00BB6E70"/>
    <w:rsid w:val="00BB7417"/>
    <w:rsid w:val="00BB7548"/>
    <w:rsid w:val="00BB7AB4"/>
    <w:rsid w:val="00BC0285"/>
    <w:rsid w:val="00BC05AF"/>
    <w:rsid w:val="00BC0896"/>
    <w:rsid w:val="00BC0E1F"/>
    <w:rsid w:val="00BC11ED"/>
    <w:rsid w:val="00BC1A6F"/>
    <w:rsid w:val="00BC2531"/>
    <w:rsid w:val="00BC2864"/>
    <w:rsid w:val="00BC2DBA"/>
    <w:rsid w:val="00BC334B"/>
    <w:rsid w:val="00BC354E"/>
    <w:rsid w:val="00BC3B24"/>
    <w:rsid w:val="00BC3E62"/>
    <w:rsid w:val="00BC42E9"/>
    <w:rsid w:val="00BC4E72"/>
    <w:rsid w:val="00BC5596"/>
    <w:rsid w:val="00BC6232"/>
    <w:rsid w:val="00BC64BB"/>
    <w:rsid w:val="00BC6658"/>
    <w:rsid w:val="00BC7B62"/>
    <w:rsid w:val="00BD01EA"/>
    <w:rsid w:val="00BD0343"/>
    <w:rsid w:val="00BD0849"/>
    <w:rsid w:val="00BD0C9D"/>
    <w:rsid w:val="00BD0DE1"/>
    <w:rsid w:val="00BD0FEE"/>
    <w:rsid w:val="00BD10A7"/>
    <w:rsid w:val="00BD14AB"/>
    <w:rsid w:val="00BD175F"/>
    <w:rsid w:val="00BD1DE4"/>
    <w:rsid w:val="00BD24B3"/>
    <w:rsid w:val="00BD2630"/>
    <w:rsid w:val="00BD33F2"/>
    <w:rsid w:val="00BD38B9"/>
    <w:rsid w:val="00BD3DF2"/>
    <w:rsid w:val="00BD4282"/>
    <w:rsid w:val="00BD48B8"/>
    <w:rsid w:val="00BD534B"/>
    <w:rsid w:val="00BD55C4"/>
    <w:rsid w:val="00BD59C2"/>
    <w:rsid w:val="00BD615E"/>
    <w:rsid w:val="00BD6402"/>
    <w:rsid w:val="00BD675A"/>
    <w:rsid w:val="00BD6986"/>
    <w:rsid w:val="00BD6DA7"/>
    <w:rsid w:val="00BE05DF"/>
    <w:rsid w:val="00BE0844"/>
    <w:rsid w:val="00BE0B84"/>
    <w:rsid w:val="00BE0F3B"/>
    <w:rsid w:val="00BE10C9"/>
    <w:rsid w:val="00BE141E"/>
    <w:rsid w:val="00BE1996"/>
    <w:rsid w:val="00BE1D1A"/>
    <w:rsid w:val="00BE2405"/>
    <w:rsid w:val="00BE2420"/>
    <w:rsid w:val="00BE291A"/>
    <w:rsid w:val="00BE2A60"/>
    <w:rsid w:val="00BE2DF1"/>
    <w:rsid w:val="00BE2E8A"/>
    <w:rsid w:val="00BE3326"/>
    <w:rsid w:val="00BE35D3"/>
    <w:rsid w:val="00BE36F0"/>
    <w:rsid w:val="00BE39F6"/>
    <w:rsid w:val="00BE41FC"/>
    <w:rsid w:val="00BE47E6"/>
    <w:rsid w:val="00BE5103"/>
    <w:rsid w:val="00BE5139"/>
    <w:rsid w:val="00BE5507"/>
    <w:rsid w:val="00BE58A0"/>
    <w:rsid w:val="00BE67F5"/>
    <w:rsid w:val="00BE6A22"/>
    <w:rsid w:val="00BE6EE3"/>
    <w:rsid w:val="00BE7077"/>
    <w:rsid w:val="00BE712B"/>
    <w:rsid w:val="00BE7663"/>
    <w:rsid w:val="00BE7F21"/>
    <w:rsid w:val="00BE7FA5"/>
    <w:rsid w:val="00BF0258"/>
    <w:rsid w:val="00BF0A92"/>
    <w:rsid w:val="00BF0D3E"/>
    <w:rsid w:val="00BF0E6B"/>
    <w:rsid w:val="00BF15DA"/>
    <w:rsid w:val="00BF1690"/>
    <w:rsid w:val="00BF1746"/>
    <w:rsid w:val="00BF1991"/>
    <w:rsid w:val="00BF1FB3"/>
    <w:rsid w:val="00BF28F5"/>
    <w:rsid w:val="00BF2D21"/>
    <w:rsid w:val="00BF2DB3"/>
    <w:rsid w:val="00BF370C"/>
    <w:rsid w:val="00BF3AB5"/>
    <w:rsid w:val="00BF3D88"/>
    <w:rsid w:val="00BF3D8E"/>
    <w:rsid w:val="00BF3EF3"/>
    <w:rsid w:val="00BF406B"/>
    <w:rsid w:val="00BF409F"/>
    <w:rsid w:val="00BF4184"/>
    <w:rsid w:val="00BF4463"/>
    <w:rsid w:val="00BF4482"/>
    <w:rsid w:val="00BF4C57"/>
    <w:rsid w:val="00BF4F1F"/>
    <w:rsid w:val="00BF581A"/>
    <w:rsid w:val="00BF5939"/>
    <w:rsid w:val="00BF5B36"/>
    <w:rsid w:val="00BF5E88"/>
    <w:rsid w:val="00BF65BE"/>
    <w:rsid w:val="00BF6706"/>
    <w:rsid w:val="00BF67D5"/>
    <w:rsid w:val="00BF6EDA"/>
    <w:rsid w:val="00BF6F84"/>
    <w:rsid w:val="00BF7068"/>
    <w:rsid w:val="00BF7773"/>
    <w:rsid w:val="00BF7921"/>
    <w:rsid w:val="00C0071F"/>
    <w:rsid w:val="00C00AA9"/>
    <w:rsid w:val="00C00C1B"/>
    <w:rsid w:val="00C00F1D"/>
    <w:rsid w:val="00C011DA"/>
    <w:rsid w:val="00C01251"/>
    <w:rsid w:val="00C017CC"/>
    <w:rsid w:val="00C018AF"/>
    <w:rsid w:val="00C025B7"/>
    <w:rsid w:val="00C028D7"/>
    <w:rsid w:val="00C03A61"/>
    <w:rsid w:val="00C0470A"/>
    <w:rsid w:val="00C0485D"/>
    <w:rsid w:val="00C04B72"/>
    <w:rsid w:val="00C04EDF"/>
    <w:rsid w:val="00C050BA"/>
    <w:rsid w:val="00C05243"/>
    <w:rsid w:val="00C0545E"/>
    <w:rsid w:val="00C0571B"/>
    <w:rsid w:val="00C060D7"/>
    <w:rsid w:val="00C0612C"/>
    <w:rsid w:val="00C06543"/>
    <w:rsid w:val="00C06609"/>
    <w:rsid w:val="00C06A91"/>
    <w:rsid w:val="00C06CA3"/>
    <w:rsid w:val="00C06CF9"/>
    <w:rsid w:val="00C06E20"/>
    <w:rsid w:val="00C077B6"/>
    <w:rsid w:val="00C07CEC"/>
    <w:rsid w:val="00C07DAE"/>
    <w:rsid w:val="00C10140"/>
    <w:rsid w:val="00C10740"/>
    <w:rsid w:val="00C109BF"/>
    <w:rsid w:val="00C10AA6"/>
    <w:rsid w:val="00C10D9C"/>
    <w:rsid w:val="00C118B9"/>
    <w:rsid w:val="00C11F13"/>
    <w:rsid w:val="00C12321"/>
    <w:rsid w:val="00C1277B"/>
    <w:rsid w:val="00C12AC7"/>
    <w:rsid w:val="00C137BC"/>
    <w:rsid w:val="00C13B5E"/>
    <w:rsid w:val="00C146D0"/>
    <w:rsid w:val="00C153E3"/>
    <w:rsid w:val="00C15BA1"/>
    <w:rsid w:val="00C15BC0"/>
    <w:rsid w:val="00C15D13"/>
    <w:rsid w:val="00C160D4"/>
    <w:rsid w:val="00C1612C"/>
    <w:rsid w:val="00C161D5"/>
    <w:rsid w:val="00C167CD"/>
    <w:rsid w:val="00C16A94"/>
    <w:rsid w:val="00C16DEB"/>
    <w:rsid w:val="00C16F86"/>
    <w:rsid w:val="00C17338"/>
    <w:rsid w:val="00C17F3D"/>
    <w:rsid w:val="00C20304"/>
    <w:rsid w:val="00C21110"/>
    <w:rsid w:val="00C21187"/>
    <w:rsid w:val="00C21DE7"/>
    <w:rsid w:val="00C22112"/>
    <w:rsid w:val="00C22384"/>
    <w:rsid w:val="00C22475"/>
    <w:rsid w:val="00C22585"/>
    <w:rsid w:val="00C22A54"/>
    <w:rsid w:val="00C24255"/>
    <w:rsid w:val="00C249C4"/>
    <w:rsid w:val="00C24D24"/>
    <w:rsid w:val="00C25537"/>
    <w:rsid w:val="00C2556F"/>
    <w:rsid w:val="00C258C1"/>
    <w:rsid w:val="00C26654"/>
    <w:rsid w:val="00C26D14"/>
    <w:rsid w:val="00C2726B"/>
    <w:rsid w:val="00C27500"/>
    <w:rsid w:val="00C27849"/>
    <w:rsid w:val="00C27917"/>
    <w:rsid w:val="00C27B49"/>
    <w:rsid w:val="00C27EB0"/>
    <w:rsid w:val="00C306EE"/>
    <w:rsid w:val="00C30D68"/>
    <w:rsid w:val="00C312C8"/>
    <w:rsid w:val="00C318F3"/>
    <w:rsid w:val="00C3196B"/>
    <w:rsid w:val="00C31BA7"/>
    <w:rsid w:val="00C3217B"/>
    <w:rsid w:val="00C324B6"/>
    <w:rsid w:val="00C32921"/>
    <w:rsid w:val="00C32DEA"/>
    <w:rsid w:val="00C33129"/>
    <w:rsid w:val="00C33C9C"/>
    <w:rsid w:val="00C342F1"/>
    <w:rsid w:val="00C345BA"/>
    <w:rsid w:val="00C34A58"/>
    <w:rsid w:val="00C34F7B"/>
    <w:rsid w:val="00C35D74"/>
    <w:rsid w:val="00C3660A"/>
    <w:rsid w:val="00C3689D"/>
    <w:rsid w:val="00C36A47"/>
    <w:rsid w:val="00C36C6B"/>
    <w:rsid w:val="00C36D9C"/>
    <w:rsid w:val="00C37710"/>
    <w:rsid w:val="00C40187"/>
    <w:rsid w:val="00C40BB1"/>
    <w:rsid w:val="00C40DE3"/>
    <w:rsid w:val="00C41692"/>
    <w:rsid w:val="00C41CBD"/>
    <w:rsid w:val="00C41EE0"/>
    <w:rsid w:val="00C4293F"/>
    <w:rsid w:val="00C42E43"/>
    <w:rsid w:val="00C44195"/>
    <w:rsid w:val="00C4474A"/>
    <w:rsid w:val="00C44953"/>
    <w:rsid w:val="00C453FB"/>
    <w:rsid w:val="00C45557"/>
    <w:rsid w:val="00C461BE"/>
    <w:rsid w:val="00C4753D"/>
    <w:rsid w:val="00C47BAC"/>
    <w:rsid w:val="00C47DDB"/>
    <w:rsid w:val="00C51A7E"/>
    <w:rsid w:val="00C52141"/>
    <w:rsid w:val="00C521FF"/>
    <w:rsid w:val="00C52924"/>
    <w:rsid w:val="00C52977"/>
    <w:rsid w:val="00C52F8D"/>
    <w:rsid w:val="00C53AAE"/>
    <w:rsid w:val="00C53BCD"/>
    <w:rsid w:val="00C53D62"/>
    <w:rsid w:val="00C53FB9"/>
    <w:rsid w:val="00C5475E"/>
    <w:rsid w:val="00C54CAC"/>
    <w:rsid w:val="00C55269"/>
    <w:rsid w:val="00C55E84"/>
    <w:rsid w:val="00C55EC5"/>
    <w:rsid w:val="00C55F0C"/>
    <w:rsid w:val="00C56152"/>
    <w:rsid w:val="00C561D0"/>
    <w:rsid w:val="00C56D7D"/>
    <w:rsid w:val="00C56E8B"/>
    <w:rsid w:val="00C56EAF"/>
    <w:rsid w:val="00C57598"/>
    <w:rsid w:val="00C579F6"/>
    <w:rsid w:val="00C601D0"/>
    <w:rsid w:val="00C607F8"/>
    <w:rsid w:val="00C62141"/>
    <w:rsid w:val="00C6219C"/>
    <w:rsid w:val="00C623C5"/>
    <w:rsid w:val="00C62A23"/>
    <w:rsid w:val="00C62B2B"/>
    <w:rsid w:val="00C63170"/>
    <w:rsid w:val="00C63A60"/>
    <w:rsid w:val="00C63AF8"/>
    <w:rsid w:val="00C6487D"/>
    <w:rsid w:val="00C64CC1"/>
    <w:rsid w:val="00C65960"/>
    <w:rsid w:val="00C65A26"/>
    <w:rsid w:val="00C66086"/>
    <w:rsid w:val="00C6622B"/>
    <w:rsid w:val="00C6649C"/>
    <w:rsid w:val="00C66B1E"/>
    <w:rsid w:val="00C6749A"/>
    <w:rsid w:val="00C675A5"/>
    <w:rsid w:val="00C6773C"/>
    <w:rsid w:val="00C67B17"/>
    <w:rsid w:val="00C67BBF"/>
    <w:rsid w:val="00C67D03"/>
    <w:rsid w:val="00C702DE"/>
    <w:rsid w:val="00C70E34"/>
    <w:rsid w:val="00C7145B"/>
    <w:rsid w:val="00C71619"/>
    <w:rsid w:val="00C71935"/>
    <w:rsid w:val="00C71A47"/>
    <w:rsid w:val="00C72061"/>
    <w:rsid w:val="00C7209C"/>
    <w:rsid w:val="00C72391"/>
    <w:rsid w:val="00C72530"/>
    <w:rsid w:val="00C731BA"/>
    <w:rsid w:val="00C733F8"/>
    <w:rsid w:val="00C73B92"/>
    <w:rsid w:val="00C7416B"/>
    <w:rsid w:val="00C742F0"/>
    <w:rsid w:val="00C74A4F"/>
    <w:rsid w:val="00C75ABC"/>
    <w:rsid w:val="00C75C9A"/>
    <w:rsid w:val="00C75D39"/>
    <w:rsid w:val="00C75F8C"/>
    <w:rsid w:val="00C7614C"/>
    <w:rsid w:val="00C761E2"/>
    <w:rsid w:val="00C77B23"/>
    <w:rsid w:val="00C77E36"/>
    <w:rsid w:val="00C80700"/>
    <w:rsid w:val="00C80AF3"/>
    <w:rsid w:val="00C81041"/>
    <w:rsid w:val="00C81517"/>
    <w:rsid w:val="00C82097"/>
    <w:rsid w:val="00C82253"/>
    <w:rsid w:val="00C82762"/>
    <w:rsid w:val="00C82B18"/>
    <w:rsid w:val="00C82BD2"/>
    <w:rsid w:val="00C83285"/>
    <w:rsid w:val="00C839D0"/>
    <w:rsid w:val="00C848A5"/>
    <w:rsid w:val="00C84BC0"/>
    <w:rsid w:val="00C8590B"/>
    <w:rsid w:val="00C85A90"/>
    <w:rsid w:val="00C85CD2"/>
    <w:rsid w:val="00C85CE1"/>
    <w:rsid w:val="00C8682D"/>
    <w:rsid w:val="00C86B74"/>
    <w:rsid w:val="00C875C2"/>
    <w:rsid w:val="00C8784C"/>
    <w:rsid w:val="00C87895"/>
    <w:rsid w:val="00C87921"/>
    <w:rsid w:val="00C87930"/>
    <w:rsid w:val="00C87D2B"/>
    <w:rsid w:val="00C902B8"/>
    <w:rsid w:val="00C90AB4"/>
    <w:rsid w:val="00C90CAF"/>
    <w:rsid w:val="00C90F91"/>
    <w:rsid w:val="00C91E60"/>
    <w:rsid w:val="00C92188"/>
    <w:rsid w:val="00C9275F"/>
    <w:rsid w:val="00C92E86"/>
    <w:rsid w:val="00C93398"/>
    <w:rsid w:val="00C9351C"/>
    <w:rsid w:val="00C9389A"/>
    <w:rsid w:val="00C93B25"/>
    <w:rsid w:val="00C94004"/>
    <w:rsid w:val="00C94033"/>
    <w:rsid w:val="00C94AB7"/>
    <w:rsid w:val="00C94AB9"/>
    <w:rsid w:val="00C94E76"/>
    <w:rsid w:val="00C955DC"/>
    <w:rsid w:val="00C95C41"/>
    <w:rsid w:val="00C9652C"/>
    <w:rsid w:val="00C96DCE"/>
    <w:rsid w:val="00C96F64"/>
    <w:rsid w:val="00C970D8"/>
    <w:rsid w:val="00C970DC"/>
    <w:rsid w:val="00C9747E"/>
    <w:rsid w:val="00C9780A"/>
    <w:rsid w:val="00C978BE"/>
    <w:rsid w:val="00C97A7C"/>
    <w:rsid w:val="00C97AD7"/>
    <w:rsid w:val="00C97B0D"/>
    <w:rsid w:val="00C97F8D"/>
    <w:rsid w:val="00C97FC6"/>
    <w:rsid w:val="00CA028F"/>
    <w:rsid w:val="00CA029B"/>
    <w:rsid w:val="00CA0F4E"/>
    <w:rsid w:val="00CA114D"/>
    <w:rsid w:val="00CA2B70"/>
    <w:rsid w:val="00CA3333"/>
    <w:rsid w:val="00CA33B6"/>
    <w:rsid w:val="00CA34FF"/>
    <w:rsid w:val="00CA35AC"/>
    <w:rsid w:val="00CA3BE4"/>
    <w:rsid w:val="00CA41BB"/>
    <w:rsid w:val="00CA54AD"/>
    <w:rsid w:val="00CA552E"/>
    <w:rsid w:val="00CA5954"/>
    <w:rsid w:val="00CA5B64"/>
    <w:rsid w:val="00CA6627"/>
    <w:rsid w:val="00CA6BCA"/>
    <w:rsid w:val="00CA7073"/>
    <w:rsid w:val="00CA72C7"/>
    <w:rsid w:val="00CA77FE"/>
    <w:rsid w:val="00CA7F06"/>
    <w:rsid w:val="00CB018A"/>
    <w:rsid w:val="00CB0233"/>
    <w:rsid w:val="00CB028C"/>
    <w:rsid w:val="00CB0B6B"/>
    <w:rsid w:val="00CB0D02"/>
    <w:rsid w:val="00CB1555"/>
    <w:rsid w:val="00CB1618"/>
    <w:rsid w:val="00CB1621"/>
    <w:rsid w:val="00CB2808"/>
    <w:rsid w:val="00CB2826"/>
    <w:rsid w:val="00CB2D4D"/>
    <w:rsid w:val="00CB2F15"/>
    <w:rsid w:val="00CB35EF"/>
    <w:rsid w:val="00CB36E2"/>
    <w:rsid w:val="00CB3930"/>
    <w:rsid w:val="00CB3B13"/>
    <w:rsid w:val="00CB40F0"/>
    <w:rsid w:val="00CB43A8"/>
    <w:rsid w:val="00CB4B25"/>
    <w:rsid w:val="00CB4C9B"/>
    <w:rsid w:val="00CB4D96"/>
    <w:rsid w:val="00CB5056"/>
    <w:rsid w:val="00CB5730"/>
    <w:rsid w:val="00CB575C"/>
    <w:rsid w:val="00CB6D8C"/>
    <w:rsid w:val="00CB75AB"/>
    <w:rsid w:val="00CB7CF6"/>
    <w:rsid w:val="00CB7DFA"/>
    <w:rsid w:val="00CC05EC"/>
    <w:rsid w:val="00CC1437"/>
    <w:rsid w:val="00CC18AC"/>
    <w:rsid w:val="00CC1E90"/>
    <w:rsid w:val="00CC1EDC"/>
    <w:rsid w:val="00CC20EB"/>
    <w:rsid w:val="00CC22CB"/>
    <w:rsid w:val="00CC2DB5"/>
    <w:rsid w:val="00CC337A"/>
    <w:rsid w:val="00CC37C9"/>
    <w:rsid w:val="00CC3BB4"/>
    <w:rsid w:val="00CC3BDF"/>
    <w:rsid w:val="00CC4053"/>
    <w:rsid w:val="00CC427F"/>
    <w:rsid w:val="00CC4830"/>
    <w:rsid w:val="00CC4B80"/>
    <w:rsid w:val="00CC4EAA"/>
    <w:rsid w:val="00CC5272"/>
    <w:rsid w:val="00CC54AF"/>
    <w:rsid w:val="00CC551C"/>
    <w:rsid w:val="00CC5B5F"/>
    <w:rsid w:val="00CC6004"/>
    <w:rsid w:val="00CC6DB3"/>
    <w:rsid w:val="00CC6E3B"/>
    <w:rsid w:val="00CC7182"/>
    <w:rsid w:val="00CC7A4A"/>
    <w:rsid w:val="00CC7A7D"/>
    <w:rsid w:val="00CC7D2D"/>
    <w:rsid w:val="00CD00FB"/>
    <w:rsid w:val="00CD0324"/>
    <w:rsid w:val="00CD0417"/>
    <w:rsid w:val="00CD1444"/>
    <w:rsid w:val="00CD14E9"/>
    <w:rsid w:val="00CD14F9"/>
    <w:rsid w:val="00CD18BE"/>
    <w:rsid w:val="00CD1C4A"/>
    <w:rsid w:val="00CD1F5A"/>
    <w:rsid w:val="00CD2B59"/>
    <w:rsid w:val="00CD31B6"/>
    <w:rsid w:val="00CD3A90"/>
    <w:rsid w:val="00CD3BFB"/>
    <w:rsid w:val="00CD4221"/>
    <w:rsid w:val="00CD43A3"/>
    <w:rsid w:val="00CD4654"/>
    <w:rsid w:val="00CD4A71"/>
    <w:rsid w:val="00CD4C95"/>
    <w:rsid w:val="00CD5094"/>
    <w:rsid w:val="00CD50A1"/>
    <w:rsid w:val="00CD54BF"/>
    <w:rsid w:val="00CD5579"/>
    <w:rsid w:val="00CD570F"/>
    <w:rsid w:val="00CD5C52"/>
    <w:rsid w:val="00CD5E03"/>
    <w:rsid w:val="00CD6C1A"/>
    <w:rsid w:val="00CD6D6A"/>
    <w:rsid w:val="00CD7181"/>
    <w:rsid w:val="00CD72C7"/>
    <w:rsid w:val="00CD751F"/>
    <w:rsid w:val="00CD75C4"/>
    <w:rsid w:val="00CE07B4"/>
    <w:rsid w:val="00CE09CC"/>
    <w:rsid w:val="00CE0A22"/>
    <w:rsid w:val="00CE0AC2"/>
    <w:rsid w:val="00CE0BD1"/>
    <w:rsid w:val="00CE1B76"/>
    <w:rsid w:val="00CE1B96"/>
    <w:rsid w:val="00CE2250"/>
    <w:rsid w:val="00CE25CB"/>
    <w:rsid w:val="00CE28CB"/>
    <w:rsid w:val="00CE2914"/>
    <w:rsid w:val="00CE29A3"/>
    <w:rsid w:val="00CE2C1A"/>
    <w:rsid w:val="00CE2D84"/>
    <w:rsid w:val="00CE34F9"/>
    <w:rsid w:val="00CE3555"/>
    <w:rsid w:val="00CE355F"/>
    <w:rsid w:val="00CE3C71"/>
    <w:rsid w:val="00CE41C0"/>
    <w:rsid w:val="00CE4350"/>
    <w:rsid w:val="00CE4A76"/>
    <w:rsid w:val="00CE4D04"/>
    <w:rsid w:val="00CE4F5A"/>
    <w:rsid w:val="00CE5FFD"/>
    <w:rsid w:val="00CE60B0"/>
    <w:rsid w:val="00CE63B5"/>
    <w:rsid w:val="00CE6468"/>
    <w:rsid w:val="00CE754B"/>
    <w:rsid w:val="00CE76C1"/>
    <w:rsid w:val="00CE7D8B"/>
    <w:rsid w:val="00CE7EA8"/>
    <w:rsid w:val="00CF0199"/>
    <w:rsid w:val="00CF0387"/>
    <w:rsid w:val="00CF03E7"/>
    <w:rsid w:val="00CF06DC"/>
    <w:rsid w:val="00CF0C7F"/>
    <w:rsid w:val="00CF0E0C"/>
    <w:rsid w:val="00CF10BB"/>
    <w:rsid w:val="00CF11D2"/>
    <w:rsid w:val="00CF183B"/>
    <w:rsid w:val="00CF1DFE"/>
    <w:rsid w:val="00CF26AC"/>
    <w:rsid w:val="00CF2C07"/>
    <w:rsid w:val="00CF345D"/>
    <w:rsid w:val="00CF3798"/>
    <w:rsid w:val="00CF3822"/>
    <w:rsid w:val="00CF383C"/>
    <w:rsid w:val="00CF407E"/>
    <w:rsid w:val="00CF43E5"/>
    <w:rsid w:val="00CF4F36"/>
    <w:rsid w:val="00CF5167"/>
    <w:rsid w:val="00CF51E5"/>
    <w:rsid w:val="00CF5564"/>
    <w:rsid w:val="00CF5756"/>
    <w:rsid w:val="00CF5F88"/>
    <w:rsid w:val="00CF63F0"/>
    <w:rsid w:val="00CF6787"/>
    <w:rsid w:val="00CF6BAE"/>
    <w:rsid w:val="00CF7D4B"/>
    <w:rsid w:val="00CF7F9A"/>
    <w:rsid w:val="00D00001"/>
    <w:rsid w:val="00D007C2"/>
    <w:rsid w:val="00D008F8"/>
    <w:rsid w:val="00D016F5"/>
    <w:rsid w:val="00D01AA0"/>
    <w:rsid w:val="00D01D9C"/>
    <w:rsid w:val="00D02BED"/>
    <w:rsid w:val="00D02ECA"/>
    <w:rsid w:val="00D031C4"/>
    <w:rsid w:val="00D03288"/>
    <w:rsid w:val="00D03B90"/>
    <w:rsid w:val="00D04135"/>
    <w:rsid w:val="00D0424F"/>
    <w:rsid w:val="00D043DC"/>
    <w:rsid w:val="00D04522"/>
    <w:rsid w:val="00D046E8"/>
    <w:rsid w:val="00D0480A"/>
    <w:rsid w:val="00D04A16"/>
    <w:rsid w:val="00D04B45"/>
    <w:rsid w:val="00D054B8"/>
    <w:rsid w:val="00D055D3"/>
    <w:rsid w:val="00D0572E"/>
    <w:rsid w:val="00D058D0"/>
    <w:rsid w:val="00D05FF9"/>
    <w:rsid w:val="00D065A6"/>
    <w:rsid w:val="00D0697A"/>
    <w:rsid w:val="00D078BC"/>
    <w:rsid w:val="00D101D2"/>
    <w:rsid w:val="00D106F4"/>
    <w:rsid w:val="00D10CB5"/>
    <w:rsid w:val="00D10F3A"/>
    <w:rsid w:val="00D10F7D"/>
    <w:rsid w:val="00D11623"/>
    <w:rsid w:val="00D1224C"/>
    <w:rsid w:val="00D12B67"/>
    <w:rsid w:val="00D12EBC"/>
    <w:rsid w:val="00D1374D"/>
    <w:rsid w:val="00D13BF9"/>
    <w:rsid w:val="00D13CB1"/>
    <w:rsid w:val="00D1442E"/>
    <w:rsid w:val="00D14986"/>
    <w:rsid w:val="00D14DE4"/>
    <w:rsid w:val="00D14F43"/>
    <w:rsid w:val="00D150FD"/>
    <w:rsid w:val="00D15BFF"/>
    <w:rsid w:val="00D16134"/>
    <w:rsid w:val="00D1656A"/>
    <w:rsid w:val="00D1656D"/>
    <w:rsid w:val="00D1685E"/>
    <w:rsid w:val="00D16FA6"/>
    <w:rsid w:val="00D17BCB"/>
    <w:rsid w:val="00D17D07"/>
    <w:rsid w:val="00D20190"/>
    <w:rsid w:val="00D208BD"/>
    <w:rsid w:val="00D20987"/>
    <w:rsid w:val="00D20CD0"/>
    <w:rsid w:val="00D22036"/>
    <w:rsid w:val="00D22C3F"/>
    <w:rsid w:val="00D22C77"/>
    <w:rsid w:val="00D2356D"/>
    <w:rsid w:val="00D23E2A"/>
    <w:rsid w:val="00D242B7"/>
    <w:rsid w:val="00D24468"/>
    <w:rsid w:val="00D24963"/>
    <w:rsid w:val="00D253F7"/>
    <w:rsid w:val="00D25752"/>
    <w:rsid w:val="00D258FA"/>
    <w:rsid w:val="00D26962"/>
    <w:rsid w:val="00D26D81"/>
    <w:rsid w:val="00D26EA5"/>
    <w:rsid w:val="00D26F97"/>
    <w:rsid w:val="00D27078"/>
    <w:rsid w:val="00D270F4"/>
    <w:rsid w:val="00D27697"/>
    <w:rsid w:val="00D2783D"/>
    <w:rsid w:val="00D27CDC"/>
    <w:rsid w:val="00D3005F"/>
    <w:rsid w:val="00D30812"/>
    <w:rsid w:val="00D30F7C"/>
    <w:rsid w:val="00D31761"/>
    <w:rsid w:val="00D3186F"/>
    <w:rsid w:val="00D31D86"/>
    <w:rsid w:val="00D31D99"/>
    <w:rsid w:val="00D3215B"/>
    <w:rsid w:val="00D3245B"/>
    <w:rsid w:val="00D324B5"/>
    <w:rsid w:val="00D32671"/>
    <w:rsid w:val="00D32D4B"/>
    <w:rsid w:val="00D332CE"/>
    <w:rsid w:val="00D33567"/>
    <w:rsid w:val="00D33AE9"/>
    <w:rsid w:val="00D349C3"/>
    <w:rsid w:val="00D34B3D"/>
    <w:rsid w:val="00D34B73"/>
    <w:rsid w:val="00D34C06"/>
    <w:rsid w:val="00D3546B"/>
    <w:rsid w:val="00D3568D"/>
    <w:rsid w:val="00D35A89"/>
    <w:rsid w:val="00D35EF6"/>
    <w:rsid w:val="00D35F9E"/>
    <w:rsid w:val="00D35FBC"/>
    <w:rsid w:val="00D3643F"/>
    <w:rsid w:val="00D36B0D"/>
    <w:rsid w:val="00D3724E"/>
    <w:rsid w:val="00D373E2"/>
    <w:rsid w:val="00D376FD"/>
    <w:rsid w:val="00D37B85"/>
    <w:rsid w:val="00D4048B"/>
    <w:rsid w:val="00D40DDB"/>
    <w:rsid w:val="00D41096"/>
    <w:rsid w:val="00D410BE"/>
    <w:rsid w:val="00D4139C"/>
    <w:rsid w:val="00D414F3"/>
    <w:rsid w:val="00D41F79"/>
    <w:rsid w:val="00D422F3"/>
    <w:rsid w:val="00D424F6"/>
    <w:rsid w:val="00D433CC"/>
    <w:rsid w:val="00D43638"/>
    <w:rsid w:val="00D43671"/>
    <w:rsid w:val="00D43961"/>
    <w:rsid w:val="00D43DA0"/>
    <w:rsid w:val="00D449A4"/>
    <w:rsid w:val="00D4506C"/>
    <w:rsid w:val="00D464C2"/>
    <w:rsid w:val="00D466A6"/>
    <w:rsid w:val="00D46E71"/>
    <w:rsid w:val="00D475E6"/>
    <w:rsid w:val="00D47789"/>
    <w:rsid w:val="00D4782B"/>
    <w:rsid w:val="00D47C6E"/>
    <w:rsid w:val="00D47EF0"/>
    <w:rsid w:val="00D50680"/>
    <w:rsid w:val="00D5085F"/>
    <w:rsid w:val="00D508FA"/>
    <w:rsid w:val="00D50F16"/>
    <w:rsid w:val="00D50FA0"/>
    <w:rsid w:val="00D517BA"/>
    <w:rsid w:val="00D5220C"/>
    <w:rsid w:val="00D52381"/>
    <w:rsid w:val="00D52743"/>
    <w:rsid w:val="00D52924"/>
    <w:rsid w:val="00D52B77"/>
    <w:rsid w:val="00D52E30"/>
    <w:rsid w:val="00D53C42"/>
    <w:rsid w:val="00D53DBC"/>
    <w:rsid w:val="00D53F44"/>
    <w:rsid w:val="00D54220"/>
    <w:rsid w:val="00D54B92"/>
    <w:rsid w:val="00D5569F"/>
    <w:rsid w:val="00D55EBE"/>
    <w:rsid w:val="00D5623E"/>
    <w:rsid w:val="00D564AC"/>
    <w:rsid w:val="00D56576"/>
    <w:rsid w:val="00D56680"/>
    <w:rsid w:val="00D56A55"/>
    <w:rsid w:val="00D56C67"/>
    <w:rsid w:val="00D578E7"/>
    <w:rsid w:val="00D57C5F"/>
    <w:rsid w:val="00D60222"/>
    <w:rsid w:val="00D6034F"/>
    <w:rsid w:val="00D609A8"/>
    <w:rsid w:val="00D60EB6"/>
    <w:rsid w:val="00D61591"/>
    <w:rsid w:val="00D61C53"/>
    <w:rsid w:val="00D61E00"/>
    <w:rsid w:val="00D6270F"/>
    <w:rsid w:val="00D62A77"/>
    <w:rsid w:val="00D62CE3"/>
    <w:rsid w:val="00D62FB0"/>
    <w:rsid w:val="00D6448D"/>
    <w:rsid w:val="00D646F2"/>
    <w:rsid w:val="00D6484D"/>
    <w:rsid w:val="00D64C47"/>
    <w:rsid w:val="00D65396"/>
    <w:rsid w:val="00D65716"/>
    <w:rsid w:val="00D65AB2"/>
    <w:rsid w:val="00D65AE2"/>
    <w:rsid w:val="00D65B2F"/>
    <w:rsid w:val="00D65E20"/>
    <w:rsid w:val="00D66A83"/>
    <w:rsid w:val="00D671C3"/>
    <w:rsid w:val="00D67745"/>
    <w:rsid w:val="00D6778A"/>
    <w:rsid w:val="00D679C6"/>
    <w:rsid w:val="00D67D55"/>
    <w:rsid w:val="00D70958"/>
    <w:rsid w:val="00D711E4"/>
    <w:rsid w:val="00D7128A"/>
    <w:rsid w:val="00D71392"/>
    <w:rsid w:val="00D713A6"/>
    <w:rsid w:val="00D71496"/>
    <w:rsid w:val="00D71507"/>
    <w:rsid w:val="00D716BE"/>
    <w:rsid w:val="00D71BA6"/>
    <w:rsid w:val="00D726C1"/>
    <w:rsid w:val="00D7270A"/>
    <w:rsid w:val="00D72CD9"/>
    <w:rsid w:val="00D73077"/>
    <w:rsid w:val="00D73979"/>
    <w:rsid w:val="00D73BFC"/>
    <w:rsid w:val="00D74701"/>
    <w:rsid w:val="00D747E5"/>
    <w:rsid w:val="00D74B69"/>
    <w:rsid w:val="00D750E1"/>
    <w:rsid w:val="00D7530A"/>
    <w:rsid w:val="00D75892"/>
    <w:rsid w:val="00D75980"/>
    <w:rsid w:val="00D75CC3"/>
    <w:rsid w:val="00D76254"/>
    <w:rsid w:val="00D7719C"/>
    <w:rsid w:val="00D77242"/>
    <w:rsid w:val="00D775CF"/>
    <w:rsid w:val="00D776F5"/>
    <w:rsid w:val="00D80202"/>
    <w:rsid w:val="00D803FD"/>
    <w:rsid w:val="00D80540"/>
    <w:rsid w:val="00D80D83"/>
    <w:rsid w:val="00D80EE9"/>
    <w:rsid w:val="00D814A1"/>
    <w:rsid w:val="00D815CA"/>
    <w:rsid w:val="00D81732"/>
    <w:rsid w:val="00D81A31"/>
    <w:rsid w:val="00D821FB"/>
    <w:rsid w:val="00D82223"/>
    <w:rsid w:val="00D8230D"/>
    <w:rsid w:val="00D82B0F"/>
    <w:rsid w:val="00D838A2"/>
    <w:rsid w:val="00D83CD4"/>
    <w:rsid w:val="00D83F3A"/>
    <w:rsid w:val="00D84495"/>
    <w:rsid w:val="00D845CB"/>
    <w:rsid w:val="00D853F7"/>
    <w:rsid w:val="00D85744"/>
    <w:rsid w:val="00D8578E"/>
    <w:rsid w:val="00D85950"/>
    <w:rsid w:val="00D85D78"/>
    <w:rsid w:val="00D861B5"/>
    <w:rsid w:val="00D86D3E"/>
    <w:rsid w:val="00D870C6"/>
    <w:rsid w:val="00D87182"/>
    <w:rsid w:val="00D874DB"/>
    <w:rsid w:val="00D8757E"/>
    <w:rsid w:val="00D87A0C"/>
    <w:rsid w:val="00D87CC7"/>
    <w:rsid w:val="00D87FF7"/>
    <w:rsid w:val="00D90339"/>
    <w:rsid w:val="00D9077A"/>
    <w:rsid w:val="00D9117E"/>
    <w:rsid w:val="00D9196B"/>
    <w:rsid w:val="00D91A41"/>
    <w:rsid w:val="00D91F49"/>
    <w:rsid w:val="00D92266"/>
    <w:rsid w:val="00D9236A"/>
    <w:rsid w:val="00D9242D"/>
    <w:rsid w:val="00D925B8"/>
    <w:rsid w:val="00D92A8A"/>
    <w:rsid w:val="00D92C7C"/>
    <w:rsid w:val="00D9301D"/>
    <w:rsid w:val="00D9372B"/>
    <w:rsid w:val="00D93796"/>
    <w:rsid w:val="00D93906"/>
    <w:rsid w:val="00D93FC0"/>
    <w:rsid w:val="00D940DE"/>
    <w:rsid w:val="00D941DB"/>
    <w:rsid w:val="00D9427C"/>
    <w:rsid w:val="00D95446"/>
    <w:rsid w:val="00D95FCD"/>
    <w:rsid w:val="00D96A92"/>
    <w:rsid w:val="00D971C2"/>
    <w:rsid w:val="00D9742E"/>
    <w:rsid w:val="00D97430"/>
    <w:rsid w:val="00D97508"/>
    <w:rsid w:val="00D97F02"/>
    <w:rsid w:val="00D97FE6"/>
    <w:rsid w:val="00DA041D"/>
    <w:rsid w:val="00DA0493"/>
    <w:rsid w:val="00DA1534"/>
    <w:rsid w:val="00DA182C"/>
    <w:rsid w:val="00DA1DFB"/>
    <w:rsid w:val="00DA237A"/>
    <w:rsid w:val="00DA28CA"/>
    <w:rsid w:val="00DA35E4"/>
    <w:rsid w:val="00DA3AD3"/>
    <w:rsid w:val="00DA4276"/>
    <w:rsid w:val="00DA42A3"/>
    <w:rsid w:val="00DA461A"/>
    <w:rsid w:val="00DA4BC4"/>
    <w:rsid w:val="00DA50BC"/>
    <w:rsid w:val="00DA5733"/>
    <w:rsid w:val="00DA58A5"/>
    <w:rsid w:val="00DA58C6"/>
    <w:rsid w:val="00DA6143"/>
    <w:rsid w:val="00DA6396"/>
    <w:rsid w:val="00DA6792"/>
    <w:rsid w:val="00DA6941"/>
    <w:rsid w:val="00DA73A8"/>
    <w:rsid w:val="00DA75F6"/>
    <w:rsid w:val="00DA7783"/>
    <w:rsid w:val="00DB0238"/>
    <w:rsid w:val="00DB0820"/>
    <w:rsid w:val="00DB19F4"/>
    <w:rsid w:val="00DB222A"/>
    <w:rsid w:val="00DB2541"/>
    <w:rsid w:val="00DB2CFB"/>
    <w:rsid w:val="00DB2D4F"/>
    <w:rsid w:val="00DB2D7D"/>
    <w:rsid w:val="00DB2EB4"/>
    <w:rsid w:val="00DB3010"/>
    <w:rsid w:val="00DB439A"/>
    <w:rsid w:val="00DB4648"/>
    <w:rsid w:val="00DB4F7D"/>
    <w:rsid w:val="00DB513A"/>
    <w:rsid w:val="00DB51FA"/>
    <w:rsid w:val="00DB528B"/>
    <w:rsid w:val="00DB544F"/>
    <w:rsid w:val="00DB556B"/>
    <w:rsid w:val="00DB55D5"/>
    <w:rsid w:val="00DB5A15"/>
    <w:rsid w:val="00DB5B35"/>
    <w:rsid w:val="00DB5D37"/>
    <w:rsid w:val="00DB5F3F"/>
    <w:rsid w:val="00DB666A"/>
    <w:rsid w:val="00DB6763"/>
    <w:rsid w:val="00DB6A8F"/>
    <w:rsid w:val="00DB74EB"/>
    <w:rsid w:val="00DB7BC7"/>
    <w:rsid w:val="00DC00AF"/>
    <w:rsid w:val="00DC00C5"/>
    <w:rsid w:val="00DC0418"/>
    <w:rsid w:val="00DC07E0"/>
    <w:rsid w:val="00DC1B17"/>
    <w:rsid w:val="00DC1B1C"/>
    <w:rsid w:val="00DC2995"/>
    <w:rsid w:val="00DC32BA"/>
    <w:rsid w:val="00DC3418"/>
    <w:rsid w:val="00DC4758"/>
    <w:rsid w:val="00DC49BF"/>
    <w:rsid w:val="00DC4E06"/>
    <w:rsid w:val="00DC53F9"/>
    <w:rsid w:val="00DC596B"/>
    <w:rsid w:val="00DC59EA"/>
    <w:rsid w:val="00DC5C21"/>
    <w:rsid w:val="00DC5D77"/>
    <w:rsid w:val="00DC6796"/>
    <w:rsid w:val="00DC6ABA"/>
    <w:rsid w:val="00DC6D80"/>
    <w:rsid w:val="00DC7418"/>
    <w:rsid w:val="00DC75E0"/>
    <w:rsid w:val="00DD013B"/>
    <w:rsid w:val="00DD02DD"/>
    <w:rsid w:val="00DD0463"/>
    <w:rsid w:val="00DD080C"/>
    <w:rsid w:val="00DD17C5"/>
    <w:rsid w:val="00DD1CA0"/>
    <w:rsid w:val="00DD1DC3"/>
    <w:rsid w:val="00DD2070"/>
    <w:rsid w:val="00DD2095"/>
    <w:rsid w:val="00DD2E26"/>
    <w:rsid w:val="00DD2E79"/>
    <w:rsid w:val="00DD3635"/>
    <w:rsid w:val="00DD449E"/>
    <w:rsid w:val="00DD45D1"/>
    <w:rsid w:val="00DD50B5"/>
    <w:rsid w:val="00DD55C3"/>
    <w:rsid w:val="00DD57D3"/>
    <w:rsid w:val="00DD5D52"/>
    <w:rsid w:val="00DD5E87"/>
    <w:rsid w:val="00DD5E99"/>
    <w:rsid w:val="00DD647D"/>
    <w:rsid w:val="00DD650A"/>
    <w:rsid w:val="00DD6BDB"/>
    <w:rsid w:val="00DD6E0D"/>
    <w:rsid w:val="00DD7871"/>
    <w:rsid w:val="00DD78E9"/>
    <w:rsid w:val="00DD7D09"/>
    <w:rsid w:val="00DE07F9"/>
    <w:rsid w:val="00DE0A2B"/>
    <w:rsid w:val="00DE1842"/>
    <w:rsid w:val="00DE1A55"/>
    <w:rsid w:val="00DE1EA5"/>
    <w:rsid w:val="00DE2178"/>
    <w:rsid w:val="00DE25E4"/>
    <w:rsid w:val="00DE26AF"/>
    <w:rsid w:val="00DE2AB3"/>
    <w:rsid w:val="00DE2CB8"/>
    <w:rsid w:val="00DE30F9"/>
    <w:rsid w:val="00DE32D4"/>
    <w:rsid w:val="00DE3653"/>
    <w:rsid w:val="00DE3772"/>
    <w:rsid w:val="00DE46E4"/>
    <w:rsid w:val="00DE49EB"/>
    <w:rsid w:val="00DE504B"/>
    <w:rsid w:val="00DE53E0"/>
    <w:rsid w:val="00DE54D2"/>
    <w:rsid w:val="00DE6202"/>
    <w:rsid w:val="00DE65C8"/>
    <w:rsid w:val="00DE6F9C"/>
    <w:rsid w:val="00DE71D2"/>
    <w:rsid w:val="00DE7870"/>
    <w:rsid w:val="00DE796A"/>
    <w:rsid w:val="00DE7BE9"/>
    <w:rsid w:val="00DE7E03"/>
    <w:rsid w:val="00DE7F4C"/>
    <w:rsid w:val="00DF0344"/>
    <w:rsid w:val="00DF0899"/>
    <w:rsid w:val="00DF0F6E"/>
    <w:rsid w:val="00DF1D56"/>
    <w:rsid w:val="00DF2BBD"/>
    <w:rsid w:val="00DF35D6"/>
    <w:rsid w:val="00DF372D"/>
    <w:rsid w:val="00DF3C34"/>
    <w:rsid w:val="00DF4226"/>
    <w:rsid w:val="00DF4820"/>
    <w:rsid w:val="00DF510F"/>
    <w:rsid w:val="00DF5972"/>
    <w:rsid w:val="00DF5A91"/>
    <w:rsid w:val="00DF5C91"/>
    <w:rsid w:val="00DF61D1"/>
    <w:rsid w:val="00DF66A7"/>
    <w:rsid w:val="00DF739A"/>
    <w:rsid w:val="00DF74AD"/>
    <w:rsid w:val="00DF76FF"/>
    <w:rsid w:val="00DF7995"/>
    <w:rsid w:val="00E00115"/>
    <w:rsid w:val="00E0047A"/>
    <w:rsid w:val="00E00734"/>
    <w:rsid w:val="00E007E3"/>
    <w:rsid w:val="00E0193F"/>
    <w:rsid w:val="00E01D32"/>
    <w:rsid w:val="00E02A6B"/>
    <w:rsid w:val="00E03564"/>
    <w:rsid w:val="00E03774"/>
    <w:rsid w:val="00E0389A"/>
    <w:rsid w:val="00E03EEE"/>
    <w:rsid w:val="00E03F3D"/>
    <w:rsid w:val="00E04188"/>
    <w:rsid w:val="00E0422E"/>
    <w:rsid w:val="00E04FFA"/>
    <w:rsid w:val="00E051C0"/>
    <w:rsid w:val="00E05616"/>
    <w:rsid w:val="00E05678"/>
    <w:rsid w:val="00E05D70"/>
    <w:rsid w:val="00E064CD"/>
    <w:rsid w:val="00E066B3"/>
    <w:rsid w:val="00E067EB"/>
    <w:rsid w:val="00E06CF8"/>
    <w:rsid w:val="00E07DBF"/>
    <w:rsid w:val="00E07EE1"/>
    <w:rsid w:val="00E103A8"/>
    <w:rsid w:val="00E1073C"/>
    <w:rsid w:val="00E10AB6"/>
    <w:rsid w:val="00E113C3"/>
    <w:rsid w:val="00E115F7"/>
    <w:rsid w:val="00E116DF"/>
    <w:rsid w:val="00E11769"/>
    <w:rsid w:val="00E11FAE"/>
    <w:rsid w:val="00E11FFE"/>
    <w:rsid w:val="00E12C5E"/>
    <w:rsid w:val="00E135E5"/>
    <w:rsid w:val="00E13822"/>
    <w:rsid w:val="00E13943"/>
    <w:rsid w:val="00E13B5F"/>
    <w:rsid w:val="00E13D30"/>
    <w:rsid w:val="00E143AC"/>
    <w:rsid w:val="00E14411"/>
    <w:rsid w:val="00E14646"/>
    <w:rsid w:val="00E14720"/>
    <w:rsid w:val="00E14828"/>
    <w:rsid w:val="00E149EA"/>
    <w:rsid w:val="00E14A88"/>
    <w:rsid w:val="00E14E5D"/>
    <w:rsid w:val="00E15397"/>
    <w:rsid w:val="00E1582A"/>
    <w:rsid w:val="00E15B67"/>
    <w:rsid w:val="00E16353"/>
    <w:rsid w:val="00E1636D"/>
    <w:rsid w:val="00E16755"/>
    <w:rsid w:val="00E16BD5"/>
    <w:rsid w:val="00E17134"/>
    <w:rsid w:val="00E1715F"/>
    <w:rsid w:val="00E172D0"/>
    <w:rsid w:val="00E17361"/>
    <w:rsid w:val="00E17F3F"/>
    <w:rsid w:val="00E20398"/>
    <w:rsid w:val="00E204BF"/>
    <w:rsid w:val="00E205CB"/>
    <w:rsid w:val="00E20DAE"/>
    <w:rsid w:val="00E20E9C"/>
    <w:rsid w:val="00E20E9E"/>
    <w:rsid w:val="00E2114B"/>
    <w:rsid w:val="00E21D5F"/>
    <w:rsid w:val="00E2255B"/>
    <w:rsid w:val="00E22575"/>
    <w:rsid w:val="00E22B9B"/>
    <w:rsid w:val="00E22C31"/>
    <w:rsid w:val="00E23221"/>
    <w:rsid w:val="00E2325D"/>
    <w:rsid w:val="00E232A9"/>
    <w:rsid w:val="00E24851"/>
    <w:rsid w:val="00E24F31"/>
    <w:rsid w:val="00E25205"/>
    <w:rsid w:val="00E25423"/>
    <w:rsid w:val="00E2569A"/>
    <w:rsid w:val="00E25750"/>
    <w:rsid w:val="00E25838"/>
    <w:rsid w:val="00E259E4"/>
    <w:rsid w:val="00E268BE"/>
    <w:rsid w:val="00E274CE"/>
    <w:rsid w:val="00E27514"/>
    <w:rsid w:val="00E2757C"/>
    <w:rsid w:val="00E27734"/>
    <w:rsid w:val="00E2791D"/>
    <w:rsid w:val="00E27C80"/>
    <w:rsid w:val="00E27CFA"/>
    <w:rsid w:val="00E27D80"/>
    <w:rsid w:val="00E30402"/>
    <w:rsid w:val="00E304B7"/>
    <w:rsid w:val="00E3077D"/>
    <w:rsid w:val="00E31FBC"/>
    <w:rsid w:val="00E323AF"/>
    <w:rsid w:val="00E326CA"/>
    <w:rsid w:val="00E33101"/>
    <w:rsid w:val="00E33EFE"/>
    <w:rsid w:val="00E34337"/>
    <w:rsid w:val="00E349C6"/>
    <w:rsid w:val="00E34B03"/>
    <w:rsid w:val="00E34E5D"/>
    <w:rsid w:val="00E3502A"/>
    <w:rsid w:val="00E35355"/>
    <w:rsid w:val="00E356A8"/>
    <w:rsid w:val="00E356C8"/>
    <w:rsid w:val="00E357AC"/>
    <w:rsid w:val="00E358AE"/>
    <w:rsid w:val="00E358DC"/>
    <w:rsid w:val="00E36546"/>
    <w:rsid w:val="00E36A11"/>
    <w:rsid w:val="00E36BFF"/>
    <w:rsid w:val="00E36C0F"/>
    <w:rsid w:val="00E37619"/>
    <w:rsid w:val="00E3774B"/>
    <w:rsid w:val="00E37B7A"/>
    <w:rsid w:val="00E37D69"/>
    <w:rsid w:val="00E37DF1"/>
    <w:rsid w:val="00E40261"/>
    <w:rsid w:val="00E402BA"/>
    <w:rsid w:val="00E403BA"/>
    <w:rsid w:val="00E404C5"/>
    <w:rsid w:val="00E40A25"/>
    <w:rsid w:val="00E4173F"/>
    <w:rsid w:val="00E42321"/>
    <w:rsid w:val="00E42865"/>
    <w:rsid w:val="00E42A79"/>
    <w:rsid w:val="00E4382B"/>
    <w:rsid w:val="00E43EA3"/>
    <w:rsid w:val="00E43F21"/>
    <w:rsid w:val="00E4410B"/>
    <w:rsid w:val="00E4415C"/>
    <w:rsid w:val="00E4442D"/>
    <w:rsid w:val="00E44E00"/>
    <w:rsid w:val="00E44F2B"/>
    <w:rsid w:val="00E456D8"/>
    <w:rsid w:val="00E45E7F"/>
    <w:rsid w:val="00E4645E"/>
    <w:rsid w:val="00E4685E"/>
    <w:rsid w:val="00E4687C"/>
    <w:rsid w:val="00E47327"/>
    <w:rsid w:val="00E47450"/>
    <w:rsid w:val="00E47746"/>
    <w:rsid w:val="00E5094D"/>
    <w:rsid w:val="00E50EDA"/>
    <w:rsid w:val="00E516BF"/>
    <w:rsid w:val="00E51F21"/>
    <w:rsid w:val="00E51F44"/>
    <w:rsid w:val="00E52478"/>
    <w:rsid w:val="00E52C5F"/>
    <w:rsid w:val="00E53438"/>
    <w:rsid w:val="00E536F5"/>
    <w:rsid w:val="00E53B4B"/>
    <w:rsid w:val="00E54045"/>
    <w:rsid w:val="00E540FA"/>
    <w:rsid w:val="00E54967"/>
    <w:rsid w:val="00E552F2"/>
    <w:rsid w:val="00E555B7"/>
    <w:rsid w:val="00E559E2"/>
    <w:rsid w:val="00E56262"/>
    <w:rsid w:val="00E56418"/>
    <w:rsid w:val="00E566AF"/>
    <w:rsid w:val="00E56CF2"/>
    <w:rsid w:val="00E57090"/>
    <w:rsid w:val="00E576FE"/>
    <w:rsid w:val="00E57B1F"/>
    <w:rsid w:val="00E57D77"/>
    <w:rsid w:val="00E57E48"/>
    <w:rsid w:val="00E60097"/>
    <w:rsid w:val="00E60510"/>
    <w:rsid w:val="00E62C4C"/>
    <w:rsid w:val="00E62CF6"/>
    <w:rsid w:val="00E63C21"/>
    <w:rsid w:val="00E63DBE"/>
    <w:rsid w:val="00E63E37"/>
    <w:rsid w:val="00E64456"/>
    <w:rsid w:val="00E64697"/>
    <w:rsid w:val="00E647A5"/>
    <w:rsid w:val="00E64BE9"/>
    <w:rsid w:val="00E65043"/>
    <w:rsid w:val="00E653C3"/>
    <w:rsid w:val="00E65A40"/>
    <w:rsid w:val="00E65BBA"/>
    <w:rsid w:val="00E6663A"/>
    <w:rsid w:val="00E66811"/>
    <w:rsid w:val="00E66821"/>
    <w:rsid w:val="00E6730C"/>
    <w:rsid w:val="00E67459"/>
    <w:rsid w:val="00E70072"/>
    <w:rsid w:val="00E70282"/>
    <w:rsid w:val="00E702FD"/>
    <w:rsid w:val="00E70696"/>
    <w:rsid w:val="00E708D0"/>
    <w:rsid w:val="00E70A32"/>
    <w:rsid w:val="00E70BA1"/>
    <w:rsid w:val="00E70D6D"/>
    <w:rsid w:val="00E71045"/>
    <w:rsid w:val="00E71227"/>
    <w:rsid w:val="00E71264"/>
    <w:rsid w:val="00E71493"/>
    <w:rsid w:val="00E71512"/>
    <w:rsid w:val="00E7161C"/>
    <w:rsid w:val="00E7291C"/>
    <w:rsid w:val="00E72923"/>
    <w:rsid w:val="00E72973"/>
    <w:rsid w:val="00E72B7D"/>
    <w:rsid w:val="00E73D5A"/>
    <w:rsid w:val="00E73EEF"/>
    <w:rsid w:val="00E7442B"/>
    <w:rsid w:val="00E7456A"/>
    <w:rsid w:val="00E74AF6"/>
    <w:rsid w:val="00E75596"/>
    <w:rsid w:val="00E7574A"/>
    <w:rsid w:val="00E75AE6"/>
    <w:rsid w:val="00E75C9D"/>
    <w:rsid w:val="00E75CC1"/>
    <w:rsid w:val="00E7638A"/>
    <w:rsid w:val="00E76513"/>
    <w:rsid w:val="00E76A88"/>
    <w:rsid w:val="00E77300"/>
    <w:rsid w:val="00E77813"/>
    <w:rsid w:val="00E77903"/>
    <w:rsid w:val="00E77DD2"/>
    <w:rsid w:val="00E77FA7"/>
    <w:rsid w:val="00E80210"/>
    <w:rsid w:val="00E803EB"/>
    <w:rsid w:val="00E80556"/>
    <w:rsid w:val="00E80927"/>
    <w:rsid w:val="00E80BAC"/>
    <w:rsid w:val="00E80D71"/>
    <w:rsid w:val="00E816CE"/>
    <w:rsid w:val="00E81907"/>
    <w:rsid w:val="00E81F34"/>
    <w:rsid w:val="00E82317"/>
    <w:rsid w:val="00E82749"/>
    <w:rsid w:val="00E8281C"/>
    <w:rsid w:val="00E83148"/>
    <w:rsid w:val="00E83450"/>
    <w:rsid w:val="00E835BF"/>
    <w:rsid w:val="00E83C87"/>
    <w:rsid w:val="00E84033"/>
    <w:rsid w:val="00E8404D"/>
    <w:rsid w:val="00E849BD"/>
    <w:rsid w:val="00E849D7"/>
    <w:rsid w:val="00E85029"/>
    <w:rsid w:val="00E8526B"/>
    <w:rsid w:val="00E8572A"/>
    <w:rsid w:val="00E8585B"/>
    <w:rsid w:val="00E859B5"/>
    <w:rsid w:val="00E85D84"/>
    <w:rsid w:val="00E86333"/>
    <w:rsid w:val="00E8661E"/>
    <w:rsid w:val="00E868A1"/>
    <w:rsid w:val="00E86931"/>
    <w:rsid w:val="00E8710B"/>
    <w:rsid w:val="00E87135"/>
    <w:rsid w:val="00E87248"/>
    <w:rsid w:val="00E87519"/>
    <w:rsid w:val="00E90277"/>
    <w:rsid w:val="00E9070A"/>
    <w:rsid w:val="00E90DCA"/>
    <w:rsid w:val="00E91998"/>
    <w:rsid w:val="00E9199B"/>
    <w:rsid w:val="00E91AE2"/>
    <w:rsid w:val="00E91FF4"/>
    <w:rsid w:val="00E924DF"/>
    <w:rsid w:val="00E92762"/>
    <w:rsid w:val="00E929CC"/>
    <w:rsid w:val="00E92D7D"/>
    <w:rsid w:val="00E92DCD"/>
    <w:rsid w:val="00E933DB"/>
    <w:rsid w:val="00E9358A"/>
    <w:rsid w:val="00E935A5"/>
    <w:rsid w:val="00E937C9"/>
    <w:rsid w:val="00E94200"/>
    <w:rsid w:val="00E94B6C"/>
    <w:rsid w:val="00E94E4F"/>
    <w:rsid w:val="00E95D68"/>
    <w:rsid w:val="00E962EB"/>
    <w:rsid w:val="00E96605"/>
    <w:rsid w:val="00E97013"/>
    <w:rsid w:val="00E97314"/>
    <w:rsid w:val="00E97386"/>
    <w:rsid w:val="00E97773"/>
    <w:rsid w:val="00E97F24"/>
    <w:rsid w:val="00EA0235"/>
    <w:rsid w:val="00EA0284"/>
    <w:rsid w:val="00EA065D"/>
    <w:rsid w:val="00EA0930"/>
    <w:rsid w:val="00EA0DCB"/>
    <w:rsid w:val="00EA1C8E"/>
    <w:rsid w:val="00EA22FB"/>
    <w:rsid w:val="00EA265D"/>
    <w:rsid w:val="00EA2725"/>
    <w:rsid w:val="00EA3045"/>
    <w:rsid w:val="00EA3121"/>
    <w:rsid w:val="00EA3422"/>
    <w:rsid w:val="00EA3AA9"/>
    <w:rsid w:val="00EA3F3F"/>
    <w:rsid w:val="00EA4027"/>
    <w:rsid w:val="00EA40BB"/>
    <w:rsid w:val="00EA4824"/>
    <w:rsid w:val="00EA4BB1"/>
    <w:rsid w:val="00EA4CC5"/>
    <w:rsid w:val="00EA52E4"/>
    <w:rsid w:val="00EA5A12"/>
    <w:rsid w:val="00EA6084"/>
    <w:rsid w:val="00EA65D0"/>
    <w:rsid w:val="00EA65FB"/>
    <w:rsid w:val="00EA6989"/>
    <w:rsid w:val="00EA7492"/>
    <w:rsid w:val="00EA7590"/>
    <w:rsid w:val="00EA75F3"/>
    <w:rsid w:val="00EA7669"/>
    <w:rsid w:val="00EA77F8"/>
    <w:rsid w:val="00EB1368"/>
    <w:rsid w:val="00EB18D6"/>
    <w:rsid w:val="00EB26D4"/>
    <w:rsid w:val="00EB2A1F"/>
    <w:rsid w:val="00EB2A52"/>
    <w:rsid w:val="00EB2BD6"/>
    <w:rsid w:val="00EB2F6C"/>
    <w:rsid w:val="00EB382B"/>
    <w:rsid w:val="00EB3FE3"/>
    <w:rsid w:val="00EB423D"/>
    <w:rsid w:val="00EB4701"/>
    <w:rsid w:val="00EB4AA4"/>
    <w:rsid w:val="00EB5022"/>
    <w:rsid w:val="00EB55C8"/>
    <w:rsid w:val="00EB56D5"/>
    <w:rsid w:val="00EB5ABB"/>
    <w:rsid w:val="00EB5F50"/>
    <w:rsid w:val="00EB6057"/>
    <w:rsid w:val="00EB6161"/>
    <w:rsid w:val="00EB6597"/>
    <w:rsid w:val="00EB668B"/>
    <w:rsid w:val="00EB74B0"/>
    <w:rsid w:val="00EB754C"/>
    <w:rsid w:val="00EB7FE1"/>
    <w:rsid w:val="00EC03CE"/>
    <w:rsid w:val="00EC0A6D"/>
    <w:rsid w:val="00EC0D00"/>
    <w:rsid w:val="00EC0F45"/>
    <w:rsid w:val="00EC1301"/>
    <w:rsid w:val="00EC13F2"/>
    <w:rsid w:val="00EC16D3"/>
    <w:rsid w:val="00EC2CFB"/>
    <w:rsid w:val="00EC301A"/>
    <w:rsid w:val="00EC3124"/>
    <w:rsid w:val="00EC3299"/>
    <w:rsid w:val="00EC338B"/>
    <w:rsid w:val="00EC3DDF"/>
    <w:rsid w:val="00EC3EB9"/>
    <w:rsid w:val="00EC4C8A"/>
    <w:rsid w:val="00EC50F0"/>
    <w:rsid w:val="00EC579C"/>
    <w:rsid w:val="00EC58C8"/>
    <w:rsid w:val="00EC5B5C"/>
    <w:rsid w:val="00EC5BFC"/>
    <w:rsid w:val="00EC5E20"/>
    <w:rsid w:val="00EC5F36"/>
    <w:rsid w:val="00EC7311"/>
    <w:rsid w:val="00EC7C84"/>
    <w:rsid w:val="00ED00ED"/>
    <w:rsid w:val="00ED0580"/>
    <w:rsid w:val="00ED0721"/>
    <w:rsid w:val="00ED0CF6"/>
    <w:rsid w:val="00ED11DA"/>
    <w:rsid w:val="00ED1848"/>
    <w:rsid w:val="00ED1E7F"/>
    <w:rsid w:val="00ED2250"/>
    <w:rsid w:val="00ED248D"/>
    <w:rsid w:val="00ED2C7C"/>
    <w:rsid w:val="00ED313D"/>
    <w:rsid w:val="00ED38A1"/>
    <w:rsid w:val="00ED3F8C"/>
    <w:rsid w:val="00ED43ED"/>
    <w:rsid w:val="00ED4AE0"/>
    <w:rsid w:val="00ED4CC7"/>
    <w:rsid w:val="00ED5235"/>
    <w:rsid w:val="00ED5B16"/>
    <w:rsid w:val="00ED5E69"/>
    <w:rsid w:val="00ED62AB"/>
    <w:rsid w:val="00ED70F0"/>
    <w:rsid w:val="00ED7536"/>
    <w:rsid w:val="00ED7BB1"/>
    <w:rsid w:val="00EE0166"/>
    <w:rsid w:val="00EE05AC"/>
    <w:rsid w:val="00EE0848"/>
    <w:rsid w:val="00EE0929"/>
    <w:rsid w:val="00EE0B71"/>
    <w:rsid w:val="00EE0C16"/>
    <w:rsid w:val="00EE0C17"/>
    <w:rsid w:val="00EE1EE9"/>
    <w:rsid w:val="00EE1F76"/>
    <w:rsid w:val="00EE20FC"/>
    <w:rsid w:val="00EE2444"/>
    <w:rsid w:val="00EE25BD"/>
    <w:rsid w:val="00EE2607"/>
    <w:rsid w:val="00EE2690"/>
    <w:rsid w:val="00EE2A47"/>
    <w:rsid w:val="00EE2B95"/>
    <w:rsid w:val="00EE2F94"/>
    <w:rsid w:val="00EE314D"/>
    <w:rsid w:val="00EE3390"/>
    <w:rsid w:val="00EE358E"/>
    <w:rsid w:val="00EE378B"/>
    <w:rsid w:val="00EE38F9"/>
    <w:rsid w:val="00EE3961"/>
    <w:rsid w:val="00EE3B05"/>
    <w:rsid w:val="00EE4028"/>
    <w:rsid w:val="00EE4431"/>
    <w:rsid w:val="00EE4527"/>
    <w:rsid w:val="00EE4B36"/>
    <w:rsid w:val="00EE4F6C"/>
    <w:rsid w:val="00EE5203"/>
    <w:rsid w:val="00EE5BA6"/>
    <w:rsid w:val="00EE5CEE"/>
    <w:rsid w:val="00EE6FA1"/>
    <w:rsid w:val="00EE7297"/>
    <w:rsid w:val="00EE796A"/>
    <w:rsid w:val="00EE7B18"/>
    <w:rsid w:val="00EE7F3A"/>
    <w:rsid w:val="00EF0115"/>
    <w:rsid w:val="00EF05A9"/>
    <w:rsid w:val="00EF096D"/>
    <w:rsid w:val="00EF09B5"/>
    <w:rsid w:val="00EF0C9A"/>
    <w:rsid w:val="00EF0ECF"/>
    <w:rsid w:val="00EF10DC"/>
    <w:rsid w:val="00EF1220"/>
    <w:rsid w:val="00EF1376"/>
    <w:rsid w:val="00EF15D1"/>
    <w:rsid w:val="00EF15DD"/>
    <w:rsid w:val="00EF1B7E"/>
    <w:rsid w:val="00EF22FD"/>
    <w:rsid w:val="00EF28A0"/>
    <w:rsid w:val="00EF2923"/>
    <w:rsid w:val="00EF299A"/>
    <w:rsid w:val="00EF2C94"/>
    <w:rsid w:val="00EF2ED0"/>
    <w:rsid w:val="00EF30E0"/>
    <w:rsid w:val="00EF338C"/>
    <w:rsid w:val="00EF3B98"/>
    <w:rsid w:val="00EF4461"/>
    <w:rsid w:val="00EF4764"/>
    <w:rsid w:val="00EF4C8A"/>
    <w:rsid w:val="00EF4F00"/>
    <w:rsid w:val="00EF5595"/>
    <w:rsid w:val="00EF5605"/>
    <w:rsid w:val="00EF56EB"/>
    <w:rsid w:val="00EF5A76"/>
    <w:rsid w:val="00EF5C99"/>
    <w:rsid w:val="00EF5E91"/>
    <w:rsid w:val="00EF601C"/>
    <w:rsid w:val="00EF62CE"/>
    <w:rsid w:val="00EF636B"/>
    <w:rsid w:val="00EF6C8B"/>
    <w:rsid w:val="00EF7401"/>
    <w:rsid w:val="00EF7A2B"/>
    <w:rsid w:val="00EF7F99"/>
    <w:rsid w:val="00F00B05"/>
    <w:rsid w:val="00F00E3E"/>
    <w:rsid w:val="00F034C4"/>
    <w:rsid w:val="00F0374D"/>
    <w:rsid w:val="00F03766"/>
    <w:rsid w:val="00F03A1D"/>
    <w:rsid w:val="00F05999"/>
    <w:rsid w:val="00F05FAC"/>
    <w:rsid w:val="00F06404"/>
    <w:rsid w:val="00F06657"/>
    <w:rsid w:val="00F06B2A"/>
    <w:rsid w:val="00F06F7A"/>
    <w:rsid w:val="00F07101"/>
    <w:rsid w:val="00F074FE"/>
    <w:rsid w:val="00F0776E"/>
    <w:rsid w:val="00F10061"/>
    <w:rsid w:val="00F10297"/>
    <w:rsid w:val="00F107CD"/>
    <w:rsid w:val="00F11365"/>
    <w:rsid w:val="00F113F8"/>
    <w:rsid w:val="00F11984"/>
    <w:rsid w:val="00F1268F"/>
    <w:rsid w:val="00F128AD"/>
    <w:rsid w:val="00F12AC2"/>
    <w:rsid w:val="00F12CFD"/>
    <w:rsid w:val="00F1314D"/>
    <w:rsid w:val="00F13249"/>
    <w:rsid w:val="00F13454"/>
    <w:rsid w:val="00F1353C"/>
    <w:rsid w:val="00F140CE"/>
    <w:rsid w:val="00F14E78"/>
    <w:rsid w:val="00F15642"/>
    <w:rsid w:val="00F158FB"/>
    <w:rsid w:val="00F15969"/>
    <w:rsid w:val="00F1640E"/>
    <w:rsid w:val="00F168AA"/>
    <w:rsid w:val="00F168EE"/>
    <w:rsid w:val="00F16E54"/>
    <w:rsid w:val="00F178F7"/>
    <w:rsid w:val="00F178FF"/>
    <w:rsid w:val="00F17C16"/>
    <w:rsid w:val="00F17D8A"/>
    <w:rsid w:val="00F20D6A"/>
    <w:rsid w:val="00F21945"/>
    <w:rsid w:val="00F21A27"/>
    <w:rsid w:val="00F22162"/>
    <w:rsid w:val="00F222C1"/>
    <w:rsid w:val="00F22771"/>
    <w:rsid w:val="00F23868"/>
    <w:rsid w:val="00F24363"/>
    <w:rsid w:val="00F24608"/>
    <w:rsid w:val="00F24701"/>
    <w:rsid w:val="00F24ADB"/>
    <w:rsid w:val="00F24C58"/>
    <w:rsid w:val="00F26CAB"/>
    <w:rsid w:val="00F276CE"/>
    <w:rsid w:val="00F27CB2"/>
    <w:rsid w:val="00F304FF"/>
    <w:rsid w:val="00F306BC"/>
    <w:rsid w:val="00F306FE"/>
    <w:rsid w:val="00F3072C"/>
    <w:rsid w:val="00F30BCE"/>
    <w:rsid w:val="00F316EA"/>
    <w:rsid w:val="00F31C60"/>
    <w:rsid w:val="00F31D10"/>
    <w:rsid w:val="00F32CAD"/>
    <w:rsid w:val="00F32E8E"/>
    <w:rsid w:val="00F3325E"/>
    <w:rsid w:val="00F3392C"/>
    <w:rsid w:val="00F33C7D"/>
    <w:rsid w:val="00F33DB8"/>
    <w:rsid w:val="00F33E73"/>
    <w:rsid w:val="00F34590"/>
    <w:rsid w:val="00F34879"/>
    <w:rsid w:val="00F34954"/>
    <w:rsid w:val="00F34D1C"/>
    <w:rsid w:val="00F3529B"/>
    <w:rsid w:val="00F353A7"/>
    <w:rsid w:val="00F35D0F"/>
    <w:rsid w:val="00F362DE"/>
    <w:rsid w:val="00F36D8D"/>
    <w:rsid w:val="00F36E2B"/>
    <w:rsid w:val="00F401E3"/>
    <w:rsid w:val="00F402B3"/>
    <w:rsid w:val="00F41100"/>
    <w:rsid w:val="00F42A12"/>
    <w:rsid w:val="00F42B40"/>
    <w:rsid w:val="00F44297"/>
    <w:rsid w:val="00F451A9"/>
    <w:rsid w:val="00F458B1"/>
    <w:rsid w:val="00F45E56"/>
    <w:rsid w:val="00F469DA"/>
    <w:rsid w:val="00F46A2C"/>
    <w:rsid w:val="00F46AAB"/>
    <w:rsid w:val="00F4704A"/>
    <w:rsid w:val="00F474E2"/>
    <w:rsid w:val="00F47651"/>
    <w:rsid w:val="00F47D52"/>
    <w:rsid w:val="00F50053"/>
    <w:rsid w:val="00F50202"/>
    <w:rsid w:val="00F50630"/>
    <w:rsid w:val="00F50ABF"/>
    <w:rsid w:val="00F50BFF"/>
    <w:rsid w:val="00F518A0"/>
    <w:rsid w:val="00F51DA2"/>
    <w:rsid w:val="00F51E56"/>
    <w:rsid w:val="00F52630"/>
    <w:rsid w:val="00F52667"/>
    <w:rsid w:val="00F5274F"/>
    <w:rsid w:val="00F52990"/>
    <w:rsid w:val="00F52D5F"/>
    <w:rsid w:val="00F530EA"/>
    <w:rsid w:val="00F5331D"/>
    <w:rsid w:val="00F536D0"/>
    <w:rsid w:val="00F53DC7"/>
    <w:rsid w:val="00F5573F"/>
    <w:rsid w:val="00F561CB"/>
    <w:rsid w:val="00F56308"/>
    <w:rsid w:val="00F5659F"/>
    <w:rsid w:val="00F574F4"/>
    <w:rsid w:val="00F5752F"/>
    <w:rsid w:val="00F5766E"/>
    <w:rsid w:val="00F576EE"/>
    <w:rsid w:val="00F57723"/>
    <w:rsid w:val="00F57D4F"/>
    <w:rsid w:val="00F601BA"/>
    <w:rsid w:val="00F604C5"/>
    <w:rsid w:val="00F604DD"/>
    <w:rsid w:val="00F60EA1"/>
    <w:rsid w:val="00F6116F"/>
    <w:rsid w:val="00F621E0"/>
    <w:rsid w:val="00F623FE"/>
    <w:rsid w:val="00F628E9"/>
    <w:rsid w:val="00F62A2C"/>
    <w:rsid w:val="00F62CED"/>
    <w:rsid w:val="00F63F58"/>
    <w:rsid w:val="00F64989"/>
    <w:rsid w:val="00F653AF"/>
    <w:rsid w:val="00F65898"/>
    <w:rsid w:val="00F65DC7"/>
    <w:rsid w:val="00F66051"/>
    <w:rsid w:val="00F66140"/>
    <w:rsid w:val="00F6641C"/>
    <w:rsid w:val="00F66742"/>
    <w:rsid w:val="00F667F5"/>
    <w:rsid w:val="00F668E6"/>
    <w:rsid w:val="00F67641"/>
    <w:rsid w:val="00F67C57"/>
    <w:rsid w:val="00F67ECB"/>
    <w:rsid w:val="00F67F9F"/>
    <w:rsid w:val="00F70B25"/>
    <w:rsid w:val="00F70ED4"/>
    <w:rsid w:val="00F71129"/>
    <w:rsid w:val="00F7144B"/>
    <w:rsid w:val="00F71469"/>
    <w:rsid w:val="00F71644"/>
    <w:rsid w:val="00F719F5"/>
    <w:rsid w:val="00F71D37"/>
    <w:rsid w:val="00F72A6B"/>
    <w:rsid w:val="00F73283"/>
    <w:rsid w:val="00F73C70"/>
    <w:rsid w:val="00F74348"/>
    <w:rsid w:val="00F746D9"/>
    <w:rsid w:val="00F74947"/>
    <w:rsid w:val="00F74D05"/>
    <w:rsid w:val="00F74E90"/>
    <w:rsid w:val="00F7556D"/>
    <w:rsid w:val="00F75B31"/>
    <w:rsid w:val="00F762CA"/>
    <w:rsid w:val="00F76652"/>
    <w:rsid w:val="00F77C87"/>
    <w:rsid w:val="00F800C5"/>
    <w:rsid w:val="00F8029C"/>
    <w:rsid w:val="00F80806"/>
    <w:rsid w:val="00F81538"/>
    <w:rsid w:val="00F81C59"/>
    <w:rsid w:val="00F81D37"/>
    <w:rsid w:val="00F81F41"/>
    <w:rsid w:val="00F82300"/>
    <w:rsid w:val="00F82635"/>
    <w:rsid w:val="00F8268D"/>
    <w:rsid w:val="00F82C66"/>
    <w:rsid w:val="00F82E0E"/>
    <w:rsid w:val="00F830A1"/>
    <w:rsid w:val="00F8320B"/>
    <w:rsid w:val="00F8339F"/>
    <w:rsid w:val="00F83492"/>
    <w:rsid w:val="00F83880"/>
    <w:rsid w:val="00F83904"/>
    <w:rsid w:val="00F83B7D"/>
    <w:rsid w:val="00F83D90"/>
    <w:rsid w:val="00F84040"/>
    <w:rsid w:val="00F84E06"/>
    <w:rsid w:val="00F84F40"/>
    <w:rsid w:val="00F85C2B"/>
    <w:rsid w:val="00F85C66"/>
    <w:rsid w:val="00F870A9"/>
    <w:rsid w:val="00F870D6"/>
    <w:rsid w:val="00F871EE"/>
    <w:rsid w:val="00F877CA"/>
    <w:rsid w:val="00F87911"/>
    <w:rsid w:val="00F87D34"/>
    <w:rsid w:val="00F90779"/>
    <w:rsid w:val="00F9085C"/>
    <w:rsid w:val="00F90C60"/>
    <w:rsid w:val="00F90DF6"/>
    <w:rsid w:val="00F910D7"/>
    <w:rsid w:val="00F9137D"/>
    <w:rsid w:val="00F9138E"/>
    <w:rsid w:val="00F91542"/>
    <w:rsid w:val="00F917FC"/>
    <w:rsid w:val="00F91C7C"/>
    <w:rsid w:val="00F91F21"/>
    <w:rsid w:val="00F9201C"/>
    <w:rsid w:val="00F924F7"/>
    <w:rsid w:val="00F92BA0"/>
    <w:rsid w:val="00F92BA4"/>
    <w:rsid w:val="00F92EB5"/>
    <w:rsid w:val="00F9341A"/>
    <w:rsid w:val="00F935FD"/>
    <w:rsid w:val="00F94022"/>
    <w:rsid w:val="00F9405B"/>
    <w:rsid w:val="00F9522E"/>
    <w:rsid w:val="00F953F8"/>
    <w:rsid w:val="00F95509"/>
    <w:rsid w:val="00F955F0"/>
    <w:rsid w:val="00F96304"/>
    <w:rsid w:val="00F975C8"/>
    <w:rsid w:val="00F9795A"/>
    <w:rsid w:val="00F97E00"/>
    <w:rsid w:val="00F97F30"/>
    <w:rsid w:val="00FA0429"/>
    <w:rsid w:val="00FA06FB"/>
    <w:rsid w:val="00FA07F7"/>
    <w:rsid w:val="00FA0E0A"/>
    <w:rsid w:val="00FA11C9"/>
    <w:rsid w:val="00FA127B"/>
    <w:rsid w:val="00FA13E1"/>
    <w:rsid w:val="00FA18BB"/>
    <w:rsid w:val="00FA2001"/>
    <w:rsid w:val="00FA249E"/>
    <w:rsid w:val="00FA27F2"/>
    <w:rsid w:val="00FA280E"/>
    <w:rsid w:val="00FA3068"/>
    <w:rsid w:val="00FA38BA"/>
    <w:rsid w:val="00FA3A6E"/>
    <w:rsid w:val="00FA44B6"/>
    <w:rsid w:val="00FA46F8"/>
    <w:rsid w:val="00FA4AC0"/>
    <w:rsid w:val="00FA4DA6"/>
    <w:rsid w:val="00FA5AEE"/>
    <w:rsid w:val="00FA5B93"/>
    <w:rsid w:val="00FA5E9B"/>
    <w:rsid w:val="00FA64D4"/>
    <w:rsid w:val="00FA6C8D"/>
    <w:rsid w:val="00FA7D31"/>
    <w:rsid w:val="00FA7D61"/>
    <w:rsid w:val="00FA7E98"/>
    <w:rsid w:val="00FB0157"/>
    <w:rsid w:val="00FB034D"/>
    <w:rsid w:val="00FB09A4"/>
    <w:rsid w:val="00FB0C08"/>
    <w:rsid w:val="00FB0D57"/>
    <w:rsid w:val="00FB0DE7"/>
    <w:rsid w:val="00FB1491"/>
    <w:rsid w:val="00FB14D1"/>
    <w:rsid w:val="00FB151A"/>
    <w:rsid w:val="00FB164F"/>
    <w:rsid w:val="00FB17A0"/>
    <w:rsid w:val="00FB18E8"/>
    <w:rsid w:val="00FB1B72"/>
    <w:rsid w:val="00FB2C7C"/>
    <w:rsid w:val="00FB2D4E"/>
    <w:rsid w:val="00FB2EF0"/>
    <w:rsid w:val="00FB3185"/>
    <w:rsid w:val="00FB3207"/>
    <w:rsid w:val="00FB359A"/>
    <w:rsid w:val="00FB3B1B"/>
    <w:rsid w:val="00FB3C5C"/>
    <w:rsid w:val="00FB4299"/>
    <w:rsid w:val="00FB4500"/>
    <w:rsid w:val="00FB45C1"/>
    <w:rsid w:val="00FB534F"/>
    <w:rsid w:val="00FB5401"/>
    <w:rsid w:val="00FB5C2D"/>
    <w:rsid w:val="00FB5C54"/>
    <w:rsid w:val="00FB5DDD"/>
    <w:rsid w:val="00FB5EC0"/>
    <w:rsid w:val="00FB5F55"/>
    <w:rsid w:val="00FB65C7"/>
    <w:rsid w:val="00FB7471"/>
    <w:rsid w:val="00FB76CD"/>
    <w:rsid w:val="00FB796C"/>
    <w:rsid w:val="00FC030D"/>
    <w:rsid w:val="00FC033D"/>
    <w:rsid w:val="00FC1019"/>
    <w:rsid w:val="00FC18B2"/>
    <w:rsid w:val="00FC1B85"/>
    <w:rsid w:val="00FC1BD0"/>
    <w:rsid w:val="00FC1D96"/>
    <w:rsid w:val="00FC218B"/>
    <w:rsid w:val="00FC2400"/>
    <w:rsid w:val="00FC2458"/>
    <w:rsid w:val="00FC2AF4"/>
    <w:rsid w:val="00FC2C18"/>
    <w:rsid w:val="00FC3072"/>
    <w:rsid w:val="00FC3CB8"/>
    <w:rsid w:val="00FC4451"/>
    <w:rsid w:val="00FC4588"/>
    <w:rsid w:val="00FC4B8D"/>
    <w:rsid w:val="00FC4FA0"/>
    <w:rsid w:val="00FC51C7"/>
    <w:rsid w:val="00FC53D4"/>
    <w:rsid w:val="00FC5594"/>
    <w:rsid w:val="00FC562C"/>
    <w:rsid w:val="00FC5838"/>
    <w:rsid w:val="00FC59BA"/>
    <w:rsid w:val="00FC730E"/>
    <w:rsid w:val="00FC7371"/>
    <w:rsid w:val="00FC7FE6"/>
    <w:rsid w:val="00FD08E5"/>
    <w:rsid w:val="00FD0E17"/>
    <w:rsid w:val="00FD0FB4"/>
    <w:rsid w:val="00FD16D2"/>
    <w:rsid w:val="00FD1706"/>
    <w:rsid w:val="00FD1F09"/>
    <w:rsid w:val="00FD2DB4"/>
    <w:rsid w:val="00FD2DBB"/>
    <w:rsid w:val="00FD2F6D"/>
    <w:rsid w:val="00FD36FF"/>
    <w:rsid w:val="00FD3C3A"/>
    <w:rsid w:val="00FD3E6D"/>
    <w:rsid w:val="00FD3E94"/>
    <w:rsid w:val="00FD4222"/>
    <w:rsid w:val="00FD45E6"/>
    <w:rsid w:val="00FD49AF"/>
    <w:rsid w:val="00FD49EC"/>
    <w:rsid w:val="00FD4BBF"/>
    <w:rsid w:val="00FD54EC"/>
    <w:rsid w:val="00FD55E9"/>
    <w:rsid w:val="00FD5ABD"/>
    <w:rsid w:val="00FD6181"/>
    <w:rsid w:val="00FD67AE"/>
    <w:rsid w:val="00FD69FA"/>
    <w:rsid w:val="00FD6A43"/>
    <w:rsid w:val="00FD6B2D"/>
    <w:rsid w:val="00FD6CD2"/>
    <w:rsid w:val="00FE0FE6"/>
    <w:rsid w:val="00FE116E"/>
    <w:rsid w:val="00FE1261"/>
    <w:rsid w:val="00FE1BA2"/>
    <w:rsid w:val="00FE1E94"/>
    <w:rsid w:val="00FE2387"/>
    <w:rsid w:val="00FE277F"/>
    <w:rsid w:val="00FE29F5"/>
    <w:rsid w:val="00FE3A84"/>
    <w:rsid w:val="00FE3E46"/>
    <w:rsid w:val="00FE3F19"/>
    <w:rsid w:val="00FE42BF"/>
    <w:rsid w:val="00FE4449"/>
    <w:rsid w:val="00FE48A3"/>
    <w:rsid w:val="00FE4DF5"/>
    <w:rsid w:val="00FE507C"/>
    <w:rsid w:val="00FE52AB"/>
    <w:rsid w:val="00FE54EE"/>
    <w:rsid w:val="00FE57E1"/>
    <w:rsid w:val="00FE58DB"/>
    <w:rsid w:val="00FE58E8"/>
    <w:rsid w:val="00FE60AB"/>
    <w:rsid w:val="00FE66C6"/>
    <w:rsid w:val="00FE6F45"/>
    <w:rsid w:val="00FE7238"/>
    <w:rsid w:val="00FE776C"/>
    <w:rsid w:val="00FE79E9"/>
    <w:rsid w:val="00FE7FA6"/>
    <w:rsid w:val="00FF0026"/>
    <w:rsid w:val="00FF045D"/>
    <w:rsid w:val="00FF0808"/>
    <w:rsid w:val="00FF0882"/>
    <w:rsid w:val="00FF09BF"/>
    <w:rsid w:val="00FF0C96"/>
    <w:rsid w:val="00FF208A"/>
    <w:rsid w:val="00FF2B79"/>
    <w:rsid w:val="00FF2D6D"/>
    <w:rsid w:val="00FF33C9"/>
    <w:rsid w:val="00FF382A"/>
    <w:rsid w:val="00FF3DD7"/>
    <w:rsid w:val="00FF3E24"/>
    <w:rsid w:val="00FF4263"/>
    <w:rsid w:val="00FF44B0"/>
    <w:rsid w:val="00FF488F"/>
    <w:rsid w:val="00FF5FF0"/>
    <w:rsid w:val="00FF65F1"/>
    <w:rsid w:val="00FF65FC"/>
    <w:rsid w:val="00FF6A50"/>
    <w:rsid w:val="00FF6AD5"/>
    <w:rsid w:val="00FF6BEA"/>
    <w:rsid w:val="00FF6D56"/>
    <w:rsid w:val="00FF71E8"/>
    <w:rsid w:val="00FF7707"/>
    <w:rsid w:val="00FF79AE"/>
    <w:rsid w:val="00FF7A38"/>
    <w:rsid w:val="0236A0A1"/>
    <w:rsid w:val="121D0787"/>
    <w:rsid w:val="12DE7016"/>
    <w:rsid w:val="16DB1887"/>
    <w:rsid w:val="18F26695"/>
    <w:rsid w:val="19068504"/>
    <w:rsid w:val="1CB2B745"/>
    <w:rsid w:val="1D49AF55"/>
    <w:rsid w:val="1DDA8D9F"/>
    <w:rsid w:val="223EA59A"/>
    <w:rsid w:val="254ADB76"/>
    <w:rsid w:val="3346F8E9"/>
    <w:rsid w:val="348A20F2"/>
    <w:rsid w:val="395D9F0B"/>
    <w:rsid w:val="40A2B5C8"/>
    <w:rsid w:val="41F0ACE1"/>
    <w:rsid w:val="42C3D650"/>
    <w:rsid w:val="44FD4A2D"/>
    <w:rsid w:val="46133630"/>
    <w:rsid w:val="49DF9123"/>
    <w:rsid w:val="49E0736A"/>
    <w:rsid w:val="4A5532B9"/>
    <w:rsid w:val="4CF8480C"/>
    <w:rsid w:val="4D317D7B"/>
    <w:rsid w:val="4D9DF79A"/>
    <w:rsid w:val="4F959B36"/>
    <w:rsid w:val="546ACB8A"/>
    <w:rsid w:val="5D4E7DDA"/>
    <w:rsid w:val="5F0B27A7"/>
    <w:rsid w:val="68B7FE3A"/>
    <w:rsid w:val="6C622AE5"/>
    <w:rsid w:val="71CF63F7"/>
    <w:rsid w:val="7284561E"/>
    <w:rsid w:val="72A2A87F"/>
    <w:rsid w:val="73E374C7"/>
    <w:rsid w:val="79366A6D"/>
    <w:rsid w:val="7E166E95"/>
    <w:rsid w:val="7F2E86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EE7BD00"/>
  <w15:chartTrackingRefBased/>
  <w15:docId w15:val="{45F3AD4F-40A8-4FFF-AA3F-D8E22B60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56"/>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D3756"/>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D3756"/>
    <w:pPr>
      <w:spacing w:before="240" w:after="240"/>
      <w:outlineLvl w:val="1"/>
    </w:pPr>
    <w:rPr>
      <w:rFonts w:ascii="Arial Bold" w:hAnsi="Arial Bold"/>
      <w:b/>
      <w:sz w:val="26"/>
    </w:rPr>
  </w:style>
  <w:style w:type="paragraph" w:styleId="Heading3">
    <w:name w:val="heading 3"/>
    <w:basedOn w:val="HeadingBase"/>
    <w:next w:val="Normal"/>
    <w:link w:val="Heading3Char"/>
    <w:qFormat/>
    <w:rsid w:val="00AD3756"/>
    <w:pPr>
      <w:spacing w:before="120" w:after="120"/>
      <w:outlineLvl w:val="2"/>
    </w:pPr>
    <w:rPr>
      <w:rFonts w:ascii="Arial Bold" w:hAnsi="Arial Bold"/>
      <w:b/>
      <w:sz w:val="22"/>
    </w:rPr>
  </w:style>
  <w:style w:type="paragraph" w:styleId="Heading4">
    <w:name w:val="heading 4"/>
    <w:basedOn w:val="HeadingBase"/>
    <w:next w:val="Normal"/>
    <w:link w:val="Heading4Char"/>
    <w:qFormat/>
    <w:rsid w:val="00AD3756"/>
    <w:pPr>
      <w:spacing w:after="120"/>
      <w:outlineLvl w:val="3"/>
    </w:pPr>
    <w:rPr>
      <w:rFonts w:ascii="Arial Bold" w:hAnsi="Arial Bold"/>
      <w:b/>
      <w:sz w:val="20"/>
    </w:rPr>
  </w:style>
  <w:style w:type="paragraph" w:styleId="Heading5">
    <w:name w:val="heading 5"/>
    <w:basedOn w:val="HeadingBase"/>
    <w:next w:val="Normal"/>
    <w:link w:val="Heading5Char"/>
    <w:qFormat/>
    <w:rsid w:val="00AD3756"/>
    <w:pPr>
      <w:spacing w:after="120"/>
      <w:outlineLvl w:val="4"/>
    </w:pPr>
    <w:rPr>
      <w:bCs/>
      <w:i/>
      <w:iCs/>
      <w:sz w:val="20"/>
      <w:szCs w:val="26"/>
    </w:rPr>
  </w:style>
  <w:style w:type="paragraph" w:styleId="Heading6">
    <w:name w:val="heading 6"/>
    <w:basedOn w:val="HeadingBase"/>
    <w:next w:val="Normal"/>
    <w:link w:val="Heading6Char"/>
    <w:rsid w:val="00AD3756"/>
    <w:pPr>
      <w:spacing w:after="120"/>
      <w:outlineLvl w:val="5"/>
    </w:pPr>
    <w:rPr>
      <w:bCs/>
      <w:sz w:val="20"/>
      <w:szCs w:val="22"/>
    </w:rPr>
  </w:style>
  <w:style w:type="paragraph" w:styleId="Heading7">
    <w:name w:val="heading 7"/>
    <w:basedOn w:val="HeadingBase"/>
    <w:next w:val="Normal"/>
    <w:link w:val="Heading7Char"/>
    <w:rsid w:val="00AD3756"/>
    <w:pPr>
      <w:spacing w:before="120"/>
      <w:outlineLvl w:val="6"/>
    </w:pPr>
    <w:rPr>
      <w:sz w:val="20"/>
      <w:szCs w:val="24"/>
    </w:rPr>
  </w:style>
  <w:style w:type="paragraph" w:styleId="Heading8">
    <w:name w:val="heading 8"/>
    <w:basedOn w:val="HeadingBase"/>
    <w:next w:val="Normal"/>
    <w:link w:val="Heading8Char"/>
    <w:rsid w:val="00AD375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AD3756"/>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AD3756"/>
    <w:pPr>
      <w:tabs>
        <w:tab w:val="center" w:pos="4153"/>
        <w:tab w:val="right" w:pos="8306"/>
      </w:tabs>
    </w:pPr>
  </w:style>
  <w:style w:type="character" w:customStyle="1" w:styleId="HeaderChar">
    <w:name w:val="Header Char"/>
    <w:basedOn w:val="DefaultParagraphFont"/>
    <w:link w:val="Header"/>
    <w:rsid w:val="00AD3756"/>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AD3756"/>
    <w:pPr>
      <w:tabs>
        <w:tab w:val="center" w:pos="4153"/>
        <w:tab w:val="right" w:pos="8306"/>
      </w:tabs>
    </w:pPr>
  </w:style>
  <w:style w:type="character" w:customStyle="1" w:styleId="FooterChar">
    <w:name w:val="Footer Char"/>
    <w:basedOn w:val="DefaultParagraphFont"/>
    <w:link w:val="Footer"/>
    <w:rsid w:val="00AD3756"/>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AD3756"/>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AD3756"/>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AD3756"/>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AD3756"/>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AD3756"/>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AD3756"/>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AD3756"/>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AD3756"/>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AD3756"/>
    <w:pPr>
      <w:jc w:val="center"/>
    </w:pPr>
    <w:rPr>
      <w:rFonts w:ascii="Arial Bold" w:hAnsi="Arial Bold"/>
      <w:b/>
      <w:caps/>
      <w:sz w:val="22"/>
    </w:rPr>
  </w:style>
  <w:style w:type="paragraph" w:customStyle="1" w:styleId="FileProperties">
    <w:name w:val="File Properties"/>
    <w:basedOn w:val="Normal"/>
    <w:rsid w:val="00AD3756"/>
    <w:pPr>
      <w:spacing w:before="0"/>
    </w:pPr>
    <w:rPr>
      <w:i/>
    </w:rPr>
  </w:style>
  <w:style w:type="paragraph" w:customStyle="1" w:styleId="AlphaParagraph">
    <w:name w:val="Alpha Paragraph"/>
    <w:basedOn w:val="Normal"/>
    <w:rsid w:val="00AD3756"/>
    <w:pPr>
      <w:numPr>
        <w:numId w:val="1"/>
      </w:numPr>
      <w:tabs>
        <w:tab w:val="clear" w:pos="567"/>
        <w:tab w:val="num" w:pos="360"/>
      </w:tabs>
      <w:ind w:left="0" w:firstLine="0"/>
    </w:pPr>
  </w:style>
  <w:style w:type="paragraph" w:customStyle="1" w:styleId="HeadingBase">
    <w:name w:val="Heading Base"/>
    <w:rsid w:val="00AD3756"/>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AD3756"/>
    <w:rPr>
      <w:bCs/>
      <w:color w:val="002A54" w:themeColor="text2"/>
      <w:szCs w:val="52"/>
    </w:rPr>
  </w:style>
  <w:style w:type="paragraph" w:customStyle="1" w:styleId="BoxText">
    <w:name w:val="Box Text"/>
    <w:basedOn w:val="Normal"/>
    <w:link w:val="BoxTextChar"/>
    <w:qFormat/>
    <w:rsid w:val="00AD3756"/>
    <w:pPr>
      <w:spacing w:before="120" w:after="120" w:line="240" w:lineRule="auto"/>
    </w:pPr>
  </w:style>
  <w:style w:type="paragraph" w:customStyle="1" w:styleId="BoxBullet">
    <w:name w:val="Box Bullet"/>
    <w:basedOn w:val="BoxText"/>
    <w:rsid w:val="00AD3756"/>
    <w:pPr>
      <w:numPr>
        <w:numId w:val="2"/>
      </w:numPr>
    </w:pPr>
  </w:style>
  <w:style w:type="paragraph" w:customStyle="1" w:styleId="BoxHeading">
    <w:name w:val="Box Heading"/>
    <w:basedOn w:val="HeadingBase"/>
    <w:next w:val="BoxText"/>
    <w:rsid w:val="00AD3756"/>
    <w:pPr>
      <w:spacing w:before="120" w:after="120"/>
    </w:pPr>
    <w:rPr>
      <w:b/>
      <w:sz w:val="20"/>
    </w:rPr>
  </w:style>
  <w:style w:type="character" w:customStyle="1" w:styleId="Heading6Char">
    <w:name w:val="Heading 6 Char"/>
    <w:basedOn w:val="DefaultParagraphFont"/>
    <w:link w:val="Heading6"/>
    <w:rsid w:val="00AD3756"/>
    <w:rPr>
      <w:rFonts w:ascii="Arial" w:eastAsia="Times New Roman" w:hAnsi="Arial" w:cs="Times New Roman"/>
      <w:bCs/>
      <w:sz w:val="20"/>
      <w:lang w:eastAsia="en-AU"/>
    </w:rPr>
  </w:style>
  <w:style w:type="paragraph" w:customStyle="1" w:styleId="Bullet">
    <w:name w:val="Bullet"/>
    <w:aliases w:val="b,b1,b + line,level 1,Body,Bullet + line,BodyNum,Bullet Char1,Bullet Char1 Char Char Char Char,b1 Char Char Char,Bullet Char1 Char Char Char Char Char,Bullet Char1 Char Char Char,bulleted,CG-Bullet"/>
    <w:basedOn w:val="Normal"/>
    <w:link w:val="BulletChar"/>
    <w:qFormat/>
    <w:rsid w:val="00AD3756"/>
    <w:pPr>
      <w:numPr>
        <w:numId w:val="3"/>
      </w:numPr>
      <w:spacing w:after="160"/>
      <w:ind w:left="284" w:hanging="284"/>
    </w:pPr>
  </w:style>
  <w:style w:type="paragraph" w:styleId="Caption">
    <w:name w:val="caption"/>
    <w:basedOn w:val="Normal"/>
    <w:next w:val="Normal"/>
    <w:rsid w:val="00AD3756"/>
    <w:rPr>
      <w:b/>
      <w:bCs/>
    </w:rPr>
  </w:style>
  <w:style w:type="paragraph" w:customStyle="1" w:styleId="ChartandTableFootnote">
    <w:name w:val="Chart and Table Footnote"/>
    <w:basedOn w:val="HeadingBase"/>
    <w:next w:val="Normal"/>
    <w:rsid w:val="00AD3756"/>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AD3756"/>
    <w:pPr>
      <w:keepNext w:val="0"/>
      <w:numPr>
        <w:numId w:val="7"/>
      </w:numPr>
      <w:spacing w:before="30"/>
    </w:pPr>
    <w:rPr>
      <w:color w:val="000000"/>
      <w:sz w:val="16"/>
    </w:rPr>
  </w:style>
  <w:style w:type="paragraph" w:customStyle="1" w:styleId="ChartandTableFootnoteSmall">
    <w:name w:val="Chart and Table Footnote Small"/>
    <w:basedOn w:val="HeadingBase"/>
    <w:next w:val="Normal"/>
    <w:rsid w:val="00AD3756"/>
    <w:pPr>
      <w:keepNext w:val="0"/>
      <w:tabs>
        <w:tab w:val="left" w:pos="284"/>
      </w:tabs>
      <w:jc w:val="both"/>
    </w:pPr>
    <w:rPr>
      <w:color w:val="000000"/>
      <w:sz w:val="15"/>
    </w:rPr>
  </w:style>
  <w:style w:type="paragraph" w:customStyle="1" w:styleId="ChartGraphic">
    <w:name w:val="Chart Graphic"/>
    <w:basedOn w:val="HeadingBase"/>
    <w:rsid w:val="00AD3756"/>
    <w:rPr>
      <w:sz w:val="20"/>
    </w:rPr>
  </w:style>
  <w:style w:type="paragraph" w:customStyle="1" w:styleId="TableLine">
    <w:name w:val="Table Line"/>
    <w:basedOn w:val="Normal"/>
    <w:next w:val="Normal"/>
    <w:autoRedefine/>
    <w:rsid w:val="00AD3756"/>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AD3756"/>
    <w:pPr>
      <w:spacing w:after="60"/>
    </w:pPr>
    <w:rPr>
      <w:sz w:val="19"/>
    </w:rPr>
  </w:style>
  <w:style w:type="character" w:styleId="CommentReference">
    <w:name w:val="annotation reference"/>
    <w:basedOn w:val="DefaultParagraphFont"/>
    <w:semiHidden/>
    <w:rsid w:val="00AD3756"/>
    <w:rPr>
      <w:sz w:val="16"/>
      <w:szCs w:val="16"/>
    </w:rPr>
  </w:style>
  <w:style w:type="paragraph" w:styleId="CommentText">
    <w:name w:val="annotation text"/>
    <w:basedOn w:val="Normal"/>
    <w:link w:val="CommentTextChar"/>
    <w:semiHidden/>
    <w:rsid w:val="00AD3756"/>
  </w:style>
  <w:style w:type="character" w:customStyle="1" w:styleId="CommentTextChar">
    <w:name w:val="Comment Text Char"/>
    <w:basedOn w:val="DefaultParagraphFont"/>
    <w:link w:val="CommentText"/>
    <w:semiHidden/>
    <w:rsid w:val="00AD3756"/>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D3756"/>
    <w:rPr>
      <w:b/>
      <w:bCs/>
    </w:rPr>
  </w:style>
  <w:style w:type="character" w:customStyle="1" w:styleId="CommentSubjectChar">
    <w:name w:val="Comment Subject Char"/>
    <w:basedOn w:val="CommentTextChar"/>
    <w:link w:val="CommentSubject"/>
    <w:semiHidden/>
    <w:rsid w:val="00AD3756"/>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AD3756"/>
    <w:pPr>
      <w:spacing w:after="720"/>
      <w:outlineLvl w:val="9"/>
    </w:pPr>
  </w:style>
  <w:style w:type="character" w:styleId="Strong">
    <w:name w:val="Strong"/>
    <w:basedOn w:val="DefaultParagraphFont"/>
    <w:uiPriority w:val="22"/>
    <w:qFormat/>
    <w:rsid w:val="00AD3756"/>
    <w:rPr>
      <w:b/>
      <w:bCs/>
      <w:color w:val="002A54" w:themeColor="text2"/>
    </w:rPr>
  </w:style>
  <w:style w:type="paragraph" w:customStyle="1" w:styleId="Dash">
    <w:name w:val="Dash"/>
    <w:basedOn w:val="Normal"/>
    <w:qFormat/>
    <w:rsid w:val="00AD3756"/>
    <w:pPr>
      <w:numPr>
        <w:ilvl w:val="1"/>
        <w:numId w:val="3"/>
      </w:numPr>
      <w:tabs>
        <w:tab w:val="left" w:pos="567"/>
      </w:tabs>
    </w:pPr>
  </w:style>
  <w:style w:type="paragraph" w:styleId="DocumentMap">
    <w:name w:val="Document Map"/>
    <w:basedOn w:val="Normal"/>
    <w:link w:val="DocumentMapChar"/>
    <w:semiHidden/>
    <w:rsid w:val="00AD3756"/>
    <w:pPr>
      <w:shd w:val="clear" w:color="auto" w:fill="000080"/>
    </w:pPr>
    <w:rPr>
      <w:rFonts w:ascii="Tahoma" w:hAnsi="Tahoma" w:cs="Tahoma"/>
    </w:rPr>
  </w:style>
  <w:style w:type="character" w:customStyle="1" w:styleId="DocumentMapChar">
    <w:name w:val="Document Map Char"/>
    <w:basedOn w:val="DefaultParagraphFont"/>
    <w:link w:val="DocumentMap"/>
    <w:semiHidden/>
    <w:rsid w:val="00AD3756"/>
    <w:rPr>
      <w:rFonts w:ascii="Tahoma" w:eastAsia="Times New Roman" w:hAnsi="Tahoma" w:cs="Tahoma"/>
      <w:sz w:val="19"/>
      <w:szCs w:val="20"/>
      <w:shd w:val="clear" w:color="auto" w:fill="000080"/>
      <w:lang w:eastAsia="en-AU"/>
    </w:rPr>
  </w:style>
  <w:style w:type="paragraph" w:customStyle="1" w:styleId="DoubleDot">
    <w:name w:val="Double Dot"/>
    <w:basedOn w:val="Normal"/>
    <w:rsid w:val="00AD3756"/>
    <w:pPr>
      <w:numPr>
        <w:ilvl w:val="2"/>
        <w:numId w:val="3"/>
      </w:numPr>
      <w:tabs>
        <w:tab w:val="clear" w:pos="850"/>
        <w:tab w:val="num" w:pos="360"/>
        <w:tab w:val="left" w:pos="851"/>
      </w:tabs>
    </w:pPr>
  </w:style>
  <w:style w:type="paragraph" w:customStyle="1" w:styleId="FigureHeading">
    <w:name w:val="Figure Heading"/>
    <w:basedOn w:val="HeadingBase"/>
    <w:next w:val="ChartGraphic"/>
    <w:rsid w:val="00AD3756"/>
    <w:pPr>
      <w:spacing w:before="120" w:after="20"/>
    </w:pPr>
    <w:rPr>
      <w:b/>
      <w:sz w:val="20"/>
    </w:rPr>
  </w:style>
  <w:style w:type="paragraph" w:customStyle="1" w:styleId="FooterBase">
    <w:name w:val="Footer Base"/>
    <w:rsid w:val="00AD3756"/>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AD3756"/>
    <w:pPr>
      <w:pBdr>
        <w:top w:val="single" w:sz="4" w:space="10" w:color="002A54" w:themeColor="text2"/>
      </w:pBdr>
      <w:jc w:val="left"/>
    </w:pPr>
    <w:rPr>
      <w:sz w:val="18"/>
    </w:rPr>
  </w:style>
  <w:style w:type="paragraph" w:customStyle="1" w:styleId="FooterOdd">
    <w:name w:val="Footer Odd"/>
    <w:basedOn w:val="Footer"/>
    <w:qFormat/>
    <w:rsid w:val="00AD3756"/>
    <w:pPr>
      <w:pBdr>
        <w:top w:val="single" w:sz="4" w:space="10" w:color="002A54" w:themeColor="text2"/>
      </w:pBdr>
      <w:jc w:val="right"/>
    </w:pPr>
    <w:rPr>
      <w:sz w:val="18"/>
    </w:rPr>
  </w:style>
  <w:style w:type="character" w:styleId="FootnoteReference">
    <w:name w:val="footnote reference"/>
    <w:basedOn w:val="DefaultParagraphFont"/>
    <w:rsid w:val="00AD3756"/>
    <w:rPr>
      <w:vertAlign w:val="superscript"/>
    </w:rPr>
  </w:style>
  <w:style w:type="paragraph" w:styleId="FootnoteText">
    <w:name w:val="footnote text"/>
    <w:basedOn w:val="Normal"/>
    <w:link w:val="FootnoteTextChar"/>
    <w:rsid w:val="00AD3756"/>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AD375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AD3756"/>
    <w:rPr>
      <w:rFonts w:ascii="Book Antiqua" w:hAnsi="Book Antiqua"/>
      <w:i/>
      <w:dstrike w:val="0"/>
      <w:color w:val="auto"/>
      <w:sz w:val="20"/>
      <w:vertAlign w:val="baseline"/>
    </w:rPr>
  </w:style>
  <w:style w:type="paragraph" w:customStyle="1" w:styleId="HeaderBase">
    <w:name w:val="Header Base"/>
    <w:rsid w:val="00AD3756"/>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AD3756"/>
  </w:style>
  <w:style w:type="paragraph" w:customStyle="1" w:styleId="HeaderOdd">
    <w:name w:val="Header Odd"/>
    <w:basedOn w:val="HeaderBase"/>
    <w:rsid w:val="00AD3756"/>
    <w:pPr>
      <w:jc w:val="right"/>
    </w:pPr>
  </w:style>
  <w:style w:type="character" w:customStyle="1" w:styleId="Heading1Char">
    <w:name w:val="Heading 1 Char"/>
    <w:basedOn w:val="DefaultParagraphFont"/>
    <w:link w:val="Heading1"/>
    <w:rsid w:val="00AD3756"/>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D3756"/>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D3756"/>
    <w:rPr>
      <w:rFonts w:ascii="Arial Bold" w:eastAsia="Times New Roman" w:hAnsi="Arial Bold" w:cs="Times New Roman"/>
      <w:b/>
      <w:szCs w:val="20"/>
      <w:lang w:eastAsia="en-AU"/>
    </w:rPr>
  </w:style>
  <w:style w:type="paragraph" w:customStyle="1" w:styleId="Heading3noTOC">
    <w:name w:val="Heading 3 no TOC"/>
    <w:basedOn w:val="Heading3"/>
    <w:rsid w:val="00AD3756"/>
    <w:pPr>
      <w:outlineLvl w:val="9"/>
    </w:pPr>
  </w:style>
  <w:style w:type="character" w:customStyle="1" w:styleId="Heading4Char">
    <w:name w:val="Heading 4 Char"/>
    <w:basedOn w:val="DefaultParagraphFont"/>
    <w:link w:val="Heading4"/>
    <w:rsid w:val="00AD3756"/>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D375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AD3756"/>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D3756"/>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AD3756"/>
    <w:rPr>
      <w:rFonts w:ascii="Times New Roman" w:hAnsi="Times New Roman"/>
      <w:vanish/>
      <w:sz w:val="16"/>
    </w:rPr>
  </w:style>
  <w:style w:type="character" w:styleId="Hyperlink">
    <w:name w:val="Hyperlink"/>
    <w:basedOn w:val="DefaultParagraphFont"/>
    <w:uiPriority w:val="99"/>
    <w:unhideWhenUsed/>
    <w:rsid w:val="00AD3756"/>
    <w:rPr>
      <w:color w:val="auto"/>
      <w:u w:val="single"/>
    </w:rPr>
  </w:style>
  <w:style w:type="paragraph" w:styleId="Index4">
    <w:name w:val="index 4"/>
    <w:basedOn w:val="Normal"/>
    <w:next w:val="Normal"/>
    <w:autoRedefine/>
    <w:semiHidden/>
    <w:rsid w:val="00AD3756"/>
    <w:pPr>
      <w:ind w:left="800" w:hanging="200"/>
    </w:pPr>
  </w:style>
  <w:style w:type="paragraph" w:styleId="Index5">
    <w:name w:val="index 5"/>
    <w:basedOn w:val="Normal"/>
    <w:next w:val="Normal"/>
    <w:autoRedefine/>
    <w:semiHidden/>
    <w:rsid w:val="00AD3756"/>
    <w:pPr>
      <w:ind w:left="1000" w:hanging="200"/>
    </w:pPr>
  </w:style>
  <w:style w:type="paragraph" w:styleId="Index6">
    <w:name w:val="index 6"/>
    <w:basedOn w:val="Normal"/>
    <w:next w:val="Normal"/>
    <w:autoRedefine/>
    <w:semiHidden/>
    <w:rsid w:val="00AD3756"/>
    <w:pPr>
      <w:ind w:left="1200" w:hanging="200"/>
    </w:pPr>
  </w:style>
  <w:style w:type="paragraph" w:styleId="Index7">
    <w:name w:val="index 7"/>
    <w:basedOn w:val="Normal"/>
    <w:next w:val="Normal"/>
    <w:autoRedefine/>
    <w:semiHidden/>
    <w:rsid w:val="00AD3756"/>
    <w:pPr>
      <w:ind w:left="1400" w:hanging="200"/>
    </w:pPr>
  </w:style>
  <w:style w:type="paragraph" w:styleId="Index8">
    <w:name w:val="index 8"/>
    <w:basedOn w:val="Normal"/>
    <w:next w:val="Normal"/>
    <w:autoRedefine/>
    <w:semiHidden/>
    <w:rsid w:val="00AD3756"/>
    <w:pPr>
      <w:ind w:left="1600" w:hanging="200"/>
    </w:pPr>
  </w:style>
  <w:style w:type="paragraph" w:styleId="Index9">
    <w:name w:val="index 9"/>
    <w:basedOn w:val="Normal"/>
    <w:next w:val="Normal"/>
    <w:autoRedefine/>
    <w:semiHidden/>
    <w:rsid w:val="00AD3756"/>
    <w:pPr>
      <w:ind w:left="1800" w:hanging="200"/>
    </w:pPr>
  </w:style>
  <w:style w:type="paragraph" w:styleId="MacroText">
    <w:name w:val="macro"/>
    <w:link w:val="MacroTextChar"/>
    <w:unhideWhenUsed/>
    <w:rsid w:val="00AD375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D3756"/>
    <w:rPr>
      <w:rFonts w:ascii="Courier New" w:eastAsia="Times New Roman" w:hAnsi="Courier New" w:cs="Courier New"/>
      <w:sz w:val="20"/>
      <w:szCs w:val="20"/>
      <w:lang w:eastAsia="en-AU"/>
    </w:rPr>
  </w:style>
  <w:style w:type="paragraph" w:styleId="NormalIndent">
    <w:name w:val="Normal Indent"/>
    <w:basedOn w:val="Normal"/>
    <w:rsid w:val="00AD3756"/>
    <w:pPr>
      <w:ind w:left="567"/>
    </w:pPr>
  </w:style>
  <w:style w:type="paragraph" w:customStyle="1" w:styleId="NoteTableHeading">
    <w:name w:val="Note Table Heading"/>
    <w:basedOn w:val="HeadingBase"/>
    <w:next w:val="Normal"/>
    <w:rsid w:val="00AD3756"/>
    <w:pPr>
      <w:spacing w:before="240"/>
    </w:pPr>
    <w:rPr>
      <w:b/>
      <w:sz w:val="20"/>
    </w:rPr>
  </w:style>
  <w:style w:type="paragraph" w:customStyle="1" w:styleId="OverviewParagraph">
    <w:name w:val="Overview Paragraph"/>
    <w:basedOn w:val="Normal"/>
    <w:rsid w:val="00AD3756"/>
    <w:pPr>
      <w:spacing w:before="120" w:after="120" w:line="240" w:lineRule="auto"/>
    </w:pPr>
  </w:style>
  <w:style w:type="character" w:styleId="PageNumber">
    <w:name w:val="page number"/>
    <w:basedOn w:val="DefaultParagraphFont"/>
    <w:rsid w:val="00AD3756"/>
    <w:rPr>
      <w:rFonts w:ascii="Arial" w:hAnsi="Arial" w:cs="Arial"/>
    </w:rPr>
  </w:style>
  <w:style w:type="paragraph" w:customStyle="1" w:styleId="SingleParagraph">
    <w:name w:val="Single Paragraph"/>
    <w:basedOn w:val="Normal"/>
    <w:rsid w:val="00AD3756"/>
    <w:pPr>
      <w:spacing w:before="0" w:after="0"/>
    </w:pPr>
  </w:style>
  <w:style w:type="paragraph" w:customStyle="1" w:styleId="Source">
    <w:name w:val="Source"/>
    <w:basedOn w:val="Normal"/>
    <w:rsid w:val="00AD3756"/>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AD3756"/>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AD3756"/>
    <w:pPr>
      <w:jc w:val="center"/>
    </w:pPr>
  </w:style>
  <w:style w:type="paragraph" w:customStyle="1" w:styleId="TableColumnHeadingLeft">
    <w:name w:val="Table Column Heading Left"/>
    <w:basedOn w:val="TableColumnHeadingBase"/>
    <w:next w:val="Normal"/>
    <w:rsid w:val="00AD3756"/>
  </w:style>
  <w:style w:type="paragraph" w:customStyle="1" w:styleId="TableColumnHeadingRight">
    <w:name w:val="Table Column Heading Right"/>
    <w:basedOn w:val="TableColumnHeadingBase"/>
    <w:next w:val="Normal"/>
    <w:rsid w:val="00AD3756"/>
    <w:pPr>
      <w:jc w:val="right"/>
    </w:pPr>
  </w:style>
  <w:style w:type="paragraph" w:customStyle="1" w:styleId="TableGraphic">
    <w:name w:val="Table Graphic"/>
    <w:basedOn w:val="Normal"/>
    <w:next w:val="Normal"/>
    <w:rsid w:val="00AD3756"/>
    <w:pPr>
      <w:spacing w:after="0" w:line="240" w:lineRule="auto"/>
      <w:ind w:right="-113"/>
    </w:pPr>
  </w:style>
  <w:style w:type="table" w:styleId="TableGrid">
    <w:name w:val="Table Grid"/>
    <w:basedOn w:val="TableNormal"/>
    <w:rsid w:val="00AD3756"/>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AD3756"/>
    <w:pPr>
      <w:spacing w:before="120" w:after="20"/>
    </w:pPr>
    <w:rPr>
      <w:b/>
      <w:sz w:val="20"/>
    </w:rPr>
  </w:style>
  <w:style w:type="paragraph" w:customStyle="1" w:styleId="TableHeadingcontinued">
    <w:name w:val="Table Heading continued"/>
    <w:basedOn w:val="HeadingBase"/>
    <w:next w:val="TableGraphic"/>
    <w:rsid w:val="00AD3756"/>
    <w:pPr>
      <w:spacing w:before="120" w:after="20"/>
    </w:pPr>
    <w:rPr>
      <w:rFonts w:ascii="Arial Bold" w:hAnsi="Arial Bold"/>
      <w:b/>
      <w:sz w:val="20"/>
    </w:rPr>
  </w:style>
  <w:style w:type="paragraph" w:styleId="TableofFigures">
    <w:name w:val="table of figures"/>
    <w:basedOn w:val="Normal"/>
    <w:next w:val="Normal"/>
    <w:rsid w:val="00AD3756"/>
  </w:style>
  <w:style w:type="paragraph" w:customStyle="1" w:styleId="TableTextBase">
    <w:name w:val="Table Text Base"/>
    <w:basedOn w:val="Normal"/>
    <w:rsid w:val="00AD3756"/>
    <w:pPr>
      <w:spacing w:before="20" w:after="20" w:line="240" w:lineRule="auto"/>
    </w:pPr>
    <w:rPr>
      <w:rFonts w:ascii="Arial" w:hAnsi="Arial"/>
      <w:sz w:val="16"/>
    </w:rPr>
  </w:style>
  <w:style w:type="paragraph" w:customStyle="1" w:styleId="TableTextCentred">
    <w:name w:val="Table Text Centred"/>
    <w:basedOn w:val="TableTextBase"/>
    <w:rsid w:val="00AD3756"/>
    <w:pPr>
      <w:jc w:val="center"/>
    </w:pPr>
  </w:style>
  <w:style w:type="paragraph" w:customStyle="1" w:styleId="TableTextIndented">
    <w:name w:val="Table Text Indented"/>
    <w:basedOn w:val="TableTextBase"/>
    <w:rsid w:val="00AD3756"/>
    <w:pPr>
      <w:ind w:left="284"/>
    </w:pPr>
  </w:style>
  <w:style w:type="paragraph" w:customStyle="1" w:styleId="TableTextLeft">
    <w:name w:val="Table Text Left"/>
    <w:basedOn w:val="TableTextBase"/>
    <w:rsid w:val="00AD3756"/>
  </w:style>
  <w:style w:type="paragraph" w:customStyle="1" w:styleId="TableTextRight">
    <w:name w:val="Table Text Right"/>
    <w:basedOn w:val="TableTextBase"/>
    <w:rsid w:val="00AD3756"/>
    <w:pPr>
      <w:jc w:val="right"/>
    </w:pPr>
  </w:style>
  <w:style w:type="paragraph" w:styleId="TOAHeading">
    <w:name w:val="toa heading"/>
    <w:basedOn w:val="Normal"/>
    <w:next w:val="Normal"/>
    <w:rsid w:val="00AD3756"/>
    <w:pPr>
      <w:spacing w:before="120"/>
    </w:pPr>
    <w:rPr>
      <w:rFonts w:ascii="Arial" w:hAnsi="Arial" w:cs="Arial"/>
      <w:b/>
      <w:bCs/>
      <w:sz w:val="24"/>
      <w:szCs w:val="24"/>
    </w:rPr>
  </w:style>
  <w:style w:type="paragraph" w:styleId="TOC1">
    <w:name w:val="toc 1"/>
    <w:basedOn w:val="HeaderBase"/>
    <w:next w:val="Normal"/>
    <w:uiPriority w:val="2"/>
    <w:rsid w:val="00AD3756"/>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AD3756"/>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D3756"/>
    <w:pPr>
      <w:tabs>
        <w:tab w:val="right" w:leader="dot" w:pos="7700"/>
      </w:tabs>
      <w:spacing w:before="40"/>
      <w:ind w:right="851"/>
    </w:pPr>
    <w:rPr>
      <w:sz w:val="20"/>
    </w:rPr>
  </w:style>
  <w:style w:type="paragraph" w:styleId="TOC4">
    <w:name w:val="toc 4"/>
    <w:basedOn w:val="HeadingBase"/>
    <w:next w:val="Normal"/>
    <w:uiPriority w:val="2"/>
    <w:unhideWhenUsed/>
    <w:rsid w:val="00AD3756"/>
    <w:pPr>
      <w:tabs>
        <w:tab w:val="right" w:leader="dot" w:pos="7700"/>
      </w:tabs>
      <w:spacing w:before="40"/>
      <w:ind w:right="851"/>
    </w:pPr>
    <w:rPr>
      <w:sz w:val="20"/>
    </w:rPr>
  </w:style>
  <w:style w:type="paragraph" w:styleId="TOC5">
    <w:name w:val="toc 5"/>
    <w:basedOn w:val="Normal"/>
    <w:next w:val="Normal"/>
    <w:autoRedefine/>
    <w:uiPriority w:val="2"/>
    <w:semiHidden/>
    <w:rsid w:val="00AD3756"/>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AD3756"/>
    <w:pPr>
      <w:tabs>
        <w:tab w:val="left" w:pos="851"/>
      </w:tabs>
      <w:ind w:left="851" w:hanging="851"/>
    </w:pPr>
    <w:rPr>
      <w:color w:val="000000"/>
    </w:rPr>
  </w:style>
  <w:style w:type="paragraph" w:styleId="TOC7">
    <w:name w:val="toc 7"/>
    <w:basedOn w:val="Normal"/>
    <w:next w:val="Normal"/>
    <w:autoRedefine/>
    <w:uiPriority w:val="2"/>
    <w:semiHidden/>
    <w:rsid w:val="00AD3756"/>
    <w:pPr>
      <w:ind w:left="1200"/>
    </w:pPr>
  </w:style>
  <w:style w:type="paragraph" w:styleId="TOC8">
    <w:name w:val="toc 8"/>
    <w:basedOn w:val="Normal"/>
    <w:next w:val="Normal"/>
    <w:autoRedefine/>
    <w:uiPriority w:val="2"/>
    <w:semiHidden/>
    <w:rsid w:val="00AD3756"/>
    <w:pPr>
      <w:ind w:left="1400"/>
    </w:pPr>
  </w:style>
  <w:style w:type="paragraph" w:styleId="TOC9">
    <w:name w:val="toc 9"/>
    <w:basedOn w:val="Normal"/>
    <w:next w:val="Normal"/>
    <w:autoRedefine/>
    <w:uiPriority w:val="2"/>
    <w:semiHidden/>
    <w:rsid w:val="00AD3756"/>
    <w:pPr>
      <w:ind w:left="1600"/>
    </w:pPr>
  </w:style>
  <w:style w:type="paragraph" w:customStyle="1" w:styleId="TPHeading1">
    <w:name w:val="TP Heading 1"/>
    <w:basedOn w:val="HeadingBase"/>
    <w:semiHidden/>
    <w:rsid w:val="00AD3756"/>
    <w:pPr>
      <w:spacing w:before="60" w:after="60"/>
      <w:ind w:left="1134"/>
    </w:pPr>
    <w:rPr>
      <w:rFonts w:ascii="Arial Bold" w:hAnsi="Arial Bold"/>
      <w:b/>
      <w:caps/>
      <w:spacing w:val="-10"/>
      <w:sz w:val="28"/>
    </w:rPr>
  </w:style>
  <w:style w:type="paragraph" w:customStyle="1" w:styleId="TPHeading2">
    <w:name w:val="TP Heading 2"/>
    <w:basedOn w:val="HeadingBase"/>
    <w:semiHidden/>
    <w:rsid w:val="00AD3756"/>
    <w:pPr>
      <w:ind w:left="1134"/>
    </w:pPr>
    <w:rPr>
      <w:caps/>
      <w:spacing w:val="-10"/>
      <w:sz w:val="28"/>
    </w:rPr>
  </w:style>
  <w:style w:type="paragraph" w:customStyle="1" w:styleId="TPHeading3">
    <w:name w:val="TP Heading 3"/>
    <w:basedOn w:val="HeadingBase"/>
    <w:semiHidden/>
    <w:rsid w:val="00AD3756"/>
    <w:pPr>
      <w:ind w:left="1134"/>
    </w:pPr>
    <w:rPr>
      <w:caps/>
      <w:spacing w:val="-10"/>
    </w:rPr>
  </w:style>
  <w:style w:type="paragraph" w:customStyle="1" w:styleId="TPHeading3bold">
    <w:name w:val="TP Heading 3 bold"/>
    <w:basedOn w:val="TPHeading3"/>
    <w:semiHidden/>
    <w:rsid w:val="00AD3756"/>
    <w:rPr>
      <w:rFonts w:cs="Arial"/>
      <w:b/>
      <w:sz w:val="22"/>
      <w:szCs w:val="22"/>
    </w:rPr>
  </w:style>
  <w:style w:type="paragraph" w:customStyle="1" w:styleId="TPHEADING3boldspace">
    <w:name w:val="TP HEADING 3 bold space"/>
    <w:basedOn w:val="TPHeading3bold"/>
    <w:semiHidden/>
    <w:rsid w:val="00AD3756"/>
    <w:pPr>
      <w:spacing w:after="120"/>
    </w:pPr>
  </w:style>
  <w:style w:type="paragraph" w:customStyle="1" w:styleId="TPHEADING3space">
    <w:name w:val="TP HEADING 3 space"/>
    <w:basedOn w:val="TPHeading3"/>
    <w:semiHidden/>
    <w:rsid w:val="00AD3756"/>
    <w:pPr>
      <w:spacing w:before="120" w:after="120"/>
    </w:pPr>
    <w:rPr>
      <w:rFonts w:cs="Arial"/>
      <w:sz w:val="22"/>
      <w:szCs w:val="22"/>
    </w:rPr>
  </w:style>
  <w:style w:type="paragraph" w:customStyle="1" w:styleId="TPHeading4">
    <w:name w:val="TP Heading 4"/>
    <w:basedOn w:val="TPHeading3"/>
    <w:semiHidden/>
    <w:rsid w:val="00AD3756"/>
    <w:rPr>
      <w:sz w:val="20"/>
    </w:rPr>
  </w:style>
  <w:style w:type="paragraph" w:customStyle="1" w:styleId="TPHEADING4space">
    <w:name w:val="TP HEADING 4 space"/>
    <w:basedOn w:val="TPHEADING3space"/>
    <w:semiHidden/>
    <w:rsid w:val="00AD3756"/>
  </w:style>
  <w:style w:type="paragraph" w:customStyle="1" w:styleId="ChartLine">
    <w:name w:val="Chart Line"/>
    <w:basedOn w:val="Normal"/>
    <w:autoRedefine/>
    <w:qFormat/>
    <w:rsid w:val="00314337"/>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849D7"/>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D3756"/>
    <w:rPr>
      <w:sz w:val="16"/>
    </w:rPr>
  </w:style>
  <w:style w:type="paragraph" w:customStyle="1" w:styleId="Box-continuedon">
    <w:name w:val="Box - continued on"/>
    <w:basedOn w:val="Normal"/>
    <w:qFormat/>
    <w:rsid w:val="00AD3756"/>
    <w:pPr>
      <w:jc w:val="right"/>
    </w:pPr>
    <w:rPr>
      <w:rFonts w:asciiTheme="majorHAnsi" w:hAnsiTheme="majorHAnsi" w:cstheme="majorHAnsi"/>
      <w:i/>
      <w:iCs/>
      <w:sz w:val="18"/>
      <w:szCs w:val="24"/>
    </w:rPr>
  </w:style>
  <w:style w:type="paragraph" w:customStyle="1" w:styleId="BoxHeading2">
    <w:name w:val="Box Heading 2"/>
    <w:basedOn w:val="BoxHeading"/>
    <w:autoRedefine/>
    <w:rsid w:val="00AD3756"/>
    <w:pPr>
      <w:spacing w:after="0"/>
    </w:pPr>
    <w:rPr>
      <w:b w:val="0"/>
      <w:bCs/>
      <w:szCs w:val="14"/>
    </w:rPr>
  </w:style>
  <w:style w:type="character" w:customStyle="1" w:styleId="Heading9Char">
    <w:name w:val="Heading 9 Char"/>
    <w:basedOn w:val="DefaultParagraphFont"/>
    <w:link w:val="Heading9"/>
    <w:uiPriority w:val="9"/>
    <w:rsid w:val="00AD3756"/>
    <w:rPr>
      <w:rFonts w:ascii="Cambria" w:eastAsia="Times New Roman" w:hAnsi="Cambria" w:cs="Times New Roman"/>
      <w:lang w:eastAsia="en-AU"/>
    </w:rPr>
  </w:style>
  <w:style w:type="paragraph" w:customStyle="1" w:styleId="GhostLine">
    <w:name w:val="Ghost Line"/>
    <w:basedOn w:val="NoSpacing"/>
    <w:qFormat/>
    <w:rsid w:val="00AD3756"/>
    <w:pPr>
      <w:jc w:val="both"/>
    </w:pPr>
    <w:rPr>
      <w:rFonts w:ascii="Book Antiqua" w:hAnsi="Book Antiqua"/>
      <w:sz w:val="2"/>
    </w:rPr>
  </w:style>
  <w:style w:type="paragraph" w:styleId="NoSpacing">
    <w:name w:val="No Spacing"/>
    <w:uiPriority w:val="1"/>
    <w:qFormat/>
    <w:rsid w:val="00AD3756"/>
    <w:pPr>
      <w:spacing w:after="0" w:line="240" w:lineRule="auto"/>
    </w:pPr>
    <w:rPr>
      <w:rFonts w:eastAsia="Times New Roman" w:cs="Times New Roman"/>
      <w:sz w:val="19"/>
      <w:szCs w:val="20"/>
      <w:lang w:eastAsia="en-AU"/>
    </w:rPr>
  </w:style>
  <w:style w:type="paragraph" w:customStyle="1" w:styleId="ContentsnoToC">
    <w:name w:val="Contents no ToC"/>
    <w:basedOn w:val="ContentsHeading"/>
    <w:autoRedefine/>
    <w:rsid w:val="0075201B"/>
    <w:pPr>
      <w:pageBreakBefore/>
      <w:spacing w:after="480" w:line="680" w:lineRule="exact"/>
      <w:outlineLvl w:val="0"/>
    </w:pPr>
    <w:rPr>
      <w:rFonts w:cstheme="majorHAnsi"/>
    </w:rPr>
  </w:style>
  <w:style w:type="paragraph" w:customStyle="1" w:styleId="StatementWhite">
    <w:name w:val="Statement White"/>
    <w:basedOn w:val="Normal"/>
    <w:autoRedefine/>
    <w:qFormat/>
    <w:rsid w:val="0075201B"/>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75201B"/>
    <w:pPr>
      <w:pBdr>
        <w:top w:val="single" w:sz="4" w:space="10" w:color="FFFFFF" w:themeColor="background1"/>
      </w:pBdr>
    </w:pPr>
    <w:rPr>
      <w:color w:val="FFFFFF" w:themeColor="background1"/>
    </w:rPr>
  </w:style>
  <w:style w:type="paragraph" w:customStyle="1" w:styleId="BoxSubHeading">
    <w:name w:val="Box Sub Heading"/>
    <w:basedOn w:val="Heading6"/>
    <w:rsid w:val="0075201B"/>
    <w:pPr>
      <w:spacing w:before="120" w:after="40"/>
    </w:pPr>
  </w:style>
  <w:style w:type="paragraph" w:customStyle="1" w:styleId="ChartHeading">
    <w:name w:val="Chart Heading"/>
    <w:basedOn w:val="HeadingBase"/>
    <w:next w:val="ChartGraphic"/>
    <w:qFormat/>
    <w:rsid w:val="0075201B"/>
    <w:pPr>
      <w:spacing w:before="120" w:after="20"/>
    </w:pPr>
    <w:rPr>
      <w:b/>
      <w:sz w:val="20"/>
    </w:rPr>
  </w:style>
  <w:style w:type="character" w:styleId="EndnoteReference">
    <w:name w:val="endnote reference"/>
    <w:basedOn w:val="DefaultParagraphFont"/>
    <w:unhideWhenUsed/>
    <w:rsid w:val="0075201B"/>
    <w:rPr>
      <w:vertAlign w:val="superscript"/>
    </w:rPr>
  </w:style>
  <w:style w:type="paragraph" w:styleId="EndnoteText">
    <w:name w:val="endnote text"/>
    <w:basedOn w:val="Normal"/>
    <w:link w:val="EndnoteTextChar"/>
    <w:unhideWhenUsed/>
    <w:rsid w:val="0075201B"/>
    <w:rPr>
      <w:rFonts w:asciiTheme="minorHAnsi" w:hAnsiTheme="minorHAnsi"/>
    </w:rPr>
  </w:style>
  <w:style w:type="character" w:customStyle="1" w:styleId="EndnoteTextChar">
    <w:name w:val="Endnote Text Char"/>
    <w:basedOn w:val="DefaultParagraphFont"/>
    <w:link w:val="EndnoteText"/>
    <w:rsid w:val="0075201B"/>
    <w:rPr>
      <w:rFonts w:eastAsia="Times New Roman" w:cs="Times New Roman"/>
      <w:sz w:val="19"/>
      <w:szCs w:val="20"/>
      <w:lang w:eastAsia="en-AU"/>
    </w:rPr>
  </w:style>
  <w:style w:type="paragraph" w:styleId="Index1">
    <w:name w:val="index 1"/>
    <w:basedOn w:val="Normal"/>
    <w:next w:val="Normal"/>
    <w:rsid w:val="0075201B"/>
    <w:pPr>
      <w:ind w:left="200" w:hanging="200"/>
    </w:pPr>
    <w:rPr>
      <w:rFonts w:asciiTheme="minorHAnsi" w:hAnsiTheme="minorHAnsi"/>
    </w:rPr>
  </w:style>
  <w:style w:type="paragraph" w:styleId="Index2">
    <w:name w:val="index 2"/>
    <w:basedOn w:val="Normal"/>
    <w:next w:val="Normal"/>
    <w:rsid w:val="0075201B"/>
    <w:pPr>
      <w:ind w:left="400" w:hanging="200"/>
    </w:pPr>
    <w:rPr>
      <w:rFonts w:asciiTheme="minorHAnsi" w:hAnsiTheme="minorHAnsi"/>
    </w:rPr>
  </w:style>
  <w:style w:type="paragraph" w:styleId="Index3">
    <w:name w:val="index 3"/>
    <w:basedOn w:val="Normal"/>
    <w:next w:val="Normal"/>
    <w:rsid w:val="0075201B"/>
    <w:pPr>
      <w:ind w:left="600" w:hanging="200"/>
    </w:pPr>
    <w:rPr>
      <w:rFonts w:asciiTheme="minorHAnsi" w:hAnsiTheme="minorHAnsi"/>
    </w:rPr>
  </w:style>
  <w:style w:type="paragraph" w:styleId="IndexHeading">
    <w:name w:val="index heading"/>
    <w:basedOn w:val="Normal"/>
    <w:next w:val="Index1"/>
    <w:rsid w:val="0075201B"/>
    <w:rPr>
      <w:rFonts w:ascii="Arial Bold" w:hAnsi="Arial Bold" w:cs="Arial"/>
      <w:b/>
      <w:bCs/>
      <w:color w:val="002B54"/>
    </w:rPr>
  </w:style>
  <w:style w:type="paragraph" w:styleId="TableofAuthorities">
    <w:name w:val="table of authorities"/>
    <w:basedOn w:val="Normal"/>
    <w:next w:val="Normal"/>
    <w:rsid w:val="0075201B"/>
    <w:pPr>
      <w:ind w:left="200" w:hanging="200"/>
    </w:pPr>
    <w:rPr>
      <w:rFonts w:asciiTheme="minorHAnsi" w:hAnsiTheme="minorHAnsi"/>
    </w:rPr>
  </w:style>
  <w:style w:type="paragraph" w:customStyle="1" w:styleId="StatementWhite-Bullet">
    <w:name w:val="Statement White - Bullet"/>
    <w:basedOn w:val="Bullet"/>
    <w:qFormat/>
    <w:rsid w:val="0075201B"/>
    <w:pPr>
      <w:numPr>
        <w:numId w:val="0"/>
      </w:numPr>
      <w:tabs>
        <w:tab w:val="num" w:pos="283"/>
      </w:tabs>
      <w:ind w:left="284" w:hanging="284"/>
    </w:pPr>
    <w:rPr>
      <w:rFonts w:asciiTheme="minorHAnsi" w:hAnsiTheme="minorHAnsi"/>
      <w:color w:val="FFFFFF" w:themeColor="background1"/>
    </w:rPr>
  </w:style>
  <w:style w:type="paragraph" w:customStyle="1" w:styleId="BoxHeadingNOTOC">
    <w:name w:val="Box Heading (NO TOC)"/>
    <w:basedOn w:val="BoxHeading"/>
    <w:qFormat/>
    <w:rsid w:val="0075201B"/>
    <w:rPr>
      <w:szCs w:val="22"/>
    </w:rPr>
  </w:style>
  <w:style w:type="paragraph" w:customStyle="1" w:styleId="Heading1NoTOC">
    <w:name w:val="Heading 1 (No TOC)"/>
    <w:basedOn w:val="Heading1"/>
    <w:rsid w:val="0075201B"/>
    <w:pPr>
      <w:outlineLvl w:val="9"/>
    </w:pPr>
  </w:style>
  <w:style w:type="paragraph" w:customStyle="1" w:styleId="Heading2NoTOC">
    <w:name w:val="Heading 2 (No TOC)"/>
    <w:basedOn w:val="Heading2"/>
    <w:rsid w:val="0075201B"/>
    <w:pPr>
      <w:outlineLvl w:val="9"/>
    </w:pPr>
  </w:style>
  <w:style w:type="paragraph" w:customStyle="1" w:styleId="Heading3NoTOC0">
    <w:name w:val="Heading 3 (No TOC)"/>
    <w:basedOn w:val="Heading3"/>
    <w:rsid w:val="0075201B"/>
    <w:pPr>
      <w:outlineLvl w:val="9"/>
    </w:pPr>
  </w:style>
  <w:style w:type="paragraph" w:customStyle="1" w:styleId="Heading4NoTOC">
    <w:name w:val="Heading 4 (No TOC)"/>
    <w:basedOn w:val="Heading4"/>
    <w:rsid w:val="0075201B"/>
    <w:pPr>
      <w:outlineLvl w:val="9"/>
    </w:pPr>
  </w:style>
  <w:style w:type="paragraph" w:customStyle="1" w:styleId="Heading5NoTOC">
    <w:name w:val="Heading 5 (No TOC)"/>
    <w:basedOn w:val="Heading5"/>
    <w:autoRedefine/>
    <w:rsid w:val="0075201B"/>
    <w:pPr>
      <w:spacing w:before="240"/>
      <w:outlineLvl w:val="9"/>
    </w:pPr>
  </w:style>
  <w:style w:type="paragraph" w:customStyle="1" w:styleId="TableColumnHeadingS118pt">
    <w:name w:val="Table Column Heading S11 8 pt"/>
    <w:basedOn w:val="TableColumnHeadingBase"/>
    <w:rsid w:val="0075201B"/>
    <w:pPr>
      <w:spacing w:after="0"/>
    </w:pPr>
    <w:rPr>
      <w:rFonts w:ascii="Arial" w:hAnsi="Arial"/>
    </w:rPr>
  </w:style>
  <w:style w:type="paragraph" w:customStyle="1" w:styleId="TableColumnHeadingS119pt">
    <w:name w:val="Table Column Heading S11 9 pt"/>
    <w:basedOn w:val="TableColumnHeadingBase"/>
    <w:rsid w:val="0075201B"/>
    <w:pPr>
      <w:spacing w:before="60" w:after="60"/>
    </w:pPr>
    <w:rPr>
      <w:rFonts w:ascii="Arial" w:hAnsi="Arial"/>
      <w:sz w:val="18"/>
    </w:rPr>
  </w:style>
  <w:style w:type="character" w:customStyle="1" w:styleId="BulletChar">
    <w:name w:val="Bullet Char"/>
    <w:aliases w:val="b Char,b + line Char Char,b Char Char,Body Char,Bullet + line Char,Number Char,Recommendation Char,b + line Char,b1 Char,level 1 Char,Bullets Char,L Char,List Paragraph Char,List Paragraph1 Char,List Paragraph11 Char,List Paragraph2 Char"/>
    <w:link w:val="Bullet"/>
    <w:qFormat/>
    <w:locked/>
    <w:rsid w:val="0075201B"/>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75201B"/>
    <w:rPr>
      <w:rFonts w:ascii="Arial" w:eastAsia="Times New Roman" w:hAnsi="Arial" w:cs="Times New Roman"/>
      <w:color w:val="000000"/>
      <w:sz w:val="16"/>
      <w:szCs w:val="20"/>
      <w:lang w:eastAsia="en-AU"/>
    </w:rPr>
  </w:style>
  <w:style w:type="paragraph" w:styleId="Revision">
    <w:name w:val="Revision"/>
    <w:hidden/>
    <w:uiPriority w:val="99"/>
    <w:semiHidden/>
    <w:rsid w:val="0075201B"/>
    <w:pPr>
      <w:spacing w:after="0" w:line="240" w:lineRule="auto"/>
    </w:pPr>
    <w:rPr>
      <w:rFonts w:eastAsia="Courier New" w:cs="Courier New"/>
      <w:sz w:val="19"/>
      <w:szCs w:val="20"/>
      <w:lang w:eastAsia="en-AU"/>
    </w:rPr>
  </w:style>
  <w:style w:type="character" w:styleId="Mention">
    <w:name w:val="Mention"/>
    <w:basedOn w:val="DefaultParagraphFont"/>
    <w:uiPriority w:val="99"/>
    <w:unhideWhenUsed/>
    <w:rsid w:val="0075201B"/>
    <w:rPr>
      <w:color w:val="2B579A"/>
      <w:shd w:val="clear" w:color="auto" w:fill="E1DFDD"/>
    </w:rPr>
  </w:style>
  <w:style w:type="paragraph" w:styleId="NormalWeb">
    <w:name w:val="Normal (Web)"/>
    <w:basedOn w:val="Normal"/>
    <w:uiPriority w:val="99"/>
    <w:semiHidden/>
    <w:unhideWhenUsed/>
    <w:rsid w:val="0075201B"/>
    <w:rPr>
      <w:rFonts w:ascii="Times New Roman" w:hAnsi="Times New Roman"/>
      <w:sz w:val="24"/>
      <w:szCs w:val="24"/>
    </w:rPr>
  </w:style>
  <w:style w:type="paragraph" w:styleId="ListParagraph">
    <w:name w:val="List Paragraph"/>
    <w:basedOn w:val="Normal"/>
    <w:uiPriority w:val="34"/>
    <w:qFormat/>
    <w:rsid w:val="0075201B"/>
    <w:pPr>
      <w:ind w:left="720"/>
      <w:contextualSpacing/>
    </w:pPr>
    <w:rPr>
      <w:rFonts w:asciiTheme="minorHAnsi" w:hAnsiTheme="minorHAnsi"/>
    </w:rPr>
  </w:style>
  <w:style w:type="character" w:styleId="FollowedHyperlink">
    <w:name w:val="FollowedHyperlink"/>
    <w:basedOn w:val="DefaultParagraphFont"/>
    <w:uiPriority w:val="99"/>
    <w:semiHidden/>
    <w:unhideWhenUsed/>
    <w:rsid w:val="0075201B"/>
    <w:rPr>
      <w:color w:val="E61E26" w:themeColor="followedHyperlink"/>
      <w:u w:val="single"/>
    </w:rPr>
  </w:style>
  <w:style w:type="character" w:customStyle="1" w:styleId="BoxTextChar">
    <w:name w:val="Box Text Char"/>
    <w:basedOn w:val="DefaultParagraphFont"/>
    <w:link w:val="BoxText"/>
    <w:rsid w:val="00AD3756"/>
    <w:rPr>
      <w:rFonts w:ascii="Book Antiqua" w:eastAsia="Times New Roman" w:hAnsi="Book Antiqua" w:cs="Times New Roman"/>
      <w:sz w:val="19"/>
      <w:szCs w:val="20"/>
      <w:lang w:eastAsia="en-AU"/>
    </w:rPr>
  </w:style>
  <w:style w:type="character" w:styleId="UnresolvedMention">
    <w:name w:val="Unresolved Mention"/>
    <w:basedOn w:val="DefaultParagraphFont"/>
    <w:uiPriority w:val="99"/>
    <w:semiHidden/>
    <w:unhideWhenUsed/>
    <w:rsid w:val="000C2CD9"/>
    <w:rPr>
      <w:color w:val="605E5C"/>
      <w:shd w:val="clear" w:color="auto" w:fill="E1DFDD"/>
    </w:rPr>
  </w:style>
  <w:style w:type="character" w:customStyle="1" w:styleId="ui-provider">
    <w:name w:val="ui-provider"/>
    <w:basedOn w:val="DefaultParagraphFont"/>
    <w:rsid w:val="00BC334B"/>
  </w:style>
  <w:style w:type="paragraph" w:customStyle="1" w:styleId="pf0">
    <w:name w:val="pf0"/>
    <w:basedOn w:val="Normal"/>
    <w:rsid w:val="002F7193"/>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2F7193"/>
    <w:rPr>
      <w:rFonts w:ascii="Segoe UI" w:hAnsi="Segoe UI" w:cs="Segoe UI" w:hint="default"/>
      <w:sz w:val="18"/>
      <w:szCs w:val="18"/>
    </w:rPr>
  </w:style>
  <w:style w:type="character" w:styleId="Emphasis">
    <w:name w:val="Emphasis"/>
    <w:basedOn w:val="DefaultParagraphFont"/>
    <w:uiPriority w:val="20"/>
    <w:rsid w:val="00342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7935">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52376217">
      <w:bodyDiv w:val="1"/>
      <w:marLeft w:val="0"/>
      <w:marRight w:val="0"/>
      <w:marTop w:val="0"/>
      <w:marBottom w:val="0"/>
      <w:divBdr>
        <w:top w:val="none" w:sz="0" w:space="0" w:color="auto"/>
        <w:left w:val="none" w:sz="0" w:space="0" w:color="auto"/>
        <w:bottom w:val="none" w:sz="0" w:space="0" w:color="auto"/>
        <w:right w:val="none" w:sz="0" w:space="0" w:color="auto"/>
      </w:divBdr>
    </w:div>
    <w:div w:id="170068002">
      <w:bodyDiv w:val="1"/>
      <w:marLeft w:val="0"/>
      <w:marRight w:val="0"/>
      <w:marTop w:val="0"/>
      <w:marBottom w:val="0"/>
      <w:divBdr>
        <w:top w:val="none" w:sz="0" w:space="0" w:color="auto"/>
        <w:left w:val="none" w:sz="0" w:space="0" w:color="auto"/>
        <w:bottom w:val="none" w:sz="0" w:space="0" w:color="auto"/>
        <w:right w:val="none" w:sz="0" w:space="0" w:color="auto"/>
      </w:divBdr>
    </w:div>
    <w:div w:id="232005315">
      <w:bodyDiv w:val="1"/>
      <w:marLeft w:val="0"/>
      <w:marRight w:val="0"/>
      <w:marTop w:val="0"/>
      <w:marBottom w:val="0"/>
      <w:divBdr>
        <w:top w:val="none" w:sz="0" w:space="0" w:color="auto"/>
        <w:left w:val="none" w:sz="0" w:space="0" w:color="auto"/>
        <w:bottom w:val="none" w:sz="0" w:space="0" w:color="auto"/>
        <w:right w:val="none" w:sz="0" w:space="0" w:color="auto"/>
      </w:divBdr>
    </w:div>
    <w:div w:id="249659301">
      <w:bodyDiv w:val="1"/>
      <w:marLeft w:val="0"/>
      <w:marRight w:val="0"/>
      <w:marTop w:val="0"/>
      <w:marBottom w:val="0"/>
      <w:divBdr>
        <w:top w:val="none" w:sz="0" w:space="0" w:color="auto"/>
        <w:left w:val="none" w:sz="0" w:space="0" w:color="auto"/>
        <w:bottom w:val="none" w:sz="0" w:space="0" w:color="auto"/>
        <w:right w:val="none" w:sz="0" w:space="0" w:color="auto"/>
      </w:divBdr>
    </w:div>
    <w:div w:id="300310675">
      <w:bodyDiv w:val="1"/>
      <w:marLeft w:val="0"/>
      <w:marRight w:val="0"/>
      <w:marTop w:val="0"/>
      <w:marBottom w:val="0"/>
      <w:divBdr>
        <w:top w:val="none" w:sz="0" w:space="0" w:color="auto"/>
        <w:left w:val="none" w:sz="0" w:space="0" w:color="auto"/>
        <w:bottom w:val="none" w:sz="0" w:space="0" w:color="auto"/>
        <w:right w:val="none" w:sz="0" w:space="0" w:color="auto"/>
      </w:divBdr>
    </w:div>
    <w:div w:id="328674519">
      <w:bodyDiv w:val="1"/>
      <w:marLeft w:val="0"/>
      <w:marRight w:val="0"/>
      <w:marTop w:val="0"/>
      <w:marBottom w:val="0"/>
      <w:divBdr>
        <w:top w:val="none" w:sz="0" w:space="0" w:color="auto"/>
        <w:left w:val="none" w:sz="0" w:space="0" w:color="auto"/>
        <w:bottom w:val="none" w:sz="0" w:space="0" w:color="auto"/>
        <w:right w:val="none" w:sz="0" w:space="0" w:color="auto"/>
      </w:divBdr>
    </w:div>
    <w:div w:id="417870531">
      <w:bodyDiv w:val="1"/>
      <w:marLeft w:val="0"/>
      <w:marRight w:val="0"/>
      <w:marTop w:val="0"/>
      <w:marBottom w:val="0"/>
      <w:divBdr>
        <w:top w:val="none" w:sz="0" w:space="0" w:color="auto"/>
        <w:left w:val="none" w:sz="0" w:space="0" w:color="auto"/>
        <w:bottom w:val="none" w:sz="0" w:space="0" w:color="auto"/>
        <w:right w:val="none" w:sz="0" w:space="0" w:color="auto"/>
      </w:divBdr>
    </w:div>
    <w:div w:id="441149290">
      <w:bodyDiv w:val="1"/>
      <w:marLeft w:val="0"/>
      <w:marRight w:val="0"/>
      <w:marTop w:val="0"/>
      <w:marBottom w:val="0"/>
      <w:divBdr>
        <w:top w:val="none" w:sz="0" w:space="0" w:color="auto"/>
        <w:left w:val="none" w:sz="0" w:space="0" w:color="auto"/>
        <w:bottom w:val="none" w:sz="0" w:space="0" w:color="auto"/>
        <w:right w:val="none" w:sz="0" w:space="0" w:color="auto"/>
      </w:divBdr>
    </w:div>
    <w:div w:id="565729909">
      <w:bodyDiv w:val="1"/>
      <w:marLeft w:val="0"/>
      <w:marRight w:val="0"/>
      <w:marTop w:val="0"/>
      <w:marBottom w:val="0"/>
      <w:divBdr>
        <w:top w:val="none" w:sz="0" w:space="0" w:color="auto"/>
        <w:left w:val="none" w:sz="0" w:space="0" w:color="auto"/>
        <w:bottom w:val="none" w:sz="0" w:space="0" w:color="auto"/>
        <w:right w:val="none" w:sz="0" w:space="0" w:color="auto"/>
      </w:divBdr>
    </w:div>
    <w:div w:id="567961229">
      <w:bodyDiv w:val="1"/>
      <w:marLeft w:val="0"/>
      <w:marRight w:val="0"/>
      <w:marTop w:val="0"/>
      <w:marBottom w:val="0"/>
      <w:divBdr>
        <w:top w:val="none" w:sz="0" w:space="0" w:color="auto"/>
        <w:left w:val="none" w:sz="0" w:space="0" w:color="auto"/>
        <w:bottom w:val="none" w:sz="0" w:space="0" w:color="auto"/>
        <w:right w:val="none" w:sz="0" w:space="0" w:color="auto"/>
      </w:divBdr>
    </w:div>
    <w:div w:id="583879287">
      <w:bodyDiv w:val="1"/>
      <w:marLeft w:val="0"/>
      <w:marRight w:val="0"/>
      <w:marTop w:val="0"/>
      <w:marBottom w:val="0"/>
      <w:divBdr>
        <w:top w:val="none" w:sz="0" w:space="0" w:color="auto"/>
        <w:left w:val="none" w:sz="0" w:space="0" w:color="auto"/>
        <w:bottom w:val="none" w:sz="0" w:space="0" w:color="auto"/>
        <w:right w:val="none" w:sz="0" w:space="0" w:color="auto"/>
      </w:divBdr>
    </w:div>
    <w:div w:id="674841917">
      <w:bodyDiv w:val="1"/>
      <w:marLeft w:val="0"/>
      <w:marRight w:val="0"/>
      <w:marTop w:val="0"/>
      <w:marBottom w:val="0"/>
      <w:divBdr>
        <w:top w:val="none" w:sz="0" w:space="0" w:color="auto"/>
        <w:left w:val="none" w:sz="0" w:space="0" w:color="auto"/>
        <w:bottom w:val="none" w:sz="0" w:space="0" w:color="auto"/>
        <w:right w:val="none" w:sz="0" w:space="0" w:color="auto"/>
      </w:divBdr>
    </w:div>
    <w:div w:id="743650596">
      <w:bodyDiv w:val="1"/>
      <w:marLeft w:val="0"/>
      <w:marRight w:val="0"/>
      <w:marTop w:val="0"/>
      <w:marBottom w:val="0"/>
      <w:divBdr>
        <w:top w:val="none" w:sz="0" w:space="0" w:color="auto"/>
        <w:left w:val="none" w:sz="0" w:space="0" w:color="auto"/>
        <w:bottom w:val="none" w:sz="0" w:space="0" w:color="auto"/>
        <w:right w:val="none" w:sz="0" w:space="0" w:color="auto"/>
      </w:divBdr>
    </w:div>
    <w:div w:id="757558391">
      <w:bodyDiv w:val="1"/>
      <w:marLeft w:val="0"/>
      <w:marRight w:val="0"/>
      <w:marTop w:val="0"/>
      <w:marBottom w:val="0"/>
      <w:divBdr>
        <w:top w:val="none" w:sz="0" w:space="0" w:color="auto"/>
        <w:left w:val="none" w:sz="0" w:space="0" w:color="auto"/>
        <w:bottom w:val="none" w:sz="0" w:space="0" w:color="auto"/>
        <w:right w:val="none" w:sz="0" w:space="0" w:color="auto"/>
      </w:divBdr>
    </w:div>
    <w:div w:id="780615242">
      <w:bodyDiv w:val="1"/>
      <w:marLeft w:val="0"/>
      <w:marRight w:val="0"/>
      <w:marTop w:val="0"/>
      <w:marBottom w:val="0"/>
      <w:divBdr>
        <w:top w:val="none" w:sz="0" w:space="0" w:color="auto"/>
        <w:left w:val="none" w:sz="0" w:space="0" w:color="auto"/>
        <w:bottom w:val="none" w:sz="0" w:space="0" w:color="auto"/>
        <w:right w:val="none" w:sz="0" w:space="0" w:color="auto"/>
      </w:divBdr>
    </w:div>
    <w:div w:id="782963072">
      <w:bodyDiv w:val="1"/>
      <w:marLeft w:val="0"/>
      <w:marRight w:val="0"/>
      <w:marTop w:val="0"/>
      <w:marBottom w:val="0"/>
      <w:divBdr>
        <w:top w:val="none" w:sz="0" w:space="0" w:color="auto"/>
        <w:left w:val="none" w:sz="0" w:space="0" w:color="auto"/>
        <w:bottom w:val="none" w:sz="0" w:space="0" w:color="auto"/>
        <w:right w:val="none" w:sz="0" w:space="0" w:color="auto"/>
      </w:divBdr>
    </w:div>
    <w:div w:id="839542416">
      <w:bodyDiv w:val="1"/>
      <w:marLeft w:val="0"/>
      <w:marRight w:val="0"/>
      <w:marTop w:val="0"/>
      <w:marBottom w:val="0"/>
      <w:divBdr>
        <w:top w:val="none" w:sz="0" w:space="0" w:color="auto"/>
        <w:left w:val="none" w:sz="0" w:space="0" w:color="auto"/>
        <w:bottom w:val="none" w:sz="0" w:space="0" w:color="auto"/>
        <w:right w:val="none" w:sz="0" w:space="0" w:color="auto"/>
      </w:divBdr>
    </w:div>
    <w:div w:id="881670840">
      <w:bodyDiv w:val="1"/>
      <w:marLeft w:val="0"/>
      <w:marRight w:val="0"/>
      <w:marTop w:val="0"/>
      <w:marBottom w:val="0"/>
      <w:divBdr>
        <w:top w:val="none" w:sz="0" w:space="0" w:color="auto"/>
        <w:left w:val="none" w:sz="0" w:space="0" w:color="auto"/>
        <w:bottom w:val="none" w:sz="0" w:space="0" w:color="auto"/>
        <w:right w:val="none" w:sz="0" w:space="0" w:color="auto"/>
      </w:divBdr>
    </w:div>
    <w:div w:id="915820342">
      <w:bodyDiv w:val="1"/>
      <w:marLeft w:val="0"/>
      <w:marRight w:val="0"/>
      <w:marTop w:val="0"/>
      <w:marBottom w:val="0"/>
      <w:divBdr>
        <w:top w:val="none" w:sz="0" w:space="0" w:color="auto"/>
        <w:left w:val="none" w:sz="0" w:space="0" w:color="auto"/>
        <w:bottom w:val="none" w:sz="0" w:space="0" w:color="auto"/>
        <w:right w:val="none" w:sz="0" w:space="0" w:color="auto"/>
      </w:divBdr>
    </w:div>
    <w:div w:id="924386538">
      <w:bodyDiv w:val="1"/>
      <w:marLeft w:val="0"/>
      <w:marRight w:val="0"/>
      <w:marTop w:val="0"/>
      <w:marBottom w:val="0"/>
      <w:divBdr>
        <w:top w:val="none" w:sz="0" w:space="0" w:color="auto"/>
        <w:left w:val="none" w:sz="0" w:space="0" w:color="auto"/>
        <w:bottom w:val="none" w:sz="0" w:space="0" w:color="auto"/>
        <w:right w:val="none" w:sz="0" w:space="0" w:color="auto"/>
      </w:divBdr>
    </w:div>
    <w:div w:id="1043871178">
      <w:bodyDiv w:val="1"/>
      <w:marLeft w:val="0"/>
      <w:marRight w:val="0"/>
      <w:marTop w:val="0"/>
      <w:marBottom w:val="0"/>
      <w:divBdr>
        <w:top w:val="none" w:sz="0" w:space="0" w:color="auto"/>
        <w:left w:val="none" w:sz="0" w:space="0" w:color="auto"/>
        <w:bottom w:val="none" w:sz="0" w:space="0" w:color="auto"/>
        <w:right w:val="none" w:sz="0" w:space="0" w:color="auto"/>
      </w:divBdr>
    </w:div>
    <w:div w:id="1060127577">
      <w:bodyDiv w:val="1"/>
      <w:marLeft w:val="0"/>
      <w:marRight w:val="0"/>
      <w:marTop w:val="0"/>
      <w:marBottom w:val="0"/>
      <w:divBdr>
        <w:top w:val="none" w:sz="0" w:space="0" w:color="auto"/>
        <w:left w:val="none" w:sz="0" w:space="0" w:color="auto"/>
        <w:bottom w:val="none" w:sz="0" w:space="0" w:color="auto"/>
        <w:right w:val="none" w:sz="0" w:space="0" w:color="auto"/>
      </w:divBdr>
    </w:div>
    <w:div w:id="1093628329">
      <w:bodyDiv w:val="1"/>
      <w:marLeft w:val="0"/>
      <w:marRight w:val="0"/>
      <w:marTop w:val="0"/>
      <w:marBottom w:val="0"/>
      <w:divBdr>
        <w:top w:val="none" w:sz="0" w:space="0" w:color="auto"/>
        <w:left w:val="none" w:sz="0" w:space="0" w:color="auto"/>
        <w:bottom w:val="none" w:sz="0" w:space="0" w:color="auto"/>
        <w:right w:val="none" w:sz="0" w:space="0" w:color="auto"/>
      </w:divBdr>
    </w:div>
    <w:div w:id="1118647570">
      <w:bodyDiv w:val="1"/>
      <w:marLeft w:val="0"/>
      <w:marRight w:val="0"/>
      <w:marTop w:val="0"/>
      <w:marBottom w:val="0"/>
      <w:divBdr>
        <w:top w:val="none" w:sz="0" w:space="0" w:color="auto"/>
        <w:left w:val="none" w:sz="0" w:space="0" w:color="auto"/>
        <w:bottom w:val="none" w:sz="0" w:space="0" w:color="auto"/>
        <w:right w:val="none" w:sz="0" w:space="0" w:color="auto"/>
      </w:divBdr>
    </w:div>
    <w:div w:id="1142238678">
      <w:bodyDiv w:val="1"/>
      <w:marLeft w:val="0"/>
      <w:marRight w:val="0"/>
      <w:marTop w:val="0"/>
      <w:marBottom w:val="0"/>
      <w:divBdr>
        <w:top w:val="none" w:sz="0" w:space="0" w:color="auto"/>
        <w:left w:val="none" w:sz="0" w:space="0" w:color="auto"/>
        <w:bottom w:val="none" w:sz="0" w:space="0" w:color="auto"/>
        <w:right w:val="none" w:sz="0" w:space="0" w:color="auto"/>
      </w:divBdr>
    </w:div>
    <w:div w:id="1184520312">
      <w:bodyDiv w:val="1"/>
      <w:marLeft w:val="0"/>
      <w:marRight w:val="0"/>
      <w:marTop w:val="0"/>
      <w:marBottom w:val="0"/>
      <w:divBdr>
        <w:top w:val="none" w:sz="0" w:space="0" w:color="auto"/>
        <w:left w:val="none" w:sz="0" w:space="0" w:color="auto"/>
        <w:bottom w:val="none" w:sz="0" w:space="0" w:color="auto"/>
        <w:right w:val="none" w:sz="0" w:space="0" w:color="auto"/>
      </w:divBdr>
    </w:div>
    <w:div w:id="1261570720">
      <w:bodyDiv w:val="1"/>
      <w:marLeft w:val="0"/>
      <w:marRight w:val="0"/>
      <w:marTop w:val="0"/>
      <w:marBottom w:val="0"/>
      <w:divBdr>
        <w:top w:val="none" w:sz="0" w:space="0" w:color="auto"/>
        <w:left w:val="none" w:sz="0" w:space="0" w:color="auto"/>
        <w:bottom w:val="none" w:sz="0" w:space="0" w:color="auto"/>
        <w:right w:val="none" w:sz="0" w:space="0" w:color="auto"/>
      </w:divBdr>
      <w:divsChild>
        <w:div w:id="133259664">
          <w:marLeft w:val="0"/>
          <w:marRight w:val="0"/>
          <w:marTop w:val="0"/>
          <w:marBottom w:val="0"/>
          <w:divBdr>
            <w:top w:val="none" w:sz="0" w:space="0" w:color="auto"/>
            <w:left w:val="none" w:sz="0" w:space="0" w:color="auto"/>
            <w:bottom w:val="none" w:sz="0" w:space="0" w:color="auto"/>
            <w:right w:val="none" w:sz="0" w:space="0" w:color="auto"/>
          </w:divBdr>
          <w:divsChild>
            <w:div w:id="1178806725">
              <w:marLeft w:val="0"/>
              <w:marRight w:val="0"/>
              <w:marTop w:val="0"/>
              <w:marBottom w:val="0"/>
              <w:divBdr>
                <w:top w:val="none" w:sz="0" w:space="0" w:color="auto"/>
                <w:left w:val="none" w:sz="0" w:space="0" w:color="auto"/>
                <w:bottom w:val="none" w:sz="0" w:space="0" w:color="auto"/>
                <w:right w:val="none" w:sz="0" w:space="0" w:color="auto"/>
              </w:divBdr>
            </w:div>
          </w:divsChild>
        </w:div>
        <w:div w:id="993145818">
          <w:marLeft w:val="0"/>
          <w:marRight w:val="0"/>
          <w:marTop w:val="0"/>
          <w:marBottom w:val="0"/>
          <w:divBdr>
            <w:top w:val="none" w:sz="0" w:space="0" w:color="auto"/>
            <w:left w:val="none" w:sz="0" w:space="0" w:color="auto"/>
            <w:bottom w:val="none" w:sz="0" w:space="0" w:color="auto"/>
            <w:right w:val="none" w:sz="0" w:space="0" w:color="auto"/>
          </w:divBdr>
          <w:divsChild>
            <w:div w:id="322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5965">
      <w:bodyDiv w:val="1"/>
      <w:marLeft w:val="0"/>
      <w:marRight w:val="0"/>
      <w:marTop w:val="0"/>
      <w:marBottom w:val="0"/>
      <w:divBdr>
        <w:top w:val="none" w:sz="0" w:space="0" w:color="auto"/>
        <w:left w:val="none" w:sz="0" w:space="0" w:color="auto"/>
        <w:bottom w:val="none" w:sz="0" w:space="0" w:color="auto"/>
        <w:right w:val="none" w:sz="0" w:space="0" w:color="auto"/>
      </w:divBdr>
    </w:div>
    <w:div w:id="1320042004">
      <w:bodyDiv w:val="1"/>
      <w:marLeft w:val="0"/>
      <w:marRight w:val="0"/>
      <w:marTop w:val="0"/>
      <w:marBottom w:val="0"/>
      <w:divBdr>
        <w:top w:val="none" w:sz="0" w:space="0" w:color="auto"/>
        <w:left w:val="none" w:sz="0" w:space="0" w:color="auto"/>
        <w:bottom w:val="none" w:sz="0" w:space="0" w:color="auto"/>
        <w:right w:val="none" w:sz="0" w:space="0" w:color="auto"/>
      </w:divBdr>
    </w:div>
    <w:div w:id="1341812021">
      <w:bodyDiv w:val="1"/>
      <w:marLeft w:val="0"/>
      <w:marRight w:val="0"/>
      <w:marTop w:val="0"/>
      <w:marBottom w:val="0"/>
      <w:divBdr>
        <w:top w:val="none" w:sz="0" w:space="0" w:color="auto"/>
        <w:left w:val="none" w:sz="0" w:space="0" w:color="auto"/>
        <w:bottom w:val="none" w:sz="0" w:space="0" w:color="auto"/>
        <w:right w:val="none" w:sz="0" w:space="0" w:color="auto"/>
      </w:divBdr>
    </w:div>
    <w:div w:id="1411653743">
      <w:bodyDiv w:val="1"/>
      <w:marLeft w:val="0"/>
      <w:marRight w:val="0"/>
      <w:marTop w:val="0"/>
      <w:marBottom w:val="0"/>
      <w:divBdr>
        <w:top w:val="none" w:sz="0" w:space="0" w:color="auto"/>
        <w:left w:val="none" w:sz="0" w:space="0" w:color="auto"/>
        <w:bottom w:val="none" w:sz="0" w:space="0" w:color="auto"/>
        <w:right w:val="none" w:sz="0" w:space="0" w:color="auto"/>
      </w:divBdr>
    </w:div>
    <w:div w:id="1413969660">
      <w:bodyDiv w:val="1"/>
      <w:marLeft w:val="0"/>
      <w:marRight w:val="0"/>
      <w:marTop w:val="0"/>
      <w:marBottom w:val="0"/>
      <w:divBdr>
        <w:top w:val="none" w:sz="0" w:space="0" w:color="auto"/>
        <w:left w:val="none" w:sz="0" w:space="0" w:color="auto"/>
        <w:bottom w:val="none" w:sz="0" w:space="0" w:color="auto"/>
        <w:right w:val="none" w:sz="0" w:space="0" w:color="auto"/>
      </w:divBdr>
    </w:div>
    <w:div w:id="1413970078">
      <w:bodyDiv w:val="1"/>
      <w:marLeft w:val="0"/>
      <w:marRight w:val="0"/>
      <w:marTop w:val="0"/>
      <w:marBottom w:val="0"/>
      <w:divBdr>
        <w:top w:val="none" w:sz="0" w:space="0" w:color="auto"/>
        <w:left w:val="none" w:sz="0" w:space="0" w:color="auto"/>
        <w:bottom w:val="none" w:sz="0" w:space="0" w:color="auto"/>
        <w:right w:val="none" w:sz="0" w:space="0" w:color="auto"/>
      </w:divBdr>
    </w:div>
    <w:div w:id="1421367725">
      <w:bodyDiv w:val="1"/>
      <w:marLeft w:val="0"/>
      <w:marRight w:val="0"/>
      <w:marTop w:val="0"/>
      <w:marBottom w:val="0"/>
      <w:divBdr>
        <w:top w:val="none" w:sz="0" w:space="0" w:color="auto"/>
        <w:left w:val="none" w:sz="0" w:space="0" w:color="auto"/>
        <w:bottom w:val="none" w:sz="0" w:space="0" w:color="auto"/>
        <w:right w:val="none" w:sz="0" w:space="0" w:color="auto"/>
      </w:divBdr>
    </w:div>
    <w:div w:id="1453864103">
      <w:bodyDiv w:val="1"/>
      <w:marLeft w:val="0"/>
      <w:marRight w:val="0"/>
      <w:marTop w:val="0"/>
      <w:marBottom w:val="0"/>
      <w:divBdr>
        <w:top w:val="none" w:sz="0" w:space="0" w:color="auto"/>
        <w:left w:val="none" w:sz="0" w:space="0" w:color="auto"/>
        <w:bottom w:val="none" w:sz="0" w:space="0" w:color="auto"/>
        <w:right w:val="none" w:sz="0" w:space="0" w:color="auto"/>
      </w:divBdr>
    </w:div>
    <w:div w:id="1568372457">
      <w:bodyDiv w:val="1"/>
      <w:marLeft w:val="0"/>
      <w:marRight w:val="0"/>
      <w:marTop w:val="0"/>
      <w:marBottom w:val="0"/>
      <w:divBdr>
        <w:top w:val="none" w:sz="0" w:space="0" w:color="auto"/>
        <w:left w:val="none" w:sz="0" w:space="0" w:color="auto"/>
        <w:bottom w:val="none" w:sz="0" w:space="0" w:color="auto"/>
        <w:right w:val="none" w:sz="0" w:space="0" w:color="auto"/>
      </w:divBdr>
    </w:div>
    <w:div w:id="1647083471">
      <w:bodyDiv w:val="1"/>
      <w:marLeft w:val="0"/>
      <w:marRight w:val="0"/>
      <w:marTop w:val="0"/>
      <w:marBottom w:val="0"/>
      <w:divBdr>
        <w:top w:val="none" w:sz="0" w:space="0" w:color="auto"/>
        <w:left w:val="none" w:sz="0" w:space="0" w:color="auto"/>
        <w:bottom w:val="none" w:sz="0" w:space="0" w:color="auto"/>
        <w:right w:val="none" w:sz="0" w:space="0" w:color="auto"/>
      </w:divBdr>
    </w:div>
    <w:div w:id="1650745279">
      <w:bodyDiv w:val="1"/>
      <w:marLeft w:val="0"/>
      <w:marRight w:val="0"/>
      <w:marTop w:val="0"/>
      <w:marBottom w:val="0"/>
      <w:divBdr>
        <w:top w:val="none" w:sz="0" w:space="0" w:color="auto"/>
        <w:left w:val="none" w:sz="0" w:space="0" w:color="auto"/>
        <w:bottom w:val="none" w:sz="0" w:space="0" w:color="auto"/>
        <w:right w:val="none" w:sz="0" w:space="0" w:color="auto"/>
      </w:divBdr>
    </w:div>
    <w:div w:id="1675035544">
      <w:bodyDiv w:val="1"/>
      <w:marLeft w:val="0"/>
      <w:marRight w:val="0"/>
      <w:marTop w:val="0"/>
      <w:marBottom w:val="0"/>
      <w:divBdr>
        <w:top w:val="none" w:sz="0" w:space="0" w:color="auto"/>
        <w:left w:val="none" w:sz="0" w:space="0" w:color="auto"/>
        <w:bottom w:val="none" w:sz="0" w:space="0" w:color="auto"/>
        <w:right w:val="none" w:sz="0" w:space="0" w:color="auto"/>
      </w:divBdr>
    </w:div>
    <w:div w:id="1875539542">
      <w:bodyDiv w:val="1"/>
      <w:marLeft w:val="0"/>
      <w:marRight w:val="0"/>
      <w:marTop w:val="0"/>
      <w:marBottom w:val="0"/>
      <w:divBdr>
        <w:top w:val="none" w:sz="0" w:space="0" w:color="auto"/>
        <w:left w:val="none" w:sz="0" w:space="0" w:color="auto"/>
        <w:bottom w:val="none" w:sz="0" w:space="0" w:color="auto"/>
        <w:right w:val="none" w:sz="0" w:space="0" w:color="auto"/>
      </w:divBdr>
    </w:div>
    <w:div w:id="1903054648">
      <w:bodyDiv w:val="1"/>
      <w:marLeft w:val="0"/>
      <w:marRight w:val="0"/>
      <w:marTop w:val="0"/>
      <w:marBottom w:val="0"/>
      <w:divBdr>
        <w:top w:val="none" w:sz="0" w:space="0" w:color="auto"/>
        <w:left w:val="none" w:sz="0" w:space="0" w:color="auto"/>
        <w:bottom w:val="none" w:sz="0" w:space="0" w:color="auto"/>
        <w:right w:val="none" w:sz="0" w:space="0" w:color="auto"/>
      </w:divBdr>
    </w:div>
    <w:div w:id="1927566674">
      <w:bodyDiv w:val="1"/>
      <w:marLeft w:val="0"/>
      <w:marRight w:val="0"/>
      <w:marTop w:val="0"/>
      <w:marBottom w:val="0"/>
      <w:divBdr>
        <w:top w:val="none" w:sz="0" w:space="0" w:color="auto"/>
        <w:left w:val="none" w:sz="0" w:space="0" w:color="auto"/>
        <w:bottom w:val="none" w:sz="0" w:space="0" w:color="auto"/>
        <w:right w:val="none" w:sz="0" w:space="0" w:color="auto"/>
      </w:divBdr>
    </w:div>
    <w:div w:id="1930389683">
      <w:bodyDiv w:val="1"/>
      <w:marLeft w:val="0"/>
      <w:marRight w:val="0"/>
      <w:marTop w:val="0"/>
      <w:marBottom w:val="0"/>
      <w:divBdr>
        <w:top w:val="none" w:sz="0" w:space="0" w:color="auto"/>
        <w:left w:val="none" w:sz="0" w:space="0" w:color="auto"/>
        <w:bottom w:val="none" w:sz="0" w:space="0" w:color="auto"/>
        <w:right w:val="none" w:sz="0" w:space="0" w:color="auto"/>
      </w:divBdr>
    </w:div>
    <w:div w:id="1954559668">
      <w:bodyDiv w:val="1"/>
      <w:marLeft w:val="0"/>
      <w:marRight w:val="0"/>
      <w:marTop w:val="0"/>
      <w:marBottom w:val="0"/>
      <w:divBdr>
        <w:top w:val="none" w:sz="0" w:space="0" w:color="auto"/>
        <w:left w:val="none" w:sz="0" w:space="0" w:color="auto"/>
        <w:bottom w:val="none" w:sz="0" w:space="0" w:color="auto"/>
        <w:right w:val="none" w:sz="0" w:space="0" w:color="auto"/>
      </w:divBdr>
    </w:div>
    <w:div w:id="1980988699">
      <w:bodyDiv w:val="1"/>
      <w:marLeft w:val="0"/>
      <w:marRight w:val="0"/>
      <w:marTop w:val="0"/>
      <w:marBottom w:val="0"/>
      <w:divBdr>
        <w:top w:val="none" w:sz="0" w:space="0" w:color="auto"/>
        <w:left w:val="none" w:sz="0" w:space="0" w:color="auto"/>
        <w:bottom w:val="none" w:sz="0" w:space="0" w:color="auto"/>
        <w:right w:val="none" w:sz="0" w:space="0" w:color="auto"/>
      </w:divBdr>
    </w:div>
    <w:div w:id="2006779741">
      <w:bodyDiv w:val="1"/>
      <w:marLeft w:val="0"/>
      <w:marRight w:val="0"/>
      <w:marTop w:val="0"/>
      <w:marBottom w:val="0"/>
      <w:divBdr>
        <w:top w:val="none" w:sz="0" w:space="0" w:color="auto"/>
        <w:left w:val="none" w:sz="0" w:space="0" w:color="auto"/>
        <w:bottom w:val="none" w:sz="0" w:space="0" w:color="auto"/>
        <w:right w:val="none" w:sz="0" w:space="0" w:color="auto"/>
      </w:divBdr>
    </w:div>
    <w:div w:id="2014410396">
      <w:bodyDiv w:val="1"/>
      <w:marLeft w:val="0"/>
      <w:marRight w:val="0"/>
      <w:marTop w:val="0"/>
      <w:marBottom w:val="0"/>
      <w:divBdr>
        <w:top w:val="none" w:sz="0" w:space="0" w:color="auto"/>
        <w:left w:val="none" w:sz="0" w:space="0" w:color="auto"/>
        <w:bottom w:val="none" w:sz="0" w:space="0" w:color="auto"/>
        <w:right w:val="none" w:sz="0" w:space="0" w:color="auto"/>
      </w:divBdr>
    </w:div>
    <w:div w:id="2079745910">
      <w:bodyDiv w:val="1"/>
      <w:marLeft w:val="0"/>
      <w:marRight w:val="0"/>
      <w:marTop w:val="0"/>
      <w:marBottom w:val="0"/>
      <w:divBdr>
        <w:top w:val="none" w:sz="0" w:space="0" w:color="auto"/>
        <w:left w:val="none" w:sz="0" w:space="0" w:color="auto"/>
        <w:bottom w:val="none" w:sz="0" w:space="0" w:color="auto"/>
        <w:right w:val="none" w:sz="0" w:space="0" w:color="auto"/>
      </w:divBdr>
    </w:div>
    <w:div w:id="212534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ederalfinancialrelation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4F60-08B6-4D41-A4DC-94A87D03E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20450-E545-41CA-B896-C8869BEF2B28}">
  <ds:schemaRefs>
    <ds:schemaRef ds:uri="http://www.w3.org/XML/1998/namespace"/>
    <ds:schemaRef ds:uri="9115ddca-c623-419f-a3c0-6a1c58c4dac8"/>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44fe85f-b655-4145-9b20-543b75dc1c24"/>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B86E4EDB-395F-4305-A155-A2C82CF73841}">
  <ds:schemaRefs>
    <ds:schemaRef ds:uri="http://schemas.microsoft.com/sharepoint/v3/contenttype/forms"/>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212</TotalTime>
  <Pages>14</Pages>
  <Words>3685</Words>
  <Characters>21751</Characters>
  <Application>Microsoft Office Word</Application>
  <DocSecurity>0</DocSecurity>
  <Lines>1370</Lines>
  <Paragraphs>712</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25052</CharactersWithSpaces>
  <SharedDoc>false</SharedDoc>
  <HLinks>
    <vt:vector size="30" baseType="variant">
      <vt:variant>
        <vt:i4>1310795</vt:i4>
      </vt:variant>
      <vt:variant>
        <vt:i4>69</vt:i4>
      </vt:variant>
      <vt:variant>
        <vt:i4>0</vt:i4>
      </vt:variant>
      <vt:variant>
        <vt:i4>5</vt:i4>
      </vt:variant>
      <vt:variant>
        <vt:lpwstr>http://www.federalfinancialrelations.gov.au/</vt:lpwstr>
      </vt:variant>
      <vt:variant>
        <vt:lpwstr/>
      </vt:variant>
      <vt:variant>
        <vt:i4>1835049</vt:i4>
      </vt:variant>
      <vt:variant>
        <vt:i4>9</vt:i4>
      </vt:variant>
      <vt:variant>
        <vt:i4>0</vt:i4>
      </vt:variant>
      <vt:variant>
        <vt:i4>5</vt:i4>
      </vt:variant>
      <vt:variant>
        <vt:lpwstr>mailto:Bridget.Tracy@TREASURY.GOV.AU</vt:lpwstr>
      </vt:variant>
      <vt:variant>
        <vt:lpwstr/>
      </vt:variant>
      <vt:variant>
        <vt:i4>6684765</vt:i4>
      </vt:variant>
      <vt:variant>
        <vt:i4>6</vt:i4>
      </vt:variant>
      <vt:variant>
        <vt:i4>0</vt:i4>
      </vt:variant>
      <vt:variant>
        <vt:i4>5</vt:i4>
      </vt:variant>
      <vt:variant>
        <vt:lpwstr>mailto:Nicholas.Dowie@TREASURY.GOV.AU</vt:lpwstr>
      </vt:variant>
      <vt:variant>
        <vt:lpwstr/>
      </vt:variant>
      <vt:variant>
        <vt:i4>1966112</vt:i4>
      </vt:variant>
      <vt:variant>
        <vt:i4>3</vt:i4>
      </vt:variant>
      <vt:variant>
        <vt:i4>0</vt:i4>
      </vt:variant>
      <vt:variant>
        <vt:i4>5</vt:i4>
      </vt:variant>
      <vt:variant>
        <vt:lpwstr>mailto:Anna.SchneiderRumble@treasury.gov.au</vt:lpwstr>
      </vt:variant>
      <vt:variant>
        <vt:lpwstr/>
      </vt:variant>
      <vt:variant>
        <vt:i4>1835049</vt:i4>
      </vt:variant>
      <vt:variant>
        <vt:i4>0</vt:i4>
      </vt:variant>
      <vt:variant>
        <vt:i4>0</vt:i4>
      </vt:variant>
      <vt:variant>
        <vt:i4>5</vt:i4>
      </vt:variant>
      <vt:variant>
        <vt:lpwstr>mailto:Bridget.Tracy@TREASURY.GOV.AU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1: Australia’s Federal Relations</dc:subject>
  <dc:creator>Australian Government</dc:creator>
  <cp:keywords/>
  <dc:description/>
  <cp:lastModifiedBy>Hill, Christine</cp:lastModifiedBy>
  <cp:revision>1414</cp:revision>
  <cp:lastPrinted>2024-05-11T12:06:00Z</cp:lastPrinted>
  <dcterms:created xsi:type="dcterms:W3CDTF">2024-03-19T06:05:00Z</dcterms:created>
  <dcterms:modified xsi:type="dcterms:W3CDTF">2024-05-13T01:42:00Z</dcterms:modified>
</cp:coreProperties>
</file>