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3D82" w14:textId="1CDF59C4" w:rsidR="007D38B5" w:rsidRPr="0050048E" w:rsidRDefault="007D38B5" w:rsidP="007D38B5">
      <w:pPr>
        <w:pStyle w:val="Heading2"/>
      </w:pPr>
      <w:bookmarkStart w:id="0" w:name="_Toc4765138"/>
      <w:r w:rsidRPr="0050048E">
        <w:t>Skills and workforce development</w:t>
      </w:r>
      <w:bookmarkEnd w:id="0"/>
      <w:r w:rsidRPr="0050048E">
        <w:t xml:space="preserve"> </w:t>
      </w:r>
    </w:p>
    <w:p w14:paraId="46CA8542" w14:textId="54AF64BB" w:rsidR="007D38B5" w:rsidRPr="0050048E" w:rsidRDefault="007D38B5" w:rsidP="007D38B5">
      <w:r w:rsidRPr="0050048E">
        <w:t>In 202</w:t>
      </w:r>
      <w:r w:rsidR="00942F29" w:rsidRPr="0050048E">
        <w:t>4</w:t>
      </w:r>
      <w:r w:rsidRPr="0050048E">
        <w:t>–2</w:t>
      </w:r>
      <w:r w:rsidR="00942F29" w:rsidRPr="0050048E">
        <w:t>5</w:t>
      </w:r>
      <w:r w:rsidRPr="0050048E">
        <w:t>, the Australian Government will provide funding of $</w:t>
      </w:r>
      <w:r w:rsidR="008128E5" w:rsidRPr="0050048E">
        <w:t>2</w:t>
      </w:r>
      <w:r w:rsidRPr="0050048E">
        <w:t>.</w:t>
      </w:r>
      <w:r w:rsidR="008128E5" w:rsidRPr="0050048E">
        <w:t>5</w:t>
      </w:r>
      <w:r w:rsidRPr="0050048E">
        <w:t> billion to support state skills and workforce development services, including $</w:t>
      </w:r>
      <w:r w:rsidR="0081715E" w:rsidRPr="0050048E">
        <w:t>2</w:t>
      </w:r>
      <w:r w:rsidR="00A101B5" w:rsidRPr="0050048E">
        <w:t>.</w:t>
      </w:r>
      <w:r w:rsidR="0081715E" w:rsidRPr="0050048E">
        <w:t>4</w:t>
      </w:r>
      <w:r w:rsidRPr="0050048E">
        <w:t> billion through the</w:t>
      </w:r>
      <w:r w:rsidR="00FD3FC6" w:rsidRPr="0050048E">
        <w:t xml:space="preserve"> </w:t>
      </w:r>
      <w:r w:rsidRPr="0050048E">
        <w:t xml:space="preserve">National Skills </w:t>
      </w:r>
      <w:r w:rsidR="00A101B5" w:rsidRPr="0050048E">
        <w:t>Agreement</w:t>
      </w:r>
      <w:r w:rsidRPr="0050048E">
        <w:t>, and $</w:t>
      </w:r>
      <w:r w:rsidR="00003FA7" w:rsidRPr="0050048E">
        <w:t>1</w:t>
      </w:r>
      <w:r w:rsidR="0090771E" w:rsidRPr="0050048E">
        <w:t>08</w:t>
      </w:r>
      <w:r w:rsidRPr="0050048E">
        <w:t>.</w:t>
      </w:r>
      <w:r w:rsidR="0090771E" w:rsidRPr="0050048E">
        <w:t>2</w:t>
      </w:r>
      <w:r w:rsidRPr="0050048E">
        <w:t xml:space="preserve"> million through </w:t>
      </w:r>
      <w:r w:rsidR="001000EF" w:rsidRPr="0050048E">
        <w:t xml:space="preserve">other </w:t>
      </w:r>
      <w:r w:rsidRPr="0050048E">
        <w:t>payments, as detailed in Table 2.5.</w:t>
      </w:r>
    </w:p>
    <w:p w14:paraId="4F870041" w14:textId="5B2E618E" w:rsidR="0090771E" w:rsidRPr="0050048E" w:rsidRDefault="007D38B5" w:rsidP="0090771E">
      <w:pPr>
        <w:pStyle w:val="TableHeading"/>
        <w:rPr>
          <w:sz w:val="16"/>
        </w:rPr>
      </w:pPr>
      <w:bookmarkStart w:id="1" w:name="_Toc4764856"/>
      <w:r w:rsidRPr="0050048E">
        <w:t>Table 2.5: Payments to support state skills and workforce development services</w:t>
      </w:r>
      <w:bookmarkEnd w:id="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785"/>
        <w:gridCol w:w="748"/>
        <w:gridCol w:w="871"/>
        <w:gridCol w:w="810"/>
        <w:gridCol w:w="748"/>
        <w:gridCol w:w="748"/>
      </w:tblGrid>
      <w:tr w:rsidR="007713D8" w:rsidRPr="0050048E" w14:paraId="588939C6" w14:textId="77777777" w:rsidTr="007713D8">
        <w:trPr>
          <w:trHeight w:val="222"/>
        </w:trPr>
        <w:tc>
          <w:tcPr>
            <w:tcW w:w="24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7DDBE" w14:textId="5DC451E7" w:rsidR="007713D8" w:rsidRPr="0050048E" w:rsidRDefault="007713D8" w:rsidP="007713D8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707B" w14:textId="5047F9AA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2023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B01E9D7" w14:textId="1B9C7D0A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2024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497B4" w14:textId="06D84E7B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2025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C8984" w14:textId="596BFC76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2026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45E79" w14:textId="6FF978C9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2027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7713D8" w:rsidRPr="0050048E" w14:paraId="54360E88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3766" w14:textId="77777777" w:rsidR="007713D8" w:rsidRPr="0050048E" w:rsidRDefault="007713D8" w:rsidP="007713D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National Skills Agreement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0F0F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2,014.8</w:t>
            </w:r>
          </w:p>
        </w:tc>
        <w:tc>
          <w:tcPr>
            <w:tcW w:w="5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DCA8578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2,432.0</w:t>
            </w:r>
          </w:p>
        </w:tc>
        <w:tc>
          <w:tcPr>
            <w:tcW w:w="5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F3053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2,457.0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DB0ED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2,495.7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94698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2,535.4</w:t>
            </w:r>
          </w:p>
        </w:tc>
      </w:tr>
      <w:tr w:rsidR="007713D8" w:rsidRPr="0050048E" w14:paraId="5217502C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6507" w14:textId="77777777" w:rsidR="007713D8" w:rsidRPr="0050048E" w:rsidRDefault="007713D8" w:rsidP="007713D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8D6A" w14:textId="77777777" w:rsidR="007713D8" w:rsidRPr="0050048E" w:rsidRDefault="007713D8" w:rsidP="007713D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D460D79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FBF5C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D158D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06FA1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713D8" w:rsidRPr="0050048E" w14:paraId="090A1C61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9C45" w14:textId="77777777" w:rsidR="007713D8" w:rsidRPr="0050048E" w:rsidRDefault="007713D8" w:rsidP="007713D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Capital and Equipment Investment Fund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FFAC" w14:textId="7F8EE5EF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E9B45F2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35.0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7344C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E2A38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5B52" w14:textId="3D3AAB0B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7713D8" w:rsidRPr="0050048E" w14:paraId="1C962234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6292" w14:textId="1040D668" w:rsidR="007713D8" w:rsidRPr="0050048E" w:rsidRDefault="007713D8" w:rsidP="007713D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Fee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Free TAFE Skills Agreement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5C41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335.9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FD130A2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51.3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39CFB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167.4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A12D8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146.3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8AC9" w14:textId="733B9395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7713D8" w:rsidRPr="0050048E" w14:paraId="6A8A77EA" w14:textId="77777777" w:rsidTr="007713D8">
        <w:trPr>
          <w:trHeight w:val="222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EEEB" w14:textId="77777777" w:rsidR="007713D8" w:rsidRPr="0050048E" w:rsidRDefault="007713D8" w:rsidP="007713D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Resources Centre of Excellence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98E5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0A255C4" w14:textId="58809484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13278" w14:textId="284E5E71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9FF81" w14:textId="7EA50BCA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BF6DE" w14:textId="615E3C60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7713D8" w:rsidRPr="0050048E" w14:paraId="347AC25A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40F8" w14:textId="77777777" w:rsidR="007713D8" w:rsidRPr="0050048E" w:rsidRDefault="007713D8" w:rsidP="007713D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 xml:space="preserve">Turbocharge the Teacher, Trainer and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8B0" w14:textId="4C0C9A4F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9FB35AC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6EA3D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50F6F" w14:textId="0A1D73C9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DF709" w14:textId="533653E8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7713D8" w:rsidRPr="0050048E" w14:paraId="54044880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C55E" w14:textId="77777777" w:rsidR="007713D8" w:rsidRPr="0050048E" w:rsidRDefault="007713D8" w:rsidP="007713D8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Assessor Workforce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9CB5" w14:textId="77777777" w:rsidR="007713D8" w:rsidRPr="0050048E" w:rsidRDefault="007713D8" w:rsidP="007713D8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196CBBB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2A810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53A5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8EA5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713D8" w:rsidRPr="0050048E" w14:paraId="2A474549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3A4E" w14:textId="77777777" w:rsidR="007713D8" w:rsidRPr="0050048E" w:rsidRDefault="007713D8" w:rsidP="007713D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Turbocharging TAFE Centres of Excellence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9A15" w14:textId="6E749D41" w:rsidR="007713D8" w:rsidRPr="0050048E" w:rsidRDefault="004F6DDB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2F6BFA4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2D044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CAACD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15C1A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</w:tr>
      <w:tr w:rsidR="007713D8" w:rsidRPr="0050048E" w14:paraId="520B2605" w14:textId="77777777" w:rsidTr="007713D8">
        <w:trPr>
          <w:trHeight w:val="225"/>
        </w:trPr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9D478" w14:textId="77777777" w:rsidR="007713D8" w:rsidRPr="0050048E" w:rsidRDefault="007713D8" w:rsidP="007713D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Total National Partnership payments(a)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98B5FE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337.9</w:t>
            </w:r>
          </w:p>
        </w:tc>
        <w:tc>
          <w:tcPr>
            <w:tcW w:w="5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18AA62B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108.2</w:t>
            </w:r>
          </w:p>
        </w:tc>
        <w:tc>
          <w:tcPr>
            <w:tcW w:w="52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F1591BE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196.9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8502DB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160.9</w:t>
            </w:r>
          </w:p>
        </w:tc>
        <w:tc>
          <w:tcPr>
            <w:tcW w:w="4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ECB8DC9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</w:tr>
      <w:tr w:rsidR="007713D8" w:rsidRPr="0050048E" w14:paraId="662A0F02" w14:textId="77777777" w:rsidTr="007713D8">
        <w:trPr>
          <w:trHeight w:val="222"/>
        </w:trPr>
        <w:tc>
          <w:tcPr>
            <w:tcW w:w="24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BE6B08" w14:textId="77777777" w:rsidR="007713D8" w:rsidRPr="0050048E" w:rsidRDefault="007713D8" w:rsidP="007713D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1CC3E1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2,352.7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E9394DD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2,540.2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C29B28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2,653.9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AC72234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2,656.5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477E21B" w14:textId="77777777" w:rsidR="007713D8" w:rsidRPr="0050048E" w:rsidRDefault="007713D8" w:rsidP="007713D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2,542.5</w:t>
            </w:r>
          </w:p>
        </w:tc>
      </w:tr>
    </w:tbl>
    <w:p w14:paraId="32D87D41" w14:textId="229C246E" w:rsidR="007D38B5" w:rsidRPr="0050048E" w:rsidRDefault="00BE06DB" w:rsidP="00283562">
      <w:pPr>
        <w:pStyle w:val="ChartandTableFootnoteAlpha"/>
        <w:rPr>
          <w:rFonts w:eastAsiaTheme="minorHAnsi"/>
          <w:color w:val="auto"/>
        </w:rPr>
      </w:pPr>
      <w:r w:rsidRPr="0050048E">
        <w:rPr>
          <w:rFonts w:eastAsiaTheme="minorHAnsi"/>
          <w:color w:val="auto"/>
        </w:rPr>
        <w:t>Excludes National Skill</w:t>
      </w:r>
      <w:r w:rsidR="00537CCC" w:rsidRPr="0050048E">
        <w:rPr>
          <w:rFonts w:eastAsiaTheme="minorHAnsi"/>
          <w:color w:val="auto"/>
        </w:rPr>
        <w:t>s</w:t>
      </w:r>
      <w:r w:rsidRPr="0050048E">
        <w:rPr>
          <w:rFonts w:eastAsiaTheme="minorHAnsi"/>
          <w:color w:val="auto"/>
        </w:rPr>
        <w:t xml:space="preserve"> Agreement payments which are shown separately</w:t>
      </w:r>
      <w:r w:rsidR="00D038BC" w:rsidRPr="0050048E">
        <w:rPr>
          <w:rFonts w:eastAsiaTheme="minorHAnsi"/>
          <w:color w:val="auto"/>
        </w:rPr>
        <w:t>.</w:t>
      </w:r>
    </w:p>
    <w:p w14:paraId="21294A34" w14:textId="77777777" w:rsidR="00793AB5" w:rsidRPr="0050048E" w:rsidRDefault="00793AB5" w:rsidP="00CA6484">
      <w:pPr>
        <w:pStyle w:val="TableLine"/>
        <w:rPr>
          <w:rFonts w:eastAsiaTheme="minorHAnsi"/>
        </w:rPr>
      </w:pPr>
    </w:p>
    <w:p w14:paraId="364A040D" w14:textId="7B0E6B86" w:rsidR="007D38B5" w:rsidRPr="0050048E" w:rsidRDefault="007D38B5" w:rsidP="007D38B5">
      <w:pPr>
        <w:pStyle w:val="Heading3"/>
        <w:spacing w:before="0"/>
      </w:pPr>
      <w:r w:rsidRPr="0050048E">
        <w:t xml:space="preserve">National Skills </w:t>
      </w:r>
      <w:r w:rsidR="003C3BA0" w:rsidRPr="0050048E">
        <w:t>Agreement</w:t>
      </w:r>
    </w:p>
    <w:p w14:paraId="1126CF55" w14:textId="5ACC459C" w:rsidR="00D14E6E" w:rsidRPr="0050048E" w:rsidRDefault="007D38B5" w:rsidP="00D14E6E">
      <w:r w:rsidRPr="0050048E">
        <w:t xml:space="preserve">The National </w:t>
      </w:r>
      <w:r w:rsidR="002655EA" w:rsidRPr="0050048E">
        <w:t xml:space="preserve">Skills </w:t>
      </w:r>
      <w:r w:rsidRPr="0050048E">
        <w:t>Agreement</w:t>
      </w:r>
      <w:r w:rsidR="009C4E03" w:rsidRPr="0050048E">
        <w:t xml:space="preserve"> </w:t>
      </w:r>
      <w:r w:rsidR="000757F6" w:rsidRPr="0050048E">
        <w:t xml:space="preserve">(NSA) </w:t>
      </w:r>
      <w:r w:rsidR="002655EA" w:rsidRPr="0050048E">
        <w:t>commenced on 1 January 202</w:t>
      </w:r>
      <w:r w:rsidR="00D14E6E" w:rsidRPr="0050048E">
        <w:t>4</w:t>
      </w:r>
      <w:r w:rsidR="00FA4626" w:rsidRPr="0050048E">
        <w:t>,</w:t>
      </w:r>
      <w:r w:rsidR="00224A47" w:rsidRPr="0050048E">
        <w:t xml:space="preserve"> replac</w:t>
      </w:r>
      <w:r w:rsidR="00FA4626" w:rsidRPr="0050048E">
        <w:t>ing</w:t>
      </w:r>
      <w:r w:rsidR="00224A47" w:rsidRPr="0050048E">
        <w:t xml:space="preserve"> the National Agreement for Skills and Workforce Development.</w:t>
      </w:r>
    </w:p>
    <w:p w14:paraId="06EF973B" w14:textId="5013CC94" w:rsidR="0090771E" w:rsidRPr="0050048E" w:rsidRDefault="007D38B5" w:rsidP="0090771E">
      <w:pPr>
        <w:pStyle w:val="TableHeading"/>
      </w:pPr>
      <w:r w:rsidRPr="0050048E">
        <w:t xml:space="preserve">National </w:t>
      </w:r>
      <w:r w:rsidRPr="0050048E">
        <w:rPr>
          <w:rFonts w:cs="Arial"/>
        </w:rPr>
        <w:t>Skills</w:t>
      </w:r>
      <w:r w:rsidRPr="0050048E">
        <w:t xml:space="preserve"> </w:t>
      </w:r>
      <w:r w:rsidR="0091263F" w:rsidRPr="0050048E">
        <w:t>Agreement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757"/>
        <w:gridCol w:w="757"/>
        <w:gridCol w:w="757"/>
        <w:gridCol w:w="757"/>
        <w:gridCol w:w="757"/>
        <w:gridCol w:w="757"/>
        <w:gridCol w:w="757"/>
        <w:gridCol w:w="757"/>
        <w:gridCol w:w="836"/>
      </w:tblGrid>
      <w:tr w:rsidR="0090771E" w:rsidRPr="0050048E" w14:paraId="143E6A97" w14:textId="77777777" w:rsidTr="0090771E">
        <w:trPr>
          <w:trHeight w:val="225"/>
        </w:trPr>
        <w:tc>
          <w:tcPr>
            <w:tcW w:w="5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794D4" w14:textId="728C2EE2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8CF7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B49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304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BDB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3E1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068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B95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3D4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DF7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0771E" w:rsidRPr="0050048E" w14:paraId="1A1614A6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E997" w14:textId="7D78DFB7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2023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D0B5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628.2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7E484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509.6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575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411.9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2B2E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218.9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F8A7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140.6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DEE5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767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37.4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63D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22.8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0A9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2,014.8</w:t>
            </w:r>
          </w:p>
        </w:tc>
      </w:tr>
      <w:tr w:rsidR="0090771E" w:rsidRPr="0050048E" w14:paraId="0E48D463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C22F214" w14:textId="1C2BA9F2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2024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3ADD7E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750.3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F41D086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612.3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AE9A9AE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498.0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11F3B93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266.0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63D353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52E7AE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56.6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32D011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47.3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090037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31.4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FE2790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2,432.0</w:t>
            </w:r>
          </w:p>
        </w:tc>
      </w:tr>
      <w:tr w:rsidR="0090771E" w:rsidRPr="0050048E" w14:paraId="58FFD517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89636" w14:textId="325151DB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2025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4A9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761.9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6CC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623.1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EE87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504.7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AD2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267.8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8DC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169.0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D286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54.6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150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46.0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954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29.9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90E2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2,457.0</w:t>
            </w:r>
          </w:p>
        </w:tc>
      </w:tr>
      <w:tr w:rsidR="0090771E" w:rsidRPr="0050048E" w14:paraId="2E61730F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A9AC" w14:textId="373FE654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2026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00EE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774.6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9024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636.5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8F40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513.1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482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271.1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8BBB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54AD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54.4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111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46.2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B06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29.6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0BB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2,495.7</w:t>
            </w:r>
          </w:p>
        </w:tc>
      </w:tr>
      <w:tr w:rsidR="0090771E" w:rsidRPr="0050048E" w14:paraId="7D373DB0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C3AA" w14:textId="6117448F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2027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26A39F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786.9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03E46BE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649.0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02CBF9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521.2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FBED22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274.8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6911B4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171.9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7CF62D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54.8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A104806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46.9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DA7C73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29.8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891D22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2,535.4</w:t>
            </w:r>
          </w:p>
        </w:tc>
      </w:tr>
      <w:tr w:rsidR="0090771E" w:rsidRPr="0050048E" w14:paraId="274423BC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B4672E3" w14:textId="77777777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8B2424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3,701.9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9A6B45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3,030.5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B61D0DD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2,449.0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29684E7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1,298.6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3756AD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821.7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A9144B4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265.9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2056B83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223.8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4FA23F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143.5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B423DA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11,934.8</w:t>
            </w:r>
          </w:p>
        </w:tc>
      </w:tr>
    </w:tbl>
    <w:p w14:paraId="2172808A" w14:textId="59F967E6" w:rsidR="001D42C9" w:rsidRPr="0050048E" w:rsidRDefault="00B5767E" w:rsidP="00911FD3">
      <w:r w:rsidRPr="0050048E">
        <w:t>Through the NSA</w:t>
      </w:r>
      <w:r w:rsidR="001D42C9" w:rsidRPr="0050048E">
        <w:t xml:space="preserve">, the </w:t>
      </w:r>
      <w:r w:rsidR="00224A47" w:rsidRPr="0050048E">
        <w:t xml:space="preserve">Commonwealth and </w:t>
      </w:r>
      <w:r w:rsidR="00117D42" w:rsidRPr="0050048E">
        <w:t>s</w:t>
      </w:r>
      <w:r w:rsidR="00224A47" w:rsidRPr="0050048E">
        <w:t xml:space="preserve">tates </w:t>
      </w:r>
      <w:r w:rsidR="001D42C9" w:rsidRPr="0050048E">
        <w:t>committed to implementing improved funding arrangements</w:t>
      </w:r>
      <w:r w:rsidR="00182E04" w:rsidRPr="0050048E">
        <w:t xml:space="preserve"> to </w:t>
      </w:r>
      <w:r w:rsidR="001D42C9" w:rsidRPr="0050048E">
        <w:t>replac</w:t>
      </w:r>
      <w:r w:rsidR="00182E04" w:rsidRPr="0050048E">
        <w:t>e</w:t>
      </w:r>
      <w:r w:rsidR="001D42C9" w:rsidRPr="0050048E">
        <w:t xml:space="preserve"> the National Specific Purpose Payments for Skills and Workforce Development (SPP)</w:t>
      </w:r>
      <w:r w:rsidR="00C438C0" w:rsidRPr="0050048E">
        <w:t xml:space="preserve"> established by the </w:t>
      </w:r>
      <w:r w:rsidR="00C438C0" w:rsidRPr="0050048E">
        <w:rPr>
          <w:i/>
          <w:iCs/>
        </w:rPr>
        <w:t>Federal Financial Relations Act 2009</w:t>
      </w:r>
      <w:r w:rsidR="001D42C9" w:rsidRPr="0050048E">
        <w:t xml:space="preserve">. </w:t>
      </w:r>
    </w:p>
    <w:p w14:paraId="3B1049DB" w14:textId="5BB9E43F" w:rsidR="008D3533" w:rsidRPr="0050048E" w:rsidRDefault="00B03F73" w:rsidP="005A722D">
      <w:r w:rsidRPr="0050048E">
        <w:t xml:space="preserve">As </w:t>
      </w:r>
      <w:r w:rsidR="004651C5" w:rsidRPr="0050048E">
        <w:t>2023</w:t>
      </w:r>
      <w:r w:rsidR="00801B51" w:rsidRPr="0050048E">
        <w:t>–</w:t>
      </w:r>
      <w:r w:rsidR="004651C5" w:rsidRPr="0050048E">
        <w:t xml:space="preserve">24 </w:t>
      </w:r>
      <w:r w:rsidRPr="0050048E">
        <w:t xml:space="preserve">is a transitional year, amounts </w:t>
      </w:r>
      <w:r w:rsidR="004651C5" w:rsidRPr="0050048E">
        <w:t xml:space="preserve">reflect the combined estimates for </w:t>
      </w:r>
      <w:r w:rsidRPr="0050048E">
        <w:t xml:space="preserve">the </w:t>
      </w:r>
      <w:r w:rsidR="001D42C9" w:rsidRPr="0050048E">
        <w:t>SPP</w:t>
      </w:r>
      <w:r w:rsidR="006D3EC0" w:rsidRPr="0050048E">
        <w:t> </w:t>
      </w:r>
      <w:r w:rsidR="004651C5" w:rsidRPr="0050048E">
        <w:t>(1</w:t>
      </w:r>
      <w:r w:rsidR="00801B51" w:rsidRPr="0050048E">
        <w:t> J</w:t>
      </w:r>
      <w:r w:rsidR="004651C5" w:rsidRPr="0050048E">
        <w:t>uly</w:t>
      </w:r>
      <w:r w:rsidR="00801B51" w:rsidRPr="0050048E">
        <w:t> </w:t>
      </w:r>
      <w:r w:rsidR="00232ACA" w:rsidRPr="0050048E">
        <w:t>2</w:t>
      </w:r>
      <w:r w:rsidR="004651C5" w:rsidRPr="0050048E">
        <w:t>023</w:t>
      </w:r>
      <w:r w:rsidR="00801B51" w:rsidRPr="0050048E">
        <w:t xml:space="preserve"> to </w:t>
      </w:r>
      <w:r w:rsidR="004651C5" w:rsidRPr="0050048E">
        <w:t>31</w:t>
      </w:r>
      <w:r w:rsidR="00801B51" w:rsidRPr="0050048E">
        <w:t> </w:t>
      </w:r>
      <w:r w:rsidR="004651C5" w:rsidRPr="0050048E">
        <w:t>December</w:t>
      </w:r>
      <w:r w:rsidR="00801B51" w:rsidRPr="0050048E">
        <w:t> 2</w:t>
      </w:r>
      <w:r w:rsidR="004651C5" w:rsidRPr="0050048E">
        <w:t>02</w:t>
      </w:r>
      <w:r w:rsidR="00E855F7" w:rsidRPr="0050048E">
        <w:t>3</w:t>
      </w:r>
      <w:r w:rsidR="004651C5" w:rsidRPr="0050048E">
        <w:t xml:space="preserve">) and </w:t>
      </w:r>
      <w:r w:rsidR="00801B51" w:rsidRPr="0050048E">
        <w:t xml:space="preserve">the </w:t>
      </w:r>
      <w:r w:rsidR="004651C5" w:rsidRPr="0050048E">
        <w:t>NSA (1</w:t>
      </w:r>
      <w:r w:rsidR="00801B51" w:rsidRPr="0050048E">
        <w:t> </w:t>
      </w:r>
      <w:r w:rsidR="004651C5" w:rsidRPr="0050048E">
        <w:t>January</w:t>
      </w:r>
      <w:r w:rsidR="00801B51" w:rsidRPr="0050048E">
        <w:t> 2</w:t>
      </w:r>
      <w:r w:rsidR="004651C5" w:rsidRPr="0050048E">
        <w:t>024 to 30</w:t>
      </w:r>
      <w:r w:rsidR="00801B51" w:rsidRPr="0050048E">
        <w:t> </w:t>
      </w:r>
      <w:r w:rsidR="004651C5" w:rsidRPr="0050048E">
        <w:t>June</w:t>
      </w:r>
      <w:r w:rsidR="00801B51" w:rsidRPr="0050048E">
        <w:t> </w:t>
      </w:r>
      <w:r w:rsidR="004651C5" w:rsidRPr="0050048E">
        <w:t>2024).</w:t>
      </w:r>
      <w:r w:rsidR="001D42C9" w:rsidRPr="0050048E">
        <w:t xml:space="preserve"> </w:t>
      </w:r>
    </w:p>
    <w:p w14:paraId="7F16C163" w14:textId="35BFA19E" w:rsidR="007D38B5" w:rsidRPr="0050048E" w:rsidRDefault="008D3533" w:rsidP="005A722D">
      <w:r w:rsidRPr="0050048E">
        <w:t xml:space="preserve">Funding for the </w:t>
      </w:r>
      <w:r w:rsidR="00203C7D" w:rsidRPr="0050048E">
        <w:t>NSA</w:t>
      </w:r>
      <w:r w:rsidRPr="0050048E">
        <w:t xml:space="preserve"> </w:t>
      </w:r>
      <w:r w:rsidR="001E18EC" w:rsidRPr="0050048E">
        <w:t xml:space="preserve">includes </w:t>
      </w:r>
      <w:r w:rsidR="003F66BB" w:rsidRPr="0050048E">
        <w:t xml:space="preserve">National Partnership Payments for </w:t>
      </w:r>
      <w:r w:rsidR="00EE3DF8" w:rsidRPr="0050048E">
        <w:t>seven</w:t>
      </w:r>
      <w:r w:rsidR="003F66BB" w:rsidRPr="0050048E">
        <w:t xml:space="preserve"> Specific Policy Initiatives</w:t>
      </w:r>
      <w:r w:rsidR="000B4144" w:rsidRPr="0050048E">
        <w:t xml:space="preserve">: </w:t>
      </w:r>
      <w:r w:rsidR="005E37BD" w:rsidRPr="0050048E">
        <w:t>Closing the Gap, Ensuring Access to Foundational Skills Training, TAFE</w:t>
      </w:r>
      <w:r w:rsidR="00561FB0" w:rsidRPr="0050048E">
        <w:t> </w:t>
      </w:r>
      <w:r w:rsidR="005E37BD" w:rsidRPr="0050048E">
        <w:t>Centres</w:t>
      </w:r>
      <w:r w:rsidR="00561FB0" w:rsidRPr="0050048E">
        <w:t> </w:t>
      </w:r>
      <w:r w:rsidR="005E37BD" w:rsidRPr="0050048E">
        <w:t>of Excellence, National TAFE Network, Measures to Strengthen the VET Workforce, Enhanced VET Data and Evidence and Improve</w:t>
      </w:r>
      <w:r w:rsidR="003D01DB" w:rsidRPr="0050048E">
        <w:t>d</w:t>
      </w:r>
      <w:r w:rsidR="005E37BD" w:rsidRPr="0050048E">
        <w:t xml:space="preserve"> Completions </w:t>
      </w:r>
      <w:r w:rsidR="00900EE9" w:rsidRPr="0050048E">
        <w:t>–</w:t>
      </w:r>
      <w:r w:rsidR="005E37BD" w:rsidRPr="0050048E">
        <w:t xml:space="preserve"> Especially for Priority Groups.</w:t>
      </w:r>
      <w:r w:rsidR="007D38B5" w:rsidRPr="0050048E">
        <w:br w:type="page"/>
      </w:r>
    </w:p>
    <w:p w14:paraId="2705FE2F" w14:textId="77777777" w:rsidR="007D38B5" w:rsidRPr="0050048E" w:rsidRDefault="007D38B5" w:rsidP="007D38B5">
      <w:pPr>
        <w:pStyle w:val="Heading3"/>
      </w:pPr>
      <w:r w:rsidRPr="0050048E">
        <w:lastRenderedPageBreak/>
        <w:t>National Partnership payments for skills and workforce development</w:t>
      </w:r>
    </w:p>
    <w:p w14:paraId="2BF5176F" w14:textId="190170C0" w:rsidR="007D38B5" w:rsidRPr="0050048E" w:rsidRDefault="007D38B5" w:rsidP="007D38B5">
      <w:r w:rsidRPr="0050048E">
        <w:t xml:space="preserve">In addition to the National Skills </w:t>
      </w:r>
      <w:r w:rsidR="00B5767E" w:rsidRPr="0050048E">
        <w:t>Agreement</w:t>
      </w:r>
      <w:r w:rsidRPr="0050048E">
        <w:t>, the Australian Government is providing funding through National Partnership payments as detailed below.</w:t>
      </w:r>
    </w:p>
    <w:p w14:paraId="23572DCD" w14:textId="4B74C6BF" w:rsidR="005E2863" w:rsidRPr="005E2863" w:rsidRDefault="00AA40FE" w:rsidP="005E2863">
      <w:pPr>
        <w:pStyle w:val="TableHeading"/>
        <w:rPr>
          <w:color w:val="000000"/>
          <w:sz w:val="16"/>
        </w:rPr>
      </w:pPr>
      <w:r w:rsidRPr="0050048E">
        <w:t>Capital and Equipment Investment Fund</w:t>
      </w:r>
      <w:r w:rsidR="009F1548" w:rsidRPr="0050048E">
        <w:rPr>
          <w:vertAlign w:val="superscript"/>
        </w:rPr>
        <w:t>(a)</w:t>
      </w:r>
      <w:r w:rsidR="00CC59B5" w:rsidRPr="0050048E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757"/>
        <w:gridCol w:w="757"/>
        <w:gridCol w:w="757"/>
        <w:gridCol w:w="757"/>
        <w:gridCol w:w="757"/>
        <w:gridCol w:w="757"/>
        <w:gridCol w:w="757"/>
        <w:gridCol w:w="757"/>
        <w:gridCol w:w="836"/>
      </w:tblGrid>
      <w:tr w:rsidR="005E2863" w:rsidRPr="005E2863" w14:paraId="01C16730" w14:textId="77777777" w:rsidTr="005E2863">
        <w:trPr>
          <w:trHeight w:hRule="exact" w:val="225"/>
        </w:trPr>
        <w:tc>
          <w:tcPr>
            <w:tcW w:w="5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7E9C" w14:textId="2B70D990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D15B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NSW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6EEA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VIC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EB9C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QLD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3F8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8414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98C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TAS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1F0C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ACT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CE6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NT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3A79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E2863" w:rsidRPr="005E2863" w14:paraId="69740F4D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3E4D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2023-24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141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F04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073D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7FB7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8BDF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0D81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70F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F384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F59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E2863" w:rsidRPr="005E2863" w14:paraId="266B0D19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47BEE91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2024-25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17BF23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B08E58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F5A3DF1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4070E7C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DC36CE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D35F38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9CC1D1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684EB2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43DEAF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5E2863" w:rsidRPr="005E2863" w14:paraId="7505553E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240FC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2025-26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3F9A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9FE1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E676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02F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C0BA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7256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112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88B8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DF17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</w:tr>
      <w:tr w:rsidR="005E2863" w:rsidRPr="005E2863" w14:paraId="21F62022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24D5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2026-27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5DC3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05D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2FD9F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818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EA7F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E428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8AA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4A0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054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</w:tr>
      <w:tr w:rsidR="005E2863" w:rsidRPr="005E2863" w14:paraId="5CCB1FCB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84ED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2027-28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8676A5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2684BC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62FCA8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279E14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8C4562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F291B0F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6FFFDF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5BDEB2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1F41B61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E2863" w:rsidRPr="005E2863" w14:paraId="788493EF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78F9A7D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B26B541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704649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E93D6DC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8A6A63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C4456C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4C25B0C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F2BC94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DD5948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5B0539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</w:tr>
    </w:tbl>
    <w:p w14:paraId="7CA26557" w14:textId="30371030" w:rsidR="00AA40FE" w:rsidRPr="0050048E" w:rsidRDefault="00AA40FE" w:rsidP="00AA40FE">
      <w:pPr>
        <w:pStyle w:val="ChartandTableFootnoteAlpha"/>
        <w:numPr>
          <w:ilvl w:val="0"/>
          <w:numId w:val="21"/>
        </w:numPr>
        <w:rPr>
          <w:color w:val="auto"/>
        </w:rPr>
      </w:pPr>
      <w:r w:rsidRPr="0050048E">
        <w:rPr>
          <w:color w:val="auto"/>
        </w:rPr>
        <w:t>State allocations have not yet been determined.</w:t>
      </w:r>
    </w:p>
    <w:p w14:paraId="7D16B722" w14:textId="77777777" w:rsidR="00AA40FE" w:rsidRPr="0050048E" w:rsidRDefault="00AA40FE" w:rsidP="00AA40FE">
      <w:pPr>
        <w:pStyle w:val="ChartLine"/>
        <w:spacing w:after="0"/>
      </w:pPr>
    </w:p>
    <w:p w14:paraId="5FBD7583" w14:textId="734512F0" w:rsidR="00AA40FE" w:rsidRPr="0050048E" w:rsidRDefault="00AA40FE" w:rsidP="00AA40FE">
      <w:r w:rsidRPr="0050048E">
        <w:t xml:space="preserve">The Australian Government </w:t>
      </w:r>
      <w:r w:rsidR="007E44CE" w:rsidRPr="0050048E">
        <w:t xml:space="preserve">will </w:t>
      </w:r>
      <w:r w:rsidRPr="0050048E">
        <w:t>provid</w:t>
      </w:r>
      <w:r w:rsidR="007E44CE" w:rsidRPr="0050048E">
        <w:t>e</w:t>
      </w:r>
      <w:r w:rsidRPr="0050048E">
        <w:t xml:space="preserve"> $</w:t>
      </w:r>
      <w:r w:rsidR="00901872" w:rsidRPr="0050048E">
        <w:t>50</w:t>
      </w:r>
      <w:r w:rsidRPr="0050048E">
        <w:t>.</w:t>
      </w:r>
      <w:r w:rsidR="00901872" w:rsidRPr="0050048E">
        <w:t>0</w:t>
      </w:r>
      <w:r w:rsidR="0083426D" w:rsidRPr="0050048E">
        <w:t> </w:t>
      </w:r>
      <w:r w:rsidRPr="0050048E">
        <w:t xml:space="preserve">million </w:t>
      </w:r>
      <w:r w:rsidR="00901872" w:rsidRPr="0050048E">
        <w:t>to support co</w:t>
      </w:r>
      <w:r w:rsidR="00D81FEB" w:rsidRPr="0050048E">
        <w:t>–</w:t>
      </w:r>
      <w:r w:rsidR="00901872" w:rsidRPr="0050048E">
        <w:t xml:space="preserve">investment with states on new and upgraded </w:t>
      </w:r>
      <w:r w:rsidRPr="0050048E">
        <w:t>TA</w:t>
      </w:r>
      <w:r w:rsidR="00901872" w:rsidRPr="0050048E">
        <w:t>FE facilities</w:t>
      </w:r>
      <w:r w:rsidR="00DD04D4" w:rsidRPr="0050048E">
        <w:t xml:space="preserve">. This funding will be used to </w:t>
      </w:r>
      <w:r w:rsidR="00901872" w:rsidRPr="0050048E">
        <w:t xml:space="preserve">ensure that TAFE facilities are equipped </w:t>
      </w:r>
      <w:r w:rsidR="00DD04D4" w:rsidRPr="0050048E">
        <w:t>and ready to deliver cutting</w:t>
      </w:r>
      <w:r w:rsidR="004F6DDB">
        <w:noBreakHyphen/>
      </w:r>
      <w:r w:rsidR="00DD04D4" w:rsidRPr="0050048E">
        <w:t>edge training in clean energy qualifications and support more students to undertake this training.</w:t>
      </w:r>
    </w:p>
    <w:p w14:paraId="761EA70C" w14:textId="3281CB76" w:rsidR="0026720D" w:rsidRPr="0050048E" w:rsidRDefault="0026720D" w:rsidP="00AA40FE">
      <w:r w:rsidRPr="0050048E">
        <w:t xml:space="preserve">A new measure associated with this item is listed in Table 1.4 and described in more detail in Budget Paper No. 2, </w:t>
      </w:r>
      <w:r w:rsidRPr="0050048E">
        <w:rPr>
          <w:i/>
        </w:rPr>
        <w:t>Budget Measures 2024–25</w:t>
      </w:r>
      <w:r w:rsidRPr="0050048E">
        <w:t>.</w:t>
      </w:r>
    </w:p>
    <w:p w14:paraId="1E18475E" w14:textId="27818E26" w:rsidR="0090771E" w:rsidRPr="0050048E" w:rsidRDefault="00634E7A" w:rsidP="001D4E38">
      <w:pPr>
        <w:pStyle w:val="TableHeading"/>
        <w:rPr>
          <w:sz w:val="16"/>
        </w:rPr>
      </w:pPr>
      <w:r w:rsidRPr="0050048E">
        <w:t>Fee</w:t>
      </w:r>
      <w:r w:rsidR="004F6DDB">
        <w:noBreakHyphen/>
      </w:r>
      <w:r w:rsidRPr="0050048E">
        <w:t>Free TAFE</w:t>
      </w:r>
      <w:r w:rsidR="007D38B5" w:rsidRPr="0050048E">
        <w:t xml:space="preserve"> Skills Agreement</w:t>
      </w:r>
      <w:r w:rsidR="00D56CE7" w:rsidRPr="0050048E">
        <w:rPr>
          <w:vertAlign w:val="superscript"/>
        </w:rPr>
        <w:t>(a)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757"/>
        <w:gridCol w:w="757"/>
        <w:gridCol w:w="757"/>
        <w:gridCol w:w="757"/>
        <w:gridCol w:w="757"/>
        <w:gridCol w:w="757"/>
        <w:gridCol w:w="757"/>
        <w:gridCol w:w="757"/>
        <w:gridCol w:w="836"/>
      </w:tblGrid>
      <w:tr w:rsidR="0090771E" w:rsidRPr="0050048E" w14:paraId="053617E0" w14:textId="77777777" w:rsidTr="0090771E">
        <w:trPr>
          <w:trHeight w:val="225"/>
        </w:trPr>
        <w:tc>
          <w:tcPr>
            <w:tcW w:w="5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B6E0" w14:textId="4974BA34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AA67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3B83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CE17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5F2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305D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276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0039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681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B45E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0771E" w:rsidRPr="0050048E" w14:paraId="20D01160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9524" w14:textId="6A76FEA7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2023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C325D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101.9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DAAD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82.4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DDDE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67.3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37E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38.7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6AA3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C6E7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F849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2DF7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9A24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335.9</w:t>
            </w:r>
          </w:p>
        </w:tc>
      </w:tr>
      <w:tr w:rsidR="0090771E" w:rsidRPr="0050048E" w14:paraId="77B77FAC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9374F7D" w14:textId="0F2C4051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2024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9F1506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9A6E2D4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2589D34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C93CAF3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CDDBE2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1D5550E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02CE75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5B37B6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0192CC6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51.3</w:t>
            </w:r>
          </w:p>
        </w:tc>
      </w:tr>
      <w:tr w:rsidR="0090771E" w:rsidRPr="0050048E" w14:paraId="44F0CB1E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F2E7" w14:textId="79DA57DC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2025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723D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52.1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84B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43.3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6884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34.4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60BE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150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0D6D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04E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0314B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CB23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167.4</w:t>
            </w:r>
          </w:p>
        </w:tc>
      </w:tr>
      <w:tr w:rsidR="0090771E" w:rsidRPr="0050048E" w14:paraId="0C790A9E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09B9" w14:textId="14E7C841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2026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F784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5FB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38.0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2C46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68FF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DB7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8CD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2270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0DD6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89AD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146.3</w:t>
            </w:r>
          </w:p>
        </w:tc>
      </w:tr>
      <w:tr w:rsidR="0090771E" w:rsidRPr="0050048E" w14:paraId="765F6D7C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0114" w14:textId="09E31F09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2027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ACB2026" w14:textId="1989A9CF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D9D415F" w14:textId="3E3E9B7E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4E1C52E" w14:textId="68011AD6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4567697" w14:textId="04F2DF78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4104284" w14:textId="1851CDE2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ED49C9F" w14:textId="54EA18A4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D892B00" w14:textId="71565E47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2434B0E" w14:textId="53B035BB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AA350CC" w14:textId="65891035" w:rsidR="0090771E" w:rsidRPr="0050048E" w:rsidRDefault="004F6DDB" w:rsidP="009077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90771E" w:rsidRPr="0050048E" w14:paraId="6223AC15" w14:textId="77777777" w:rsidTr="0090771E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5F823E9" w14:textId="77777777" w:rsidR="0090771E" w:rsidRPr="0050048E" w:rsidRDefault="0090771E" w:rsidP="009077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B8670D8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211.4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FA3E815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174.8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E0B50C2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140.8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326083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78.4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5168C8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48.8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D1A3A2A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19.5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236214C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17.1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1A81163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10.2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7AFE651" w14:textId="77777777" w:rsidR="0090771E" w:rsidRPr="0050048E" w:rsidRDefault="0090771E" w:rsidP="009077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701.0</w:t>
            </w:r>
          </w:p>
        </w:tc>
      </w:tr>
    </w:tbl>
    <w:p w14:paraId="71B352EF" w14:textId="39770EDA" w:rsidR="00D56CE7" w:rsidRPr="0050048E" w:rsidRDefault="00D56CE7" w:rsidP="00D56CE7">
      <w:pPr>
        <w:pStyle w:val="ChartandTableFootnoteAlpha"/>
        <w:numPr>
          <w:ilvl w:val="0"/>
          <w:numId w:val="19"/>
        </w:numPr>
        <w:rPr>
          <w:color w:val="auto"/>
        </w:rPr>
      </w:pPr>
      <w:r w:rsidRPr="0050048E">
        <w:rPr>
          <w:color w:val="auto"/>
        </w:rPr>
        <w:t>State allocations are indicative estimates only to be determined on the re</w:t>
      </w:r>
      <w:r w:rsidR="004F6DDB">
        <w:rPr>
          <w:color w:val="auto"/>
        </w:rPr>
        <w:noBreakHyphen/>
      </w:r>
      <w:r w:rsidRPr="0050048E">
        <w:rPr>
          <w:color w:val="auto"/>
        </w:rPr>
        <w:t>negotiation of the agreement.</w:t>
      </w:r>
    </w:p>
    <w:p w14:paraId="30419DDC" w14:textId="77777777" w:rsidR="00D56CE7" w:rsidRPr="0050048E" w:rsidRDefault="00D56CE7" w:rsidP="00D56CE7">
      <w:pPr>
        <w:pStyle w:val="ChartLine"/>
      </w:pPr>
    </w:p>
    <w:p w14:paraId="31474548" w14:textId="70600FA8" w:rsidR="007D38B5" w:rsidRPr="0050048E" w:rsidRDefault="007D38B5" w:rsidP="007D38B5">
      <w:r w:rsidRPr="0050048E">
        <w:t>The Australian Government is providing $</w:t>
      </w:r>
      <w:r w:rsidR="00401954" w:rsidRPr="0050048E">
        <w:t>701.0</w:t>
      </w:r>
      <w:r w:rsidR="0083426D" w:rsidRPr="0050048E">
        <w:t> </w:t>
      </w:r>
      <w:r w:rsidRPr="0050048E">
        <w:t xml:space="preserve">million for the </w:t>
      </w:r>
      <w:r w:rsidR="00634E7A" w:rsidRPr="0050048E">
        <w:t>Fee</w:t>
      </w:r>
      <w:r w:rsidR="004F6DDB">
        <w:noBreakHyphen/>
      </w:r>
      <w:r w:rsidR="00634E7A" w:rsidRPr="0050048E">
        <w:t>Free TAFE</w:t>
      </w:r>
      <w:r w:rsidRPr="0050048E">
        <w:t xml:space="preserve"> Skills Agreement</w:t>
      </w:r>
      <w:r w:rsidR="00401954" w:rsidRPr="0050048E">
        <w:t xml:space="preserve">. This </w:t>
      </w:r>
      <w:r w:rsidRPr="0050048E">
        <w:t>includ</w:t>
      </w:r>
      <w:r w:rsidR="00401954" w:rsidRPr="0050048E">
        <w:t>es</w:t>
      </w:r>
      <w:r w:rsidRPr="0050048E">
        <w:t xml:space="preserve"> $</w:t>
      </w:r>
      <w:r w:rsidR="002655F0" w:rsidRPr="0050048E">
        <w:t>564.6</w:t>
      </w:r>
      <w:r w:rsidR="0083426D" w:rsidRPr="0050048E">
        <w:t> </w:t>
      </w:r>
      <w:r w:rsidRPr="0050048E">
        <w:t>million for fee</w:t>
      </w:r>
      <w:r w:rsidR="004F6DDB">
        <w:noBreakHyphen/>
      </w:r>
      <w:r w:rsidRPr="0050048E">
        <w:t xml:space="preserve">free TAFE </w:t>
      </w:r>
      <w:r w:rsidR="00401954" w:rsidRPr="0050048E">
        <w:t xml:space="preserve">and </w:t>
      </w:r>
      <w:r w:rsidRPr="0050048E">
        <w:t>$50.0</w:t>
      </w:r>
      <w:r w:rsidR="0083426D" w:rsidRPr="0050048E">
        <w:t> </w:t>
      </w:r>
      <w:r w:rsidRPr="0050048E">
        <w:t>million for a TAFE Technology Fund, to improve workshops, laboratories, and IT facilities across the country.</w:t>
      </w:r>
      <w:r w:rsidR="00947EB0" w:rsidRPr="0050048E">
        <w:t xml:space="preserve"> </w:t>
      </w:r>
    </w:p>
    <w:p w14:paraId="1D707071" w14:textId="72A904AE" w:rsidR="00E21E84" w:rsidRPr="0050048E" w:rsidRDefault="00401954" w:rsidP="007D38B5">
      <w:r w:rsidRPr="0050048E">
        <w:t xml:space="preserve">In order to address labour shortages in the building and construction sector, the Australian Government will provide an </w:t>
      </w:r>
      <w:r w:rsidR="00947EB0" w:rsidRPr="0050048E">
        <w:t xml:space="preserve">additional $86.4 million </w:t>
      </w:r>
      <w:r w:rsidRPr="0050048E">
        <w:t xml:space="preserve">to </w:t>
      </w:r>
      <w:r w:rsidR="00947EB0" w:rsidRPr="0050048E">
        <w:t>increase the pipeline of skilled workers. This includes $24.6 million for pre</w:t>
      </w:r>
      <w:r w:rsidR="004F6DDB">
        <w:noBreakHyphen/>
      </w:r>
      <w:r w:rsidR="00947EB0" w:rsidRPr="0050048E">
        <w:t xml:space="preserve">apprenticeships and </w:t>
      </w:r>
      <w:r w:rsidRPr="0050048E">
        <w:t xml:space="preserve">$61.7 million for </w:t>
      </w:r>
      <w:r w:rsidR="00871CEA" w:rsidRPr="0050048E">
        <w:t>new fee</w:t>
      </w:r>
      <w:r w:rsidR="004F6DDB">
        <w:noBreakHyphen/>
      </w:r>
      <w:r w:rsidR="00871CEA" w:rsidRPr="0050048E">
        <w:t xml:space="preserve">free places in TAFEs and Industry </w:t>
      </w:r>
      <w:r w:rsidR="00FD3FC6" w:rsidRPr="0050048E">
        <w:t>Registered Training Organisations</w:t>
      </w:r>
      <w:r w:rsidR="00871CEA" w:rsidRPr="0050048E">
        <w:t>.</w:t>
      </w:r>
      <w:r w:rsidR="00E21E84" w:rsidRPr="0050048E">
        <w:t xml:space="preserve"> </w:t>
      </w:r>
    </w:p>
    <w:p w14:paraId="73665CC9" w14:textId="4157A53E" w:rsidR="00A469D9" w:rsidRPr="0050048E" w:rsidRDefault="00A469D9" w:rsidP="007D38B5">
      <w:r w:rsidRPr="0050048E">
        <w:t xml:space="preserve">A new measure associated with this item is listed in Table 1.4 and described in more detail in Budget Paper No. 2, </w:t>
      </w:r>
      <w:r w:rsidRPr="0050048E">
        <w:rPr>
          <w:i/>
        </w:rPr>
        <w:t>Budget Measures 2024–25</w:t>
      </w:r>
      <w:r w:rsidRPr="0050048E">
        <w:t>.</w:t>
      </w:r>
      <w:r w:rsidR="00517C54" w:rsidRPr="0050048E">
        <w:br w:type="page"/>
      </w:r>
    </w:p>
    <w:p w14:paraId="6AAD75EC" w14:textId="6E652631" w:rsidR="00F924CB" w:rsidRPr="0050048E" w:rsidRDefault="007D38B5" w:rsidP="001D4E38">
      <w:pPr>
        <w:pStyle w:val="TableHeading"/>
      </w:pPr>
      <w:bookmarkStart w:id="2" w:name="_Hlk70544385"/>
      <w:r w:rsidRPr="0050048E">
        <w:lastRenderedPageBreak/>
        <w:t>Resources Centre of Excellence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757"/>
        <w:gridCol w:w="757"/>
        <w:gridCol w:w="757"/>
        <w:gridCol w:w="757"/>
        <w:gridCol w:w="757"/>
        <w:gridCol w:w="757"/>
        <w:gridCol w:w="757"/>
        <w:gridCol w:w="757"/>
        <w:gridCol w:w="836"/>
      </w:tblGrid>
      <w:tr w:rsidR="00F924CB" w:rsidRPr="0050048E" w14:paraId="16FD8790" w14:textId="77777777" w:rsidTr="00F924CB">
        <w:trPr>
          <w:trHeight w:val="225"/>
        </w:trPr>
        <w:tc>
          <w:tcPr>
            <w:tcW w:w="5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1FC4D" w14:textId="4E6A9A47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18DF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0971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F325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83AB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61DEC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C8AB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0B1C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F37C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AC60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924CB" w:rsidRPr="0050048E" w14:paraId="36B7723F" w14:textId="77777777" w:rsidTr="00F924CB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66AFE" w14:textId="1F7E3737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2023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5749" w14:textId="02BAAD9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84A28" w14:textId="236EA18F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DB0B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CE7CB" w14:textId="277B523E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55CCA" w14:textId="7231F61B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AFEF" w14:textId="0AB14B5D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B5C15" w14:textId="28C51345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7FEC" w14:textId="125C728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68F6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F924CB" w:rsidRPr="0050048E" w14:paraId="5D9CA11F" w14:textId="77777777" w:rsidTr="00F924CB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6A69C4D" w14:textId="770430B2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2024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0C6FF67" w14:textId="345253FC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D40EC8E" w14:textId="4774EA1F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EBFF122" w14:textId="0AF052D4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4926E42" w14:textId="44D33323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09CA9B3" w14:textId="221B2F24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5271C0E" w14:textId="0E2C8BC6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86C31BB" w14:textId="7C66CB1F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9BCBB4F" w14:textId="14EA775C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86AA083" w14:textId="3217597E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F924CB" w:rsidRPr="0050048E" w14:paraId="2AA15B3B" w14:textId="77777777" w:rsidTr="00F924CB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12CD" w14:textId="23E19AED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2025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43BEE" w14:textId="491CCA9A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C0429" w14:textId="2C7B942C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8658B" w14:textId="69E32A99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7EBC" w14:textId="78546B43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6A1E1" w14:textId="7F74548D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F553" w14:textId="27363EC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C6105" w14:textId="47821893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2E989" w14:textId="3DE2073D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1C1E" w14:textId="62BFC96C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F924CB" w:rsidRPr="0050048E" w14:paraId="2A63800E" w14:textId="77777777" w:rsidTr="00F924CB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59FFB" w14:textId="5E2A7B33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2026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26D8" w14:textId="0D19C47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EAF5" w14:textId="6B99C8C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A593" w14:textId="6FECABB8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D9E1" w14:textId="2EAC6850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9901" w14:textId="2602996A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9666" w14:textId="20F905F3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BB7E" w14:textId="3DDE4FC7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B4F4" w14:textId="720263A7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C8DD" w14:textId="3F9FD3EE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F924CB" w:rsidRPr="0050048E" w14:paraId="19AA0436" w14:textId="77777777" w:rsidTr="00F924CB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474A6" w14:textId="0FED16A3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2027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56BDCCB" w14:textId="7293D24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6024570" w14:textId="1C7F01AB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02ED6E4" w14:textId="0F5D1B24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FF6D6C0" w14:textId="1090784E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B994923" w14:textId="476C38F3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2977ED6" w14:textId="0B371568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8E99747" w14:textId="48BA9141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45D8032" w14:textId="54C156BE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20BCC52" w14:textId="0C8D8CA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F924CB" w:rsidRPr="0050048E" w14:paraId="74A9B14A" w14:textId="77777777" w:rsidTr="00F924CB">
        <w:trPr>
          <w:trHeight w:val="225"/>
        </w:trPr>
        <w:tc>
          <w:tcPr>
            <w:tcW w:w="53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A705BB8" w14:textId="77777777" w:rsidR="00F924CB" w:rsidRPr="0050048E" w:rsidRDefault="00F924CB" w:rsidP="00F924C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37B72FE" w14:textId="471A040C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1F74940" w14:textId="1E49C0C6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6C1E0F6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6E0067F" w14:textId="408D1012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B661AC5" w14:textId="02880200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71DA8F1" w14:textId="3507B934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7E71A49" w14:textId="5E2D1D8C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7E86292" w14:textId="5F1789B0" w:rsidR="00F924CB" w:rsidRPr="0050048E" w:rsidRDefault="004F6DD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91A6537" w14:textId="77777777" w:rsidR="00F924CB" w:rsidRPr="0050048E" w:rsidRDefault="00F924CB" w:rsidP="00F924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2.0</w:t>
            </w:r>
          </w:p>
        </w:tc>
      </w:tr>
    </w:tbl>
    <w:p w14:paraId="25A2C888" w14:textId="21A26764" w:rsidR="007D38B5" w:rsidRPr="0050048E" w:rsidRDefault="007D38B5" w:rsidP="007D38B5">
      <w:r w:rsidRPr="0050048E">
        <w:t>The Australian Government is providing funding to support the Isaac Regional Council</w:t>
      </w:r>
      <w:r w:rsidR="004F6DDB">
        <w:t>’</w:t>
      </w:r>
      <w:r w:rsidRPr="0050048E">
        <w:t>s initiative to establish a future Resources Centre of Excellence in Moranbah and for the North Bowen Basin Mines Rescue Station and Training Centre.</w:t>
      </w:r>
      <w:r w:rsidR="00561FB0" w:rsidRPr="0050048E">
        <w:t xml:space="preserve"> </w:t>
      </w:r>
    </w:p>
    <w:bookmarkEnd w:id="2"/>
    <w:p w14:paraId="773B8EDB" w14:textId="0E20F6A2" w:rsidR="005E2863" w:rsidRPr="005E2863" w:rsidRDefault="00C9314E" w:rsidP="005E2863">
      <w:pPr>
        <w:pStyle w:val="TableHeading"/>
        <w:rPr>
          <w:color w:val="000000"/>
          <w:sz w:val="16"/>
        </w:rPr>
      </w:pPr>
      <w:r w:rsidRPr="0050048E">
        <w:t>Turbocharge the Teacher, Trainer and Assessor Workforce</w:t>
      </w:r>
      <w:r w:rsidR="00811DE3" w:rsidRPr="0050048E">
        <w:rPr>
          <w:vertAlign w:val="superscript"/>
        </w:rPr>
        <w:t>(a)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757"/>
        <w:gridCol w:w="757"/>
        <w:gridCol w:w="757"/>
        <w:gridCol w:w="757"/>
        <w:gridCol w:w="757"/>
        <w:gridCol w:w="757"/>
        <w:gridCol w:w="757"/>
        <w:gridCol w:w="757"/>
        <w:gridCol w:w="836"/>
      </w:tblGrid>
      <w:tr w:rsidR="005E2863" w:rsidRPr="005E2863" w14:paraId="1C17F415" w14:textId="77777777" w:rsidTr="005E2863">
        <w:trPr>
          <w:trHeight w:hRule="exact" w:val="225"/>
        </w:trPr>
        <w:tc>
          <w:tcPr>
            <w:tcW w:w="53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F789" w14:textId="1D664396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07B4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NSW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626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VIC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4C7D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QLD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4421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7B61C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168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TAS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286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ACT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534A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NT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1F10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E2863" w:rsidRPr="005E2863" w14:paraId="3D98F292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83FF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2023-24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BA9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C404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97C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8B4B1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8A664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3E1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EAA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BAFC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2385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E2863" w:rsidRPr="005E2863" w14:paraId="644563EB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F9E9A17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2024-25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28A300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A618E4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B9C1EDF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3F592C2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AFE9CA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4CD2C2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E24B54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614C4E0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75A0A2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5E2863" w:rsidRPr="005E2863" w14:paraId="424E0714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2D13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2025-26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911A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5F7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6B87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0863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936D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51B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DB18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0259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F50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5E2863" w:rsidRPr="005E2863" w14:paraId="5EB56797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5592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2026-27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98A9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5D64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80C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B02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C22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20EB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5AD8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5CA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49B5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E2863" w:rsidRPr="005E2863" w14:paraId="695655D3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E697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2027-28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DC22DC8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D63467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4934A4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1945F6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41BD5D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AE69B01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BD53FCD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EFD9A23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120F2049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E2863" w:rsidRPr="005E2863" w14:paraId="01C506BD" w14:textId="77777777" w:rsidTr="005E2863">
        <w:trPr>
          <w:trHeight w:hRule="exact" w:val="225"/>
        </w:trPr>
        <w:tc>
          <w:tcPr>
            <w:tcW w:w="53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0278088" w14:textId="77777777" w:rsidR="005E2863" w:rsidRPr="005E2863" w:rsidRDefault="005E2863" w:rsidP="005E286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67AA51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A1B57D6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605A4DA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1921F8F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DD154B0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2AAD66E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EF10DE2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0AE5B5C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~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BF3C477" w14:textId="77777777" w:rsidR="005E2863" w:rsidRPr="005E2863" w:rsidRDefault="005E2863" w:rsidP="005E28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28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</w:t>
            </w:r>
          </w:p>
        </w:tc>
      </w:tr>
    </w:tbl>
    <w:p w14:paraId="6175DEE5" w14:textId="5F6DB0B5" w:rsidR="00C9314E" w:rsidRPr="0050048E" w:rsidRDefault="00C9314E" w:rsidP="00C9314E">
      <w:pPr>
        <w:pStyle w:val="ChartandTableFootnoteAlpha"/>
        <w:numPr>
          <w:ilvl w:val="0"/>
          <w:numId w:val="26"/>
        </w:numPr>
        <w:rPr>
          <w:color w:val="auto"/>
        </w:rPr>
      </w:pPr>
      <w:r w:rsidRPr="0050048E">
        <w:rPr>
          <w:color w:val="auto"/>
        </w:rPr>
        <w:t>State allocations have not yet been determined.</w:t>
      </w:r>
    </w:p>
    <w:p w14:paraId="01F4D442" w14:textId="77777777" w:rsidR="00C9314E" w:rsidRPr="0050048E" w:rsidRDefault="00C9314E" w:rsidP="00C9314E">
      <w:pPr>
        <w:pStyle w:val="ChartLine"/>
        <w:spacing w:after="0"/>
      </w:pPr>
    </w:p>
    <w:p w14:paraId="287F8C05" w14:textId="77777777" w:rsidR="00C9314E" w:rsidRPr="0050048E" w:rsidRDefault="00C9314E" w:rsidP="00C9314E">
      <w:r w:rsidRPr="0050048E">
        <w:t>The Australian Government will provide $30.0 million to the states to support existing initiatives and new measures that will rapidly upskill teachers, trainers and assessors involved in the clean energy, manufacturing and construction sectors.</w:t>
      </w:r>
    </w:p>
    <w:p w14:paraId="008F9427" w14:textId="3CC75278" w:rsidR="005B62A7" w:rsidRPr="0050048E" w:rsidRDefault="005B62A7" w:rsidP="00C9314E">
      <w:r w:rsidRPr="0050048E">
        <w:t xml:space="preserve">A new measure associated with this item is listed in Table 1.4 and described in more detail in Budget Paper No. 2, </w:t>
      </w:r>
      <w:r w:rsidRPr="0050048E">
        <w:rPr>
          <w:i/>
        </w:rPr>
        <w:t>Budget Measures 2024–25</w:t>
      </w:r>
      <w:r w:rsidRPr="0050048E">
        <w:t>.</w:t>
      </w:r>
    </w:p>
    <w:p w14:paraId="5AA4AD9B" w14:textId="7241BFF3" w:rsidR="000E037F" w:rsidRPr="0050048E" w:rsidRDefault="007E477D" w:rsidP="001D4E38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048E">
        <w:t>Turbocharging TAFE Centres of Excellence</w:t>
      </w:r>
      <w:r w:rsidR="00D54EA2" w:rsidRPr="0050048E">
        <w:rPr>
          <w:vertAlign w:val="superscript"/>
        </w:rPr>
        <w:t>(a)</w:t>
      </w:r>
      <w:r w:rsidR="000E037F" w:rsidRPr="0050048E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758"/>
        <w:gridCol w:w="759"/>
        <w:gridCol w:w="759"/>
        <w:gridCol w:w="759"/>
        <w:gridCol w:w="759"/>
        <w:gridCol w:w="759"/>
        <w:gridCol w:w="759"/>
        <w:gridCol w:w="759"/>
        <w:gridCol w:w="817"/>
      </w:tblGrid>
      <w:tr w:rsidR="000E037F" w:rsidRPr="0050048E" w14:paraId="41695DCE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BC4E" w14:textId="22DEDBD8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09B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NSW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F51E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VIC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63DA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QLD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87DF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WA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06281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EFAA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TAS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2FE3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ACT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BFD37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NT</w:t>
            </w:r>
          </w:p>
        </w:tc>
        <w:tc>
          <w:tcPr>
            <w:tcW w:w="5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1A71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E037F" w:rsidRPr="0050048E" w14:paraId="04CCD09C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9250" w14:textId="6D0279CB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2023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BED0" w14:textId="1898B012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9EA6F" w14:textId="1436B6A2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8FFE" w14:textId="0591D6AE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7D637" w14:textId="6B48E654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FF1A" w14:textId="62F70FBC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83DB" w14:textId="5FD8EC9C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2241" w14:textId="58387A4C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49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EC35" w14:textId="0A4F8A57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53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89DD" w14:textId="0A9C7386" w:rsidR="000E037F" w:rsidRPr="0050048E" w:rsidRDefault="004F6DDB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0E037F" w:rsidRPr="0050048E" w14:paraId="28911F78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06BA4AC" w14:textId="7609E778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2024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7C993691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CCF61F2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AED51C3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D667F4E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402EA888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5904310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0DA18FD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19FD58E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bottom"/>
            <w:hideMark/>
          </w:tcPr>
          <w:p w14:paraId="2748A28F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</w:tr>
      <w:tr w:rsidR="000E037F" w:rsidRPr="0050048E" w14:paraId="58BB2973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0F810" w14:textId="6250F0B0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2025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3DE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FE42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162C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27AE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302F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5883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3607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D55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BDE8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</w:tr>
      <w:tr w:rsidR="000E037F" w:rsidRPr="0050048E" w14:paraId="61F625D6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F526" w14:textId="516E1CFE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2026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685F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E931F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FB27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600C7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A4A4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F2F5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57082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9D3FC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6638E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</w:tr>
      <w:tr w:rsidR="000E037F" w:rsidRPr="0050048E" w14:paraId="3F9911AD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681F" w14:textId="2C18496E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2027</w:t>
            </w:r>
            <w:r w:rsidR="004F6DDB">
              <w:rPr>
                <w:rFonts w:ascii="Arial" w:hAnsi="Arial" w:cs="Arial"/>
                <w:sz w:val="16"/>
                <w:szCs w:val="16"/>
              </w:rPr>
              <w:noBreakHyphen/>
            </w:r>
            <w:r w:rsidRPr="005004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5A53DE2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F43F207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CA8B1BD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EB7662B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CD7568A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C1FBA94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845C6C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7E7F325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7867C262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48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</w:tr>
      <w:tr w:rsidR="000E037F" w:rsidRPr="0050048E" w14:paraId="79D9D8F7" w14:textId="77777777" w:rsidTr="000E037F">
        <w:trPr>
          <w:divId w:val="1718553297"/>
          <w:trHeight w:hRule="exact" w:val="226"/>
        </w:trPr>
        <w:tc>
          <w:tcPr>
            <w:tcW w:w="53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E47FF39" w14:textId="77777777" w:rsidR="000E037F" w:rsidRPr="0050048E" w:rsidRDefault="000E037F" w:rsidP="000E037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5B1724B1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1E7853A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9EEBD43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66DFA035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C120E89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BC46C38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9788100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2EF9C2FB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EB9D2D4" w14:textId="77777777" w:rsidR="000E037F" w:rsidRPr="0050048E" w:rsidRDefault="000E037F" w:rsidP="000E037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48E">
              <w:rPr>
                <w:rFonts w:ascii="Arial" w:hAnsi="Arial" w:cs="Arial"/>
                <w:b/>
                <w:bCs/>
                <w:sz w:val="16"/>
                <w:szCs w:val="16"/>
              </w:rPr>
              <w:t>28.1</w:t>
            </w:r>
          </w:p>
        </w:tc>
      </w:tr>
    </w:tbl>
    <w:p w14:paraId="6BC4038F" w14:textId="00B6720B" w:rsidR="00405286" w:rsidRPr="0050048E" w:rsidRDefault="00513E27" w:rsidP="00F924CB">
      <w:pPr>
        <w:pStyle w:val="ChartandTableFootnoteAlpha"/>
        <w:numPr>
          <w:ilvl w:val="0"/>
          <w:numId w:val="24"/>
        </w:numPr>
        <w:rPr>
          <w:color w:val="auto"/>
        </w:rPr>
      </w:pPr>
      <w:r w:rsidRPr="0050048E">
        <w:rPr>
          <w:color w:val="auto"/>
        </w:rPr>
        <w:t>State allocations have not yet been determined.</w:t>
      </w:r>
    </w:p>
    <w:p w14:paraId="4DCA0FF9" w14:textId="77777777" w:rsidR="00F924CB" w:rsidRPr="0050048E" w:rsidRDefault="00F924CB" w:rsidP="00F924CB">
      <w:pPr>
        <w:pStyle w:val="ChartLine"/>
      </w:pPr>
    </w:p>
    <w:p w14:paraId="7150E433" w14:textId="4B34225F" w:rsidR="00EF70F3" w:rsidRDefault="007D38B5" w:rsidP="00F924CB">
      <w:r w:rsidRPr="0050048E">
        <w:t xml:space="preserve">The Australian Government </w:t>
      </w:r>
      <w:r w:rsidR="007E44CE" w:rsidRPr="0050048E">
        <w:t>will</w:t>
      </w:r>
      <w:r w:rsidRPr="0050048E">
        <w:t xml:space="preserve"> </w:t>
      </w:r>
      <w:r w:rsidR="00A04573" w:rsidRPr="0050048E">
        <w:t>provid</w:t>
      </w:r>
      <w:r w:rsidR="007E44CE" w:rsidRPr="0050048E">
        <w:t>e</w:t>
      </w:r>
      <w:r w:rsidR="009C0BD2" w:rsidRPr="0050048E">
        <w:t xml:space="preserve"> $28.1</w:t>
      </w:r>
      <w:r w:rsidR="00CD5AE9" w:rsidRPr="0050048E">
        <w:t> </w:t>
      </w:r>
      <w:r w:rsidR="009C0BD2" w:rsidRPr="0050048E">
        <w:t>million</w:t>
      </w:r>
      <w:r w:rsidR="00A04573" w:rsidRPr="0050048E">
        <w:t xml:space="preserve"> funding to fast track up to six new TAFE Centres of Excellence </w:t>
      </w:r>
      <w:r w:rsidR="00861CF5" w:rsidRPr="0050048E">
        <w:t>in addition to the $325</w:t>
      </w:r>
      <w:r w:rsidR="00203C7D" w:rsidRPr="0050048E">
        <w:t>.0</w:t>
      </w:r>
      <w:r w:rsidR="00CD5AE9" w:rsidRPr="0050048E">
        <w:t> </w:t>
      </w:r>
      <w:r w:rsidR="00861CF5" w:rsidRPr="0050048E">
        <w:t xml:space="preserve">million provided </w:t>
      </w:r>
      <w:r w:rsidR="00A04573" w:rsidRPr="0050048E">
        <w:t>under the five</w:t>
      </w:r>
      <w:r w:rsidR="00A04573" w:rsidRPr="0050048E">
        <w:rPr>
          <w:rFonts w:ascii="Times New Roman" w:hAnsi="Times New Roman"/>
        </w:rPr>
        <w:t>‑</w:t>
      </w:r>
      <w:r w:rsidR="00A04573" w:rsidRPr="0050048E">
        <w:t>year National Skills Agreement.</w:t>
      </w:r>
      <w:r w:rsidR="00B9741F" w:rsidRPr="0050048E">
        <w:t xml:space="preserve"> </w:t>
      </w:r>
      <w:r w:rsidR="00A04573" w:rsidRPr="0050048E">
        <w:t>This funding will support partnerships between TAFEs, Jobs</w:t>
      </w:r>
      <w:r w:rsidR="00FD3FC6" w:rsidRPr="0050048E">
        <w:t> </w:t>
      </w:r>
      <w:r w:rsidR="00A04573" w:rsidRPr="0050048E">
        <w:t xml:space="preserve">and Skills Councils, industry and universities </w:t>
      </w:r>
      <w:r w:rsidR="0016199B" w:rsidRPr="0050048E">
        <w:t>to:</w:t>
      </w:r>
      <w:r w:rsidR="00A04573" w:rsidRPr="0050048E">
        <w:t xml:space="preserve"> establish TAFE Centres of Excellence</w:t>
      </w:r>
      <w:r w:rsidR="0016199B" w:rsidRPr="0050048E">
        <w:t>;</w:t>
      </w:r>
      <w:r w:rsidR="00A04573" w:rsidRPr="0050048E">
        <w:t xml:space="preserve"> design and teach world leading curriculum</w:t>
      </w:r>
      <w:r w:rsidR="0016199B" w:rsidRPr="0050048E">
        <w:t>;</w:t>
      </w:r>
      <w:r w:rsidR="00A04573" w:rsidRPr="0050048E">
        <w:t xml:space="preserve"> and provide students with cutting edge skills.</w:t>
      </w:r>
    </w:p>
    <w:sectPr w:rsidR="00EF70F3" w:rsidSect="00EC34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2098" w:bottom="2466" w:left="2098" w:header="1814" w:footer="1814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8578" w14:textId="77777777" w:rsidR="00953F10" w:rsidRDefault="00953F10" w:rsidP="00E40261">
      <w:pPr>
        <w:spacing w:after="0" w:line="240" w:lineRule="auto"/>
      </w:pPr>
      <w:r>
        <w:separator/>
      </w:r>
    </w:p>
  </w:endnote>
  <w:endnote w:type="continuationSeparator" w:id="0">
    <w:p w14:paraId="16CEC794" w14:textId="77777777" w:rsidR="00953F10" w:rsidRDefault="00953F10" w:rsidP="00E40261">
      <w:pPr>
        <w:spacing w:after="0" w:line="240" w:lineRule="auto"/>
      </w:pPr>
      <w:r>
        <w:continuationSeparator/>
      </w:r>
    </w:p>
  </w:endnote>
  <w:endnote w:type="continuationNotice" w:id="1">
    <w:p w14:paraId="2D2B26AE" w14:textId="77777777" w:rsidR="00953F10" w:rsidRDefault="00953F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100A" w14:textId="364B17E2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59150F">
      <w:fldChar w:fldCharType="begin"/>
    </w:r>
    <w:r w:rsidR="0059150F">
      <w:instrText xml:space="preserve"> SUBJECT   \* MERGEFORMAT </w:instrText>
    </w:r>
    <w:r w:rsidR="0059150F">
      <w:fldChar w:fldCharType="separate"/>
    </w:r>
    <w:r w:rsidR="00424750">
      <w:t>Part 2: Payments for specific purposes</w:t>
    </w:r>
    <w:r w:rsidR="0059150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D366" w14:textId="22F6083A" w:rsidR="00FB5DDD" w:rsidRDefault="0059150F" w:rsidP="002A6A16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424750">
      <w:t>Part 2: Payments for specific purposes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E09" w14:textId="08C6C961" w:rsidR="007D38B5" w:rsidRDefault="007D38B5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59150F">
      <w:fldChar w:fldCharType="begin"/>
    </w:r>
    <w:r w:rsidR="0059150F">
      <w:instrText xml:space="preserve"> SUBJECT   \* MERGEFORMAT </w:instrText>
    </w:r>
    <w:r w:rsidR="0059150F">
      <w:fldChar w:fldCharType="separate"/>
    </w:r>
    <w:r w:rsidR="00424750">
      <w:t>Part 2: Payments for specific purposes</w:t>
    </w:r>
    <w:r w:rsidR="005915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044A" w14:textId="77777777" w:rsidR="00953F10" w:rsidRPr="003C1CA4" w:rsidRDefault="00953F10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5860073A" w14:textId="77777777" w:rsidR="00953F10" w:rsidRDefault="00953F10" w:rsidP="00E40261">
      <w:pPr>
        <w:spacing w:after="0" w:line="240" w:lineRule="auto"/>
      </w:pPr>
      <w:r>
        <w:continuationSeparator/>
      </w:r>
    </w:p>
  </w:footnote>
  <w:footnote w:type="continuationNotice" w:id="1">
    <w:p w14:paraId="28F4FBF4" w14:textId="77777777" w:rsidR="00953F10" w:rsidRDefault="00953F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274A" w14:textId="2ACF1AF2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2A44C4BA" w14:textId="77777777">
      <w:trPr>
        <w:trHeight w:hRule="exact" w:val="340"/>
      </w:trPr>
      <w:tc>
        <w:tcPr>
          <w:tcW w:w="7797" w:type="dxa"/>
        </w:tcPr>
        <w:p w14:paraId="730F3A84" w14:textId="13145371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5C918345" wp14:editId="504A5AEB">
                <wp:extent cx="874979" cy="198000"/>
                <wp:effectExtent l="0" t="0" r="190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59150F">
            <w:fldChar w:fldCharType="begin"/>
          </w:r>
          <w:r w:rsidR="0059150F">
            <w:instrText xml:space="preserve"> TITLE   \* MERGEFORMAT </w:instrText>
          </w:r>
          <w:r w:rsidR="0059150F">
            <w:fldChar w:fldCharType="separate"/>
          </w:r>
          <w:r w:rsidR="00424750">
            <w:t>Budget Paper No. 3</w:t>
          </w:r>
          <w:r w:rsidR="0059150F">
            <w:fldChar w:fldCharType="end"/>
          </w:r>
        </w:p>
      </w:tc>
    </w:tr>
  </w:tbl>
  <w:p w14:paraId="2B3BE744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3423F16C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607" w14:textId="7540766E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4E5A72" w14:paraId="2B1CCDB4" w14:textId="77777777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00D94AF2" w14:textId="438C18F5" w:rsidR="004E5A72" w:rsidRPr="00D13BF9" w:rsidRDefault="0059150F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424750">
            <w:t>Budget Paper No. 3</w:t>
          </w:r>
          <w:r>
            <w:fldChar w:fldCharType="end"/>
          </w:r>
          <w:r w:rsidR="004E5A72" w:rsidRPr="00D13BF9">
            <w:t xml:space="preserve">  |  </w:t>
          </w:r>
          <w:r w:rsidR="004E5A72" w:rsidRPr="00C9389A">
            <w:rPr>
              <w:noProof/>
              <w:position w:val="-8"/>
            </w:rPr>
            <w:drawing>
              <wp:inline distT="0" distB="0" distL="0" distR="0" wp14:anchorId="0B0C372E" wp14:editId="4F8EDA70">
                <wp:extent cx="878400" cy="198000"/>
                <wp:effectExtent l="0" t="0" r="0" b="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79FAD6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B925" w14:textId="7174CD3F" w:rsidR="00FB5DDD" w:rsidRDefault="00FB5DDD">
    <w:pPr>
      <w:pStyle w:val="Header"/>
      <w:rPr>
        <w:sz w:val="2"/>
        <w:szCs w:val="2"/>
      </w:rPr>
    </w:pPr>
  </w:p>
  <w:p w14:paraId="2D6073D8" w14:textId="77777777" w:rsidR="00FB5DDD" w:rsidRDefault="00FB5DDD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7D38B5" w14:paraId="2A95C8A5" w14:textId="77777777">
      <w:trPr>
        <w:trHeight w:hRule="exact" w:val="340"/>
      </w:trPr>
      <w:tc>
        <w:tcPr>
          <w:tcW w:w="7797" w:type="dxa"/>
        </w:tcPr>
        <w:p w14:paraId="3C0518D0" w14:textId="306E4A87" w:rsidR="007D38B5" w:rsidRPr="008C56E1" w:rsidRDefault="007D38B5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4F3F2DB1" wp14:editId="365ED833">
                <wp:extent cx="874979" cy="198000"/>
                <wp:effectExtent l="0" t="0" r="1905" b="0"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59150F">
            <w:fldChar w:fldCharType="begin"/>
          </w:r>
          <w:r w:rsidR="0059150F">
            <w:instrText xml:space="preserve"> TITLE   \* MERGEFORMAT </w:instrText>
          </w:r>
          <w:r w:rsidR="0059150F">
            <w:fldChar w:fldCharType="separate"/>
          </w:r>
          <w:r w:rsidR="00424750">
            <w:t>Budget Paper No. 3</w:t>
          </w:r>
          <w:r w:rsidR="0059150F">
            <w:fldChar w:fldCharType="end"/>
          </w:r>
        </w:p>
      </w:tc>
    </w:tr>
  </w:tbl>
  <w:p w14:paraId="1F03C6FD" w14:textId="77777777" w:rsidR="00FB5DDD" w:rsidRPr="005B2F30" w:rsidRDefault="00FB5DDD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FC4CC1" wp14:editId="45193AFD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70" name="Text Box 70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6A888" w14:textId="1E5C44E9" w:rsidR="00FB5DDD" w:rsidRPr="00137C7E" w:rsidRDefault="0059150F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424750">
                            <w:t>Budget Paper No. 3</w:t>
                          </w:r>
                          <w:r>
                            <w:fldChar w:fldCharType="end"/>
                          </w:r>
                          <w:r w:rsidR="00FB5DDD">
                            <w:t xml:space="preserve">  |  </w:t>
                          </w:r>
                          <w:r w:rsidR="00FB5DDD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26A66A6" wp14:editId="23DABA4E">
                                <wp:extent cx="1000760" cy="228609"/>
                                <wp:effectExtent l="5080" t="0" r="0" b="0"/>
                                <wp:docPr id="5" name="Picture 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Picture 7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7FC4CC1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alt="Landscape Odd Header" style="position:absolute;margin-left:595.35pt;margin-top:0;width:31.45pt;height:3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" stroked="f">
              <v:textbox style="layout-flow:vertical" inset="0,0,0,.2mm">
                <w:txbxContent>
                  <w:p w14:paraId="1B86A888" w14:textId="1E5C44E9" w:rsidR="00FB5DDD" w:rsidRPr="00137C7E" w:rsidRDefault="00000000" w:rsidP="001D33D6">
                    <w:pPr>
                      <w:pStyle w:val="HeaderOdd"/>
                    </w:pPr>
                    <w:fldSimple w:instr=" TITLE   \* MERGEFORMAT ">
                      <w:r w:rsidR="00424750">
                        <w:t>Budget Paper No. 3</w:t>
                      </w:r>
                    </w:fldSimple>
                    <w:r w:rsidR="00FB5DDD">
                      <w:t xml:space="preserve">  |  </w:t>
                    </w:r>
                    <w:r w:rsidR="00FB5DDD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26A66A6" wp14:editId="23DABA4E">
                          <wp:extent cx="1000760" cy="228609"/>
                          <wp:effectExtent l="5080" t="0" r="0" b="0"/>
                          <wp:docPr id="5" name="Picture 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Picture 7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14"/>
  </w:num>
  <w:num w:numId="6">
    <w:abstractNumId w:val="1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SortMethod w:val="0000"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7D38B5"/>
    <w:rsid w:val="000004EA"/>
    <w:rsid w:val="00003FA7"/>
    <w:rsid w:val="00011DBB"/>
    <w:rsid w:val="00013EA8"/>
    <w:rsid w:val="00013EF6"/>
    <w:rsid w:val="00015D08"/>
    <w:rsid w:val="00020777"/>
    <w:rsid w:val="000213AC"/>
    <w:rsid w:val="0002477B"/>
    <w:rsid w:val="00024BA4"/>
    <w:rsid w:val="00027BF3"/>
    <w:rsid w:val="00032832"/>
    <w:rsid w:val="00035D8D"/>
    <w:rsid w:val="00044391"/>
    <w:rsid w:val="000546EB"/>
    <w:rsid w:val="00056887"/>
    <w:rsid w:val="000622DA"/>
    <w:rsid w:val="000635BE"/>
    <w:rsid w:val="000757F6"/>
    <w:rsid w:val="0008399A"/>
    <w:rsid w:val="0008597F"/>
    <w:rsid w:val="000A06FB"/>
    <w:rsid w:val="000A1D52"/>
    <w:rsid w:val="000A3253"/>
    <w:rsid w:val="000A4D82"/>
    <w:rsid w:val="000B38A8"/>
    <w:rsid w:val="000B4144"/>
    <w:rsid w:val="000B6327"/>
    <w:rsid w:val="000D352A"/>
    <w:rsid w:val="000D78F4"/>
    <w:rsid w:val="000E037F"/>
    <w:rsid w:val="000E105B"/>
    <w:rsid w:val="000E149B"/>
    <w:rsid w:val="000F6E27"/>
    <w:rsid w:val="001000EF"/>
    <w:rsid w:val="00103F65"/>
    <w:rsid w:val="00107CD5"/>
    <w:rsid w:val="00107DCA"/>
    <w:rsid w:val="0011175D"/>
    <w:rsid w:val="00117D42"/>
    <w:rsid w:val="0013009F"/>
    <w:rsid w:val="00130CB7"/>
    <w:rsid w:val="001472CA"/>
    <w:rsid w:val="00151181"/>
    <w:rsid w:val="0015660D"/>
    <w:rsid w:val="00160928"/>
    <w:rsid w:val="0016199B"/>
    <w:rsid w:val="00172CFE"/>
    <w:rsid w:val="00182E04"/>
    <w:rsid w:val="0019115B"/>
    <w:rsid w:val="001970E6"/>
    <w:rsid w:val="001A09C1"/>
    <w:rsid w:val="001A5A92"/>
    <w:rsid w:val="001A7173"/>
    <w:rsid w:val="001A7712"/>
    <w:rsid w:val="001B2BF5"/>
    <w:rsid w:val="001B5833"/>
    <w:rsid w:val="001C1537"/>
    <w:rsid w:val="001C29BA"/>
    <w:rsid w:val="001C5E21"/>
    <w:rsid w:val="001C67C1"/>
    <w:rsid w:val="001D33D6"/>
    <w:rsid w:val="001D42C9"/>
    <w:rsid w:val="001D4B7A"/>
    <w:rsid w:val="001D4E38"/>
    <w:rsid w:val="001E18EC"/>
    <w:rsid w:val="001E6FD3"/>
    <w:rsid w:val="001F08E1"/>
    <w:rsid w:val="001F1A26"/>
    <w:rsid w:val="001F5B2F"/>
    <w:rsid w:val="00203C7D"/>
    <w:rsid w:val="00206A05"/>
    <w:rsid w:val="00212CBE"/>
    <w:rsid w:val="002210C6"/>
    <w:rsid w:val="00224A47"/>
    <w:rsid w:val="00232ACA"/>
    <w:rsid w:val="00237F04"/>
    <w:rsid w:val="00240B64"/>
    <w:rsid w:val="00242462"/>
    <w:rsid w:val="00242479"/>
    <w:rsid w:val="0024521A"/>
    <w:rsid w:val="00250208"/>
    <w:rsid w:val="002613A5"/>
    <w:rsid w:val="00263E80"/>
    <w:rsid w:val="002655EA"/>
    <w:rsid w:val="002655F0"/>
    <w:rsid w:val="00267200"/>
    <w:rsid w:val="0026720D"/>
    <w:rsid w:val="00281716"/>
    <w:rsid w:val="00283562"/>
    <w:rsid w:val="002840A1"/>
    <w:rsid w:val="00297116"/>
    <w:rsid w:val="0029746C"/>
    <w:rsid w:val="00297BDA"/>
    <w:rsid w:val="002A6A16"/>
    <w:rsid w:val="002A7B29"/>
    <w:rsid w:val="002B4730"/>
    <w:rsid w:val="002B6106"/>
    <w:rsid w:val="002C1C0F"/>
    <w:rsid w:val="002C2097"/>
    <w:rsid w:val="002C3DEB"/>
    <w:rsid w:val="002C596C"/>
    <w:rsid w:val="002C6376"/>
    <w:rsid w:val="002C6F74"/>
    <w:rsid w:val="002D789E"/>
    <w:rsid w:val="002E638A"/>
    <w:rsid w:val="002E7B71"/>
    <w:rsid w:val="002F40F3"/>
    <w:rsid w:val="002F75DA"/>
    <w:rsid w:val="00305105"/>
    <w:rsid w:val="003073B7"/>
    <w:rsid w:val="003158AE"/>
    <w:rsid w:val="00315AD5"/>
    <w:rsid w:val="003303B0"/>
    <w:rsid w:val="0033285E"/>
    <w:rsid w:val="003421CD"/>
    <w:rsid w:val="003451F5"/>
    <w:rsid w:val="003478ED"/>
    <w:rsid w:val="0035010F"/>
    <w:rsid w:val="003506C0"/>
    <w:rsid w:val="00350DEA"/>
    <w:rsid w:val="0035320E"/>
    <w:rsid w:val="00360947"/>
    <w:rsid w:val="00376330"/>
    <w:rsid w:val="00377927"/>
    <w:rsid w:val="00381D29"/>
    <w:rsid w:val="00382E3D"/>
    <w:rsid w:val="003A1689"/>
    <w:rsid w:val="003A3AC2"/>
    <w:rsid w:val="003B3670"/>
    <w:rsid w:val="003C1580"/>
    <w:rsid w:val="003C1CA4"/>
    <w:rsid w:val="003C3BA0"/>
    <w:rsid w:val="003C3D9F"/>
    <w:rsid w:val="003C7C68"/>
    <w:rsid w:val="003D01DB"/>
    <w:rsid w:val="003D078D"/>
    <w:rsid w:val="003D22F3"/>
    <w:rsid w:val="003D666D"/>
    <w:rsid w:val="003E060C"/>
    <w:rsid w:val="003E65FC"/>
    <w:rsid w:val="003F350B"/>
    <w:rsid w:val="003F42F4"/>
    <w:rsid w:val="003F5221"/>
    <w:rsid w:val="003F66BB"/>
    <w:rsid w:val="00401954"/>
    <w:rsid w:val="00402C68"/>
    <w:rsid w:val="00405286"/>
    <w:rsid w:val="00410AC2"/>
    <w:rsid w:val="0041189C"/>
    <w:rsid w:val="00414D61"/>
    <w:rsid w:val="00415CDD"/>
    <w:rsid w:val="004233DE"/>
    <w:rsid w:val="00424750"/>
    <w:rsid w:val="00425E88"/>
    <w:rsid w:val="00432BF4"/>
    <w:rsid w:val="00444493"/>
    <w:rsid w:val="00447E2C"/>
    <w:rsid w:val="0045267C"/>
    <w:rsid w:val="00454E7B"/>
    <w:rsid w:val="0046391C"/>
    <w:rsid w:val="004651C5"/>
    <w:rsid w:val="00465B37"/>
    <w:rsid w:val="00477D1E"/>
    <w:rsid w:val="004801A9"/>
    <w:rsid w:val="00483ED1"/>
    <w:rsid w:val="0048563A"/>
    <w:rsid w:val="00486C3C"/>
    <w:rsid w:val="0049384C"/>
    <w:rsid w:val="004A2C91"/>
    <w:rsid w:val="004B20E1"/>
    <w:rsid w:val="004C3F27"/>
    <w:rsid w:val="004D010F"/>
    <w:rsid w:val="004D326D"/>
    <w:rsid w:val="004E373F"/>
    <w:rsid w:val="004E5A72"/>
    <w:rsid w:val="004F3FD9"/>
    <w:rsid w:val="004F60DD"/>
    <w:rsid w:val="004F6DDB"/>
    <w:rsid w:val="0050048E"/>
    <w:rsid w:val="00502A1C"/>
    <w:rsid w:val="00511502"/>
    <w:rsid w:val="00513E27"/>
    <w:rsid w:val="00513FCE"/>
    <w:rsid w:val="005151D9"/>
    <w:rsid w:val="00517C54"/>
    <w:rsid w:val="005260AF"/>
    <w:rsid w:val="00530D83"/>
    <w:rsid w:val="00532259"/>
    <w:rsid w:val="00535929"/>
    <w:rsid w:val="00537CCC"/>
    <w:rsid w:val="00541DED"/>
    <w:rsid w:val="00547443"/>
    <w:rsid w:val="005476BD"/>
    <w:rsid w:val="00551E91"/>
    <w:rsid w:val="00556479"/>
    <w:rsid w:val="00557463"/>
    <w:rsid w:val="00561FB0"/>
    <w:rsid w:val="005642C7"/>
    <w:rsid w:val="00564722"/>
    <w:rsid w:val="00567F5C"/>
    <w:rsid w:val="0057257D"/>
    <w:rsid w:val="00576177"/>
    <w:rsid w:val="00580067"/>
    <w:rsid w:val="0059150F"/>
    <w:rsid w:val="005A43A4"/>
    <w:rsid w:val="005A6F5F"/>
    <w:rsid w:val="005A722D"/>
    <w:rsid w:val="005B0EBB"/>
    <w:rsid w:val="005B2F30"/>
    <w:rsid w:val="005B3010"/>
    <w:rsid w:val="005B62A7"/>
    <w:rsid w:val="005C118E"/>
    <w:rsid w:val="005C5754"/>
    <w:rsid w:val="005C585E"/>
    <w:rsid w:val="005D23CB"/>
    <w:rsid w:val="005D6ADA"/>
    <w:rsid w:val="005E2863"/>
    <w:rsid w:val="005E37BD"/>
    <w:rsid w:val="005E4F85"/>
    <w:rsid w:val="005E6529"/>
    <w:rsid w:val="005E792C"/>
    <w:rsid w:val="006003CB"/>
    <w:rsid w:val="0060305C"/>
    <w:rsid w:val="00611886"/>
    <w:rsid w:val="0061230A"/>
    <w:rsid w:val="00614554"/>
    <w:rsid w:val="00614FC4"/>
    <w:rsid w:val="00622CDB"/>
    <w:rsid w:val="00634E7A"/>
    <w:rsid w:val="0064453D"/>
    <w:rsid w:val="006515E5"/>
    <w:rsid w:val="00653D2B"/>
    <w:rsid w:val="006550BF"/>
    <w:rsid w:val="006568AA"/>
    <w:rsid w:val="006601A7"/>
    <w:rsid w:val="00664F1B"/>
    <w:rsid w:val="00670FCA"/>
    <w:rsid w:val="00677EBB"/>
    <w:rsid w:val="00680768"/>
    <w:rsid w:val="00682D05"/>
    <w:rsid w:val="00690C4A"/>
    <w:rsid w:val="00692105"/>
    <w:rsid w:val="00692BED"/>
    <w:rsid w:val="0069325C"/>
    <w:rsid w:val="0069573C"/>
    <w:rsid w:val="006C1494"/>
    <w:rsid w:val="006C2D24"/>
    <w:rsid w:val="006C3E1F"/>
    <w:rsid w:val="006C4809"/>
    <w:rsid w:val="006C4A90"/>
    <w:rsid w:val="006C7FF2"/>
    <w:rsid w:val="006D3EC0"/>
    <w:rsid w:val="006D4A4D"/>
    <w:rsid w:val="006D66CF"/>
    <w:rsid w:val="006D6AE4"/>
    <w:rsid w:val="006E7F46"/>
    <w:rsid w:val="006F0055"/>
    <w:rsid w:val="00702304"/>
    <w:rsid w:val="00705685"/>
    <w:rsid w:val="0071123B"/>
    <w:rsid w:val="0072449F"/>
    <w:rsid w:val="00740675"/>
    <w:rsid w:val="0074527D"/>
    <w:rsid w:val="00747346"/>
    <w:rsid w:val="00753EFB"/>
    <w:rsid w:val="00754CF2"/>
    <w:rsid w:val="00755A13"/>
    <w:rsid w:val="00755F34"/>
    <w:rsid w:val="00757F41"/>
    <w:rsid w:val="007703C7"/>
    <w:rsid w:val="007713D8"/>
    <w:rsid w:val="00775D3E"/>
    <w:rsid w:val="00785CE5"/>
    <w:rsid w:val="00786436"/>
    <w:rsid w:val="00787DEE"/>
    <w:rsid w:val="00791275"/>
    <w:rsid w:val="007913DD"/>
    <w:rsid w:val="00792F0C"/>
    <w:rsid w:val="00793817"/>
    <w:rsid w:val="00793AB5"/>
    <w:rsid w:val="007B0CB6"/>
    <w:rsid w:val="007C3DE8"/>
    <w:rsid w:val="007D24C1"/>
    <w:rsid w:val="007D38B5"/>
    <w:rsid w:val="007D5AEF"/>
    <w:rsid w:val="007E44CE"/>
    <w:rsid w:val="007E477D"/>
    <w:rsid w:val="007F6A65"/>
    <w:rsid w:val="00801B51"/>
    <w:rsid w:val="008045F2"/>
    <w:rsid w:val="00810DC0"/>
    <w:rsid w:val="00811DE3"/>
    <w:rsid w:val="008128E5"/>
    <w:rsid w:val="00815A15"/>
    <w:rsid w:val="0081715E"/>
    <w:rsid w:val="00822A86"/>
    <w:rsid w:val="00824E07"/>
    <w:rsid w:val="008253FB"/>
    <w:rsid w:val="00827A46"/>
    <w:rsid w:val="0083426D"/>
    <w:rsid w:val="0084623F"/>
    <w:rsid w:val="008556DF"/>
    <w:rsid w:val="00861CF5"/>
    <w:rsid w:val="00871CEA"/>
    <w:rsid w:val="00880B95"/>
    <w:rsid w:val="00881D59"/>
    <w:rsid w:val="00885620"/>
    <w:rsid w:val="008A1A62"/>
    <w:rsid w:val="008C2AAD"/>
    <w:rsid w:val="008C56E1"/>
    <w:rsid w:val="008D3533"/>
    <w:rsid w:val="008D3CA1"/>
    <w:rsid w:val="008D3EF8"/>
    <w:rsid w:val="008D45DE"/>
    <w:rsid w:val="008D71E5"/>
    <w:rsid w:val="008E1CAB"/>
    <w:rsid w:val="008E5A67"/>
    <w:rsid w:val="008E7225"/>
    <w:rsid w:val="008F50D8"/>
    <w:rsid w:val="008F55F8"/>
    <w:rsid w:val="00900EE9"/>
    <w:rsid w:val="00901872"/>
    <w:rsid w:val="0090771E"/>
    <w:rsid w:val="00910095"/>
    <w:rsid w:val="00911FD3"/>
    <w:rsid w:val="0091263F"/>
    <w:rsid w:val="00920B20"/>
    <w:rsid w:val="0093363A"/>
    <w:rsid w:val="009345C5"/>
    <w:rsid w:val="009402DA"/>
    <w:rsid w:val="00942F29"/>
    <w:rsid w:val="0094345F"/>
    <w:rsid w:val="00943C8B"/>
    <w:rsid w:val="00945C29"/>
    <w:rsid w:val="00947EB0"/>
    <w:rsid w:val="0095269D"/>
    <w:rsid w:val="009526DA"/>
    <w:rsid w:val="00953F10"/>
    <w:rsid w:val="00960868"/>
    <w:rsid w:val="00960E6E"/>
    <w:rsid w:val="009621ED"/>
    <w:rsid w:val="00965803"/>
    <w:rsid w:val="00965EE3"/>
    <w:rsid w:val="009804F5"/>
    <w:rsid w:val="0098629D"/>
    <w:rsid w:val="00997029"/>
    <w:rsid w:val="009A149B"/>
    <w:rsid w:val="009A1E26"/>
    <w:rsid w:val="009A553C"/>
    <w:rsid w:val="009A7DCC"/>
    <w:rsid w:val="009B2CFA"/>
    <w:rsid w:val="009C0BD2"/>
    <w:rsid w:val="009C37E9"/>
    <w:rsid w:val="009C3A40"/>
    <w:rsid w:val="009C4905"/>
    <w:rsid w:val="009C4E03"/>
    <w:rsid w:val="009C5457"/>
    <w:rsid w:val="009D40F6"/>
    <w:rsid w:val="009D44CF"/>
    <w:rsid w:val="009D7662"/>
    <w:rsid w:val="009D7E16"/>
    <w:rsid w:val="009E766A"/>
    <w:rsid w:val="009F1548"/>
    <w:rsid w:val="009F4D67"/>
    <w:rsid w:val="00A04475"/>
    <w:rsid w:val="00A04573"/>
    <w:rsid w:val="00A101B5"/>
    <w:rsid w:val="00A11F5D"/>
    <w:rsid w:val="00A15294"/>
    <w:rsid w:val="00A15D7B"/>
    <w:rsid w:val="00A17457"/>
    <w:rsid w:val="00A24E01"/>
    <w:rsid w:val="00A26245"/>
    <w:rsid w:val="00A267BA"/>
    <w:rsid w:val="00A268AC"/>
    <w:rsid w:val="00A27919"/>
    <w:rsid w:val="00A36880"/>
    <w:rsid w:val="00A469D9"/>
    <w:rsid w:val="00A50566"/>
    <w:rsid w:val="00A51489"/>
    <w:rsid w:val="00A52745"/>
    <w:rsid w:val="00A52AFA"/>
    <w:rsid w:val="00A56B70"/>
    <w:rsid w:val="00A75D49"/>
    <w:rsid w:val="00A819BF"/>
    <w:rsid w:val="00A85563"/>
    <w:rsid w:val="00A85845"/>
    <w:rsid w:val="00A87063"/>
    <w:rsid w:val="00AA40FE"/>
    <w:rsid w:val="00AA5439"/>
    <w:rsid w:val="00AA71F1"/>
    <w:rsid w:val="00AB1CF9"/>
    <w:rsid w:val="00AB5E51"/>
    <w:rsid w:val="00AB63E5"/>
    <w:rsid w:val="00AC2FED"/>
    <w:rsid w:val="00AD68DA"/>
    <w:rsid w:val="00AE1EC8"/>
    <w:rsid w:val="00B03AEF"/>
    <w:rsid w:val="00B03F73"/>
    <w:rsid w:val="00B051A6"/>
    <w:rsid w:val="00B26C0C"/>
    <w:rsid w:val="00B32AF9"/>
    <w:rsid w:val="00B40F0B"/>
    <w:rsid w:val="00B50360"/>
    <w:rsid w:val="00B55263"/>
    <w:rsid w:val="00B5767E"/>
    <w:rsid w:val="00B62ED2"/>
    <w:rsid w:val="00B742E3"/>
    <w:rsid w:val="00B75873"/>
    <w:rsid w:val="00B873BB"/>
    <w:rsid w:val="00B914C5"/>
    <w:rsid w:val="00B91AED"/>
    <w:rsid w:val="00B96A23"/>
    <w:rsid w:val="00B9741F"/>
    <w:rsid w:val="00B97BFC"/>
    <w:rsid w:val="00BA7246"/>
    <w:rsid w:val="00BB0B29"/>
    <w:rsid w:val="00BB1B64"/>
    <w:rsid w:val="00BB207D"/>
    <w:rsid w:val="00BB52EC"/>
    <w:rsid w:val="00BC0895"/>
    <w:rsid w:val="00BC10B3"/>
    <w:rsid w:val="00BC2A5C"/>
    <w:rsid w:val="00BC4E72"/>
    <w:rsid w:val="00BD1809"/>
    <w:rsid w:val="00BD7205"/>
    <w:rsid w:val="00BE06DB"/>
    <w:rsid w:val="00BE11AF"/>
    <w:rsid w:val="00BE2420"/>
    <w:rsid w:val="00BE2E2D"/>
    <w:rsid w:val="00BE712B"/>
    <w:rsid w:val="00BF03F2"/>
    <w:rsid w:val="00BF3AA0"/>
    <w:rsid w:val="00BF5E88"/>
    <w:rsid w:val="00BF7EEC"/>
    <w:rsid w:val="00C060D7"/>
    <w:rsid w:val="00C10BA2"/>
    <w:rsid w:val="00C16C18"/>
    <w:rsid w:val="00C21110"/>
    <w:rsid w:val="00C33129"/>
    <w:rsid w:val="00C349B9"/>
    <w:rsid w:val="00C37955"/>
    <w:rsid w:val="00C4293F"/>
    <w:rsid w:val="00C438C0"/>
    <w:rsid w:val="00C44195"/>
    <w:rsid w:val="00C461BE"/>
    <w:rsid w:val="00C47940"/>
    <w:rsid w:val="00C601D0"/>
    <w:rsid w:val="00C64CC1"/>
    <w:rsid w:val="00C700AB"/>
    <w:rsid w:val="00C75ABC"/>
    <w:rsid w:val="00C924D1"/>
    <w:rsid w:val="00C9314E"/>
    <w:rsid w:val="00C93398"/>
    <w:rsid w:val="00C9389A"/>
    <w:rsid w:val="00C94AB7"/>
    <w:rsid w:val="00C95D99"/>
    <w:rsid w:val="00C95EB2"/>
    <w:rsid w:val="00CA09F2"/>
    <w:rsid w:val="00CA3AE2"/>
    <w:rsid w:val="00CA3F36"/>
    <w:rsid w:val="00CA6484"/>
    <w:rsid w:val="00CC59B5"/>
    <w:rsid w:val="00CC6004"/>
    <w:rsid w:val="00CD1C6E"/>
    <w:rsid w:val="00CD5AE9"/>
    <w:rsid w:val="00CD70D9"/>
    <w:rsid w:val="00CE46CE"/>
    <w:rsid w:val="00CE5BA2"/>
    <w:rsid w:val="00CF3F52"/>
    <w:rsid w:val="00CF408F"/>
    <w:rsid w:val="00D038BC"/>
    <w:rsid w:val="00D057AD"/>
    <w:rsid w:val="00D1196F"/>
    <w:rsid w:val="00D13BF9"/>
    <w:rsid w:val="00D14E6E"/>
    <w:rsid w:val="00D1656D"/>
    <w:rsid w:val="00D16576"/>
    <w:rsid w:val="00D1685E"/>
    <w:rsid w:val="00D27078"/>
    <w:rsid w:val="00D270F4"/>
    <w:rsid w:val="00D32FC7"/>
    <w:rsid w:val="00D47C6E"/>
    <w:rsid w:val="00D54EA2"/>
    <w:rsid w:val="00D5569F"/>
    <w:rsid w:val="00D56CE7"/>
    <w:rsid w:val="00D77703"/>
    <w:rsid w:val="00D81A31"/>
    <w:rsid w:val="00D81FEB"/>
    <w:rsid w:val="00D82B0F"/>
    <w:rsid w:val="00D85D5D"/>
    <w:rsid w:val="00D86394"/>
    <w:rsid w:val="00D910CC"/>
    <w:rsid w:val="00D93796"/>
    <w:rsid w:val="00DA1642"/>
    <w:rsid w:val="00DA1DFB"/>
    <w:rsid w:val="00DA42A3"/>
    <w:rsid w:val="00DA4572"/>
    <w:rsid w:val="00DA58C6"/>
    <w:rsid w:val="00DB50A0"/>
    <w:rsid w:val="00DB513A"/>
    <w:rsid w:val="00DC4384"/>
    <w:rsid w:val="00DD04D4"/>
    <w:rsid w:val="00DD2C6B"/>
    <w:rsid w:val="00DD37EC"/>
    <w:rsid w:val="00DD53E8"/>
    <w:rsid w:val="00DD6106"/>
    <w:rsid w:val="00DE48BF"/>
    <w:rsid w:val="00DE504B"/>
    <w:rsid w:val="00DE68C5"/>
    <w:rsid w:val="00DE71D2"/>
    <w:rsid w:val="00DF5A91"/>
    <w:rsid w:val="00E10848"/>
    <w:rsid w:val="00E11FAE"/>
    <w:rsid w:val="00E17F95"/>
    <w:rsid w:val="00E21E84"/>
    <w:rsid w:val="00E33321"/>
    <w:rsid w:val="00E40261"/>
    <w:rsid w:val="00E404C5"/>
    <w:rsid w:val="00E4685E"/>
    <w:rsid w:val="00E47746"/>
    <w:rsid w:val="00E50563"/>
    <w:rsid w:val="00E66821"/>
    <w:rsid w:val="00E66AEA"/>
    <w:rsid w:val="00E70282"/>
    <w:rsid w:val="00E71045"/>
    <w:rsid w:val="00E80210"/>
    <w:rsid w:val="00E85029"/>
    <w:rsid w:val="00E855F7"/>
    <w:rsid w:val="00EA52E4"/>
    <w:rsid w:val="00EB536A"/>
    <w:rsid w:val="00EB6597"/>
    <w:rsid w:val="00EC1B62"/>
    <w:rsid w:val="00EC343D"/>
    <w:rsid w:val="00EC5222"/>
    <w:rsid w:val="00EE3DF8"/>
    <w:rsid w:val="00EE4527"/>
    <w:rsid w:val="00EF13F2"/>
    <w:rsid w:val="00EF1B7E"/>
    <w:rsid w:val="00EF338C"/>
    <w:rsid w:val="00EF4C8A"/>
    <w:rsid w:val="00EF70F3"/>
    <w:rsid w:val="00F0278B"/>
    <w:rsid w:val="00F11365"/>
    <w:rsid w:val="00F362DE"/>
    <w:rsid w:val="00F51DA2"/>
    <w:rsid w:val="00F60EA1"/>
    <w:rsid w:val="00F84F40"/>
    <w:rsid w:val="00F924CB"/>
    <w:rsid w:val="00FA02CD"/>
    <w:rsid w:val="00FA4626"/>
    <w:rsid w:val="00FA7D31"/>
    <w:rsid w:val="00FB10C3"/>
    <w:rsid w:val="00FB4753"/>
    <w:rsid w:val="00FB5DDD"/>
    <w:rsid w:val="00FB7DBC"/>
    <w:rsid w:val="00FC7371"/>
    <w:rsid w:val="00FD309C"/>
    <w:rsid w:val="00FD3FC6"/>
    <w:rsid w:val="00FE24E1"/>
    <w:rsid w:val="00FE48A3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3F0C1"/>
  <w15:chartTrackingRefBased/>
  <w15:docId w15:val="{2F63E1AD-46F5-4049-976F-F5F393BB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B5"/>
    <w:pPr>
      <w:spacing w:before="240" w:after="240" w:line="240" w:lineRule="exact"/>
    </w:pPr>
    <w:rPr>
      <w:rFonts w:eastAsia="Times New Roman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rFonts w:ascii="Book Antiqua" w:hAnsi="Book Antiqua"/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  <w:rPr>
      <w:rFonts w:ascii="Book Antiqua" w:hAnsi="Book Antiqua"/>
    </w:rPr>
  </w:style>
  <w:style w:type="paragraph" w:customStyle="1" w:styleId="HeadingBase">
    <w:name w:val="Heading Base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  <w:rPr>
      <w:rFonts w:ascii="Book Antiqua" w:hAnsi="Book Antiqua"/>
    </w:r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  <w:rPr>
      <w:rFonts w:ascii="Book Antiqua" w:hAnsi="Book Antiqua"/>
    </w:rPr>
  </w:style>
  <w:style w:type="paragraph" w:styleId="Caption">
    <w:name w:val="caption"/>
    <w:basedOn w:val="Normal"/>
    <w:next w:val="Normal"/>
    <w:rsid w:val="00BB207D"/>
    <w:rPr>
      <w:rFonts w:ascii="Book Antiqua" w:hAnsi="Book Antiqua"/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link w:val="ChartandTableFootnoteAlphaChar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rFonts w:ascii="Book Antiqua" w:hAnsi="Book Antiqua"/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  <w:rPr>
      <w:rFonts w:ascii="Book Antiqua" w:hAnsi="Book Antiqua"/>
    </w:rPr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08597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  <w:rPr>
      <w:rFonts w:ascii="Book Antiqua" w:hAnsi="Book Antiqua"/>
    </w:r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  <w:rPr>
      <w:rFonts w:ascii="Book Antiqua" w:hAnsi="Book Antiqua"/>
    </w:r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rFonts w:ascii="Book Antiqua" w:hAnsi="Book Antiqua"/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  <w:rPr>
      <w:rFonts w:ascii="Book Antiqua" w:hAnsi="Book Antiqua"/>
    </w:r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  <w:rPr>
      <w:rFonts w:ascii="Book Antiqua" w:hAnsi="Book Antiqua"/>
    </w:r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  <w:rPr>
      <w:rFonts w:ascii="Book Antiqua" w:hAnsi="Book Antiqua"/>
    </w:r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  <w:rPr>
      <w:rFonts w:ascii="Book Antiqua" w:hAnsi="Book Antiqua"/>
    </w:r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  <w:rPr>
      <w:rFonts w:ascii="Book Antiqua" w:hAnsi="Book Antiqua"/>
    </w:r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  <w:rPr>
      <w:rFonts w:ascii="Book Antiqua" w:hAnsi="Book Antiqua"/>
    </w:r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  <w:rPr>
      <w:rFonts w:ascii="Book Antiqua" w:hAnsi="Book Antiqua"/>
    </w:r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  <w:rPr>
      <w:rFonts w:ascii="Book Antiqua" w:hAnsi="Book Antiqua"/>
    </w:r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  <w:rPr>
      <w:rFonts w:ascii="Book Antiqua" w:hAnsi="Book Antiqua"/>
    </w:r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  <w:rPr>
      <w:rFonts w:ascii="Book Antiqua" w:hAnsi="Book Antiqua"/>
    </w:r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link w:val="TableHeadingcontinuedChar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  <w:rPr>
      <w:rFonts w:ascii="Book Antiqua" w:hAnsi="Book Antiqua"/>
    </w:rPr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  <w:rPr>
      <w:rFonts w:ascii="Book Antiqua" w:hAnsi="Book Antiqua"/>
    </w:r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  <w:rPr>
      <w:rFonts w:ascii="Book Antiqua" w:hAnsi="Book Antiqua"/>
    </w:r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  <w:rPr>
      <w:rFonts w:ascii="Book Antiqua" w:hAnsi="Book Antiqua"/>
    </w:r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rFonts w:ascii="Book Antiqua" w:hAnsi="Book Antiqua"/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TableHeadingcontinuedChar">
    <w:name w:val="Table Heading continued Char"/>
    <w:link w:val="TableHeadingcontinued"/>
    <w:rsid w:val="007D38B5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ChartandTableFootnoteAlphaChar">
    <w:name w:val="Chart and Table Footnote Alpha Char"/>
    <w:link w:val="ChartandTableFootnoteAlpha"/>
    <w:locked/>
    <w:rsid w:val="007D38B5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07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4730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1009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Date_x005f_x0020_of_x005f_x0020_Creation xmlns="244fe85f-b655-4145-9b20-543b75dc1c24" xsi:nil="true"/>
    <Image xmlns="9115ddca-c623-419f-a3c0-6a1c58c4dac8" xsi:nil="true"/>
    <LetterID xmlns="9115ddca-c623-419f-a3c0-6a1c58c4da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C8312-8DA2-41E8-8EE5-BB0C0DE4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527FD-06E9-4EFD-9C01-79CDCA5C13D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244fe85f-b655-4145-9b20-543b75dc1c24"/>
    <ds:schemaRef ds:uri="http://schemas.openxmlformats.org/package/2006/metadata/core-properties"/>
    <ds:schemaRef ds:uri="http://purl.org/dc/dcmitype/"/>
    <ds:schemaRef ds:uri="9115ddca-c623-419f-a3c0-6a1c58c4dac8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1FD89-E99B-4EDF-83F1-429185AB0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770</TotalTime>
  <Pages>3</Pages>
  <Words>1144</Words>
  <Characters>5344</Characters>
  <Application>Microsoft Office Word</Application>
  <DocSecurity>0</DocSecurity>
  <Lines>551</Lines>
  <Paragraphs>506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3</vt:lpstr>
    </vt:vector>
  </TitlesOfParts>
  <Company>Australian Government - The Treasury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3</dc:title>
  <dc:subject>Part 2: Payments for specific purposes</dc:subject>
  <dc:creator>Australian Government</dc:creator>
  <cp:keywords/>
  <dc:description/>
  <cp:lastModifiedBy>Hill, Christine</cp:lastModifiedBy>
  <cp:revision>215</cp:revision>
  <cp:lastPrinted>2024-05-11T12:21:00Z</cp:lastPrinted>
  <dcterms:created xsi:type="dcterms:W3CDTF">2024-02-27T09:16:00Z</dcterms:created>
  <dcterms:modified xsi:type="dcterms:W3CDTF">2024-05-13T01:51:00Z</dcterms:modified>
</cp:coreProperties>
</file>