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D8950" w14:textId="5660811C" w:rsidR="00D555FF" w:rsidRPr="00F15348" w:rsidRDefault="00D555FF" w:rsidP="00D555FF">
      <w:pPr>
        <w:pStyle w:val="Heading1"/>
      </w:pPr>
      <w:r w:rsidRPr="00F15348">
        <w:t>Part 3: General revenue assistance</w:t>
      </w:r>
    </w:p>
    <w:p w14:paraId="64297457" w14:textId="77777777" w:rsidR="00D555FF" w:rsidRPr="00F15348" w:rsidRDefault="00D555FF" w:rsidP="00D555FF">
      <w:pPr>
        <w:pStyle w:val="Heading2"/>
      </w:pPr>
      <w:bookmarkStart w:id="0" w:name="_Toc4765146"/>
      <w:r w:rsidRPr="00F15348">
        <w:t>Overview</w:t>
      </w:r>
      <w:bookmarkEnd w:id="0"/>
    </w:p>
    <w:p w14:paraId="256119DF" w14:textId="4CC10A99" w:rsidR="00D555FF" w:rsidRPr="00F15348" w:rsidRDefault="00D555FF" w:rsidP="00D555FF">
      <w:r w:rsidRPr="00F15348">
        <w:t>General revenue assistance is provided to state and territory governments (states), without conditions, to spend according to their own budget priorities. In 202</w:t>
      </w:r>
      <w:r w:rsidR="00856406" w:rsidRPr="00F15348">
        <w:t>4</w:t>
      </w:r>
      <w:r w:rsidRPr="00F15348">
        <w:t>–2</w:t>
      </w:r>
      <w:r w:rsidR="00856406" w:rsidRPr="00F15348">
        <w:t>5</w:t>
      </w:r>
      <w:r w:rsidRPr="00F15348">
        <w:t>, the states are expected to receive $</w:t>
      </w:r>
      <w:r w:rsidR="00496F92" w:rsidRPr="00F15348">
        <w:t>94</w:t>
      </w:r>
      <w:r w:rsidR="0021266F" w:rsidRPr="00F15348">
        <w:t>.</w:t>
      </w:r>
      <w:r w:rsidR="00496F92" w:rsidRPr="00F15348">
        <w:t>4</w:t>
      </w:r>
      <w:r w:rsidRPr="00F15348">
        <w:t xml:space="preserve"> billion from the Australian Government in total general revenue assistance, which is estimated to represent </w:t>
      </w:r>
      <w:r w:rsidR="0097762B" w:rsidRPr="00F15348">
        <w:t>12.9</w:t>
      </w:r>
      <w:r w:rsidR="00CB51A2" w:rsidRPr="00F15348">
        <w:t> </w:t>
      </w:r>
      <w:r w:rsidRPr="00F15348">
        <w:t xml:space="preserve">per cent of total Australian Government expenditure in that year. </w:t>
      </w:r>
      <w:bookmarkStart w:id="1" w:name="tempbookmark"/>
      <w:r w:rsidR="00EE2EC9" w:rsidRPr="00F15348">
        <w:rPr>
          <w:rStyle w:val="ui-provider"/>
        </w:rPr>
        <w:t>This consists of the GST entitlement of $88.5</w:t>
      </w:r>
      <w:r w:rsidR="00964B09" w:rsidRPr="00F15348">
        <w:rPr>
          <w:rStyle w:val="ui-provider"/>
        </w:rPr>
        <w:t> </w:t>
      </w:r>
      <w:r w:rsidR="0074669C" w:rsidRPr="00F15348">
        <w:rPr>
          <w:rStyle w:val="ui-provider"/>
        </w:rPr>
        <w:t>billion</w:t>
      </w:r>
      <w:r w:rsidR="00EE2EC9" w:rsidRPr="00F15348">
        <w:rPr>
          <w:rStyle w:val="ui-provider"/>
        </w:rPr>
        <w:t xml:space="preserve"> (</w:t>
      </w:r>
      <w:r w:rsidR="002C1C60" w:rsidRPr="00F15348">
        <w:rPr>
          <w:rStyle w:val="ui-provider"/>
        </w:rPr>
        <w:t xml:space="preserve">comprising </w:t>
      </w:r>
      <w:r w:rsidR="00EE2EC9" w:rsidRPr="00F15348">
        <w:rPr>
          <w:rStyle w:val="ui-provider"/>
        </w:rPr>
        <w:t xml:space="preserve">GST revenue and the Commonwealth funded GST pool boost), </w:t>
      </w:r>
      <w:r w:rsidR="00035F8E" w:rsidRPr="00F15348">
        <w:rPr>
          <w:rStyle w:val="ui-provider"/>
        </w:rPr>
        <w:t>horizontal fiscal equalisation</w:t>
      </w:r>
      <w:r w:rsidR="00892E9F" w:rsidRPr="00F15348">
        <w:rPr>
          <w:rStyle w:val="ui-provider"/>
        </w:rPr>
        <w:t xml:space="preserve"> (</w:t>
      </w:r>
      <w:r w:rsidR="00EE2EC9" w:rsidRPr="00F15348">
        <w:rPr>
          <w:rStyle w:val="ui-provider"/>
        </w:rPr>
        <w:t>HFE</w:t>
      </w:r>
      <w:r w:rsidR="00892E9F" w:rsidRPr="00F15348">
        <w:rPr>
          <w:rStyle w:val="ui-provider"/>
        </w:rPr>
        <w:t>)</w:t>
      </w:r>
      <w:r w:rsidR="00EE2EC9" w:rsidRPr="00F15348">
        <w:rPr>
          <w:rStyle w:val="ui-provider"/>
        </w:rPr>
        <w:t xml:space="preserve"> transition payments of $</w:t>
      </w:r>
      <w:r w:rsidR="00B11D55" w:rsidRPr="00F15348">
        <w:rPr>
          <w:rStyle w:val="ui-provider"/>
        </w:rPr>
        <w:t>5.2</w:t>
      </w:r>
      <w:r w:rsidR="006A4041" w:rsidRPr="00F15348">
        <w:rPr>
          <w:rStyle w:val="ui-provider"/>
        </w:rPr>
        <w:t> billion</w:t>
      </w:r>
      <w:r w:rsidR="00EE2EC9" w:rsidRPr="00F15348">
        <w:rPr>
          <w:rStyle w:val="ui-provider"/>
        </w:rPr>
        <w:t xml:space="preserve"> (</w:t>
      </w:r>
      <w:r w:rsidR="0074669C" w:rsidRPr="00F15348">
        <w:rPr>
          <w:rStyle w:val="ui-provider"/>
        </w:rPr>
        <w:t xml:space="preserve">also known as </w:t>
      </w:r>
      <w:r w:rsidR="00EE2EC9" w:rsidRPr="00F15348">
        <w:rPr>
          <w:rStyle w:val="ui-provider"/>
        </w:rPr>
        <w:t xml:space="preserve">the No </w:t>
      </w:r>
      <w:r w:rsidR="006505F9" w:rsidRPr="00F15348">
        <w:rPr>
          <w:rStyle w:val="ui-provider"/>
        </w:rPr>
        <w:t>W</w:t>
      </w:r>
      <w:r w:rsidR="00EE2EC9" w:rsidRPr="00F15348">
        <w:rPr>
          <w:rStyle w:val="ui-provider"/>
        </w:rPr>
        <w:t xml:space="preserve">orse </w:t>
      </w:r>
      <w:r w:rsidR="006505F9" w:rsidRPr="00F15348">
        <w:rPr>
          <w:rStyle w:val="ui-provider"/>
        </w:rPr>
        <w:t>O</w:t>
      </w:r>
      <w:r w:rsidR="00EE2EC9" w:rsidRPr="00F15348">
        <w:rPr>
          <w:rStyle w:val="ui-provider"/>
        </w:rPr>
        <w:t>f</w:t>
      </w:r>
      <w:r w:rsidR="0074669C" w:rsidRPr="00F15348">
        <w:rPr>
          <w:rStyle w:val="ui-provider"/>
        </w:rPr>
        <w:t>f</w:t>
      </w:r>
      <w:r w:rsidR="00EE2EC9" w:rsidRPr="00F15348">
        <w:rPr>
          <w:rStyle w:val="ui-provider"/>
        </w:rPr>
        <w:t xml:space="preserve"> guarantee)</w:t>
      </w:r>
      <w:r w:rsidR="00EE2EC9" w:rsidRPr="00633E25">
        <w:rPr>
          <w:rStyle w:val="ui-provider"/>
        </w:rPr>
        <w:t xml:space="preserve"> </w:t>
      </w:r>
      <w:r w:rsidR="00EE2EC9" w:rsidRPr="00F15348">
        <w:rPr>
          <w:rStyle w:val="ui-provider"/>
        </w:rPr>
        <w:t>and $</w:t>
      </w:r>
      <w:r w:rsidR="008E36D4" w:rsidRPr="00F15348">
        <w:rPr>
          <w:rStyle w:val="ui-provider"/>
        </w:rPr>
        <w:t>7</w:t>
      </w:r>
      <w:r w:rsidR="000A114B" w:rsidRPr="00F15348">
        <w:rPr>
          <w:rStyle w:val="ui-provider"/>
        </w:rPr>
        <w:t>11.4 million</w:t>
      </w:r>
      <w:r w:rsidR="00EE2EC9" w:rsidRPr="00F15348">
        <w:rPr>
          <w:rStyle w:val="ui-provider"/>
        </w:rPr>
        <w:t xml:space="preserve"> of other general revenue assistance.</w:t>
      </w:r>
    </w:p>
    <w:p w14:paraId="192A3643" w14:textId="5753F184" w:rsidR="00D555FF" w:rsidRPr="00F15348" w:rsidRDefault="00D555FF" w:rsidP="00D555FF">
      <w:r w:rsidRPr="00F15348">
        <w:t>Total GST</w:t>
      </w:r>
      <w:r w:rsidRPr="00F15348">
        <w:noBreakHyphen/>
        <w:t>related payments to the states (GST entitlements plus HFE transition payments) are estimated to increase from $</w:t>
      </w:r>
      <w:r w:rsidR="007B6C90" w:rsidRPr="00F15348">
        <w:t>93.7</w:t>
      </w:r>
      <w:r w:rsidRPr="00F15348">
        <w:t> billion in 202</w:t>
      </w:r>
      <w:r w:rsidR="0082798A" w:rsidRPr="00F15348">
        <w:t>4</w:t>
      </w:r>
      <w:r w:rsidRPr="00F15348">
        <w:t>–2</w:t>
      </w:r>
      <w:r w:rsidR="0082798A" w:rsidRPr="00F15348">
        <w:t>5</w:t>
      </w:r>
      <w:r w:rsidRPr="00F15348">
        <w:t xml:space="preserve"> and reach $</w:t>
      </w:r>
      <w:r w:rsidR="000D79AA" w:rsidRPr="00F15348">
        <w:t>108.8</w:t>
      </w:r>
      <w:r w:rsidRPr="00F15348">
        <w:t> billion by 202</w:t>
      </w:r>
      <w:r w:rsidR="0082798A" w:rsidRPr="00F15348">
        <w:t>7</w:t>
      </w:r>
      <w:r w:rsidRPr="00F15348">
        <w:t>–2</w:t>
      </w:r>
      <w:r w:rsidR="0082798A" w:rsidRPr="00F15348">
        <w:t>8</w:t>
      </w:r>
      <w:r w:rsidRPr="00F15348">
        <w:t xml:space="preserve">. </w:t>
      </w:r>
    </w:p>
    <w:p w14:paraId="03706F4D" w14:textId="67897414" w:rsidR="00D555FF" w:rsidRPr="00F15348" w:rsidRDefault="00D555FF" w:rsidP="00D555FF">
      <w:r w:rsidRPr="00F15348">
        <w:t>202</w:t>
      </w:r>
      <w:r w:rsidR="00401F06" w:rsidRPr="00F15348">
        <w:t>4</w:t>
      </w:r>
      <w:r w:rsidRPr="00F15348">
        <w:t>–2</w:t>
      </w:r>
      <w:r w:rsidR="00401F06" w:rsidRPr="00F15348">
        <w:t>5</w:t>
      </w:r>
      <w:r w:rsidRPr="00F15348">
        <w:t xml:space="preserve"> is the </w:t>
      </w:r>
      <w:r w:rsidR="00401F06" w:rsidRPr="00F15348">
        <w:t>fourth</w:t>
      </w:r>
      <w:r w:rsidRPr="00F15348">
        <w:t xml:space="preserve"> year in the 6</w:t>
      </w:r>
      <w:r w:rsidRPr="00F15348">
        <w:noBreakHyphen/>
        <w:t xml:space="preserve">year transition to the updated GST distribution system, which will ensure that no state will have a per capita GST share lower than the fiscally stronger of New South Wales or Victoria. It is also the </w:t>
      </w:r>
      <w:r w:rsidR="00401F06" w:rsidRPr="00F15348">
        <w:t>first</w:t>
      </w:r>
      <w:r w:rsidRPr="00F15348">
        <w:t xml:space="preserve"> year that the GST relativity floor of 0.7</w:t>
      </w:r>
      <w:r w:rsidR="00401F06" w:rsidRPr="00F15348">
        <w:t>5</w:t>
      </w:r>
      <w:r w:rsidRPr="00F15348">
        <w:t xml:space="preserve"> is in effect</w:t>
      </w:r>
      <w:r w:rsidR="001D7C2A" w:rsidRPr="00F15348">
        <w:t xml:space="preserve">, which </w:t>
      </w:r>
      <w:r w:rsidR="00B767A2" w:rsidRPr="00F15348">
        <w:t>means a state’s GST share cannot fall below this level</w:t>
      </w:r>
      <w:r w:rsidR="00A34E3A" w:rsidRPr="00F15348">
        <w:t>.</w:t>
      </w:r>
      <w:r w:rsidRPr="00F15348">
        <w:t xml:space="preserve"> D</w:t>
      </w:r>
      <w:r w:rsidRPr="00F15348">
        <w:rPr>
          <w:shd w:val="clear" w:color="auto" w:fill="FFFFFF"/>
        </w:rPr>
        <w:t xml:space="preserve">uring this transition, the Australian Government has guaranteed, through legislation, that </w:t>
      </w:r>
      <w:bookmarkEnd w:id="1"/>
      <w:r w:rsidRPr="00F15348">
        <w:rPr>
          <w:shd w:val="clear" w:color="auto" w:fill="FFFFFF"/>
        </w:rPr>
        <w:t>each state will not receive less than they would have under the previous GST distribution system using, if necessary, HFE transition payments.</w:t>
      </w:r>
      <w:r w:rsidR="00FA2E45" w:rsidRPr="00F15348">
        <w:rPr>
          <w:shd w:val="clear" w:color="auto" w:fill="FFFFFF"/>
        </w:rPr>
        <w:t xml:space="preserve"> In December</w:t>
      </w:r>
      <w:r w:rsidR="00924E17" w:rsidRPr="00F15348">
        <w:rPr>
          <w:shd w:val="clear" w:color="auto" w:fill="FFFFFF"/>
        </w:rPr>
        <w:t> </w:t>
      </w:r>
      <w:r w:rsidR="00FA2E45" w:rsidRPr="00F15348">
        <w:rPr>
          <w:shd w:val="clear" w:color="auto" w:fill="FFFFFF"/>
        </w:rPr>
        <w:t xml:space="preserve">2023, the </w:t>
      </w:r>
      <w:r w:rsidR="007B4CCB" w:rsidRPr="00F15348">
        <w:rPr>
          <w:shd w:val="clear" w:color="auto" w:fill="FFFFFF"/>
        </w:rPr>
        <w:t>Australian</w:t>
      </w:r>
      <w:r w:rsidR="00FA2E45" w:rsidRPr="00F15348">
        <w:rPr>
          <w:shd w:val="clear" w:color="auto" w:fill="FFFFFF"/>
        </w:rPr>
        <w:t xml:space="preserve"> Government agreed to extend this guarantee </w:t>
      </w:r>
      <w:r w:rsidR="007B4CCB" w:rsidRPr="00F15348">
        <w:rPr>
          <w:shd w:val="clear" w:color="auto" w:fill="FFFFFF"/>
        </w:rPr>
        <w:t xml:space="preserve">for three years </w:t>
      </w:r>
      <w:r w:rsidR="00A22F92" w:rsidRPr="00F15348">
        <w:rPr>
          <w:shd w:val="clear" w:color="auto" w:fill="FFFFFF"/>
        </w:rPr>
        <w:t xml:space="preserve">until </w:t>
      </w:r>
      <w:r w:rsidR="00A22F92" w:rsidRPr="00F15348">
        <w:t>2029–30.</w:t>
      </w:r>
    </w:p>
    <w:p w14:paraId="0B6A90FA" w14:textId="2CB5D867" w:rsidR="00D555FF" w:rsidRPr="00F15348" w:rsidRDefault="00D555FF" w:rsidP="00D555FF">
      <w:r w:rsidRPr="00F15348">
        <w:t>Estimated general revenue assistance provided to the states by the Australian Government is shown in Table</w:t>
      </w:r>
      <w:r w:rsidR="00924E17" w:rsidRPr="00F15348">
        <w:t> </w:t>
      </w:r>
      <w:r w:rsidRPr="00F15348">
        <w:t>3.1. Table 1.1 in Part</w:t>
      </w:r>
      <w:r w:rsidR="00AA0401" w:rsidRPr="00F15348">
        <w:t> </w:t>
      </w:r>
      <w:r w:rsidRPr="00F15348">
        <w:t xml:space="preserve">1 shows a breakdown by state. </w:t>
      </w:r>
    </w:p>
    <w:p w14:paraId="6D51FB38" w14:textId="4BF9BC1F" w:rsidR="00A0255F" w:rsidRPr="00F15348" w:rsidRDefault="00D555FF" w:rsidP="00A0255F">
      <w:pPr>
        <w:pStyle w:val="TableHeading"/>
        <w:rPr>
          <w:sz w:val="2"/>
        </w:rPr>
      </w:pPr>
      <w:bookmarkStart w:id="2" w:name="_Toc4764863"/>
      <w:r w:rsidRPr="00F15348">
        <w:rPr>
          <w:rFonts w:cs="Arial"/>
        </w:rPr>
        <w:t>Table</w:t>
      </w:r>
      <w:r w:rsidR="0024054F" w:rsidRPr="00F15348">
        <w:rPr>
          <w:rFonts w:cs="Arial"/>
        </w:rPr>
        <w:t> </w:t>
      </w:r>
      <w:r w:rsidRPr="00F15348">
        <w:rPr>
          <w:rFonts w:cs="Arial"/>
        </w:rPr>
        <w:t>3.1: General revenue assistanc</w:t>
      </w:r>
      <w:r w:rsidR="0059541A" w:rsidRPr="00F15348">
        <w:rPr>
          <w:rFonts w:cs="Arial"/>
        </w:rPr>
        <w:t>e</w:t>
      </w:r>
    </w:p>
    <w:tbl>
      <w:tblPr>
        <w:tblW w:w="5000" w:type="pct"/>
        <w:tblCellMar>
          <w:left w:w="0" w:type="dxa"/>
          <w:right w:w="28" w:type="dxa"/>
        </w:tblCellMar>
        <w:tblLook w:val="04A0" w:firstRow="1" w:lastRow="0" w:firstColumn="1" w:lastColumn="0" w:noHBand="0" w:noVBand="1"/>
      </w:tblPr>
      <w:tblGrid>
        <w:gridCol w:w="3476"/>
        <w:gridCol w:w="846"/>
        <w:gridCol w:w="847"/>
        <w:gridCol w:w="847"/>
        <w:gridCol w:w="847"/>
        <w:gridCol w:w="847"/>
      </w:tblGrid>
      <w:tr w:rsidR="00A0255F" w:rsidRPr="00F15348" w14:paraId="2DD0B355" w14:textId="77777777" w:rsidTr="00A0255F">
        <w:trPr>
          <w:trHeight w:val="225"/>
        </w:trPr>
        <w:tc>
          <w:tcPr>
            <w:tcW w:w="2255" w:type="pct"/>
            <w:tcBorders>
              <w:top w:val="single" w:sz="4" w:space="0" w:color="293F5B"/>
              <w:left w:val="nil"/>
              <w:bottom w:val="nil"/>
              <w:right w:val="nil"/>
            </w:tcBorders>
            <w:shd w:val="clear" w:color="000000" w:fill="FFFFFF"/>
            <w:noWrap/>
            <w:vAlign w:val="center"/>
            <w:hideMark/>
          </w:tcPr>
          <w:p w14:paraId="4FE53F43" w14:textId="359341D9" w:rsidR="00A0255F" w:rsidRPr="00F15348" w:rsidRDefault="00A0255F" w:rsidP="00A0255F">
            <w:pPr>
              <w:spacing w:before="0" w:after="0" w:line="240" w:lineRule="auto"/>
              <w:rPr>
                <w:rFonts w:ascii="Arial" w:hAnsi="Arial" w:cs="Arial"/>
                <w:sz w:val="16"/>
                <w:szCs w:val="16"/>
              </w:rPr>
            </w:pPr>
            <w:r w:rsidRPr="00F15348">
              <w:rPr>
                <w:rFonts w:ascii="Arial" w:hAnsi="Arial" w:cs="Arial"/>
                <w:sz w:val="16"/>
                <w:szCs w:val="16"/>
              </w:rPr>
              <w:t>$million</w:t>
            </w:r>
          </w:p>
        </w:tc>
        <w:tc>
          <w:tcPr>
            <w:tcW w:w="549" w:type="pct"/>
            <w:tcBorders>
              <w:top w:val="single" w:sz="4" w:space="0" w:color="293F5B"/>
              <w:left w:val="nil"/>
              <w:bottom w:val="nil"/>
              <w:right w:val="nil"/>
            </w:tcBorders>
            <w:shd w:val="clear" w:color="auto" w:fill="auto"/>
            <w:noWrap/>
            <w:vAlign w:val="center"/>
            <w:hideMark/>
          </w:tcPr>
          <w:p w14:paraId="28B8DB69" w14:textId="77777777" w:rsidR="00A0255F" w:rsidRPr="00F15348" w:rsidRDefault="00A0255F" w:rsidP="00A0255F">
            <w:pPr>
              <w:spacing w:before="0" w:after="0" w:line="240" w:lineRule="auto"/>
              <w:jc w:val="right"/>
              <w:rPr>
                <w:rFonts w:ascii="Arial" w:hAnsi="Arial" w:cs="Arial"/>
                <w:sz w:val="16"/>
                <w:szCs w:val="16"/>
              </w:rPr>
            </w:pPr>
            <w:r w:rsidRPr="00F15348">
              <w:rPr>
                <w:rFonts w:ascii="Arial" w:hAnsi="Arial" w:cs="Arial"/>
                <w:sz w:val="16"/>
                <w:szCs w:val="16"/>
              </w:rPr>
              <w:t>2023-24</w:t>
            </w:r>
          </w:p>
        </w:tc>
        <w:tc>
          <w:tcPr>
            <w:tcW w:w="549" w:type="pct"/>
            <w:tcBorders>
              <w:top w:val="single" w:sz="4" w:space="0" w:color="293F5B"/>
              <w:left w:val="nil"/>
              <w:bottom w:val="nil"/>
              <w:right w:val="nil"/>
            </w:tcBorders>
            <w:shd w:val="clear" w:color="000000" w:fill="E6F2FF"/>
            <w:noWrap/>
            <w:vAlign w:val="center"/>
            <w:hideMark/>
          </w:tcPr>
          <w:p w14:paraId="56C61E77" w14:textId="77777777" w:rsidR="00A0255F" w:rsidRPr="00F15348" w:rsidRDefault="00A0255F" w:rsidP="00A0255F">
            <w:pPr>
              <w:spacing w:before="0" w:after="0" w:line="240" w:lineRule="auto"/>
              <w:jc w:val="right"/>
              <w:rPr>
                <w:rFonts w:ascii="Arial" w:hAnsi="Arial" w:cs="Arial"/>
                <w:sz w:val="16"/>
                <w:szCs w:val="16"/>
              </w:rPr>
            </w:pPr>
            <w:r w:rsidRPr="00F15348">
              <w:rPr>
                <w:rFonts w:ascii="Arial" w:hAnsi="Arial" w:cs="Arial"/>
                <w:sz w:val="16"/>
                <w:szCs w:val="16"/>
              </w:rPr>
              <w:t>2024-25</w:t>
            </w:r>
          </w:p>
        </w:tc>
        <w:tc>
          <w:tcPr>
            <w:tcW w:w="549" w:type="pct"/>
            <w:tcBorders>
              <w:top w:val="single" w:sz="4" w:space="0" w:color="293F5B"/>
              <w:left w:val="nil"/>
              <w:bottom w:val="nil"/>
              <w:right w:val="nil"/>
            </w:tcBorders>
            <w:shd w:val="clear" w:color="000000" w:fill="FFFFFF"/>
            <w:noWrap/>
            <w:vAlign w:val="center"/>
            <w:hideMark/>
          </w:tcPr>
          <w:p w14:paraId="098B9479" w14:textId="77777777" w:rsidR="00A0255F" w:rsidRPr="00F15348" w:rsidRDefault="00A0255F" w:rsidP="00A0255F">
            <w:pPr>
              <w:spacing w:before="0" w:after="0" w:line="240" w:lineRule="auto"/>
              <w:jc w:val="right"/>
              <w:rPr>
                <w:rFonts w:ascii="Arial" w:hAnsi="Arial" w:cs="Arial"/>
                <w:sz w:val="16"/>
                <w:szCs w:val="16"/>
              </w:rPr>
            </w:pPr>
            <w:r w:rsidRPr="00F15348">
              <w:rPr>
                <w:rFonts w:ascii="Arial" w:hAnsi="Arial" w:cs="Arial"/>
                <w:sz w:val="16"/>
                <w:szCs w:val="16"/>
              </w:rPr>
              <w:t>2025-26</w:t>
            </w:r>
          </w:p>
        </w:tc>
        <w:tc>
          <w:tcPr>
            <w:tcW w:w="549" w:type="pct"/>
            <w:tcBorders>
              <w:top w:val="single" w:sz="4" w:space="0" w:color="293F5B"/>
              <w:left w:val="nil"/>
              <w:bottom w:val="nil"/>
              <w:right w:val="nil"/>
            </w:tcBorders>
            <w:shd w:val="clear" w:color="000000" w:fill="FFFFFF"/>
            <w:noWrap/>
            <w:vAlign w:val="center"/>
            <w:hideMark/>
          </w:tcPr>
          <w:p w14:paraId="4ACBA63F" w14:textId="77777777" w:rsidR="00A0255F" w:rsidRPr="00F15348" w:rsidRDefault="00A0255F" w:rsidP="00A0255F">
            <w:pPr>
              <w:spacing w:before="0" w:after="0" w:line="240" w:lineRule="auto"/>
              <w:jc w:val="right"/>
              <w:rPr>
                <w:rFonts w:ascii="Arial" w:hAnsi="Arial" w:cs="Arial"/>
                <w:sz w:val="16"/>
                <w:szCs w:val="16"/>
              </w:rPr>
            </w:pPr>
            <w:r w:rsidRPr="00F15348">
              <w:rPr>
                <w:rFonts w:ascii="Arial" w:hAnsi="Arial" w:cs="Arial"/>
                <w:sz w:val="16"/>
                <w:szCs w:val="16"/>
              </w:rPr>
              <w:t>2026-27</w:t>
            </w:r>
          </w:p>
        </w:tc>
        <w:tc>
          <w:tcPr>
            <w:tcW w:w="549" w:type="pct"/>
            <w:tcBorders>
              <w:top w:val="single" w:sz="4" w:space="0" w:color="293F5B"/>
              <w:left w:val="nil"/>
              <w:bottom w:val="nil"/>
              <w:right w:val="nil"/>
            </w:tcBorders>
            <w:shd w:val="clear" w:color="000000" w:fill="FFFFFF"/>
            <w:noWrap/>
            <w:vAlign w:val="center"/>
            <w:hideMark/>
          </w:tcPr>
          <w:p w14:paraId="01B592E3" w14:textId="77777777" w:rsidR="00A0255F" w:rsidRPr="00F15348" w:rsidRDefault="00A0255F" w:rsidP="00A0255F">
            <w:pPr>
              <w:spacing w:before="0" w:after="0" w:line="240" w:lineRule="auto"/>
              <w:jc w:val="right"/>
              <w:rPr>
                <w:rFonts w:ascii="Arial" w:hAnsi="Arial" w:cs="Arial"/>
                <w:sz w:val="16"/>
                <w:szCs w:val="16"/>
              </w:rPr>
            </w:pPr>
            <w:r w:rsidRPr="00F15348">
              <w:rPr>
                <w:rFonts w:ascii="Arial" w:hAnsi="Arial" w:cs="Arial"/>
                <w:sz w:val="16"/>
                <w:szCs w:val="16"/>
              </w:rPr>
              <w:t>2027-28</w:t>
            </w:r>
          </w:p>
        </w:tc>
      </w:tr>
      <w:tr w:rsidR="00A0255F" w:rsidRPr="00F15348" w14:paraId="2D616357" w14:textId="77777777" w:rsidTr="00A0255F">
        <w:trPr>
          <w:trHeight w:hRule="exact" w:val="225"/>
        </w:trPr>
        <w:tc>
          <w:tcPr>
            <w:tcW w:w="2255" w:type="pct"/>
            <w:tcBorders>
              <w:top w:val="nil"/>
              <w:left w:val="nil"/>
              <w:bottom w:val="nil"/>
              <w:right w:val="nil"/>
            </w:tcBorders>
            <w:shd w:val="clear" w:color="000000" w:fill="FFFFFF"/>
            <w:noWrap/>
            <w:vAlign w:val="center"/>
            <w:hideMark/>
          </w:tcPr>
          <w:p w14:paraId="3A7C8572" w14:textId="77777777" w:rsidR="00A0255F" w:rsidRPr="00F15348" w:rsidRDefault="00A0255F" w:rsidP="00A0255F">
            <w:pPr>
              <w:spacing w:before="0" w:after="0" w:line="240" w:lineRule="auto"/>
              <w:rPr>
                <w:rFonts w:ascii="Arial" w:hAnsi="Arial" w:cs="Arial"/>
                <w:sz w:val="16"/>
                <w:szCs w:val="16"/>
              </w:rPr>
            </w:pPr>
            <w:r w:rsidRPr="00F15348">
              <w:rPr>
                <w:rFonts w:ascii="Arial" w:hAnsi="Arial" w:cs="Arial"/>
                <w:sz w:val="16"/>
                <w:szCs w:val="16"/>
              </w:rPr>
              <w:t>GST-related payments</w:t>
            </w:r>
          </w:p>
        </w:tc>
        <w:tc>
          <w:tcPr>
            <w:tcW w:w="549" w:type="pct"/>
            <w:tcBorders>
              <w:top w:val="single" w:sz="4" w:space="0" w:color="293F5B"/>
              <w:left w:val="nil"/>
              <w:bottom w:val="nil"/>
              <w:right w:val="nil"/>
            </w:tcBorders>
            <w:shd w:val="clear" w:color="auto" w:fill="auto"/>
            <w:noWrap/>
            <w:vAlign w:val="center"/>
            <w:hideMark/>
          </w:tcPr>
          <w:p w14:paraId="56182E6B" w14:textId="77777777" w:rsidR="00A0255F" w:rsidRPr="00F15348" w:rsidRDefault="00A0255F" w:rsidP="00A0255F">
            <w:pPr>
              <w:spacing w:before="0" w:after="0" w:line="240" w:lineRule="auto"/>
              <w:jc w:val="right"/>
              <w:rPr>
                <w:rFonts w:ascii="Arial" w:hAnsi="Arial" w:cs="Arial"/>
                <w:sz w:val="16"/>
                <w:szCs w:val="16"/>
              </w:rPr>
            </w:pPr>
            <w:r w:rsidRPr="00F15348">
              <w:rPr>
                <w:rFonts w:ascii="Arial" w:hAnsi="Arial" w:cs="Arial"/>
                <w:sz w:val="16"/>
                <w:szCs w:val="16"/>
              </w:rPr>
              <w:t> </w:t>
            </w:r>
          </w:p>
        </w:tc>
        <w:tc>
          <w:tcPr>
            <w:tcW w:w="549" w:type="pct"/>
            <w:tcBorders>
              <w:top w:val="single" w:sz="4" w:space="0" w:color="293F5B"/>
              <w:left w:val="nil"/>
              <w:bottom w:val="nil"/>
              <w:right w:val="nil"/>
            </w:tcBorders>
            <w:shd w:val="clear" w:color="000000" w:fill="E6F2FF"/>
            <w:noWrap/>
            <w:vAlign w:val="center"/>
            <w:hideMark/>
          </w:tcPr>
          <w:p w14:paraId="78B9AE10" w14:textId="77777777" w:rsidR="00A0255F" w:rsidRPr="00F15348" w:rsidRDefault="00A0255F" w:rsidP="00A0255F">
            <w:pPr>
              <w:spacing w:before="0" w:after="0" w:line="240" w:lineRule="auto"/>
              <w:jc w:val="right"/>
              <w:rPr>
                <w:rFonts w:ascii="Arial" w:hAnsi="Arial" w:cs="Arial"/>
                <w:sz w:val="16"/>
                <w:szCs w:val="16"/>
              </w:rPr>
            </w:pPr>
            <w:r w:rsidRPr="00F15348">
              <w:rPr>
                <w:rFonts w:ascii="Arial" w:hAnsi="Arial" w:cs="Arial"/>
                <w:sz w:val="16"/>
                <w:szCs w:val="16"/>
              </w:rPr>
              <w:t> </w:t>
            </w:r>
          </w:p>
        </w:tc>
        <w:tc>
          <w:tcPr>
            <w:tcW w:w="549" w:type="pct"/>
            <w:tcBorders>
              <w:top w:val="single" w:sz="4" w:space="0" w:color="293F5B"/>
              <w:left w:val="nil"/>
              <w:bottom w:val="nil"/>
              <w:right w:val="nil"/>
            </w:tcBorders>
            <w:shd w:val="clear" w:color="000000" w:fill="FFFFFF"/>
            <w:noWrap/>
            <w:vAlign w:val="center"/>
            <w:hideMark/>
          </w:tcPr>
          <w:p w14:paraId="06578AEF" w14:textId="77777777" w:rsidR="00A0255F" w:rsidRPr="00F15348" w:rsidRDefault="00A0255F" w:rsidP="00A0255F">
            <w:pPr>
              <w:spacing w:before="0" w:after="0" w:line="240" w:lineRule="auto"/>
              <w:jc w:val="right"/>
              <w:rPr>
                <w:rFonts w:ascii="Arial" w:hAnsi="Arial" w:cs="Arial"/>
                <w:sz w:val="16"/>
                <w:szCs w:val="16"/>
              </w:rPr>
            </w:pPr>
            <w:r w:rsidRPr="00F15348">
              <w:rPr>
                <w:rFonts w:ascii="Arial" w:hAnsi="Arial" w:cs="Arial"/>
                <w:sz w:val="16"/>
                <w:szCs w:val="16"/>
              </w:rPr>
              <w:t> </w:t>
            </w:r>
          </w:p>
        </w:tc>
        <w:tc>
          <w:tcPr>
            <w:tcW w:w="549" w:type="pct"/>
            <w:tcBorders>
              <w:top w:val="single" w:sz="4" w:space="0" w:color="293F5B"/>
              <w:left w:val="nil"/>
              <w:bottom w:val="nil"/>
              <w:right w:val="nil"/>
            </w:tcBorders>
            <w:shd w:val="clear" w:color="000000" w:fill="FFFFFF"/>
            <w:noWrap/>
            <w:vAlign w:val="center"/>
            <w:hideMark/>
          </w:tcPr>
          <w:p w14:paraId="6779B4AF" w14:textId="77777777" w:rsidR="00A0255F" w:rsidRPr="00F15348" w:rsidRDefault="00A0255F" w:rsidP="00A0255F">
            <w:pPr>
              <w:spacing w:before="0" w:after="0" w:line="240" w:lineRule="auto"/>
              <w:jc w:val="right"/>
              <w:rPr>
                <w:rFonts w:ascii="Arial" w:hAnsi="Arial" w:cs="Arial"/>
                <w:sz w:val="16"/>
                <w:szCs w:val="16"/>
              </w:rPr>
            </w:pPr>
            <w:r w:rsidRPr="00F15348">
              <w:rPr>
                <w:rFonts w:ascii="Arial" w:hAnsi="Arial" w:cs="Arial"/>
                <w:sz w:val="16"/>
                <w:szCs w:val="16"/>
              </w:rPr>
              <w:t> </w:t>
            </w:r>
          </w:p>
        </w:tc>
        <w:tc>
          <w:tcPr>
            <w:tcW w:w="549" w:type="pct"/>
            <w:tcBorders>
              <w:top w:val="single" w:sz="4" w:space="0" w:color="293F5B"/>
              <w:left w:val="nil"/>
              <w:bottom w:val="nil"/>
              <w:right w:val="nil"/>
            </w:tcBorders>
            <w:shd w:val="clear" w:color="000000" w:fill="FFFFFF"/>
            <w:noWrap/>
            <w:vAlign w:val="center"/>
            <w:hideMark/>
          </w:tcPr>
          <w:p w14:paraId="431590D0" w14:textId="77777777" w:rsidR="00A0255F" w:rsidRPr="00F15348" w:rsidRDefault="00A0255F" w:rsidP="00A0255F">
            <w:pPr>
              <w:spacing w:before="0" w:after="0" w:line="240" w:lineRule="auto"/>
              <w:jc w:val="right"/>
              <w:rPr>
                <w:rFonts w:ascii="Arial" w:hAnsi="Arial" w:cs="Arial"/>
                <w:sz w:val="16"/>
                <w:szCs w:val="16"/>
              </w:rPr>
            </w:pPr>
            <w:r w:rsidRPr="00F15348">
              <w:rPr>
                <w:rFonts w:ascii="Arial" w:hAnsi="Arial" w:cs="Arial"/>
                <w:sz w:val="16"/>
                <w:szCs w:val="16"/>
              </w:rPr>
              <w:t> </w:t>
            </w:r>
          </w:p>
        </w:tc>
      </w:tr>
      <w:tr w:rsidR="00A0255F" w:rsidRPr="00F15348" w14:paraId="582A9B8D" w14:textId="77777777" w:rsidTr="00A0255F">
        <w:trPr>
          <w:trHeight w:hRule="exact" w:val="225"/>
        </w:trPr>
        <w:tc>
          <w:tcPr>
            <w:tcW w:w="2255" w:type="pct"/>
            <w:tcBorders>
              <w:top w:val="nil"/>
              <w:left w:val="nil"/>
              <w:bottom w:val="nil"/>
              <w:right w:val="nil"/>
            </w:tcBorders>
            <w:shd w:val="clear" w:color="000000" w:fill="FFFFFF"/>
            <w:noWrap/>
            <w:vAlign w:val="center"/>
            <w:hideMark/>
          </w:tcPr>
          <w:p w14:paraId="0C2CCA0A" w14:textId="77777777" w:rsidR="00A0255F" w:rsidRPr="00F15348" w:rsidRDefault="00A0255F" w:rsidP="00A0255F">
            <w:pPr>
              <w:spacing w:before="0" w:after="0" w:line="240" w:lineRule="auto"/>
              <w:ind w:left="170"/>
              <w:rPr>
                <w:rFonts w:ascii="Arial" w:hAnsi="Arial" w:cs="Arial"/>
                <w:sz w:val="16"/>
                <w:szCs w:val="16"/>
              </w:rPr>
            </w:pPr>
            <w:r w:rsidRPr="00F15348">
              <w:rPr>
                <w:rFonts w:ascii="Arial" w:hAnsi="Arial" w:cs="Arial"/>
                <w:sz w:val="16"/>
                <w:szCs w:val="16"/>
              </w:rPr>
              <w:t>GST entitlement</w:t>
            </w:r>
          </w:p>
        </w:tc>
        <w:tc>
          <w:tcPr>
            <w:tcW w:w="549" w:type="pct"/>
            <w:tcBorders>
              <w:top w:val="nil"/>
              <w:left w:val="nil"/>
              <w:bottom w:val="nil"/>
              <w:right w:val="nil"/>
            </w:tcBorders>
            <w:shd w:val="clear" w:color="000000" w:fill="FFFFFF"/>
            <w:noWrap/>
            <w:vAlign w:val="center"/>
            <w:hideMark/>
          </w:tcPr>
          <w:p w14:paraId="2D4F9569" w14:textId="77777777" w:rsidR="00A0255F" w:rsidRPr="00F15348" w:rsidRDefault="00A0255F" w:rsidP="00A0255F">
            <w:pPr>
              <w:spacing w:before="0" w:after="0" w:line="240" w:lineRule="auto"/>
              <w:jc w:val="right"/>
              <w:rPr>
                <w:rFonts w:ascii="Arial" w:hAnsi="Arial" w:cs="Arial"/>
                <w:sz w:val="16"/>
                <w:szCs w:val="16"/>
              </w:rPr>
            </w:pPr>
            <w:r w:rsidRPr="00F15348">
              <w:rPr>
                <w:rFonts w:ascii="Arial" w:hAnsi="Arial" w:cs="Arial"/>
                <w:sz w:val="16"/>
                <w:szCs w:val="16"/>
              </w:rPr>
              <w:t>86,368.6</w:t>
            </w:r>
          </w:p>
        </w:tc>
        <w:tc>
          <w:tcPr>
            <w:tcW w:w="549" w:type="pct"/>
            <w:tcBorders>
              <w:top w:val="nil"/>
              <w:left w:val="nil"/>
              <w:bottom w:val="nil"/>
              <w:right w:val="nil"/>
            </w:tcBorders>
            <w:shd w:val="clear" w:color="000000" w:fill="E6F2FF"/>
            <w:noWrap/>
            <w:vAlign w:val="center"/>
            <w:hideMark/>
          </w:tcPr>
          <w:p w14:paraId="6123A453" w14:textId="77777777" w:rsidR="00A0255F" w:rsidRPr="00F15348" w:rsidRDefault="00A0255F" w:rsidP="00A0255F">
            <w:pPr>
              <w:spacing w:before="0" w:after="0" w:line="240" w:lineRule="auto"/>
              <w:jc w:val="right"/>
              <w:rPr>
                <w:rFonts w:ascii="Arial" w:hAnsi="Arial" w:cs="Arial"/>
                <w:sz w:val="16"/>
                <w:szCs w:val="16"/>
              </w:rPr>
            </w:pPr>
            <w:r w:rsidRPr="00F15348">
              <w:rPr>
                <w:rFonts w:ascii="Arial" w:hAnsi="Arial" w:cs="Arial"/>
                <w:sz w:val="16"/>
                <w:szCs w:val="16"/>
              </w:rPr>
              <w:t>88,534.1</w:t>
            </w:r>
          </w:p>
        </w:tc>
        <w:tc>
          <w:tcPr>
            <w:tcW w:w="549" w:type="pct"/>
            <w:tcBorders>
              <w:top w:val="nil"/>
              <w:left w:val="nil"/>
              <w:bottom w:val="nil"/>
              <w:right w:val="nil"/>
            </w:tcBorders>
            <w:shd w:val="clear" w:color="000000" w:fill="FFFFFF"/>
            <w:noWrap/>
            <w:vAlign w:val="center"/>
            <w:hideMark/>
          </w:tcPr>
          <w:p w14:paraId="2F63F36C" w14:textId="77777777" w:rsidR="00A0255F" w:rsidRPr="00F15348" w:rsidRDefault="00A0255F" w:rsidP="00A0255F">
            <w:pPr>
              <w:spacing w:before="0" w:after="0" w:line="240" w:lineRule="auto"/>
              <w:jc w:val="right"/>
              <w:rPr>
                <w:rFonts w:ascii="Arial" w:hAnsi="Arial" w:cs="Arial"/>
                <w:sz w:val="16"/>
                <w:szCs w:val="16"/>
              </w:rPr>
            </w:pPr>
            <w:r w:rsidRPr="00F15348">
              <w:rPr>
                <w:rFonts w:ascii="Arial" w:hAnsi="Arial" w:cs="Arial"/>
                <w:sz w:val="16"/>
                <w:szCs w:val="16"/>
              </w:rPr>
              <w:t>93,245.4</w:t>
            </w:r>
          </w:p>
        </w:tc>
        <w:tc>
          <w:tcPr>
            <w:tcW w:w="549" w:type="pct"/>
            <w:tcBorders>
              <w:top w:val="nil"/>
              <w:left w:val="nil"/>
              <w:bottom w:val="nil"/>
              <w:right w:val="nil"/>
            </w:tcBorders>
            <w:shd w:val="clear" w:color="000000" w:fill="FFFFFF"/>
            <w:noWrap/>
            <w:vAlign w:val="center"/>
            <w:hideMark/>
          </w:tcPr>
          <w:p w14:paraId="287E45F6" w14:textId="77777777" w:rsidR="00A0255F" w:rsidRPr="00F15348" w:rsidRDefault="00A0255F" w:rsidP="00A0255F">
            <w:pPr>
              <w:spacing w:before="0" w:after="0" w:line="240" w:lineRule="auto"/>
              <w:jc w:val="right"/>
              <w:rPr>
                <w:rFonts w:ascii="Arial" w:hAnsi="Arial" w:cs="Arial"/>
                <w:sz w:val="16"/>
                <w:szCs w:val="16"/>
              </w:rPr>
            </w:pPr>
            <w:r w:rsidRPr="00F15348">
              <w:rPr>
                <w:rFonts w:ascii="Arial" w:hAnsi="Arial" w:cs="Arial"/>
                <w:sz w:val="16"/>
                <w:szCs w:val="16"/>
              </w:rPr>
              <w:t>98,826.1</w:t>
            </w:r>
          </w:p>
        </w:tc>
        <w:tc>
          <w:tcPr>
            <w:tcW w:w="549" w:type="pct"/>
            <w:tcBorders>
              <w:top w:val="nil"/>
              <w:left w:val="nil"/>
              <w:bottom w:val="nil"/>
              <w:right w:val="nil"/>
            </w:tcBorders>
            <w:shd w:val="clear" w:color="000000" w:fill="FFFFFF"/>
            <w:noWrap/>
            <w:vAlign w:val="center"/>
            <w:hideMark/>
          </w:tcPr>
          <w:p w14:paraId="0F4EAC09" w14:textId="77777777" w:rsidR="00A0255F" w:rsidRPr="00F15348" w:rsidRDefault="00A0255F" w:rsidP="00A0255F">
            <w:pPr>
              <w:spacing w:before="0" w:after="0" w:line="240" w:lineRule="auto"/>
              <w:jc w:val="right"/>
              <w:rPr>
                <w:rFonts w:ascii="Arial" w:hAnsi="Arial" w:cs="Arial"/>
                <w:sz w:val="16"/>
                <w:szCs w:val="16"/>
              </w:rPr>
            </w:pPr>
            <w:r w:rsidRPr="00F15348">
              <w:rPr>
                <w:rFonts w:ascii="Arial" w:hAnsi="Arial" w:cs="Arial"/>
                <w:sz w:val="16"/>
                <w:szCs w:val="16"/>
              </w:rPr>
              <w:t>104,467.6</w:t>
            </w:r>
          </w:p>
        </w:tc>
      </w:tr>
      <w:tr w:rsidR="00A0255F" w:rsidRPr="00F15348" w14:paraId="447EE1C6" w14:textId="77777777" w:rsidTr="00A0255F">
        <w:trPr>
          <w:trHeight w:hRule="exact" w:val="225"/>
        </w:trPr>
        <w:tc>
          <w:tcPr>
            <w:tcW w:w="2255" w:type="pct"/>
            <w:tcBorders>
              <w:top w:val="nil"/>
              <w:left w:val="nil"/>
              <w:bottom w:val="nil"/>
              <w:right w:val="nil"/>
            </w:tcBorders>
            <w:shd w:val="clear" w:color="000000" w:fill="FFFFFF"/>
            <w:noWrap/>
            <w:vAlign w:val="center"/>
            <w:hideMark/>
          </w:tcPr>
          <w:p w14:paraId="759E5898" w14:textId="77777777" w:rsidR="00A0255F" w:rsidRPr="00F15348" w:rsidRDefault="00A0255F" w:rsidP="00A0255F">
            <w:pPr>
              <w:spacing w:before="0" w:after="0" w:line="240" w:lineRule="auto"/>
              <w:ind w:left="170"/>
              <w:rPr>
                <w:rFonts w:ascii="Arial" w:hAnsi="Arial" w:cs="Arial"/>
                <w:sz w:val="16"/>
                <w:szCs w:val="16"/>
              </w:rPr>
            </w:pPr>
            <w:r w:rsidRPr="00F15348">
              <w:rPr>
                <w:rFonts w:ascii="Arial" w:hAnsi="Arial" w:cs="Arial"/>
                <w:sz w:val="16"/>
                <w:szCs w:val="16"/>
              </w:rPr>
              <w:t>HFE transition payments(a)</w:t>
            </w:r>
          </w:p>
        </w:tc>
        <w:tc>
          <w:tcPr>
            <w:tcW w:w="549" w:type="pct"/>
            <w:tcBorders>
              <w:top w:val="nil"/>
              <w:left w:val="nil"/>
              <w:bottom w:val="nil"/>
              <w:right w:val="nil"/>
            </w:tcBorders>
            <w:shd w:val="clear" w:color="000000" w:fill="FFFFFF"/>
            <w:noWrap/>
            <w:vAlign w:val="center"/>
            <w:hideMark/>
          </w:tcPr>
          <w:p w14:paraId="56B9C065" w14:textId="77777777" w:rsidR="00A0255F" w:rsidRPr="00F15348" w:rsidRDefault="00A0255F" w:rsidP="00A0255F">
            <w:pPr>
              <w:spacing w:before="0" w:after="0" w:line="240" w:lineRule="auto"/>
              <w:jc w:val="right"/>
              <w:rPr>
                <w:rFonts w:ascii="Arial" w:hAnsi="Arial" w:cs="Arial"/>
                <w:sz w:val="16"/>
                <w:szCs w:val="16"/>
              </w:rPr>
            </w:pPr>
            <w:r w:rsidRPr="00F15348">
              <w:rPr>
                <w:rFonts w:ascii="Arial" w:hAnsi="Arial" w:cs="Arial"/>
                <w:sz w:val="16"/>
                <w:szCs w:val="16"/>
              </w:rPr>
              <w:t>4,962.6</w:t>
            </w:r>
          </w:p>
        </w:tc>
        <w:tc>
          <w:tcPr>
            <w:tcW w:w="549" w:type="pct"/>
            <w:tcBorders>
              <w:top w:val="nil"/>
              <w:left w:val="nil"/>
              <w:bottom w:val="nil"/>
              <w:right w:val="nil"/>
            </w:tcBorders>
            <w:shd w:val="clear" w:color="000000" w:fill="E6F2FF"/>
            <w:noWrap/>
            <w:vAlign w:val="center"/>
            <w:hideMark/>
          </w:tcPr>
          <w:p w14:paraId="2F16C23A" w14:textId="77777777" w:rsidR="00A0255F" w:rsidRPr="00F15348" w:rsidRDefault="00A0255F" w:rsidP="00A0255F">
            <w:pPr>
              <w:spacing w:before="0" w:after="0" w:line="240" w:lineRule="auto"/>
              <w:jc w:val="right"/>
              <w:rPr>
                <w:rFonts w:ascii="Arial" w:hAnsi="Arial" w:cs="Arial"/>
                <w:sz w:val="16"/>
                <w:szCs w:val="16"/>
              </w:rPr>
            </w:pPr>
            <w:r w:rsidRPr="00F15348">
              <w:rPr>
                <w:rFonts w:ascii="Arial" w:hAnsi="Arial" w:cs="Arial"/>
                <w:sz w:val="16"/>
                <w:szCs w:val="16"/>
              </w:rPr>
              <w:t>5,166.2</w:t>
            </w:r>
          </w:p>
        </w:tc>
        <w:tc>
          <w:tcPr>
            <w:tcW w:w="549" w:type="pct"/>
            <w:tcBorders>
              <w:top w:val="nil"/>
              <w:left w:val="nil"/>
              <w:bottom w:val="nil"/>
              <w:right w:val="nil"/>
            </w:tcBorders>
            <w:shd w:val="clear" w:color="000000" w:fill="FFFFFF"/>
            <w:noWrap/>
            <w:vAlign w:val="center"/>
            <w:hideMark/>
          </w:tcPr>
          <w:p w14:paraId="1725F541" w14:textId="77777777" w:rsidR="00A0255F" w:rsidRPr="00F15348" w:rsidRDefault="00A0255F" w:rsidP="00A0255F">
            <w:pPr>
              <w:spacing w:before="0" w:after="0" w:line="240" w:lineRule="auto"/>
              <w:jc w:val="right"/>
              <w:rPr>
                <w:rFonts w:ascii="Arial" w:hAnsi="Arial" w:cs="Arial"/>
                <w:sz w:val="16"/>
                <w:szCs w:val="16"/>
              </w:rPr>
            </w:pPr>
            <w:r w:rsidRPr="00F15348">
              <w:rPr>
                <w:rFonts w:ascii="Arial" w:hAnsi="Arial" w:cs="Arial"/>
                <w:sz w:val="16"/>
                <w:szCs w:val="16"/>
              </w:rPr>
              <w:t>5,425.4</w:t>
            </w:r>
          </w:p>
        </w:tc>
        <w:tc>
          <w:tcPr>
            <w:tcW w:w="549" w:type="pct"/>
            <w:tcBorders>
              <w:top w:val="nil"/>
              <w:left w:val="nil"/>
              <w:bottom w:val="nil"/>
              <w:right w:val="nil"/>
            </w:tcBorders>
            <w:shd w:val="clear" w:color="000000" w:fill="FFFFFF"/>
            <w:noWrap/>
            <w:vAlign w:val="center"/>
            <w:hideMark/>
          </w:tcPr>
          <w:p w14:paraId="263E6B59" w14:textId="77777777" w:rsidR="00A0255F" w:rsidRPr="00F15348" w:rsidRDefault="00A0255F" w:rsidP="00A0255F">
            <w:pPr>
              <w:spacing w:before="0" w:after="0" w:line="240" w:lineRule="auto"/>
              <w:jc w:val="right"/>
              <w:rPr>
                <w:rFonts w:ascii="Arial" w:hAnsi="Arial" w:cs="Arial"/>
                <w:sz w:val="16"/>
                <w:szCs w:val="16"/>
              </w:rPr>
            </w:pPr>
            <w:r w:rsidRPr="00F15348">
              <w:rPr>
                <w:rFonts w:ascii="Arial" w:hAnsi="Arial" w:cs="Arial"/>
                <w:sz w:val="16"/>
                <w:szCs w:val="16"/>
              </w:rPr>
              <w:t>5,487.4</w:t>
            </w:r>
          </w:p>
        </w:tc>
        <w:tc>
          <w:tcPr>
            <w:tcW w:w="549" w:type="pct"/>
            <w:tcBorders>
              <w:top w:val="nil"/>
              <w:left w:val="nil"/>
              <w:bottom w:val="nil"/>
              <w:right w:val="nil"/>
            </w:tcBorders>
            <w:shd w:val="clear" w:color="000000" w:fill="FFFFFF"/>
            <w:noWrap/>
            <w:vAlign w:val="center"/>
            <w:hideMark/>
          </w:tcPr>
          <w:p w14:paraId="43A8F9AB" w14:textId="77777777" w:rsidR="00A0255F" w:rsidRPr="00F15348" w:rsidRDefault="00A0255F" w:rsidP="00A0255F">
            <w:pPr>
              <w:spacing w:before="0" w:after="0" w:line="240" w:lineRule="auto"/>
              <w:jc w:val="right"/>
              <w:rPr>
                <w:rFonts w:ascii="Arial" w:hAnsi="Arial" w:cs="Arial"/>
                <w:sz w:val="16"/>
                <w:szCs w:val="16"/>
              </w:rPr>
            </w:pPr>
            <w:r w:rsidRPr="00F15348">
              <w:rPr>
                <w:rFonts w:ascii="Arial" w:hAnsi="Arial" w:cs="Arial"/>
                <w:sz w:val="16"/>
                <w:szCs w:val="16"/>
              </w:rPr>
              <w:t>4,341.4</w:t>
            </w:r>
          </w:p>
        </w:tc>
      </w:tr>
      <w:tr w:rsidR="00A0255F" w:rsidRPr="00F15348" w14:paraId="6A568EDC" w14:textId="77777777" w:rsidTr="00A0255F">
        <w:trPr>
          <w:trHeight w:hRule="exact" w:val="225"/>
        </w:trPr>
        <w:tc>
          <w:tcPr>
            <w:tcW w:w="2255" w:type="pct"/>
            <w:tcBorders>
              <w:top w:val="nil"/>
              <w:left w:val="nil"/>
              <w:bottom w:val="nil"/>
              <w:right w:val="nil"/>
            </w:tcBorders>
            <w:shd w:val="clear" w:color="000000" w:fill="FFFFFF"/>
            <w:noWrap/>
            <w:vAlign w:val="center"/>
            <w:hideMark/>
          </w:tcPr>
          <w:p w14:paraId="52A83BCD" w14:textId="77777777" w:rsidR="00A0255F" w:rsidRPr="00F15348" w:rsidRDefault="00A0255F" w:rsidP="00A0255F">
            <w:pPr>
              <w:spacing w:before="0" w:after="0" w:line="240" w:lineRule="auto"/>
              <w:ind w:left="170"/>
              <w:rPr>
                <w:rFonts w:ascii="Arial" w:hAnsi="Arial" w:cs="Arial"/>
                <w:sz w:val="16"/>
                <w:szCs w:val="16"/>
              </w:rPr>
            </w:pPr>
            <w:r w:rsidRPr="00F15348">
              <w:rPr>
                <w:rFonts w:ascii="Arial" w:hAnsi="Arial" w:cs="Arial"/>
                <w:sz w:val="16"/>
                <w:szCs w:val="16"/>
              </w:rPr>
              <w:t>Total GST-related payments</w:t>
            </w:r>
          </w:p>
        </w:tc>
        <w:tc>
          <w:tcPr>
            <w:tcW w:w="549" w:type="pct"/>
            <w:tcBorders>
              <w:top w:val="single" w:sz="4" w:space="0" w:color="293F5B"/>
              <w:left w:val="nil"/>
              <w:bottom w:val="single" w:sz="4" w:space="0" w:color="293F5B"/>
              <w:right w:val="nil"/>
            </w:tcBorders>
            <w:shd w:val="clear" w:color="000000" w:fill="FFFFFF"/>
            <w:noWrap/>
            <w:vAlign w:val="center"/>
            <w:hideMark/>
          </w:tcPr>
          <w:p w14:paraId="1B0AFD45" w14:textId="77777777" w:rsidR="00A0255F" w:rsidRPr="00F15348" w:rsidRDefault="00A0255F" w:rsidP="00A0255F">
            <w:pPr>
              <w:spacing w:before="0" w:after="0" w:line="240" w:lineRule="auto"/>
              <w:jc w:val="right"/>
              <w:rPr>
                <w:rFonts w:ascii="Arial" w:hAnsi="Arial" w:cs="Arial"/>
                <w:sz w:val="16"/>
                <w:szCs w:val="16"/>
              </w:rPr>
            </w:pPr>
            <w:r w:rsidRPr="00F15348">
              <w:rPr>
                <w:rFonts w:ascii="Arial" w:hAnsi="Arial" w:cs="Arial"/>
                <w:sz w:val="16"/>
                <w:szCs w:val="16"/>
              </w:rPr>
              <w:t>91,331.1</w:t>
            </w:r>
          </w:p>
        </w:tc>
        <w:tc>
          <w:tcPr>
            <w:tcW w:w="549" w:type="pct"/>
            <w:tcBorders>
              <w:top w:val="single" w:sz="4" w:space="0" w:color="293F5B"/>
              <w:left w:val="nil"/>
              <w:bottom w:val="single" w:sz="4" w:space="0" w:color="293F5B"/>
              <w:right w:val="nil"/>
            </w:tcBorders>
            <w:shd w:val="clear" w:color="000000" w:fill="E6F2FF"/>
            <w:noWrap/>
            <w:vAlign w:val="center"/>
            <w:hideMark/>
          </w:tcPr>
          <w:p w14:paraId="0FA2F2B9" w14:textId="77777777" w:rsidR="00A0255F" w:rsidRPr="00F15348" w:rsidRDefault="00A0255F" w:rsidP="00A0255F">
            <w:pPr>
              <w:spacing w:before="0" w:after="0" w:line="240" w:lineRule="auto"/>
              <w:jc w:val="right"/>
              <w:rPr>
                <w:rFonts w:ascii="Arial" w:hAnsi="Arial" w:cs="Arial"/>
                <w:sz w:val="16"/>
                <w:szCs w:val="16"/>
              </w:rPr>
            </w:pPr>
            <w:r w:rsidRPr="00F15348">
              <w:rPr>
                <w:rFonts w:ascii="Arial" w:hAnsi="Arial" w:cs="Arial"/>
                <w:sz w:val="16"/>
                <w:szCs w:val="16"/>
              </w:rPr>
              <w:t>93,700.3</w:t>
            </w:r>
          </w:p>
        </w:tc>
        <w:tc>
          <w:tcPr>
            <w:tcW w:w="549" w:type="pct"/>
            <w:tcBorders>
              <w:top w:val="single" w:sz="4" w:space="0" w:color="293F5B"/>
              <w:left w:val="nil"/>
              <w:bottom w:val="single" w:sz="4" w:space="0" w:color="293F5B"/>
              <w:right w:val="nil"/>
            </w:tcBorders>
            <w:shd w:val="clear" w:color="000000" w:fill="FFFFFF"/>
            <w:noWrap/>
            <w:vAlign w:val="center"/>
            <w:hideMark/>
          </w:tcPr>
          <w:p w14:paraId="79464E96" w14:textId="77777777" w:rsidR="00A0255F" w:rsidRPr="00F15348" w:rsidRDefault="00A0255F" w:rsidP="00A0255F">
            <w:pPr>
              <w:spacing w:before="0" w:after="0" w:line="240" w:lineRule="auto"/>
              <w:jc w:val="right"/>
              <w:rPr>
                <w:rFonts w:ascii="Arial" w:hAnsi="Arial" w:cs="Arial"/>
                <w:sz w:val="16"/>
                <w:szCs w:val="16"/>
              </w:rPr>
            </w:pPr>
            <w:r w:rsidRPr="00F15348">
              <w:rPr>
                <w:rFonts w:ascii="Arial" w:hAnsi="Arial" w:cs="Arial"/>
                <w:sz w:val="16"/>
                <w:szCs w:val="16"/>
              </w:rPr>
              <w:t>98,670.8</w:t>
            </w:r>
          </w:p>
        </w:tc>
        <w:tc>
          <w:tcPr>
            <w:tcW w:w="549" w:type="pct"/>
            <w:tcBorders>
              <w:top w:val="single" w:sz="4" w:space="0" w:color="293F5B"/>
              <w:left w:val="nil"/>
              <w:bottom w:val="single" w:sz="4" w:space="0" w:color="293F5B"/>
              <w:right w:val="nil"/>
            </w:tcBorders>
            <w:shd w:val="clear" w:color="000000" w:fill="FFFFFF"/>
            <w:noWrap/>
            <w:vAlign w:val="center"/>
            <w:hideMark/>
          </w:tcPr>
          <w:p w14:paraId="1941D737" w14:textId="77777777" w:rsidR="00A0255F" w:rsidRPr="00F15348" w:rsidRDefault="00A0255F" w:rsidP="00A0255F">
            <w:pPr>
              <w:spacing w:before="0" w:after="0" w:line="240" w:lineRule="auto"/>
              <w:jc w:val="right"/>
              <w:rPr>
                <w:rFonts w:ascii="Arial" w:hAnsi="Arial" w:cs="Arial"/>
                <w:sz w:val="16"/>
                <w:szCs w:val="16"/>
              </w:rPr>
            </w:pPr>
            <w:r w:rsidRPr="00F15348">
              <w:rPr>
                <w:rFonts w:ascii="Arial" w:hAnsi="Arial" w:cs="Arial"/>
                <w:sz w:val="16"/>
                <w:szCs w:val="16"/>
              </w:rPr>
              <w:t>104,313.5</w:t>
            </w:r>
          </w:p>
        </w:tc>
        <w:tc>
          <w:tcPr>
            <w:tcW w:w="549" w:type="pct"/>
            <w:tcBorders>
              <w:top w:val="single" w:sz="4" w:space="0" w:color="293F5B"/>
              <w:left w:val="nil"/>
              <w:bottom w:val="single" w:sz="4" w:space="0" w:color="293F5B"/>
              <w:right w:val="nil"/>
            </w:tcBorders>
            <w:shd w:val="clear" w:color="000000" w:fill="FFFFFF"/>
            <w:noWrap/>
            <w:vAlign w:val="center"/>
            <w:hideMark/>
          </w:tcPr>
          <w:p w14:paraId="0DEA233D" w14:textId="77777777" w:rsidR="00A0255F" w:rsidRPr="00F15348" w:rsidRDefault="00A0255F" w:rsidP="00A0255F">
            <w:pPr>
              <w:spacing w:before="0" w:after="0" w:line="240" w:lineRule="auto"/>
              <w:jc w:val="right"/>
              <w:rPr>
                <w:rFonts w:ascii="Arial" w:hAnsi="Arial" w:cs="Arial"/>
                <w:sz w:val="16"/>
                <w:szCs w:val="16"/>
              </w:rPr>
            </w:pPr>
            <w:r w:rsidRPr="00F15348">
              <w:rPr>
                <w:rFonts w:ascii="Arial" w:hAnsi="Arial" w:cs="Arial"/>
                <w:sz w:val="16"/>
                <w:szCs w:val="16"/>
              </w:rPr>
              <w:t>108,809.0</w:t>
            </w:r>
          </w:p>
        </w:tc>
      </w:tr>
      <w:tr w:rsidR="00A0255F" w:rsidRPr="00F15348" w14:paraId="16BD348D" w14:textId="77777777" w:rsidTr="00A0255F">
        <w:trPr>
          <w:trHeight w:hRule="exact" w:val="225"/>
        </w:trPr>
        <w:tc>
          <w:tcPr>
            <w:tcW w:w="2255" w:type="pct"/>
            <w:tcBorders>
              <w:top w:val="nil"/>
              <w:left w:val="nil"/>
              <w:bottom w:val="nil"/>
              <w:right w:val="nil"/>
            </w:tcBorders>
            <w:shd w:val="clear" w:color="000000" w:fill="FFFFFF"/>
            <w:noWrap/>
            <w:vAlign w:val="center"/>
            <w:hideMark/>
          </w:tcPr>
          <w:p w14:paraId="15B37480" w14:textId="77777777" w:rsidR="00A0255F" w:rsidRPr="00F15348" w:rsidRDefault="00A0255F" w:rsidP="00A0255F">
            <w:pPr>
              <w:spacing w:before="0" w:after="0" w:line="240" w:lineRule="auto"/>
              <w:rPr>
                <w:rFonts w:ascii="Arial" w:hAnsi="Arial" w:cs="Arial"/>
                <w:sz w:val="16"/>
                <w:szCs w:val="16"/>
              </w:rPr>
            </w:pPr>
            <w:r w:rsidRPr="00F15348">
              <w:rPr>
                <w:rFonts w:ascii="Arial" w:hAnsi="Arial" w:cs="Arial"/>
                <w:sz w:val="16"/>
                <w:szCs w:val="16"/>
              </w:rPr>
              <w:t>Other general revenue assistance(b)</w:t>
            </w:r>
          </w:p>
        </w:tc>
        <w:tc>
          <w:tcPr>
            <w:tcW w:w="549" w:type="pct"/>
            <w:tcBorders>
              <w:top w:val="nil"/>
              <w:left w:val="nil"/>
              <w:bottom w:val="single" w:sz="4" w:space="0" w:color="293F5B"/>
              <w:right w:val="nil"/>
            </w:tcBorders>
            <w:shd w:val="clear" w:color="000000" w:fill="FFFFFF"/>
            <w:noWrap/>
            <w:vAlign w:val="center"/>
            <w:hideMark/>
          </w:tcPr>
          <w:p w14:paraId="20891F87" w14:textId="77777777" w:rsidR="00A0255F" w:rsidRPr="00F15348" w:rsidRDefault="00A0255F" w:rsidP="00A0255F">
            <w:pPr>
              <w:spacing w:before="0" w:after="0" w:line="240" w:lineRule="auto"/>
              <w:jc w:val="right"/>
              <w:rPr>
                <w:rFonts w:ascii="Arial" w:hAnsi="Arial" w:cs="Arial"/>
                <w:sz w:val="16"/>
                <w:szCs w:val="16"/>
              </w:rPr>
            </w:pPr>
            <w:r w:rsidRPr="00F15348">
              <w:rPr>
                <w:rFonts w:ascii="Arial" w:hAnsi="Arial" w:cs="Arial"/>
                <w:sz w:val="16"/>
                <w:szCs w:val="16"/>
              </w:rPr>
              <w:t>776.1</w:t>
            </w:r>
          </w:p>
        </w:tc>
        <w:tc>
          <w:tcPr>
            <w:tcW w:w="549" w:type="pct"/>
            <w:tcBorders>
              <w:top w:val="nil"/>
              <w:left w:val="nil"/>
              <w:bottom w:val="single" w:sz="4" w:space="0" w:color="293F5B"/>
              <w:right w:val="nil"/>
            </w:tcBorders>
            <w:shd w:val="clear" w:color="000000" w:fill="E6F2FF"/>
            <w:noWrap/>
            <w:vAlign w:val="center"/>
            <w:hideMark/>
          </w:tcPr>
          <w:p w14:paraId="478B4D64" w14:textId="77777777" w:rsidR="00A0255F" w:rsidRPr="00F15348" w:rsidRDefault="00A0255F" w:rsidP="00A0255F">
            <w:pPr>
              <w:spacing w:before="0" w:after="0" w:line="240" w:lineRule="auto"/>
              <w:jc w:val="right"/>
              <w:rPr>
                <w:rFonts w:ascii="Arial" w:hAnsi="Arial" w:cs="Arial"/>
                <w:sz w:val="16"/>
                <w:szCs w:val="16"/>
              </w:rPr>
            </w:pPr>
            <w:r w:rsidRPr="00F15348">
              <w:rPr>
                <w:rFonts w:ascii="Arial" w:hAnsi="Arial" w:cs="Arial"/>
                <w:sz w:val="16"/>
                <w:szCs w:val="16"/>
              </w:rPr>
              <w:t>711.4</w:t>
            </w:r>
          </w:p>
        </w:tc>
        <w:tc>
          <w:tcPr>
            <w:tcW w:w="549" w:type="pct"/>
            <w:tcBorders>
              <w:top w:val="nil"/>
              <w:left w:val="nil"/>
              <w:bottom w:val="single" w:sz="4" w:space="0" w:color="293F5B"/>
              <w:right w:val="nil"/>
            </w:tcBorders>
            <w:shd w:val="clear" w:color="000000" w:fill="FFFFFF"/>
            <w:noWrap/>
            <w:vAlign w:val="center"/>
            <w:hideMark/>
          </w:tcPr>
          <w:p w14:paraId="4624DCE1" w14:textId="77777777" w:rsidR="00A0255F" w:rsidRPr="00F15348" w:rsidRDefault="00A0255F" w:rsidP="00A0255F">
            <w:pPr>
              <w:spacing w:before="0" w:after="0" w:line="240" w:lineRule="auto"/>
              <w:jc w:val="right"/>
              <w:rPr>
                <w:rFonts w:ascii="Arial" w:hAnsi="Arial" w:cs="Arial"/>
                <w:sz w:val="16"/>
                <w:szCs w:val="16"/>
              </w:rPr>
            </w:pPr>
            <w:r w:rsidRPr="00F15348">
              <w:rPr>
                <w:rFonts w:ascii="Arial" w:hAnsi="Arial" w:cs="Arial"/>
                <w:sz w:val="16"/>
                <w:szCs w:val="16"/>
              </w:rPr>
              <w:t>570.7</w:t>
            </w:r>
          </w:p>
        </w:tc>
        <w:tc>
          <w:tcPr>
            <w:tcW w:w="549" w:type="pct"/>
            <w:tcBorders>
              <w:top w:val="nil"/>
              <w:left w:val="nil"/>
              <w:bottom w:val="single" w:sz="4" w:space="0" w:color="293F5B"/>
              <w:right w:val="nil"/>
            </w:tcBorders>
            <w:shd w:val="clear" w:color="000000" w:fill="FFFFFF"/>
            <w:noWrap/>
            <w:vAlign w:val="center"/>
            <w:hideMark/>
          </w:tcPr>
          <w:p w14:paraId="0F3A7EA1" w14:textId="77777777" w:rsidR="00A0255F" w:rsidRPr="00F15348" w:rsidRDefault="00A0255F" w:rsidP="00A0255F">
            <w:pPr>
              <w:spacing w:before="0" w:after="0" w:line="240" w:lineRule="auto"/>
              <w:jc w:val="right"/>
              <w:rPr>
                <w:rFonts w:ascii="Arial" w:hAnsi="Arial" w:cs="Arial"/>
                <w:sz w:val="16"/>
                <w:szCs w:val="16"/>
              </w:rPr>
            </w:pPr>
            <w:r w:rsidRPr="00F15348">
              <w:rPr>
                <w:rFonts w:ascii="Arial" w:hAnsi="Arial" w:cs="Arial"/>
                <w:sz w:val="16"/>
                <w:szCs w:val="16"/>
              </w:rPr>
              <w:t>457.6</w:t>
            </w:r>
          </w:p>
        </w:tc>
        <w:tc>
          <w:tcPr>
            <w:tcW w:w="549" w:type="pct"/>
            <w:tcBorders>
              <w:top w:val="nil"/>
              <w:left w:val="nil"/>
              <w:bottom w:val="single" w:sz="4" w:space="0" w:color="293F5B"/>
              <w:right w:val="nil"/>
            </w:tcBorders>
            <w:shd w:val="clear" w:color="000000" w:fill="FFFFFF"/>
            <w:noWrap/>
            <w:vAlign w:val="center"/>
            <w:hideMark/>
          </w:tcPr>
          <w:p w14:paraId="5218A6A0" w14:textId="77777777" w:rsidR="00A0255F" w:rsidRPr="00F15348" w:rsidRDefault="00A0255F" w:rsidP="00A0255F">
            <w:pPr>
              <w:spacing w:before="0" w:after="0" w:line="240" w:lineRule="auto"/>
              <w:jc w:val="right"/>
              <w:rPr>
                <w:rFonts w:ascii="Arial" w:hAnsi="Arial" w:cs="Arial"/>
                <w:sz w:val="16"/>
                <w:szCs w:val="16"/>
              </w:rPr>
            </w:pPr>
            <w:r w:rsidRPr="00F15348">
              <w:rPr>
                <w:rFonts w:ascii="Arial" w:hAnsi="Arial" w:cs="Arial"/>
                <w:sz w:val="16"/>
                <w:szCs w:val="16"/>
              </w:rPr>
              <w:t>434.5</w:t>
            </w:r>
          </w:p>
        </w:tc>
      </w:tr>
      <w:tr w:rsidR="00A0255F" w:rsidRPr="00F15348" w14:paraId="5D3F8BF7" w14:textId="77777777" w:rsidTr="00A0255F">
        <w:trPr>
          <w:trHeight w:hRule="exact" w:val="225"/>
        </w:trPr>
        <w:tc>
          <w:tcPr>
            <w:tcW w:w="2255" w:type="pct"/>
            <w:tcBorders>
              <w:top w:val="nil"/>
              <w:left w:val="nil"/>
              <w:bottom w:val="single" w:sz="4" w:space="0" w:color="293F5B"/>
              <w:right w:val="nil"/>
            </w:tcBorders>
            <w:shd w:val="clear" w:color="000000" w:fill="FFFFFF"/>
            <w:noWrap/>
            <w:vAlign w:val="center"/>
            <w:hideMark/>
          </w:tcPr>
          <w:p w14:paraId="7395B254" w14:textId="77777777" w:rsidR="00A0255F" w:rsidRPr="00F15348" w:rsidRDefault="00A0255F" w:rsidP="00A0255F">
            <w:pPr>
              <w:spacing w:before="0" w:after="0" w:line="240" w:lineRule="auto"/>
              <w:rPr>
                <w:rFonts w:ascii="Arial" w:hAnsi="Arial" w:cs="Arial"/>
                <w:b/>
                <w:sz w:val="16"/>
                <w:szCs w:val="16"/>
              </w:rPr>
            </w:pPr>
            <w:r w:rsidRPr="00F15348">
              <w:rPr>
                <w:rFonts w:ascii="Arial" w:hAnsi="Arial" w:cs="Arial"/>
                <w:b/>
                <w:sz w:val="16"/>
                <w:szCs w:val="16"/>
              </w:rPr>
              <w:t>Total</w:t>
            </w:r>
          </w:p>
        </w:tc>
        <w:tc>
          <w:tcPr>
            <w:tcW w:w="549" w:type="pct"/>
            <w:tcBorders>
              <w:top w:val="nil"/>
              <w:left w:val="nil"/>
              <w:bottom w:val="single" w:sz="4" w:space="0" w:color="293F5B"/>
              <w:right w:val="nil"/>
            </w:tcBorders>
            <w:shd w:val="clear" w:color="000000" w:fill="FFFFFF"/>
            <w:noWrap/>
            <w:vAlign w:val="center"/>
            <w:hideMark/>
          </w:tcPr>
          <w:p w14:paraId="50E727B1" w14:textId="77777777" w:rsidR="00A0255F" w:rsidRPr="00F15348" w:rsidRDefault="00A0255F" w:rsidP="00A0255F">
            <w:pPr>
              <w:spacing w:before="0" w:after="0" w:line="240" w:lineRule="auto"/>
              <w:jc w:val="right"/>
              <w:rPr>
                <w:rFonts w:ascii="Arial" w:hAnsi="Arial" w:cs="Arial"/>
                <w:b/>
                <w:sz w:val="16"/>
                <w:szCs w:val="16"/>
              </w:rPr>
            </w:pPr>
            <w:r w:rsidRPr="00F15348">
              <w:rPr>
                <w:rFonts w:ascii="Arial" w:hAnsi="Arial" w:cs="Arial"/>
                <w:b/>
                <w:sz w:val="16"/>
                <w:szCs w:val="16"/>
              </w:rPr>
              <w:t>92,107.3</w:t>
            </w:r>
          </w:p>
        </w:tc>
        <w:tc>
          <w:tcPr>
            <w:tcW w:w="549" w:type="pct"/>
            <w:tcBorders>
              <w:top w:val="nil"/>
              <w:left w:val="nil"/>
              <w:bottom w:val="single" w:sz="4" w:space="0" w:color="293F5B"/>
              <w:right w:val="nil"/>
            </w:tcBorders>
            <w:shd w:val="clear" w:color="000000" w:fill="E6F2FF"/>
            <w:noWrap/>
            <w:vAlign w:val="center"/>
            <w:hideMark/>
          </w:tcPr>
          <w:p w14:paraId="4EEA8FC9" w14:textId="77777777" w:rsidR="00A0255F" w:rsidRPr="00F15348" w:rsidRDefault="00A0255F" w:rsidP="00A0255F">
            <w:pPr>
              <w:spacing w:before="0" w:after="0" w:line="240" w:lineRule="auto"/>
              <w:jc w:val="right"/>
              <w:rPr>
                <w:rFonts w:ascii="Arial" w:hAnsi="Arial" w:cs="Arial"/>
                <w:b/>
                <w:sz w:val="16"/>
                <w:szCs w:val="16"/>
              </w:rPr>
            </w:pPr>
            <w:r w:rsidRPr="00F15348">
              <w:rPr>
                <w:rFonts w:ascii="Arial" w:hAnsi="Arial" w:cs="Arial"/>
                <w:b/>
                <w:sz w:val="16"/>
                <w:szCs w:val="16"/>
              </w:rPr>
              <w:t>94,411.8</w:t>
            </w:r>
          </w:p>
        </w:tc>
        <w:tc>
          <w:tcPr>
            <w:tcW w:w="549" w:type="pct"/>
            <w:tcBorders>
              <w:top w:val="nil"/>
              <w:left w:val="nil"/>
              <w:bottom w:val="single" w:sz="4" w:space="0" w:color="293F5B"/>
              <w:right w:val="nil"/>
            </w:tcBorders>
            <w:shd w:val="clear" w:color="000000" w:fill="FFFFFF"/>
            <w:noWrap/>
            <w:vAlign w:val="center"/>
            <w:hideMark/>
          </w:tcPr>
          <w:p w14:paraId="179AEDBC" w14:textId="77777777" w:rsidR="00A0255F" w:rsidRPr="00F15348" w:rsidRDefault="00A0255F" w:rsidP="00A0255F">
            <w:pPr>
              <w:spacing w:before="0" w:after="0" w:line="240" w:lineRule="auto"/>
              <w:jc w:val="right"/>
              <w:rPr>
                <w:rFonts w:ascii="Arial" w:hAnsi="Arial" w:cs="Arial"/>
                <w:b/>
                <w:sz w:val="16"/>
                <w:szCs w:val="16"/>
              </w:rPr>
            </w:pPr>
            <w:r w:rsidRPr="00F15348">
              <w:rPr>
                <w:rFonts w:ascii="Arial" w:hAnsi="Arial" w:cs="Arial"/>
                <w:b/>
                <w:sz w:val="16"/>
                <w:szCs w:val="16"/>
              </w:rPr>
              <w:t>99,241.5</w:t>
            </w:r>
          </w:p>
        </w:tc>
        <w:tc>
          <w:tcPr>
            <w:tcW w:w="549" w:type="pct"/>
            <w:tcBorders>
              <w:top w:val="nil"/>
              <w:left w:val="nil"/>
              <w:bottom w:val="single" w:sz="4" w:space="0" w:color="293F5B"/>
              <w:right w:val="nil"/>
            </w:tcBorders>
            <w:shd w:val="clear" w:color="000000" w:fill="FFFFFF"/>
            <w:noWrap/>
            <w:vAlign w:val="center"/>
            <w:hideMark/>
          </w:tcPr>
          <w:p w14:paraId="2D9F055D" w14:textId="77777777" w:rsidR="00A0255F" w:rsidRPr="00F15348" w:rsidRDefault="00A0255F" w:rsidP="00A0255F">
            <w:pPr>
              <w:spacing w:before="0" w:after="0" w:line="240" w:lineRule="auto"/>
              <w:jc w:val="right"/>
              <w:rPr>
                <w:rFonts w:ascii="Arial" w:hAnsi="Arial" w:cs="Arial"/>
                <w:b/>
                <w:sz w:val="16"/>
                <w:szCs w:val="16"/>
              </w:rPr>
            </w:pPr>
            <w:r w:rsidRPr="00F15348">
              <w:rPr>
                <w:rFonts w:ascii="Arial" w:hAnsi="Arial" w:cs="Arial"/>
                <w:b/>
                <w:sz w:val="16"/>
                <w:szCs w:val="16"/>
              </w:rPr>
              <w:t>104,771.2</w:t>
            </w:r>
          </w:p>
        </w:tc>
        <w:tc>
          <w:tcPr>
            <w:tcW w:w="549" w:type="pct"/>
            <w:tcBorders>
              <w:top w:val="nil"/>
              <w:left w:val="nil"/>
              <w:bottom w:val="single" w:sz="4" w:space="0" w:color="293F5B"/>
              <w:right w:val="nil"/>
            </w:tcBorders>
            <w:shd w:val="clear" w:color="000000" w:fill="FFFFFF"/>
            <w:noWrap/>
            <w:vAlign w:val="center"/>
            <w:hideMark/>
          </w:tcPr>
          <w:p w14:paraId="489D7FE0" w14:textId="77777777" w:rsidR="00A0255F" w:rsidRPr="00F15348" w:rsidRDefault="00A0255F" w:rsidP="00A0255F">
            <w:pPr>
              <w:spacing w:before="0" w:after="0" w:line="240" w:lineRule="auto"/>
              <w:jc w:val="right"/>
              <w:rPr>
                <w:rFonts w:ascii="Arial" w:hAnsi="Arial" w:cs="Arial"/>
                <w:b/>
                <w:sz w:val="16"/>
                <w:szCs w:val="16"/>
              </w:rPr>
            </w:pPr>
            <w:r w:rsidRPr="00F15348">
              <w:rPr>
                <w:rFonts w:ascii="Arial" w:hAnsi="Arial" w:cs="Arial"/>
                <w:b/>
                <w:sz w:val="16"/>
                <w:szCs w:val="16"/>
              </w:rPr>
              <w:t>109,243.4</w:t>
            </w:r>
          </w:p>
        </w:tc>
      </w:tr>
    </w:tbl>
    <w:p w14:paraId="2268C40D" w14:textId="03E15A3B" w:rsidR="00D555FF" w:rsidRPr="00F15348" w:rsidRDefault="00D555FF" w:rsidP="00FB25A5">
      <w:pPr>
        <w:pStyle w:val="GhostLine"/>
      </w:pPr>
    </w:p>
    <w:p w14:paraId="50ECD1B1" w14:textId="1A4492A6" w:rsidR="00D555FF" w:rsidRPr="00F15348" w:rsidRDefault="00D555FF" w:rsidP="00AB45CF">
      <w:pPr>
        <w:pStyle w:val="ChartandTableFootnoteAlpha"/>
        <w:rPr>
          <w:color w:val="auto"/>
        </w:rPr>
      </w:pPr>
      <w:r w:rsidRPr="00F15348">
        <w:rPr>
          <w:color w:val="auto"/>
        </w:rPr>
        <w:t>Estimates of the HFE transition payments for 202</w:t>
      </w:r>
      <w:r w:rsidR="00C8207B" w:rsidRPr="00F15348">
        <w:rPr>
          <w:color w:val="auto"/>
        </w:rPr>
        <w:t>5</w:t>
      </w:r>
      <w:r w:rsidRPr="00F15348">
        <w:rPr>
          <w:color w:val="auto"/>
        </w:rPr>
        <w:t>–2</w:t>
      </w:r>
      <w:r w:rsidR="00C8207B" w:rsidRPr="00F15348">
        <w:rPr>
          <w:color w:val="auto"/>
        </w:rPr>
        <w:t>6</w:t>
      </w:r>
      <w:r w:rsidRPr="00F15348">
        <w:rPr>
          <w:color w:val="auto"/>
        </w:rPr>
        <w:t xml:space="preserve"> and later years are based upon the 202</w:t>
      </w:r>
      <w:r w:rsidR="00C8207B" w:rsidRPr="00F15348">
        <w:rPr>
          <w:color w:val="auto"/>
        </w:rPr>
        <w:t>4</w:t>
      </w:r>
      <w:r w:rsidRPr="00F15348">
        <w:rPr>
          <w:color w:val="auto"/>
        </w:rPr>
        <w:t>–2</w:t>
      </w:r>
      <w:r w:rsidR="00C8207B" w:rsidRPr="00F15348">
        <w:rPr>
          <w:color w:val="auto"/>
        </w:rPr>
        <w:t>5</w:t>
      </w:r>
      <w:r w:rsidRPr="00F15348">
        <w:rPr>
          <w:color w:val="auto"/>
        </w:rPr>
        <w:t xml:space="preserve"> GST relativities and adjusted to take into account the transition to the new HFE system. The 2026–27 </w:t>
      </w:r>
      <w:r w:rsidR="0047000A" w:rsidRPr="00F15348">
        <w:rPr>
          <w:color w:val="auto"/>
        </w:rPr>
        <w:t xml:space="preserve">and </w:t>
      </w:r>
      <w:r w:rsidR="00752ED8" w:rsidRPr="00F15348">
        <w:rPr>
          <w:color w:val="auto"/>
        </w:rPr>
        <w:t>2027–28</w:t>
      </w:r>
      <w:r w:rsidRPr="00F15348">
        <w:rPr>
          <w:color w:val="auto"/>
        </w:rPr>
        <w:t xml:space="preserve"> HFE transition payment is assumed to be </w:t>
      </w:r>
      <w:r w:rsidR="006C0BFA" w:rsidRPr="00F15348">
        <w:rPr>
          <w:color w:val="auto"/>
        </w:rPr>
        <w:t>80</w:t>
      </w:r>
      <w:r w:rsidR="0024054F" w:rsidRPr="00F15348">
        <w:rPr>
          <w:color w:val="auto"/>
        </w:rPr>
        <w:t> </w:t>
      </w:r>
      <w:r w:rsidR="006C0BFA" w:rsidRPr="00F15348">
        <w:rPr>
          <w:color w:val="auto"/>
        </w:rPr>
        <w:t>per</w:t>
      </w:r>
      <w:r w:rsidR="0024054F" w:rsidRPr="00F15348">
        <w:rPr>
          <w:color w:val="auto"/>
        </w:rPr>
        <w:t> </w:t>
      </w:r>
      <w:r w:rsidR="006C0BFA" w:rsidRPr="00F15348">
        <w:rPr>
          <w:color w:val="auto"/>
        </w:rPr>
        <w:t>cent</w:t>
      </w:r>
      <w:r w:rsidR="00752ED8" w:rsidRPr="00F15348">
        <w:rPr>
          <w:color w:val="auto"/>
        </w:rPr>
        <w:t xml:space="preserve"> and 60</w:t>
      </w:r>
      <w:r w:rsidR="0024054F" w:rsidRPr="00F15348">
        <w:rPr>
          <w:color w:val="auto"/>
        </w:rPr>
        <w:t> </w:t>
      </w:r>
      <w:r w:rsidR="00752ED8" w:rsidRPr="00F15348">
        <w:rPr>
          <w:color w:val="auto"/>
        </w:rPr>
        <w:t>per</w:t>
      </w:r>
      <w:r w:rsidR="0024054F" w:rsidRPr="00F15348">
        <w:rPr>
          <w:color w:val="auto"/>
        </w:rPr>
        <w:t> </w:t>
      </w:r>
      <w:r w:rsidR="00752ED8" w:rsidRPr="00F15348">
        <w:rPr>
          <w:color w:val="auto"/>
        </w:rPr>
        <w:t xml:space="preserve">cent </w:t>
      </w:r>
      <w:r w:rsidR="00510FA3" w:rsidRPr="00F15348">
        <w:rPr>
          <w:color w:val="auto"/>
        </w:rPr>
        <w:t xml:space="preserve">respectively </w:t>
      </w:r>
      <w:r w:rsidRPr="00F15348">
        <w:rPr>
          <w:color w:val="auto"/>
        </w:rPr>
        <w:t>of that implied using the 202</w:t>
      </w:r>
      <w:r w:rsidR="006C0BFA" w:rsidRPr="00F15348">
        <w:rPr>
          <w:color w:val="auto"/>
        </w:rPr>
        <w:t>4</w:t>
      </w:r>
      <w:r w:rsidRPr="00F15348">
        <w:rPr>
          <w:color w:val="auto"/>
        </w:rPr>
        <w:t>–2</w:t>
      </w:r>
      <w:r w:rsidR="006C0BFA" w:rsidRPr="00F15348">
        <w:rPr>
          <w:color w:val="auto"/>
        </w:rPr>
        <w:t>5</w:t>
      </w:r>
      <w:r w:rsidRPr="00F15348">
        <w:rPr>
          <w:color w:val="auto"/>
        </w:rPr>
        <w:t xml:space="preserve"> relativities.  </w:t>
      </w:r>
    </w:p>
    <w:p w14:paraId="28355C47" w14:textId="438C0500" w:rsidR="00D555FF" w:rsidRPr="00F15348" w:rsidRDefault="00D555FF" w:rsidP="00AB45CF">
      <w:pPr>
        <w:pStyle w:val="ChartandTableFootnoteAlpha"/>
        <w:rPr>
          <w:color w:val="auto"/>
        </w:rPr>
      </w:pPr>
      <w:r w:rsidRPr="00F15348">
        <w:rPr>
          <w:color w:val="auto"/>
        </w:rPr>
        <w:t>More detail about other general revenue assistance payments is provided in Table</w:t>
      </w:r>
      <w:r w:rsidR="0024054F" w:rsidRPr="00F15348">
        <w:rPr>
          <w:color w:val="auto"/>
        </w:rPr>
        <w:t> </w:t>
      </w:r>
      <w:r w:rsidRPr="00F15348">
        <w:rPr>
          <w:color w:val="auto"/>
        </w:rPr>
        <w:t xml:space="preserve">3.7. </w:t>
      </w:r>
    </w:p>
    <w:p w14:paraId="2221D5A1" w14:textId="68FBA947" w:rsidR="00D555FF" w:rsidRPr="00FE1853" w:rsidRDefault="00D555FF" w:rsidP="00D555FF">
      <w:pPr>
        <w:pStyle w:val="ChartLine"/>
      </w:pPr>
      <w:bookmarkStart w:id="3" w:name="_Toc4764864"/>
      <w:bookmarkStart w:id="4" w:name="_Hlk116989551"/>
      <w:bookmarkEnd w:id="2"/>
    </w:p>
    <w:bookmarkEnd w:id="3"/>
    <w:bookmarkEnd w:id="4"/>
    <w:p w14:paraId="070D400F" w14:textId="32971489" w:rsidR="00D555FF" w:rsidRPr="00F15348" w:rsidRDefault="00D555FF" w:rsidP="00D555FF">
      <w:pPr>
        <w:pStyle w:val="Heading2"/>
      </w:pPr>
      <w:r w:rsidRPr="00F15348">
        <w:lastRenderedPageBreak/>
        <w:t>GST payments</w:t>
      </w:r>
    </w:p>
    <w:p w14:paraId="225F2644" w14:textId="30AE46AB" w:rsidR="00D555FF" w:rsidRPr="00F15348" w:rsidRDefault="00D555FF" w:rsidP="00C33E0E">
      <w:pPr>
        <w:keepLines/>
      </w:pPr>
      <w:r w:rsidRPr="00F15348">
        <w:t xml:space="preserve">Under the </w:t>
      </w:r>
      <w:r w:rsidRPr="00F15348">
        <w:rPr>
          <w:rStyle w:val="Emphasis"/>
        </w:rPr>
        <w:t>Federal Financial Relations Act 2009</w:t>
      </w:r>
      <w:r w:rsidRPr="00F15348">
        <w:t>, the states are entitled to receive payments from the Australian Government equivalent to the revenue raised from the GST in any given financial year, subject to some minor adjustments. From 2021–22, the states’ GST entitlements are boosted each year by additional Australian Government funding as discussed below.</w:t>
      </w:r>
    </w:p>
    <w:p w14:paraId="374BB5A0" w14:textId="31F62819" w:rsidR="00D555FF" w:rsidRPr="00F15348" w:rsidRDefault="00D555FF" w:rsidP="00D555FF">
      <w:r w:rsidRPr="00F15348">
        <w:t>The Australian Government makes monthly payments (advances) to the states throughout the year based on GST estimates for that year. Estimates of the GST are used as the actual amount of GST revenue for the financial year is unknown until after the end of the financial year. Once the amount of GST revenue is known, the Treasurer makes a determination of the GST entitlement for that year. A balancing adjustment is made to each state’s payments to ensure they receive the GST to which they are entitled. These balancing adjustments (referred to as the ‘prior year balancing adjustment’) are made in the following financial year.</w:t>
      </w:r>
    </w:p>
    <w:p w14:paraId="6E839A6E" w14:textId="30FE9B43" w:rsidR="00D555FF" w:rsidRPr="00F15348" w:rsidRDefault="00D555FF" w:rsidP="00D555FF">
      <w:pPr>
        <w:pStyle w:val="Heading3"/>
      </w:pPr>
      <w:r w:rsidRPr="00F15348">
        <w:t>Calculating the GST payments</w:t>
      </w:r>
    </w:p>
    <w:p w14:paraId="49C86FF6" w14:textId="77777777" w:rsidR="00D555FF" w:rsidRPr="00F15348" w:rsidRDefault="00D555FF" w:rsidP="00D555FF">
      <w:r w:rsidRPr="00F15348">
        <w:t>Adjustments and additions are made to GST revenue to calculate the amount of GST paid to the states in any given year. In particular, adjustments are made to move from GST revenue (an accrual concept) to GST (cash) receipts as GST receipts are the basis for the GST paid to the states.</w:t>
      </w:r>
    </w:p>
    <w:p w14:paraId="297C0FE7" w14:textId="77777777" w:rsidR="00D555FF" w:rsidRPr="00F15348" w:rsidRDefault="00D555FF" w:rsidP="00D555FF">
      <w:pPr>
        <w:pStyle w:val="Bullet"/>
        <w:numPr>
          <w:ilvl w:val="0"/>
          <w:numId w:val="3"/>
        </w:numPr>
        <w:ind w:left="284" w:hanging="284"/>
      </w:pPr>
      <w:r w:rsidRPr="00F15348">
        <w:t>Some GST revenue accrued during a financial year is not remitted to the Australian Taxation Office (ATO) by 30 June of that year because it is not due to be paid until Business Activity Statements (BAS) are lodged in the following financial year. For taxpayers other than Australian Government agencies, this accrued amount is included in GST revenue but not in GST receipts.</w:t>
      </w:r>
    </w:p>
    <w:p w14:paraId="177ADB1A" w14:textId="77777777" w:rsidR="00D555FF" w:rsidRPr="00F15348" w:rsidRDefault="00D555FF" w:rsidP="00D555FF">
      <w:pPr>
        <w:pStyle w:val="Bullet"/>
        <w:numPr>
          <w:ilvl w:val="0"/>
          <w:numId w:val="3"/>
        </w:numPr>
        <w:ind w:left="284" w:hanging="284"/>
      </w:pPr>
      <w:r w:rsidRPr="00F15348">
        <w:t xml:space="preserve">Penalties owed to the ATO, other than general interest charge (GIC) penalties, are not included in the GST to be paid to the states as defined in the </w:t>
      </w:r>
      <w:r w:rsidRPr="00F15348">
        <w:rPr>
          <w:rStyle w:val="Emphasis"/>
        </w:rPr>
        <w:t>Federal Financial Relations Act 2009</w:t>
      </w:r>
      <w:r w:rsidRPr="00F15348">
        <w:t>.</w:t>
      </w:r>
    </w:p>
    <w:p w14:paraId="5F34212D" w14:textId="17A9BF69" w:rsidR="00D555FF" w:rsidRPr="00F15348" w:rsidRDefault="00D555FF" w:rsidP="00D555FF">
      <w:pPr>
        <w:pStyle w:val="Bullet"/>
        <w:numPr>
          <w:ilvl w:val="0"/>
          <w:numId w:val="3"/>
        </w:numPr>
        <w:ind w:left="284" w:hanging="284"/>
      </w:pPr>
      <w:r w:rsidRPr="00F15348">
        <w:t xml:space="preserve">Some GST collected by Australian Government agencies is not remitted to the ATO by 30 June in each financial year because it is not due to be paid until the next BAS is lodged. This amount is included in Australian Government receipts but is not included in GST payments to the states until it is remitted to the ATO. </w:t>
      </w:r>
    </w:p>
    <w:p w14:paraId="6DE9A60B" w14:textId="7141C48B" w:rsidR="00D555FF" w:rsidRPr="00F15348" w:rsidRDefault="00D555FF" w:rsidP="00D555FF">
      <w:pPr>
        <w:pStyle w:val="Bullet"/>
        <w:numPr>
          <w:ilvl w:val="0"/>
          <w:numId w:val="3"/>
        </w:numPr>
        <w:ind w:left="284" w:hanging="284"/>
      </w:pPr>
      <w:r w:rsidRPr="00F15348">
        <w:t xml:space="preserve">From 2021–22, the Australian Government is boosting the states’ GST entitlement each year with additional funding. From 2021–22, the Australian Government </w:t>
      </w:r>
      <w:r w:rsidR="00941700" w:rsidRPr="00F15348">
        <w:t>ha</w:t>
      </w:r>
      <w:r w:rsidRPr="00F15348">
        <w:t>s inject</w:t>
      </w:r>
      <w:r w:rsidR="00941700" w:rsidRPr="00F15348">
        <w:t>ed</w:t>
      </w:r>
      <w:r w:rsidRPr="00F15348">
        <w:t xml:space="preserve"> $600.0 million annually into the GST pool, </w:t>
      </w:r>
      <w:r w:rsidR="00645028" w:rsidRPr="00F15348">
        <w:t xml:space="preserve">with </w:t>
      </w:r>
      <w:r w:rsidR="00F22838" w:rsidRPr="00F15348">
        <w:t>th</w:t>
      </w:r>
      <w:r w:rsidR="00645028" w:rsidRPr="00F15348">
        <w:t>is</w:t>
      </w:r>
      <w:r w:rsidR="00F22838" w:rsidRPr="00F15348">
        <w:t xml:space="preserve"> amount grow</w:t>
      </w:r>
      <w:r w:rsidR="00645028" w:rsidRPr="00F15348">
        <w:t>ing</w:t>
      </w:r>
      <w:r w:rsidR="00F22838" w:rsidRPr="00F15348">
        <w:t xml:space="preserve"> in line with the underlying growth of the GST</w:t>
      </w:r>
      <w:r w:rsidR="00645028" w:rsidRPr="00F15348">
        <w:t>.</w:t>
      </w:r>
      <w:r w:rsidR="00F22838" w:rsidRPr="00F15348">
        <w:t xml:space="preserve"> </w:t>
      </w:r>
      <w:r w:rsidR="005E408C" w:rsidRPr="00F15348">
        <w:t xml:space="preserve">From 2024–25 the Australian Government will </w:t>
      </w:r>
      <w:r w:rsidR="009C0327" w:rsidRPr="00F15348">
        <w:t xml:space="preserve">further </w:t>
      </w:r>
      <w:r w:rsidR="005E408C" w:rsidRPr="00F15348">
        <w:t xml:space="preserve">boost the GST pool </w:t>
      </w:r>
      <w:r w:rsidR="00B142D5" w:rsidRPr="00F15348">
        <w:t>by an additional</w:t>
      </w:r>
      <w:r w:rsidRPr="00F15348">
        <w:t xml:space="preserve"> $250.0 million</w:t>
      </w:r>
      <w:r w:rsidR="00AB0FED" w:rsidRPr="00F15348">
        <w:t xml:space="preserve"> annually</w:t>
      </w:r>
      <w:r w:rsidRPr="00F15348">
        <w:t xml:space="preserve">. </w:t>
      </w:r>
      <w:r w:rsidR="00B142D5" w:rsidRPr="00F15348">
        <w:t xml:space="preserve">This additional funding </w:t>
      </w:r>
      <w:r w:rsidRPr="00F15348">
        <w:t xml:space="preserve">will be distributed to the states in the same way as GST revenue. </w:t>
      </w:r>
    </w:p>
    <w:p w14:paraId="3793E703" w14:textId="239668A9" w:rsidR="00D555FF" w:rsidRPr="00F15348" w:rsidRDefault="00D555FF" w:rsidP="00D555FF">
      <w:r w:rsidRPr="00F15348">
        <w:lastRenderedPageBreak/>
        <w:t>In 202</w:t>
      </w:r>
      <w:r w:rsidR="00953A43" w:rsidRPr="00F15348">
        <w:t>2</w:t>
      </w:r>
      <w:r w:rsidRPr="00F15348">
        <w:t>–2</w:t>
      </w:r>
      <w:r w:rsidR="00953A43" w:rsidRPr="00F15348">
        <w:t>3</w:t>
      </w:r>
      <w:r w:rsidRPr="00F15348">
        <w:t>, the states’ GST entitlement was $</w:t>
      </w:r>
      <w:r w:rsidR="00186D95" w:rsidRPr="00F15348">
        <w:t>35</w:t>
      </w:r>
      <w:r w:rsidR="00A46F40" w:rsidRPr="00F15348">
        <w:t>0</w:t>
      </w:r>
      <w:r w:rsidR="006B0733" w:rsidRPr="00F15348">
        <w:t>.</w:t>
      </w:r>
      <w:r w:rsidR="00A46F40" w:rsidRPr="00F15348">
        <w:t>9</w:t>
      </w:r>
      <w:r w:rsidRPr="00F15348">
        <w:t> million higher than the advances paid during that year. A prior year balancing adjustment has been made to states’ GST payments in 202</w:t>
      </w:r>
      <w:r w:rsidR="0007660F" w:rsidRPr="00F15348">
        <w:t>3</w:t>
      </w:r>
      <w:r w:rsidRPr="00F15348">
        <w:t>–2</w:t>
      </w:r>
      <w:r w:rsidR="0007660F" w:rsidRPr="00F15348">
        <w:t>4</w:t>
      </w:r>
      <w:r w:rsidRPr="00F15348">
        <w:t xml:space="preserve"> to reflect this.</w:t>
      </w:r>
      <w:r w:rsidRPr="00F15348">
        <w:rPr>
          <w:rFonts w:cs="Arial"/>
        </w:rPr>
        <w:t xml:space="preserve"> </w:t>
      </w:r>
    </w:p>
    <w:p w14:paraId="40123109" w14:textId="77777777" w:rsidR="00D555FF" w:rsidRPr="00F15348" w:rsidRDefault="00D555FF" w:rsidP="00D555FF">
      <w:r w:rsidRPr="00F15348">
        <w:t>Table 3.2 reconciles GST revenue, GST entitlement and GST payments to the states.</w:t>
      </w:r>
    </w:p>
    <w:p w14:paraId="3AD1157F" w14:textId="1A22A329" w:rsidR="00947549" w:rsidRPr="00F15348" w:rsidRDefault="00D555FF" w:rsidP="00947549">
      <w:pPr>
        <w:pStyle w:val="TableHeading"/>
        <w:rPr>
          <w:rFonts w:asciiTheme="minorHAnsi" w:eastAsiaTheme="minorHAnsi" w:hAnsiTheme="minorHAnsi" w:cstheme="minorBidi"/>
          <w:b w:val="0"/>
          <w:sz w:val="22"/>
          <w:szCs w:val="22"/>
          <w:lang w:eastAsia="en-US"/>
        </w:rPr>
      </w:pPr>
      <w:bookmarkStart w:id="5" w:name="_Toc4764865"/>
      <w:r w:rsidRPr="00F15348">
        <w:rPr>
          <w:rFonts w:cs="Arial"/>
        </w:rPr>
        <w:t>Table</w:t>
      </w:r>
      <w:r w:rsidR="00096E9C" w:rsidRPr="00F15348">
        <w:rPr>
          <w:rFonts w:cs="Arial"/>
        </w:rPr>
        <w:t> </w:t>
      </w:r>
      <w:r w:rsidRPr="00F15348">
        <w:rPr>
          <w:rFonts w:cs="Arial"/>
        </w:rPr>
        <w:t>3.2: Reconciling GST revenue, GST entitlement and GST payments to the states</w:t>
      </w:r>
      <w:bookmarkEnd w:id="5"/>
    </w:p>
    <w:tbl>
      <w:tblPr>
        <w:tblW w:w="5000" w:type="pct"/>
        <w:tblCellMar>
          <w:left w:w="0" w:type="dxa"/>
          <w:right w:w="28" w:type="dxa"/>
        </w:tblCellMar>
        <w:tblLook w:val="04A0" w:firstRow="1" w:lastRow="0" w:firstColumn="1" w:lastColumn="0" w:noHBand="0" w:noVBand="1"/>
      </w:tblPr>
      <w:tblGrid>
        <w:gridCol w:w="3275"/>
        <w:gridCol w:w="983"/>
        <w:gridCol w:w="983"/>
        <w:gridCol w:w="823"/>
        <w:gridCol w:w="823"/>
        <w:gridCol w:w="823"/>
      </w:tblGrid>
      <w:tr w:rsidR="00947549" w:rsidRPr="00F15348" w14:paraId="7BD44B14" w14:textId="77777777" w:rsidTr="00947549">
        <w:trPr>
          <w:trHeight w:hRule="exact" w:val="226"/>
        </w:trPr>
        <w:tc>
          <w:tcPr>
            <w:tcW w:w="2122" w:type="pct"/>
            <w:tcBorders>
              <w:top w:val="single" w:sz="4" w:space="0" w:color="293F5B"/>
              <w:left w:val="nil"/>
              <w:bottom w:val="nil"/>
              <w:right w:val="nil"/>
            </w:tcBorders>
            <w:shd w:val="clear" w:color="auto" w:fill="auto"/>
            <w:noWrap/>
            <w:vAlign w:val="center"/>
            <w:hideMark/>
          </w:tcPr>
          <w:p w14:paraId="34969272" w14:textId="350C7AD5" w:rsidR="00947549" w:rsidRPr="00F15348" w:rsidRDefault="00947549" w:rsidP="00947549">
            <w:pPr>
              <w:spacing w:before="0" w:after="0" w:line="240" w:lineRule="auto"/>
              <w:rPr>
                <w:rFonts w:ascii="Arial" w:hAnsi="Arial" w:cs="Arial"/>
                <w:sz w:val="16"/>
                <w:szCs w:val="16"/>
              </w:rPr>
            </w:pPr>
            <w:r w:rsidRPr="00F15348">
              <w:rPr>
                <w:rFonts w:ascii="Arial" w:hAnsi="Arial" w:cs="Arial"/>
                <w:sz w:val="16"/>
                <w:szCs w:val="16"/>
              </w:rPr>
              <w:t>$million</w:t>
            </w:r>
          </w:p>
        </w:tc>
        <w:tc>
          <w:tcPr>
            <w:tcW w:w="637" w:type="pct"/>
            <w:tcBorders>
              <w:top w:val="single" w:sz="4" w:space="0" w:color="293F5B"/>
              <w:left w:val="nil"/>
              <w:bottom w:val="nil"/>
              <w:right w:val="nil"/>
            </w:tcBorders>
            <w:shd w:val="clear" w:color="auto" w:fill="auto"/>
            <w:noWrap/>
            <w:vAlign w:val="center"/>
            <w:hideMark/>
          </w:tcPr>
          <w:p w14:paraId="0F7CE22E"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2023-24</w:t>
            </w:r>
          </w:p>
        </w:tc>
        <w:tc>
          <w:tcPr>
            <w:tcW w:w="637" w:type="pct"/>
            <w:tcBorders>
              <w:top w:val="single" w:sz="4" w:space="0" w:color="293F5B"/>
              <w:left w:val="nil"/>
              <w:bottom w:val="nil"/>
              <w:right w:val="nil"/>
            </w:tcBorders>
            <w:shd w:val="clear" w:color="000000" w:fill="E6F2FF"/>
            <w:noWrap/>
            <w:vAlign w:val="center"/>
            <w:hideMark/>
          </w:tcPr>
          <w:p w14:paraId="44FDB79E"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2024-25</w:t>
            </w:r>
          </w:p>
        </w:tc>
        <w:tc>
          <w:tcPr>
            <w:tcW w:w="534" w:type="pct"/>
            <w:tcBorders>
              <w:top w:val="single" w:sz="4" w:space="0" w:color="293F5B"/>
              <w:left w:val="nil"/>
              <w:bottom w:val="nil"/>
              <w:right w:val="nil"/>
            </w:tcBorders>
            <w:shd w:val="clear" w:color="auto" w:fill="auto"/>
            <w:noWrap/>
            <w:vAlign w:val="center"/>
            <w:hideMark/>
          </w:tcPr>
          <w:p w14:paraId="547A13BB"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2025-26</w:t>
            </w:r>
          </w:p>
        </w:tc>
        <w:tc>
          <w:tcPr>
            <w:tcW w:w="534" w:type="pct"/>
            <w:tcBorders>
              <w:top w:val="single" w:sz="4" w:space="0" w:color="293F5B"/>
              <w:left w:val="nil"/>
              <w:bottom w:val="nil"/>
              <w:right w:val="nil"/>
            </w:tcBorders>
            <w:shd w:val="clear" w:color="auto" w:fill="auto"/>
            <w:noWrap/>
            <w:vAlign w:val="center"/>
            <w:hideMark/>
          </w:tcPr>
          <w:p w14:paraId="6A53E1AB"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2026-27</w:t>
            </w:r>
          </w:p>
        </w:tc>
        <w:tc>
          <w:tcPr>
            <w:tcW w:w="534" w:type="pct"/>
            <w:tcBorders>
              <w:top w:val="single" w:sz="4" w:space="0" w:color="293F5B"/>
              <w:left w:val="nil"/>
              <w:bottom w:val="nil"/>
              <w:right w:val="nil"/>
            </w:tcBorders>
            <w:shd w:val="clear" w:color="auto" w:fill="auto"/>
            <w:noWrap/>
            <w:vAlign w:val="center"/>
            <w:hideMark/>
          </w:tcPr>
          <w:p w14:paraId="2F055D2D"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2027-28</w:t>
            </w:r>
          </w:p>
        </w:tc>
      </w:tr>
      <w:tr w:rsidR="00947549" w:rsidRPr="00F15348" w14:paraId="1DAFF4F0" w14:textId="77777777" w:rsidTr="00947549">
        <w:trPr>
          <w:trHeight w:hRule="exact" w:val="226"/>
        </w:trPr>
        <w:tc>
          <w:tcPr>
            <w:tcW w:w="2122" w:type="pct"/>
            <w:tcBorders>
              <w:top w:val="nil"/>
              <w:left w:val="nil"/>
              <w:bottom w:val="nil"/>
              <w:right w:val="nil"/>
            </w:tcBorders>
            <w:shd w:val="clear" w:color="auto" w:fill="auto"/>
            <w:noWrap/>
            <w:vAlign w:val="center"/>
            <w:hideMark/>
          </w:tcPr>
          <w:p w14:paraId="1A514643" w14:textId="77777777" w:rsidR="00947549" w:rsidRPr="00F15348" w:rsidRDefault="00947549" w:rsidP="00947549">
            <w:pPr>
              <w:spacing w:before="0" w:after="0" w:line="240" w:lineRule="auto"/>
              <w:rPr>
                <w:rFonts w:ascii="Arial" w:hAnsi="Arial" w:cs="Arial"/>
                <w:sz w:val="16"/>
                <w:szCs w:val="16"/>
              </w:rPr>
            </w:pPr>
            <w:r w:rsidRPr="00F15348">
              <w:rPr>
                <w:rFonts w:ascii="Arial" w:hAnsi="Arial" w:cs="Arial"/>
                <w:sz w:val="16"/>
                <w:szCs w:val="16"/>
              </w:rPr>
              <w:t>GST revenue</w:t>
            </w:r>
          </w:p>
        </w:tc>
        <w:tc>
          <w:tcPr>
            <w:tcW w:w="637" w:type="pct"/>
            <w:tcBorders>
              <w:top w:val="single" w:sz="4" w:space="0" w:color="293F5B"/>
              <w:left w:val="nil"/>
              <w:bottom w:val="nil"/>
              <w:right w:val="nil"/>
            </w:tcBorders>
            <w:shd w:val="clear" w:color="auto" w:fill="auto"/>
            <w:noWrap/>
            <w:vAlign w:val="center"/>
            <w:hideMark/>
          </w:tcPr>
          <w:p w14:paraId="3B0145E4"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90,180</w:t>
            </w:r>
          </w:p>
        </w:tc>
        <w:tc>
          <w:tcPr>
            <w:tcW w:w="637" w:type="pct"/>
            <w:tcBorders>
              <w:top w:val="single" w:sz="4" w:space="0" w:color="293F5B"/>
              <w:left w:val="nil"/>
              <w:bottom w:val="nil"/>
              <w:right w:val="nil"/>
            </w:tcBorders>
            <w:shd w:val="clear" w:color="000000" w:fill="E6F2FF"/>
            <w:noWrap/>
            <w:vAlign w:val="center"/>
            <w:hideMark/>
          </w:tcPr>
          <w:p w14:paraId="3AE31598"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92,070</w:t>
            </w:r>
          </w:p>
        </w:tc>
        <w:tc>
          <w:tcPr>
            <w:tcW w:w="534" w:type="pct"/>
            <w:tcBorders>
              <w:top w:val="single" w:sz="4" w:space="0" w:color="293F5B"/>
              <w:left w:val="nil"/>
              <w:bottom w:val="nil"/>
              <w:right w:val="nil"/>
            </w:tcBorders>
            <w:shd w:val="clear" w:color="auto" w:fill="auto"/>
            <w:noWrap/>
            <w:vAlign w:val="center"/>
            <w:hideMark/>
          </w:tcPr>
          <w:p w14:paraId="34C032EC"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97,290</w:t>
            </w:r>
          </w:p>
        </w:tc>
        <w:tc>
          <w:tcPr>
            <w:tcW w:w="534" w:type="pct"/>
            <w:tcBorders>
              <w:top w:val="single" w:sz="4" w:space="0" w:color="293F5B"/>
              <w:left w:val="nil"/>
              <w:bottom w:val="nil"/>
              <w:right w:val="nil"/>
            </w:tcBorders>
            <w:shd w:val="clear" w:color="auto" w:fill="auto"/>
            <w:noWrap/>
            <w:vAlign w:val="center"/>
            <w:hideMark/>
          </w:tcPr>
          <w:p w14:paraId="4C6E653F"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103,050</w:t>
            </w:r>
          </w:p>
        </w:tc>
        <w:tc>
          <w:tcPr>
            <w:tcW w:w="534" w:type="pct"/>
            <w:tcBorders>
              <w:top w:val="single" w:sz="4" w:space="0" w:color="293F5B"/>
              <w:left w:val="nil"/>
              <w:bottom w:val="nil"/>
              <w:right w:val="nil"/>
            </w:tcBorders>
            <w:shd w:val="clear" w:color="auto" w:fill="auto"/>
            <w:noWrap/>
            <w:vAlign w:val="center"/>
            <w:hideMark/>
          </w:tcPr>
          <w:p w14:paraId="422EEFBD"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109,000</w:t>
            </w:r>
          </w:p>
        </w:tc>
      </w:tr>
      <w:tr w:rsidR="00947549" w:rsidRPr="00F15348" w14:paraId="761A92FF" w14:textId="77777777" w:rsidTr="00947549">
        <w:trPr>
          <w:trHeight w:hRule="exact" w:val="226"/>
        </w:trPr>
        <w:tc>
          <w:tcPr>
            <w:tcW w:w="2122" w:type="pct"/>
            <w:tcBorders>
              <w:top w:val="nil"/>
              <w:left w:val="nil"/>
              <w:bottom w:val="nil"/>
              <w:right w:val="nil"/>
            </w:tcBorders>
            <w:shd w:val="clear" w:color="auto" w:fill="auto"/>
            <w:noWrap/>
            <w:vAlign w:val="center"/>
            <w:hideMark/>
          </w:tcPr>
          <w:p w14:paraId="02545569" w14:textId="77777777" w:rsidR="00947549" w:rsidRPr="00F15348" w:rsidRDefault="00947549" w:rsidP="00947549">
            <w:pPr>
              <w:spacing w:before="0" w:after="0" w:line="240" w:lineRule="auto"/>
              <w:rPr>
                <w:rFonts w:ascii="Arial" w:hAnsi="Arial" w:cs="Arial"/>
                <w:sz w:val="16"/>
                <w:szCs w:val="16"/>
              </w:rPr>
            </w:pPr>
            <w:r w:rsidRPr="00F15348">
              <w:rPr>
                <w:rFonts w:ascii="Arial" w:hAnsi="Arial" w:cs="Arial"/>
                <w:i/>
                <w:sz w:val="16"/>
                <w:szCs w:val="16"/>
              </w:rPr>
              <w:t xml:space="preserve">less </w:t>
            </w:r>
            <w:r w:rsidRPr="00F15348">
              <w:rPr>
                <w:rFonts w:ascii="Arial" w:hAnsi="Arial" w:cs="Arial"/>
                <w:sz w:val="16"/>
                <w:szCs w:val="16"/>
              </w:rPr>
              <w:t>Change in GST receivables</w:t>
            </w:r>
          </w:p>
        </w:tc>
        <w:tc>
          <w:tcPr>
            <w:tcW w:w="637" w:type="pct"/>
            <w:tcBorders>
              <w:top w:val="nil"/>
              <w:left w:val="nil"/>
              <w:bottom w:val="single" w:sz="4" w:space="0" w:color="293F5B"/>
              <w:right w:val="nil"/>
            </w:tcBorders>
            <w:shd w:val="clear" w:color="auto" w:fill="auto"/>
            <w:noWrap/>
            <w:vAlign w:val="center"/>
            <w:hideMark/>
          </w:tcPr>
          <w:p w14:paraId="785D55CA"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4,422</w:t>
            </w:r>
          </w:p>
        </w:tc>
        <w:tc>
          <w:tcPr>
            <w:tcW w:w="637" w:type="pct"/>
            <w:tcBorders>
              <w:top w:val="nil"/>
              <w:left w:val="nil"/>
              <w:bottom w:val="single" w:sz="4" w:space="0" w:color="293F5B"/>
              <w:right w:val="nil"/>
            </w:tcBorders>
            <w:shd w:val="clear" w:color="000000" w:fill="E6F2FF"/>
            <w:noWrap/>
            <w:vAlign w:val="center"/>
            <w:hideMark/>
          </w:tcPr>
          <w:p w14:paraId="2FB10C84"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4,397</w:t>
            </w:r>
          </w:p>
        </w:tc>
        <w:tc>
          <w:tcPr>
            <w:tcW w:w="534" w:type="pct"/>
            <w:tcBorders>
              <w:top w:val="nil"/>
              <w:left w:val="nil"/>
              <w:bottom w:val="single" w:sz="4" w:space="0" w:color="293F5B"/>
              <w:right w:val="nil"/>
            </w:tcBorders>
            <w:shd w:val="clear" w:color="000000" w:fill="FFFFFF"/>
            <w:noWrap/>
            <w:vAlign w:val="center"/>
            <w:hideMark/>
          </w:tcPr>
          <w:p w14:paraId="3639DE2C"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4,952</w:t>
            </w:r>
          </w:p>
        </w:tc>
        <w:tc>
          <w:tcPr>
            <w:tcW w:w="534" w:type="pct"/>
            <w:tcBorders>
              <w:top w:val="nil"/>
              <w:left w:val="nil"/>
              <w:bottom w:val="single" w:sz="4" w:space="0" w:color="293F5B"/>
              <w:right w:val="nil"/>
            </w:tcBorders>
            <w:shd w:val="clear" w:color="000000" w:fill="FFFFFF"/>
            <w:noWrap/>
            <w:vAlign w:val="center"/>
            <w:hideMark/>
          </w:tcPr>
          <w:p w14:paraId="650D1CFE"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5,184</w:t>
            </w:r>
          </w:p>
        </w:tc>
        <w:tc>
          <w:tcPr>
            <w:tcW w:w="534" w:type="pct"/>
            <w:tcBorders>
              <w:top w:val="nil"/>
              <w:left w:val="nil"/>
              <w:bottom w:val="single" w:sz="4" w:space="0" w:color="293F5B"/>
              <w:right w:val="nil"/>
            </w:tcBorders>
            <w:shd w:val="clear" w:color="000000" w:fill="FFFFFF"/>
            <w:noWrap/>
            <w:vAlign w:val="center"/>
            <w:hideMark/>
          </w:tcPr>
          <w:p w14:paraId="431E2267"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5,562</w:t>
            </w:r>
          </w:p>
        </w:tc>
      </w:tr>
      <w:tr w:rsidR="00947549" w:rsidRPr="00F15348" w14:paraId="243E75C9" w14:textId="77777777" w:rsidTr="00947549">
        <w:trPr>
          <w:trHeight w:hRule="exact" w:val="226"/>
        </w:trPr>
        <w:tc>
          <w:tcPr>
            <w:tcW w:w="2122" w:type="pct"/>
            <w:tcBorders>
              <w:top w:val="nil"/>
              <w:left w:val="nil"/>
              <w:bottom w:val="nil"/>
              <w:right w:val="nil"/>
            </w:tcBorders>
            <w:shd w:val="clear" w:color="auto" w:fill="auto"/>
            <w:noWrap/>
            <w:vAlign w:val="center"/>
            <w:hideMark/>
          </w:tcPr>
          <w:p w14:paraId="748628B6" w14:textId="77777777" w:rsidR="00947549" w:rsidRPr="00F15348" w:rsidRDefault="00947549" w:rsidP="00947549">
            <w:pPr>
              <w:spacing w:before="0" w:after="0" w:line="240" w:lineRule="auto"/>
              <w:rPr>
                <w:rFonts w:ascii="Arial" w:hAnsi="Arial" w:cs="Arial"/>
                <w:sz w:val="16"/>
                <w:szCs w:val="16"/>
              </w:rPr>
            </w:pPr>
            <w:r w:rsidRPr="00F15348">
              <w:rPr>
                <w:rFonts w:ascii="Arial" w:hAnsi="Arial" w:cs="Arial"/>
                <w:sz w:val="16"/>
                <w:szCs w:val="16"/>
              </w:rPr>
              <w:t>GST receipts</w:t>
            </w:r>
          </w:p>
        </w:tc>
        <w:tc>
          <w:tcPr>
            <w:tcW w:w="637" w:type="pct"/>
            <w:tcBorders>
              <w:top w:val="nil"/>
              <w:left w:val="nil"/>
              <w:bottom w:val="nil"/>
              <w:right w:val="nil"/>
            </w:tcBorders>
            <w:shd w:val="clear" w:color="auto" w:fill="auto"/>
            <w:noWrap/>
            <w:vAlign w:val="center"/>
            <w:hideMark/>
          </w:tcPr>
          <w:p w14:paraId="59D4B37E"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85,758</w:t>
            </w:r>
          </w:p>
        </w:tc>
        <w:tc>
          <w:tcPr>
            <w:tcW w:w="637" w:type="pct"/>
            <w:tcBorders>
              <w:top w:val="nil"/>
              <w:left w:val="nil"/>
              <w:bottom w:val="nil"/>
              <w:right w:val="nil"/>
            </w:tcBorders>
            <w:shd w:val="clear" w:color="000000" w:fill="E6F2FF"/>
            <w:noWrap/>
            <w:vAlign w:val="center"/>
            <w:hideMark/>
          </w:tcPr>
          <w:p w14:paraId="4FF6DFD5"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87,673</w:t>
            </w:r>
          </w:p>
        </w:tc>
        <w:tc>
          <w:tcPr>
            <w:tcW w:w="534" w:type="pct"/>
            <w:tcBorders>
              <w:top w:val="nil"/>
              <w:left w:val="nil"/>
              <w:bottom w:val="nil"/>
              <w:right w:val="nil"/>
            </w:tcBorders>
            <w:shd w:val="clear" w:color="000000" w:fill="FFFFFF"/>
            <w:noWrap/>
            <w:vAlign w:val="center"/>
            <w:hideMark/>
          </w:tcPr>
          <w:p w14:paraId="4CF5E045"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92,338</w:t>
            </w:r>
          </w:p>
        </w:tc>
        <w:tc>
          <w:tcPr>
            <w:tcW w:w="534" w:type="pct"/>
            <w:tcBorders>
              <w:top w:val="nil"/>
              <w:left w:val="nil"/>
              <w:bottom w:val="nil"/>
              <w:right w:val="nil"/>
            </w:tcBorders>
            <w:shd w:val="clear" w:color="000000" w:fill="FFFFFF"/>
            <w:noWrap/>
            <w:vAlign w:val="center"/>
            <w:hideMark/>
          </w:tcPr>
          <w:p w14:paraId="0FA99481"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97,866</w:t>
            </w:r>
          </w:p>
        </w:tc>
        <w:tc>
          <w:tcPr>
            <w:tcW w:w="534" w:type="pct"/>
            <w:tcBorders>
              <w:top w:val="nil"/>
              <w:left w:val="nil"/>
              <w:bottom w:val="nil"/>
              <w:right w:val="nil"/>
            </w:tcBorders>
            <w:shd w:val="clear" w:color="000000" w:fill="FFFFFF"/>
            <w:noWrap/>
            <w:vAlign w:val="center"/>
            <w:hideMark/>
          </w:tcPr>
          <w:p w14:paraId="77B2DFBE"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103,438</w:t>
            </w:r>
          </w:p>
        </w:tc>
      </w:tr>
      <w:tr w:rsidR="00947549" w:rsidRPr="00F15348" w14:paraId="4636ECEE" w14:textId="77777777" w:rsidTr="00947549">
        <w:trPr>
          <w:trHeight w:hRule="exact" w:val="226"/>
        </w:trPr>
        <w:tc>
          <w:tcPr>
            <w:tcW w:w="2122" w:type="pct"/>
            <w:tcBorders>
              <w:top w:val="nil"/>
              <w:left w:val="nil"/>
              <w:bottom w:val="nil"/>
              <w:right w:val="nil"/>
            </w:tcBorders>
            <w:shd w:val="clear" w:color="auto" w:fill="auto"/>
            <w:noWrap/>
            <w:vAlign w:val="center"/>
            <w:hideMark/>
          </w:tcPr>
          <w:p w14:paraId="0B3959F1" w14:textId="77777777" w:rsidR="00947549" w:rsidRPr="00F15348" w:rsidRDefault="00947549" w:rsidP="00947549">
            <w:pPr>
              <w:spacing w:before="0" w:after="0" w:line="240" w:lineRule="auto"/>
              <w:rPr>
                <w:rFonts w:ascii="Arial" w:hAnsi="Arial" w:cs="Arial"/>
                <w:sz w:val="16"/>
                <w:szCs w:val="16"/>
              </w:rPr>
            </w:pPr>
            <w:r w:rsidRPr="00F15348">
              <w:rPr>
                <w:rFonts w:ascii="Arial" w:hAnsi="Arial" w:cs="Arial"/>
                <w:i/>
                <w:sz w:val="16"/>
                <w:szCs w:val="16"/>
              </w:rPr>
              <w:t>less</w:t>
            </w:r>
            <w:r w:rsidRPr="00F15348">
              <w:rPr>
                <w:rFonts w:ascii="Arial" w:hAnsi="Arial" w:cs="Arial"/>
                <w:sz w:val="16"/>
                <w:szCs w:val="16"/>
              </w:rPr>
              <w:t xml:space="preserve"> Non-GIC penalties collected</w:t>
            </w:r>
          </w:p>
        </w:tc>
        <w:tc>
          <w:tcPr>
            <w:tcW w:w="637" w:type="pct"/>
            <w:tcBorders>
              <w:top w:val="nil"/>
              <w:left w:val="nil"/>
              <w:bottom w:val="nil"/>
              <w:right w:val="nil"/>
            </w:tcBorders>
            <w:shd w:val="clear" w:color="auto" w:fill="auto"/>
            <w:noWrap/>
            <w:vAlign w:val="center"/>
            <w:hideMark/>
          </w:tcPr>
          <w:p w14:paraId="323C35B0"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90</w:t>
            </w:r>
          </w:p>
        </w:tc>
        <w:tc>
          <w:tcPr>
            <w:tcW w:w="637" w:type="pct"/>
            <w:tcBorders>
              <w:top w:val="nil"/>
              <w:left w:val="nil"/>
              <w:bottom w:val="nil"/>
              <w:right w:val="nil"/>
            </w:tcBorders>
            <w:shd w:val="clear" w:color="000000" w:fill="E6F2FF"/>
            <w:noWrap/>
            <w:vAlign w:val="center"/>
            <w:hideMark/>
          </w:tcPr>
          <w:p w14:paraId="4AE4712F"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100</w:t>
            </w:r>
          </w:p>
        </w:tc>
        <w:tc>
          <w:tcPr>
            <w:tcW w:w="534" w:type="pct"/>
            <w:tcBorders>
              <w:top w:val="nil"/>
              <w:left w:val="nil"/>
              <w:bottom w:val="nil"/>
              <w:right w:val="nil"/>
            </w:tcBorders>
            <w:shd w:val="clear" w:color="000000" w:fill="FFFFFF"/>
            <w:noWrap/>
            <w:vAlign w:val="center"/>
            <w:hideMark/>
          </w:tcPr>
          <w:p w14:paraId="38D70685"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110</w:t>
            </w:r>
          </w:p>
        </w:tc>
        <w:tc>
          <w:tcPr>
            <w:tcW w:w="534" w:type="pct"/>
            <w:tcBorders>
              <w:top w:val="nil"/>
              <w:left w:val="nil"/>
              <w:bottom w:val="nil"/>
              <w:right w:val="nil"/>
            </w:tcBorders>
            <w:shd w:val="clear" w:color="000000" w:fill="FFFFFF"/>
            <w:noWrap/>
            <w:vAlign w:val="center"/>
            <w:hideMark/>
          </w:tcPr>
          <w:p w14:paraId="2C21EC1E"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120</w:t>
            </w:r>
          </w:p>
        </w:tc>
        <w:tc>
          <w:tcPr>
            <w:tcW w:w="534" w:type="pct"/>
            <w:tcBorders>
              <w:top w:val="nil"/>
              <w:left w:val="nil"/>
              <w:bottom w:val="nil"/>
              <w:right w:val="nil"/>
            </w:tcBorders>
            <w:shd w:val="clear" w:color="000000" w:fill="FFFFFF"/>
            <w:noWrap/>
            <w:vAlign w:val="center"/>
            <w:hideMark/>
          </w:tcPr>
          <w:p w14:paraId="2C6BFF89"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110</w:t>
            </w:r>
          </w:p>
        </w:tc>
      </w:tr>
      <w:tr w:rsidR="00947549" w:rsidRPr="00F15348" w14:paraId="39863E81" w14:textId="77777777" w:rsidTr="00947549">
        <w:trPr>
          <w:trHeight w:hRule="exact" w:val="226"/>
        </w:trPr>
        <w:tc>
          <w:tcPr>
            <w:tcW w:w="2122" w:type="pct"/>
            <w:tcBorders>
              <w:top w:val="nil"/>
              <w:left w:val="nil"/>
              <w:bottom w:val="nil"/>
              <w:right w:val="nil"/>
            </w:tcBorders>
            <w:shd w:val="clear" w:color="auto" w:fill="auto"/>
            <w:noWrap/>
            <w:vAlign w:val="center"/>
            <w:hideMark/>
          </w:tcPr>
          <w:p w14:paraId="442C4F36" w14:textId="77777777" w:rsidR="00947549" w:rsidRPr="00F15348" w:rsidRDefault="00947549" w:rsidP="00947549">
            <w:pPr>
              <w:spacing w:before="0" w:after="0" w:line="240" w:lineRule="auto"/>
              <w:rPr>
                <w:rFonts w:ascii="Arial" w:hAnsi="Arial" w:cs="Arial"/>
                <w:i/>
                <w:sz w:val="16"/>
                <w:szCs w:val="16"/>
              </w:rPr>
            </w:pPr>
            <w:r w:rsidRPr="00F15348">
              <w:rPr>
                <w:rFonts w:ascii="Arial" w:hAnsi="Arial" w:cs="Arial"/>
                <w:i/>
                <w:sz w:val="16"/>
                <w:szCs w:val="16"/>
              </w:rPr>
              <w:t>less</w:t>
            </w:r>
            <w:r w:rsidRPr="00F15348">
              <w:rPr>
                <w:rFonts w:ascii="Arial" w:hAnsi="Arial" w:cs="Arial"/>
                <w:sz w:val="16"/>
                <w:szCs w:val="16"/>
              </w:rPr>
              <w:t xml:space="preserve"> GST collected by Commonwealth</w:t>
            </w:r>
          </w:p>
        </w:tc>
        <w:tc>
          <w:tcPr>
            <w:tcW w:w="637" w:type="pct"/>
            <w:tcBorders>
              <w:top w:val="nil"/>
              <w:left w:val="nil"/>
              <w:bottom w:val="nil"/>
              <w:right w:val="nil"/>
            </w:tcBorders>
            <w:shd w:val="clear" w:color="auto" w:fill="auto"/>
            <w:noWrap/>
            <w:vAlign w:val="center"/>
            <w:hideMark/>
          </w:tcPr>
          <w:p w14:paraId="72E7A1E8" w14:textId="77777777" w:rsidR="00947549" w:rsidRPr="00F15348" w:rsidRDefault="00947549" w:rsidP="00947549">
            <w:pPr>
              <w:spacing w:before="0" w:after="0" w:line="240" w:lineRule="auto"/>
              <w:rPr>
                <w:rFonts w:ascii="Arial" w:hAnsi="Arial" w:cs="Arial"/>
                <w:i/>
                <w:sz w:val="16"/>
                <w:szCs w:val="16"/>
              </w:rPr>
            </w:pPr>
          </w:p>
        </w:tc>
        <w:tc>
          <w:tcPr>
            <w:tcW w:w="637" w:type="pct"/>
            <w:tcBorders>
              <w:top w:val="nil"/>
              <w:left w:val="nil"/>
              <w:bottom w:val="nil"/>
              <w:right w:val="nil"/>
            </w:tcBorders>
            <w:shd w:val="clear" w:color="000000" w:fill="E6F2FF"/>
            <w:noWrap/>
            <w:vAlign w:val="center"/>
            <w:hideMark/>
          </w:tcPr>
          <w:p w14:paraId="3B3B3293"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 </w:t>
            </w:r>
          </w:p>
        </w:tc>
        <w:tc>
          <w:tcPr>
            <w:tcW w:w="534" w:type="pct"/>
            <w:tcBorders>
              <w:top w:val="nil"/>
              <w:left w:val="nil"/>
              <w:bottom w:val="nil"/>
              <w:right w:val="nil"/>
            </w:tcBorders>
            <w:shd w:val="clear" w:color="000000" w:fill="FFFFFF"/>
            <w:noWrap/>
            <w:vAlign w:val="center"/>
            <w:hideMark/>
          </w:tcPr>
          <w:p w14:paraId="690FFD74"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 </w:t>
            </w:r>
          </w:p>
        </w:tc>
        <w:tc>
          <w:tcPr>
            <w:tcW w:w="534" w:type="pct"/>
            <w:tcBorders>
              <w:top w:val="nil"/>
              <w:left w:val="nil"/>
              <w:bottom w:val="nil"/>
              <w:right w:val="nil"/>
            </w:tcBorders>
            <w:shd w:val="clear" w:color="000000" w:fill="FFFFFF"/>
            <w:noWrap/>
            <w:vAlign w:val="center"/>
            <w:hideMark/>
          </w:tcPr>
          <w:p w14:paraId="257B32FE"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 </w:t>
            </w:r>
          </w:p>
        </w:tc>
        <w:tc>
          <w:tcPr>
            <w:tcW w:w="534" w:type="pct"/>
            <w:tcBorders>
              <w:top w:val="nil"/>
              <w:left w:val="nil"/>
              <w:bottom w:val="nil"/>
              <w:right w:val="nil"/>
            </w:tcBorders>
            <w:shd w:val="clear" w:color="000000" w:fill="FFFFFF"/>
            <w:noWrap/>
            <w:vAlign w:val="center"/>
            <w:hideMark/>
          </w:tcPr>
          <w:p w14:paraId="02600AAD"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 </w:t>
            </w:r>
          </w:p>
        </w:tc>
      </w:tr>
      <w:tr w:rsidR="00947549" w:rsidRPr="00F15348" w14:paraId="5A0EDBC8" w14:textId="77777777" w:rsidTr="00947549">
        <w:trPr>
          <w:trHeight w:hRule="exact" w:val="226"/>
        </w:trPr>
        <w:tc>
          <w:tcPr>
            <w:tcW w:w="2122" w:type="pct"/>
            <w:tcBorders>
              <w:top w:val="nil"/>
              <w:left w:val="nil"/>
              <w:bottom w:val="nil"/>
              <w:right w:val="nil"/>
            </w:tcBorders>
            <w:shd w:val="clear" w:color="auto" w:fill="auto"/>
            <w:noWrap/>
            <w:vAlign w:val="center"/>
            <w:hideMark/>
          </w:tcPr>
          <w:p w14:paraId="6E18A26B" w14:textId="77777777" w:rsidR="00947549" w:rsidRPr="00F15348" w:rsidRDefault="00947549" w:rsidP="00947549">
            <w:pPr>
              <w:spacing w:before="0" w:after="0" w:line="240" w:lineRule="auto"/>
              <w:ind w:left="340"/>
              <w:rPr>
                <w:rFonts w:ascii="Arial" w:hAnsi="Arial" w:cs="Arial"/>
                <w:sz w:val="16"/>
                <w:szCs w:val="16"/>
              </w:rPr>
            </w:pPr>
            <w:r w:rsidRPr="00F15348">
              <w:rPr>
                <w:rFonts w:ascii="Arial" w:hAnsi="Arial" w:cs="Arial"/>
                <w:sz w:val="16"/>
                <w:szCs w:val="16"/>
              </w:rPr>
              <w:t xml:space="preserve"> agencies but not yet remitted to</w:t>
            </w:r>
          </w:p>
        </w:tc>
        <w:tc>
          <w:tcPr>
            <w:tcW w:w="637" w:type="pct"/>
            <w:tcBorders>
              <w:top w:val="nil"/>
              <w:left w:val="nil"/>
              <w:bottom w:val="nil"/>
              <w:right w:val="nil"/>
            </w:tcBorders>
            <w:shd w:val="clear" w:color="auto" w:fill="auto"/>
            <w:noWrap/>
            <w:vAlign w:val="center"/>
            <w:hideMark/>
          </w:tcPr>
          <w:p w14:paraId="421BE59F" w14:textId="77777777" w:rsidR="00947549" w:rsidRPr="00F15348" w:rsidRDefault="00947549" w:rsidP="00947549">
            <w:pPr>
              <w:spacing w:before="0" w:after="0" w:line="240" w:lineRule="auto"/>
              <w:ind w:firstLineChars="200" w:firstLine="320"/>
              <w:rPr>
                <w:rFonts w:ascii="Arial" w:hAnsi="Arial" w:cs="Arial"/>
                <w:sz w:val="16"/>
                <w:szCs w:val="16"/>
              </w:rPr>
            </w:pPr>
          </w:p>
        </w:tc>
        <w:tc>
          <w:tcPr>
            <w:tcW w:w="637" w:type="pct"/>
            <w:tcBorders>
              <w:top w:val="nil"/>
              <w:left w:val="nil"/>
              <w:bottom w:val="nil"/>
              <w:right w:val="nil"/>
            </w:tcBorders>
            <w:shd w:val="clear" w:color="000000" w:fill="E6F2FF"/>
            <w:noWrap/>
            <w:vAlign w:val="center"/>
            <w:hideMark/>
          </w:tcPr>
          <w:p w14:paraId="4344DD41"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 </w:t>
            </w:r>
          </w:p>
        </w:tc>
        <w:tc>
          <w:tcPr>
            <w:tcW w:w="534" w:type="pct"/>
            <w:tcBorders>
              <w:top w:val="nil"/>
              <w:left w:val="nil"/>
              <w:bottom w:val="nil"/>
              <w:right w:val="nil"/>
            </w:tcBorders>
            <w:shd w:val="clear" w:color="000000" w:fill="FFFFFF"/>
            <w:noWrap/>
            <w:vAlign w:val="center"/>
            <w:hideMark/>
          </w:tcPr>
          <w:p w14:paraId="43E8CDF2"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 </w:t>
            </w:r>
          </w:p>
        </w:tc>
        <w:tc>
          <w:tcPr>
            <w:tcW w:w="534" w:type="pct"/>
            <w:tcBorders>
              <w:top w:val="nil"/>
              <w:left w:val="nil"/>
              <w:bottom w:val="nil"/>
              <w:right w:val="nil"/>
            </w:tcBorders>
            <w:shd w:val="clear" w:color="000000" w:fill="FFFFFF"/>
            <w:noWrap/>
            <w:vAlign w:val="center"/>
            <w:hideMark/>
          </w:tcPr>
          <w:p w14:paraId="553193C1"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 </w:t>
            </w:r>
          </w:p>
        </w:tc>
        <w:tc>
          <w:tcPr>
            <w:tcW w:w="534" w:type="pct"/>
            <w:tcBorders>
              <w:top w:val="nil"/>
              <w:left w:val="nil"/>
              <w:bottom w:val="nil"/>
              <w:right w:val="nil"/>
            </w:tcBorders>
            <w:shd w:val="clear" w:color="000000" w:fill="FFFFFF"/>
            <w:noWrap/>
            <w:vAlign w:val="center"/>
            <w:hideMark/>
          </w:tcPr>
          <w:p w14:paraId="69FE40F5"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 </w:t>
            </w:r>
          </w:p>
        </w:tc>
      </w:tr>
      <w:tr w:rsidR="00947549" w:rsidRPr="00F15348" w14:paraId="228A95E6" w14:textId="77777777" w:rsidTr="00947549">
        <w:trPr>
          <w:trHeight w:hRule="exact" w:val="226"/>
        </w:trPr>
        <w:tc>
          <w:tcPr>
            <w:tcW w:w="2122" w:type="pct"/>
            <w:tcBorders>
              <w:top w:val="nil"/>
              <w:left w:val="nil"/>
              <w:bottom w:val="nil"/>
              <w:right w:val="nil"/>
            </w:tcBorders>
            <w:shd w:val="clear" w:color="auto" w:fill="auto"/>
            <w:noWrap/>
            <w:vAlign w:val="center"/>
            <w:hideMark/>
          </w:tcPr>
          <w:p w14:paraId="07126D43" w14:textId="77777777" w:rsidR="00947549" w:rsidRPr="00F15348" w:rsidRDefault="00947549" w:rsidP="00947549">
            <w:pPr>
              <w:spacing w:before="0" w:after="0" w:line="240" w:lineRule="auto"/>
              <w:ind w:left="340"/>
              <w:rPr>
                <w:rFonts w:ascii="Arial" w:hAnsi="Arial" w:cs="Arial"/>
                <w:sz w:val="16"/>
                <w:szCs w:val="16"/>
              </w:rPr>
            </w:pPr>
            <w:r w:rsidRPr="00F15348">
              <w:rPr>
                <w:rFonts w:ascii="Arial" w:hAnsi="Arial" w:cs="Arial"/>
                <w:sz w:val="16"/>
                <w:szCs w:val="16"/>
              </w:rPr>
              <w:t xml:space="preserve"> the ATO</w:t>
            </w:r>
          </w:p>
        </w:tc>
        <w:tc>
          <w:tcPr>
            <w:tcW w:w="637" w:type="pct"/>
            <w:tcBorders>
              <w:top w:val="nil"/>
              <w:left w:val="nil"/>
              <w:bottom w:val="nil"/>
              <w:right w:val="nil"/>
            </w:tcBorders>
            <w:shd w:val="clear" w:color="auto" w:fill="auto"/>
            <w:noWrap/>
            <w:vAlign w:val="center"/>
            <w:hideMark/>
          </w:tcPr>
          <w:p w14:paraId="68F66281"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-2</w:t>
            </w:r>
          </w:p>
        </w:tc>
        <w:tc>
          <w:tcPr>
            <w:tcW w:w="637" w:type="pct"/>
            <w:tcBorders>
              <w:top w:val="nil"/>
              <w:left w:val="nil"/>
              <w:bottom w:val="nil"/>
              <w:right w:val="nil"/>
            </w:tcBorders>
            <w:shd w:val="clear" w:color="000000" w:fill="E6F2FF"/>
            <w:noWrap/>
            <w:vAlign w:val="center"/>
            <w:hideMark/>
          </w:tcPr>
          <w:p w14:paraId="4F2DCD6C"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3</w:t>
            </w:r>
          </w:p>
        </w:tc>
        <w:tc>
          <w:tcPr>
            <w:tcW w:w="534" w:type="pct"/>
            <w:tcBorders>
              <w:top w:val="nil"/>
              <w:left w:val="nil"/>
              <w:bottom w:val="nil"/>
              <w:right w:val="nil"/>
            </w:tcBorders>
            <w:shd w:val="clear" w:color="000000" w:fill="FFFFFF"/>
            <w:noWrap/>
            <w:vAlign w:val="center"/>
            <w:hideMark/>
          </w:tcPr>
          <w:p w14:paraId="2B2E8AEB"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-2</w:t>
            </w:r>
          </w:p>
        </w:tc>
        <w:tc>
          <w:tcPr>
            <w:tcW w:w="534" w:type="pct"/>
            <w:tcBorders>
              <w:top w:val="nil"/>
              <w:left w:val="nil"/>
              <w:bottom w:val="nil"/>
              <w:right w:val="nil"/>
            </w:tcBorders>
            <w:shd w:val="clear" w:color="000000" w:fill="FFFFFF"/>
            <w:noWrap/>
            <w:vAlign w:val="center"/>
            <w:hideMark/>
          </w:tcPr>
          <w:p w14:paraId="33941551"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-4</w:t>
            </w:r>
          </w:p>
        </w:tc>
        <w:tc>
          <w:tcPr>
            <w:tcW w:w="534" w:type="pct"/>
            <w:tcBorders>
              <w:top w:val="nil"/>
              <w:left w:val="nil"/>
              <w:bottom w:val="nil"/>
              <w:right w:val="nil"/>
            </w:tcBorders>
            <w:shd w:val="clear" w:color="000000" w:fill="FFFFFF"/>
            <w:noWrap/>
            <w:vAlign w:val="center"/>
            <w:hideMark/>
          </w:tcPr>
          <w:p w14:paraId="530283E4"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-2</w:t>
            </w:r>
          </w:p>
        </w:tc>
      </w:tr>
      <w:tr w:rsidR="00947549" w:rsidRPr="00F15348" w14:paraId="1A24943A" w14:textId="77777777" w:rsidTr="00947549">
        <w:trPr>
          <w:trHeight w:hRule="exact" w:val="226"/>
        </w:trPr>
        <w:tc>
          <w:tcPr>
            <w:tcW w:w="2122" w:type="pct"/>
            <w:tcBorders>
              <w:top w:val="nil"/>
              <w:left w:val="nil"/>
              <w:bottom w:val="nil"/>
              <w:right w:val="nil"/>
            </w:tcBorders>
            <w:shd w:val="clear" w:color="auto" w:fill="auto"/>
            <w:noWrap/>
            <w:vAlign w:val="center"/>
            <w:hideMark/>
          </w:tcPr>
          <w:p w14:paraId="39A56AC0" w14:textId="77777777" w:rsidR="00947549" w:rsidRPr="00F15348" w:rsidRDefault="00947549" w:rsidP="00947549">
            <w:pPr>
              <w:spacing w:before="0" w:after="0" w:line="240" w:lineRule="auto"/>
              <w:rPr>
                <w:rFonts w:ascii="Arial" w:hAnsi="Arial" w:cs="Arial"/>
                <w:sz w:val="16"/>
                <w:szCs w:val="16"/>
              </w:rPr>
            </w:pPr>
            <w:r w:rsidRPr="00F15348">
              <w:rPr>
                <w:rFonts w:ascii="Arial" w:hAnsi="Arial" w:cs="Arial"/>
                <w:i/>
                <w:sz w:val="16"/>
                <w:szCs w:val="16"/>
              </w:rPr>
              <w:t>plus</w:t>
            </w:r>
            <w:r w:rsidRPr="00F15348">
              <w:rPr>
                <w:rFonts w:ascii="Arial" w:hAnsi="Arial" w:cs="Arial"/>
                <w:sz w:val="16"/>
                <w:szCs w:val="16"/>
              </w:rPr>
              <w:t xml:space="preserve"> GST pool boost</w:t>
            </w:r>
          </w:p>
        </w:tc>
        <w:tc>
          <w:tcPr>
            <w:tcW w:w="637" w:type="pct"/>
            <w:tcBorders>
              <w:top w:val="nil"/>
              <w:left w:val="nil"/>
              <w:bottom w:val="nil"/>
              <w:right w:val="nil"/>
            </w:tcBorders>
            <w:shd w:val="clear" w:color="auto" w:fill="auto"/>
            <w:noWrap/>
            <w:vAlign w:val="center"/>
            <w:hideMark/>
          </w:tcPr>
          <w:p w14:paraId="19FD2B8F"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699</w:t>
            </w:r>
          </w:p>
        </w:tc>
        <w:tc>
          <w:tcPr>
            <w:tcW w:w="637" w:type="pct"/>
            <w:tcBorders>
              <w:top w:val="nil"/>
              <w:left w:val="nil"/>
              <w:bottom w:val="nil"/>
              <w:right w:val="nil"/>
            </w:tcBorders>
            <w:shd w:val="clear" w:color="000000" w:fill="E6F2FF"/>
            <w:noWrap/>
            <w:vAlign w:val="center"/>
            <w:hideMark/>
          </w:tcPr>
          <w:p w14:paraId="207CBE54"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964</w:t>
            </w:r>
          </w:p>
        </w:tc>
        <w:tc>
          <w:tcPr>
            <w:tcW w:w="534" w:type="pct"/>
            <w:tcBorders>
              <w:top w:val="nil"/>
              <w:left w:val="nil"/>
              <w:bottom w:val="nil"/>
              <w:right w:val="nil"/>
            </w:tcBorders>
            <w:shd w:val="clear" w:color="auto" w:fill="auto"/>
            <w:noWrap/>
            <w:vAlign w:val="center"/>
            <w:hideMark/>
          </w:tcPr>
          <w:p w14:paraId="6C9E6AE3"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1,015</w:t>
            </w:r>
          </w:p>
        </w:tc>
        <w:tc>
          <w:tcPr>
            <w:tcW w:w="534" w:type="pct"/>
            <w:tcBorders>
              <w:top w:val="nil"/>
              <w:left w:val="nil"/>
              <w:bottom w:val="nil"/>
              <w:right w:val="nil"/>
            </w:tcBorders>
            <w:shd w:val="clear" w:color="auto" w:fill="auto"/>
            <w:noWrap/>
            <w:vAlign w:val="center"/>
            <w:hideMark/>
          </w:tcPr>
          <w:p w14:paraId="14778685"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1,076</w:t>
            </w:r>
          </w:p>
        </w:tc>
        <w:tc>
          <w:tcPr>
            <w:tcW w:w="534" w:type="pct"/>
            <w:tcBorders>
              <w:top w:val="nil"/>
              <w:left w:val="nil"/>
              <w:bottom w:val="nil"/>
              <w:right w:val="nil"/>
            </w:tcBorders>
            <w:shd w:val="clear" w:color="auto" w:fill="auto"/>
            <w:noWrap/>
            <w:vAlign w:val="center"/>
            <w:hideMark/>
          </w:tcPr>
          <w:p w14:paraId="48706020"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1,138</w:t>
            </w:r>
          </w:p>
        </w:tc>
      </w:tr>
      <w:tr w:rsidR="00947549" w:rsidRPr="00F15348" w14:paraId="51AEEB05" w14:textId="77777777" w:rsidTr="00947549">
        <w:trPr>
          <w:trHeight w:hRule="exact" w:val="226"/>
        </w:trPr>
        <w:tc>
          <w:tcPr>
            <w:tcW w:w="2122" w:type="pct"/>
            <w:tcBorders>
              <w:top w:val="nil"/>
              <w:left w:val="nil"/>
              <w:bottom w:val="nil"/>
              <w:right w:val="nil"/>
            </w:tcBorders>
            <w:shd w:val="clear" w:color="auto" w:fill="auto"/>
            <w:noWrap/>
            <w:vAlign w:val="center"/>
            <w:hideMark/>
          </w:tcPr>
          <w:p w14:paraId="08573E6E" w14:textId="77777777" w:rsidR="00947549" w:rsidRPr="00F15348" w:rsidRDefault="00947549" w:rsidP="00947549">
            <w:pPr>
              <w:spacing w:before="0" w:after="0" w:line="240" w:lineRule="auto"/>
              <w:rPr>
                <w:rFonts w:ascii="Arial" w:hAnsi="Arial" w:cs="Arial"/>
                <w:sz w:val="16"/>
                <w:szCs w:val="16"/>
              </w:rPr>
            </w:pPr>
            <w:r w:rsidRPr="00F15348">
              <w:rPr>
                <w:rFonts w:ascii="Arial" w:hAnsi="Arial" w:cs="Arial"/>
                <w:sz w:val="16"/>
                <w:szCs w:val="16"/>
              </w:rPr>
              <w:t>GST entitlement</w:t>
            </w:r>
          </w:p>
        </w:tc>
        <w:tc>
          <w:tcPr>
            <w:tcW w:w="637" w:type="pct"/>
            <w:tcBorders>
              <w:top w:val="single" w:sz="4" w:space="0" w:color="293F5B"/>
              <w:left w:val="nil"/>
              <w:bottom w:val="nil"/>
              <w:right w:val="nil"/>
            </w:tcBorders>
            <w:shd w:val="clear" w:color="auto" w:fill="auto"/>
            <w:noWrap/>
            <w:vAlign w:val="center"/>
            <w:hideMark/>
          </w:tcPr>
          <w:p w14:paraId="1602AEC5"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86,369</w:t>
            </w:r>
          </w:p>
        </w:tc>
        <w:tc>
          <w:tcPr>
            <w:tcW w:w="637" w:type="pct"/>
            <w:tcBorders>
              <w:top w:val="single" w:sz="4" w:space="0" w:color="293F5B"/>
              <w:left w:val="nil"/>
              <w:bottom w:val="nil"/>
              <w:right w:val="nil"/>
            </w:tcBorders>
            <w:shd w:val="clear" w:color="000000" w:fill="E6F2FF"/>
            <w:noWrap/>
            <w:vAlign w:val="center"/>
            <w:hideMark/>
          </w:tcPr>
          <w:p w14:paraId="7FF786DE"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88,534</w:t>
            </w:r>
          </w:p>
        </w:tc>
        <w:tc>
          <w:tcPr>
            <w:tcW w:w="534" w:type="pct"/>
            <w:tcBorders>
              <w:top w:val="single" w:sz="4" w:space="0" w:color="293F5B"/>
              <w:left w:val="nil"/>
              <w:bottom w:val="nil"/>
              <w:right w:val="nil"/>
            </w:tcBorders>
            <w:shd w:val="clear" w:color="auto" w:fill="auto"/>
            <w:noWrap/>
            <w:vAlign w:val="center"/>
            <w:hideMark/>
          </w:tcPr>
          <w:p w14:paraId="55FDE18B"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93,245</w:t>
            </w:r>
          </w:p>
        </w:tc>
        <w:tc>
          <w:tcPr>
            <w:tcW w:w="534" w:type="pct"/>
            <w:tcBorders>
              <w:top w:val="single" w:sz="4" w:space="0" w:color="293F5B"/>
              <w:left w:val="nil"/>
              <w:bottom w:val="nil"/>
              <w:right w:val="nil"/>
            </w:tcBorders>
            <w:shd w:val="clear" w:color="auto" w:fill="auto"/>
            <w:noWrap/>
            <w:vAlign w:val="center"/>
            <w:hideMark/>
          </w:tcPr>
          <w:p w14:paraId="07C264BF"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98,826</w:t>
            </w:r>
          </w:p>
        </w:tc>
        <w:tc>
          <w:tcPr>
            <w:tcW w:w="534" w:type="pct"/>
            <w:tcBorders>
              <w:top w:val="single" w:sz="4" w:space="0" w:color="293F5B"/>
              <w:left w:val="nil"/>
              <w:bottom w:val="nil"/>
              <w:right w:val="nil"/>
            </w:tcBorders>
            <w:shd w:val="clear" w:color="auto" w:fill="auto"/>
            <w:noWrap/>
            <w:vAlign w:val="center"/>
            <w:hideMark/>
          </w:tcPr>
          <w:p w14:paraId="479F9F4B"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104,468</w:t>
            </w:r>
          </w:p>
        </w:tc>
      </w:tr>
      <w:tr w:rsidR="00947549" w:rsidRPr="00F15348" w14:paraId="576B83D5" w14:textId="77777777" w:rsidTr="00947549">
        <w:trPr>
          <w:trHeight w:hRule="exact" w:val="226"/>
        </w:trPr>
        <w:tc>
          <w:tcPr>
            <w:tcW w:w="2122" w:type="pct"/>
            <w:tcBorders>
              <w:top w:val="nil"/>
              <w:left w:val="nil"/>
              <w:bottom w:val="nil"/>
              <w:right w:val="nil"/>
            </w:tcBorders>
            <w:shd w:val="clear" w:color="auto" w:fill="auto"/>
            <w:noWrap/>
            <w:vAlign w:val="center"/>
            <w:hideMark/>
          </w:tcPr>
          <w:p w14:paraId="3E7AF270" w14:textId="77777777" w:rsidR="00947549" w:rsidRPr="00F15348" w:rsidRDefault="00947549" w:rsidP="00947549">
            <w:pPr>
              <w:spacing w:before="0" w:after="0" w:line="240" w:lineRule="auto"/>
              <w:rPr>
                <w:rFonts w:ascii="Arial" w:hAnsi="Arial" w:cs="Arial"/>
                <w:sz w:val="16"/>
                <w:szCs w:val="16"/>
              </w:rPr>
            </w:pPr>
            <w:r w:rsidRPr="00F15348">
              <w:rPr>
                <w:rFonts w:ascii="Arial" w:hAnsi="Arial" w:cs="Arial"/>
                <w:i/>
                <w:sz w:val="16"/>
                <w:szCs w:val="16"/>
              </w:rPr>
              <w:t>plus</w:t>
            </w:r>
            <w:r w:rsidRPr="00F15348">
              <w:rPr>
                <w:rFonts w:ascii="Arial" w:hAnsi="Arial" w:cs="Arial"/>
                <w:sz w:val="16"/>
                <w:szCs w:val="16"/>
              </w:rPr>
              <w:t xml:space="preserve"> Prior year balancing adjustment</w:t>
            </w:r>
          </w:p>
        </w:tc>
        <w:tc>
          <w:tcPr>
            <w:tcW w:w="637" w:type="pct"/>
            <w:tcBorders>
              <w:top w:val="nil"/>
              <w:left w:val="nil"/>
              <w:bottom w:val="nil"/>
              <w:right w:val="nil"/>
            </w:tcBorders>
            <w:shd w:val="clear" w:color="auto" w:fill="auto"/>
            <w:noWrap/>
            <w:vAlign w:val="center"/>
            <w:hideMark/>
          </w:tcPr>
          <w:p w14:paraId="0DB38171"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-351</w:t>
            </w:r>
          </w:p>
        </w:tc>
        <w:tc>
          <w:tcPr>
            <w:tcW w:w="637" w:type="pct"/>
            <w:tcBorders>
              <w:top w:val="nil"/>
              <w:left w:val="nil"/>
              <w:bottom w:val="nil"/>
              <w:right w:val="nil"/>
            </w:tcBorders>
            <w:shd w:val="clear" w:color="000000" w:fill="E6F2FF"/>
            <w:noWrap/>
            <w:vAlign w:val="center"/>
            <w:hideMark/>
          </w:tcPr>
          <w:p w14:paraId="3A797BDB"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 </w:t>
            </w:r>
          </w:p>
        </w:tc>
        <w:tc>
          <w:tcPr>
            <w:tcW w:w="534" w:type="pct"/>
            <w:tcBorders>
              <w:top w:val="nil"/>
              <w:left w:val="nil"/>
              <w:bottom w:val="nil"/>
              <w:right w:val="nil"/>
            </w:tcBorders>
            <w:shd w:val="clear" w:color="auto" w:fill="auto"/>
            <w:noWrap/>
            <w:vAlign w:val="center"/>
            <w:hideMark/>
          </w:tcPr>
          <w:p w14:paraId="6191560D" w14:textId="77777777" w:rsidR="00947549" w:rsidRPr="00F15348" w:rsidRDefault="00947549" w:rsidP="00947549">
            <w:pPr>
              <w:spacing w:before="0" w:after="0" w:line="240" w:lineRule="auto"/>
              <w:jc w:val="right"/>
              <w:rPr>
                <w:rFonts w:ascii="Arial" w:hAnsi="Arial" w:cs="Arial"/>
                <w:sz w:val="16"/>
                <w:szCs w:val="16"/>
              </w:rPr>
            </w:pPr>
          </w:p>
        </w:tc>
        <w:tc>
          <w:tcPr>
            <w:tcW w:w="534" w:type="pct"/>
            <w:tcBorders>
              <w:top w:val="nil"/>
              <w:left w:val="nil"/>
              <w:bottom w:val="nil"/>
              <w:right w:val="nil"/>
            </w:tcBorders>
            <w:shd w:val="clear" w:color="auto" w:fill="auto"/>
            <w:noWrap/>
            <w:vAlign w:val="center"/>
            <w:hideMark/>
          </w:tcPr>
          <w:p w14:paraId="1F9F143B" w14:textId="77777777" w:rsidR="00947549" w:rsidRPr="00F15348" w:rsidRDefault="00947549" w:rsidP="00947549">
            <w:pPr>
              <w:spacing w:before="0" w:after="0" w:line="240" w:lineRule="auto"/>
              <w:jc w:val="right"/>
              <w:rPr>
                <w:rFonts w:ascii="Times New Roman" w:hAnsi="Times New Roman"/>
                <w:sz w:val="20"/>
              </w:rPr>
            </w:pPr>
          </w:p>
        </w:tc>
        <w:tc>
          <w:tcPr>
            <w:tcW w:w="534" w:type="pct"/>
            <w:tcBorders>
              <w:top w:val="nil"/>
              <w:left w:val="nil"/>
              <w:bottom w:val="nil"/>
              <w:right w:val="nil"/>
            </w:tcBorders>
            <w:shd w:val="clear" w:color="auto" w:fill="auto"/>
            <w:noWrap/>
            <w:vAlign w:val="center"/>
            <w:hideMark/>
          </w:tcPr>
          <w:p w14:paraId="34D7D74D" w14:textId="77777777" w:rsidR="00947549" w:rsidRPr="00F15348" w:rsidRDefault="00947549" w:rsidP="00947549">
            <w:pPr>
              <w:spacing w:before="0" w:after="0" w:line="240" w:lineRule="auto"/>
              <w:jc w:val="right"/>
              <w:rPr>
                <w:rFonts w:ascii="Times New Roman" w:hAnsi="Times New Roman"/>
                <w:sz w:val="20"/>
              </w:rPr>
            </w:pPr>
          </w:p>
        </w:tc>
      </w:tr>
      <w:tr w:rsidR="00947549" w:rsidRPr="00F15348" w14:paraId="0EFE0652" w14:textId="77777777" w:rsidTr="00947549">
        <w:trPr>
          <w:trHeight w:hRule="exact" w:val="226"/>
        </w:trPr>
        <w:tc>
          <w:tcPr>
            <w:tcW w:w="2122" w:type="pct"/>
            <w:tcBorders>
              <w:top w:val="nil"/>
              <w:left w:val="nil"/>
              <w:bottom w:val="single" w:sz="4" w:space="0" w:color="293F5B"/>
              <w:right w:val="nil"/>
            </w:tcBorders>
            <w:shd w:val="clear" w:color="auto" w:fill="auto"/>
            <w:noWrap/>
            <w:vAlign w:val="center"/>
            <w:hideMark/>
          </w:tcPr>
          <w:p w14:paraId="52AD5A92" w14:textId="77777777" w:rsidR="00947549" w:rsidRPr="00F15348" w:rsidRDefault="00947549" w:rsidP="00947549">
            <w:pPr>
              <w:spacing w:before="0" w:after="0" w:line="240" w:lineRule="auto"/>
              <w:rPr>
                <w:rFonts w:ascii="Arial" w:hAnsi="Arial" w:cs="Arial"/>
                <w:sz w:val="16"/>
                <w:szCs w:val="16"/>
              </w:rPr>
            </w:pPr>
            <w:r w:rsidRPr="00F15348">
              <w:rPr>
                <w:rFonts w:ascii="Arial" w:hAnsi="Arial" w:cs="Arial"/>
                <w:sz w:val="16"/>
                <w:szCs w:val="16"/>
              </w:rPr>
              <w:t>GST payments to the States(a)</w:t>
            </w:r>
          </w:p>
        </w:tc>
        <w:tc>
          <w:tcPr>
            <w:tcW w:w="637" w:type="pct"/>
            <w:tcBorders>
              <w:top w:val="single" w:sz="4" w:space="0" w:color="293F5B"/>
              <w:left w:val="nil"/>
              <w:bottom w:val="single" w:sz="4" w:space="0" w:color="293F5B"/>
              <w:right w:val="nil"/>
            </w:tcBorders>
            <w:shd w:val="clear" w:color="auto" w:fill="auto"/>
            <w:noWrap/>
            <w:vAlign w:val="center"/>
            <w:hideMark/>
          </w:tcPr>
          <w:p w14:paraId="5F7864DC"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86,018</w:t>
            </w:r>
          </w:p>
        </w:tc>
        <w:tc>
          <w:tcPr>
            <w:tcW w:w="637" w:type="pct"/>
            <w:tcBorders>
              <w:top w:val="single" w:sz="4" w:space="0" w:color="293F5B"/>
              <w:left w:val="nil"/>
              <w:bottom w:val="single" w:sz="4" w:space="0" w:color="293F5B"/>
              <w:right w:val="nil"/>
            </w:tcBorders>
            <w:shd w:val="clear" w:color="000000" w:fill="E6F2FF"/>
            <w:noWrap/>
            <w:vAlign w:val="center"/>
            <w:hideMark/>
          </w:tcPr>
          <w:p w14:paraId="28C23340"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88,534</w:t>
            </w:r>
          </w:p>
        </w:tc>
        <w:tc>
          <w:tcPr>
            <w:tcW w:w="534" w:type="pct"/>
            <w:tcBorders>
              <w:top w:val="single" w:sz="4" w:space="0" w:color="293F5B"/>
              <w:left w:val="nil"/>
              <w:bottom w:val="single" w:sz="4" w:space="0" w:color="293F5B"/>
              <w:right w:val="nil"/>
            </w:tcBorders>
            <w:shd w:val="clear" w:color="auto" w:fill="auto"/>
            <w:noWrap/>
            <w:vAlign w:val="center"/>
            <w:hideMark/>
          </w:tcPr>
          <w:p w14:paraId="3D34E43C"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93,245</w:t>
            </w:r>
          </w:p>
        </w:tc>
        <w:tc>
          <w:tcPr>
            <w:tcW w:w="534" w:type="pct"/>
            <w:tcBorders>
              <w:top w:val="single" w:sz="4" w:space="0" w:color="293F5B"/>
              <w:left w:val="nil"/>
              <w:bottom w:val="single" w:sz="4" w:space="0" w:color="293F5B"/>
              <w:right w:val="nil"/>
            </w:tcBorders>
            <w:shd w:val="clear" w:color="auto" w:fill="auto"/>
            <w:noWrap/>
            <w:vAlign w:val="center"/>
            <w:hideMark/>
          </w:tcPr>
          <w:p w14:paraId="31249E4D"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98,826</w:t>
            </w:r>
          </w:p>
        </w:tc>
        <w:tc>
          <w:tcPr>
            <w:tcW w:w="534" w:type="pct"/>
            <w:tcBorders>
              <w:top w:val="single" w:sz="4" w:space="0" w:color="293F5B"/>
              <w:left w:val="nil"/>
              <w:bottom w:val="single" w:sz="4" w:space="0" w:color="293F5B"/>
              <w:right w:val="nil"/>
            </w:tcBorders>
            <w:shd w:val="clear" w:color="auto" w:fill="auto"/>
            <w:noWrap/>
            <w:vAlign w:val="center"/>
            <w:hideMark/>
          </w:tcPr>
          <w:p w14:paraId="64D9B4E8" w14:textId="77777777" w:rsidR="00947549" w:rsidRPr="00F15348" w:rsidRDefault="00947549" w:rsidP="00947549">
            <w:pPr>
              <w:spacing w:before="0" w:after="0" w:line="240" w:lineRule="auto"/>
              <w:jc w:val="right"/>
              <w:rPr>
                <w:rFonts w:ascii="Arial" w:hAnsi="Arial" w:cs="Arial"/>
                <w:sz w:val="16"/>
                <w:szCs w:val="16"/>
              </w:rPr>
            </w:pPr>
            <w:r w:rsidRPr="00F15348">
              <w:rPr>
                <w:rFonts w:ascii="Arial" w:hAnsi="Arial" w:cs="Arial"/>
                <w:sz w:val="16"/>
                <w:szCs w:val="16"/>
              </w:rPr>
              <w:t>104,468</w:t>
            </w:r>
          </w:p>
        </w:tc>
      </w:tr>
    </w:tbl>
    <w:p w14:paraId="03DDA3C5" w14:textId="004317F0" w:rsidR="00D555FF" w:rsidRPr="00F15348" w:rsidRDefault="00D555FF" w:rsidP="00495789">
      <w:pPr>
        <w:pStyle w:val="ChartandTableFootnoteAlpha"/>
        <w:numPr>
          <w:ilvl w:val="0"/>
          <w:numId w:val="30"/>
        </w:numPr>
        <w:rPr>
          <w:rFonts w:eastAsiaTheme="minorHAnsi"/>
          <w:color w:val="auto"/>
        </w:rPr>
      </w:pPr>
      <w:r w:rsidRPr="00F15348">
        <w:rPr>
          <w:rFonts w:eastAsiaTheme="minorHAnsi"/>
          <w:color w:val="auto"/>
        </w:rPr>
        <w:t>These GST payment estimates do not take into account the ATO</w:t>
      </w:r>
      <w:r w:rsidR="005A0AED" w:rsidRPr="00F15348">
        <w:rPr>
          <w:rFonts w:eastAsiaTheme="minorHAnsi"/>
          <w:color w:val="auto"/>
        </w:rPr>
        <w:t>’</w:t>
      </w:r>
      <w:r w:rsidRPr="00F15348">
        <w:rPr>
          <w:rFonts w:eastAsiaTheme="minorHAnsi"/>
          <w:color w:val="auto"/>
        </w:rPr>
        <w:t>s GST administration costs, which will be deducted from GST payments to the states throughout the year on a monthly basis. They also do not take into account the HFE transition payments.</w:t>
      </w:r>
    </w:p>
    <w:p w14:paraId="68E07D3A" w14:textId="77777777" w:rsidR="00D555FF" w:rsidRPr="00F15348" w:rsidRDefault="00D555FF" w:rsidP="00D555FF">
      <w:pPr>
        <w:pStyle w:val="ChartLine"/>
      </w:pPr>
    </w:p>
    <w:p w14:paraId="073110E9" w14:textId="7D200266" w:rsidR="00D555FF" w:rsidRPr="00F15348" w:rsidRDefault="00D555FF" w:rsidP="00D555FF">
      <w:r w:rsidRPr="00F15348">
        <w:t>Table</w:t>
      </w:r>
      <w:r w:rsidR="00462C9B" w:rsidRPr="00F15348">
        <w:t> </w:t>
      </w:r>
      <w:r w:rsidRPr="00F15348">
        <w:t xml:space="preserve">3.3 reconciles the GST entitlement estimates since the </w:t>
      </w:r>
      <w:r w:rsidR="00D072E2" w:rsidRPr="00F15348">
        <w:t>2023–24 MYEFO</w:t>
      </w:r>
      <w:r w:rsidRPr="00F15348">
        <w:t>. The reconciliation accounts for policy decisions and parameter and other variations. The GST entitlement in 202</w:t>
      </w:r>
      <w:r w:rsidR="00B808D0" w:rsidRPr="00F15348">
        <w:t>4</w:t>
      </w:r>
      <w:r w:rsidRPr="00F15348">
        <w:t>–2</w:t>
      </w:r>
      <w:r w:rsidR="00B808D0" w:rsidRPr="00F15348">
        <w:t>5</w:t>
      </w:r>
      <w:r w:rsidRPr="00F15348">
        <w:t xml:space="preserve"> has been revised </w:t>
      </w:r>
      <w:r w:rsidR="00B808D0" w:rsidRPr="00F15348">
        <w:t>down</w:t>
      </w:r>
      <w:r w:rsidRPr="00F15348">
        <w:t xml:space="preserve"> by $</w:t>
      </w:r>
      <w:r w:rsidR="006015DB" w:rsidRPr="00F15348">
        <w:t>92</w:t>
      </w:r>
      <w:r w:rsidR="00550B79" w:rsidRPr="00F15348">
        <w:t>7.5</w:t>
      </w:r>
      <w:r w:rsidR="00096E9C" w:rsidRPr="00F15348">
        <w:t> </w:t>
      </w:r>
      <w:r w:rsidRPr="00F15348">
        <w:t>million since the </w:t>
      </w:r>
      <w:r w:rsidR="00B808D0" w:rsidRPr="00F15348">
        <w:t>2023–24 MYEFO</w:t>
      </w:r>
      <w:r w:rsidRPr="00F15348">
        <w:t xml:space="preserve">. </w:t>
      </w:r>
    </w:p>
    <w:p w14:paraId="7E86A9AF" w14:textId="0F0578AA" w:rsidR="00A31BD9" w:rsidRPr="00F15348" w:rsidRDefault="00D555FF" w:rsidP="00A31BD9">
      <w:pPr>
        <w:pStyle w:val="TableHeading"/>
        <w:rPr>
          <w:rFonts w:asciiTheme="minorHAnsi" w:eastAsiaTheme="minorHAnsi" w:hAnsiTheme="minorHAnsi" w:cstheme="minorBidi"/>
          <w:sz w:val="22"/>
          <w:szCs w:val="22"/>
          <w:lang w:eastAsia="en-US"/>
        </w:rPr>
      </w:pPr>
      <w:bookmarkStart w:id="6" w:name="_Toc4764866"/>
      <w:r w:rsidRPr="00F15348">
        <w:rPr>
          <w:rFonts w:cs="Arial"/>
        </w:rPr>
        <w:t xml:space="preserve">Table 3.3: Reconciliation of the GST entitlement estimates since the </w:t>
      </w:r>
      <w:bookmarkStart w:id="7" w:name="_1727767054"/>
      <w:bookmarkStart w:id="8" w:name="_1727702405"/>
      <w:bookmarkStart w:id="9" w:name="_1727263504"/>
      <w:bookmarkStart w:id="10" w:name="_1727525910"/>
      <w:bookmarkStart w:id="11" w:name="_1727650477"/>
      <w:bookmarkEnd w:id="6"/>
      <w:bookmarkEnd w:id="7"/>
      <w:bookmarkEnd w:id="8"/>
      <w:bookmarkEnd w:id="9"/>
      <w:bookmarkEnd w:id="10"/>
      <w:bookmarkEnd w:id="11"/>
      <w:r w:rsidR="00FB25A5" w:rsidRPr="00F15348">
        <w:rPr>
          <w:rFonts w:cs="Arial"/>
        </w:rPr>
        <w:br/>
      </w:r>
      <w:r w:rsidR="00B808D0" w:rsidRPr="00F15348">
        <w:t>2023–24 MYEFO</w:t>
      </w:r>
    </w:p>
    <w:tbl>
      <w:tblPr>
        <w:tblW w:w="5000" w:type="pct"/>
        <w:tblCellMar>
          <w:left w:w="0" w:type="dxa"/>
          <w:right w:w="28" w:type="dxa"/>
        </w:tblCellMar>
        <w:tblLook w:val="04A0" w:firstRow="1" w:lastRow="0" w:firstColumn="1" w:lastColumn="0" w:noHBand="0" w:noVBand="1"/>
      </w:tblPr>
      <w:tblGrid>
        <w:gridCol w:w="4830"/>
        <w:gridCol w:w="720"/>
        <w:gridCol w:w="720"/>
        <w:gridCol w:w="720"/>
        <w:gridCol w:w="720"/>
      </w:tblGrid>
      <w:tr w:rsidR="00A31BD9" w:rsidRPr="00F15348" w14:paraId="0CA97DFE" w14:textId="77777777" w:rsidTr="00A31BD9">
        <w:trPr>
          <w:divId w:val="1474328469"/>
          <w:trHeight w:hRule="exact" w:val="225"/>
        </w:trPr>
        <w:tc>
          <w:tcPr>
            <w:tcW w:w="3132" w:type="pct"/>
            <w:tcBorders>
              <w:top w:val="single" w:sz="4" w:space="0" w:color="auto"/>
              <w:left w:val="nil"/>
              <w:bottom w:val="nil"/>
              <w:right w:val="nil"/>
            </w:tcBorders>
            <w:shd w:val="clear" w:color="auto" w:fill="auto"/>
            <w:noWrap/>
            <w:vAlign w:val="center"/>
            <w:hideMark/>
          </w:tcPr>
          <w:p w14:paraId="479DB7E1" w14:textId="33487A40" w:rsidR="00A31BD9" w:rsidRPr="00F15348" w:rsidRDefault="00A31BD9" w:rsidP="00A31BD9">
            <w:pPr>
              <w:spacing w:before="0" w:after="0" w:line="240" w:lineRule="auto"/>
              <w:rPr>
                <w:rFonts w:ascii="Arial" w:hAnsi="Arial" w:cs="Arial"/>
                <w:sz w:val="16"/>
                <w:szCs w:val="16"/>
              </w:rPr>
            </w:pPr>
            <w:r w:rsidRPr="00F15348">
              <w:rPr>
                <w:rFonts w:ascii="Arial" w:hAnsi="Arial" w:cs="Arial"/>
                <w:sz w:val="16"/>
                <w:szCs w:val="16"/>
              </w:rPr>
              <w:t>$million</w:t>
            </w:r>
          </w:p>
        </w:tc>
        <w:tc>
          <w:tcPr>
            <w:tcW w:w="467" w:type="pct"/>
            <w:tcBorders>
              <w:top w:val="single" w:sz="4" w:space="0" w:color="auto"/>
              <w:left w:val="nil"/>
              <w:bottom w:val="nil"/>
              <w:right w:val="nil"/>
            </w:tcBorders>
            <w:shd w:val="clear" w:color="auto" w:fill="auto"/>
            <w:noWrap/>
            <w:vAlign w:val="center"/>
            <w:hideMark/>
          </w:tcPr>
          <w:p w14:paraId="08A41FC3" w14:textId="77777777" w:rsidR="00A31BD9" w:rsidRPr="00F15348" w:rsidRDefault="00A31BD9" w:rsidP="00A31BD9">
            <w:pPr>
              <w:spacing w:before="0" w:after="0" w:line="240" w:lineRule="auto"/>
              <w:jc w:val="right"/>
              <w:rPr>
                <w:rFonts w:ascii="Arial" w:hAnsi="Arial" w:cs="Arial"/>
                <w:sz w:val="16"/>
                <w:szCs w:val="16"/>
              </w:rPr>
            </w:pPr>
            <w:r w:rsidRPr="00F15348">
              <w:rPr>
                <w:rFonts w:ascii="Arial" w:hAnsi="Arial" w:cs="Arial"/>
                <w:sz w:val="16"/>
                <w:szCs w:val="16"/>
              </w:rPr>
              <w:t>2023-24</w:t>
            </w:r>
          </w:p>
        </w:tc>
        <w:tc>
          <w:tcPr>
            <w:tcW w:w="467" w:type="pct"/>
            <w:tcBorders>
              <w:top w:val="single" w:sz="4" w:space="0" w:color="auto"/>
              <w:left w:val="nil"/>
              <w:bottom w:val="nil"/>
              <w:right w:val="nil"/>
            </w:tcBorders>
            <w:shd w:val="clear" w:color="000000" w:fill="E6F2FF"/>
            <w:noWrap/>
            <w:vAlign w:val="center"/>
            <w:hideMark/>
          </w:tcPr>
          <w:p w14:paraId="1B633A55" w14:textId="77777777" w:rsidR="00A31BD9" w:rsidRPr="00F15348" w:rsidRDefault="00A31BD9" w:rsidP="00A31BD9">
            <w:pPr>
              <w:spacing w:before="0" w:after="0" w:line="240" w:lineRule="auto"/>
              <w:jc w:val="right"/>
              <w:rPr>
                <w:rFonts w:ascii="Arial" w:hAnsi="Arial" w:cs="Arial"/>
                <w:sz w:val="16"/>
                <w:szCs w:val="16"/>
              </w:rPr>
            </w:pPr>
            <w:r w:rsidRPr="00F15348">
              <w:rPr>
                <w:rFonts w:ascii="Arial" w:hAnsi="Arial" w:cs="Arial"/>
                <w:sz w:val="16"/>
                <w:szCs w:val="16"/>
              </w:rPr>
              <w:t>2024-25</w:t>
            </w:r>
          </w:p>
        </w:tc>
        <w:tc>
          <w:tcPr>
            <w:tcW w:w="467" w:type="pct"/>
            <w:tcBorders>
              <w:top w:val="single" w:sz="4" w:space="0" w:color="auto"/>
              <w:left w:val="nil"/>
              <w:bottom w:val="nil"/>
              <w:right w:val="nil"/>
            </w:tcBorders>
            <w:shd w:val="clear" w:color="auto" w:fill="auto"/>
            <w:noWrap/>
            <w:vAlign w:val="center"/>
            <w:hideMark/>
          </w:tcPr>
          <w:p w14:paraId="48C19516" w14:textId="77777777" w:rsidR="00A31BD9" w:rsidRPr="00F15348" w:rsidRDefault="00A31BD9" w:rsidP="00A31BD9">
            <w:pPr>
              <w:spacing w:before="0" w:after="0" w:line="240" w:lineRule="auto"/>
              <w:jc w:val="right"/>
              <w:rPr>
                <w:rFonts w:ascii="Arial" w:hAnsi="Arial" w:cs="Arial"/>
                <w:sz w:val="16"/>
                <w:szCs w:val="16"/>
              </w:rPr>
            </w:pPr>
            <w:r w:rsidRPr="00F15348">
              <w:rPr>
                <w:rFonts w:ascii="Arial" w:hAnsi="Arial" w:cs="Arial"/>
                <w:sz w:val="16"/>
                <w:szCs w:val="16"/>
              </w:rPr>
              <w:t>2025-26</w:t>
            </w:r>
          </w:p>
        </w:tc>
        <w:tc>
          <w:tcPr>
            <w:tcW w:w="467" w:type="pct"/>
            <w:tcBorders>
              <w:top w:val="single" w:sz="4" w:space="0" w:color="auto"/>
              <w:left w:val="nil"/>
              <w:bottom w:val="nil"/>
              <w:right w:val="nil"/>
            </w:tcBorders>
            <w:shd w:val="clear" w:color="auto" w:fill="auto"/>
            <w:noWrap/>
            <w:vAlign w:val="center"/>
            <w:hideMark/>
          </w:tcPr>
          <w:p w14:paraId="45814E66" w14:textId="77777777" w:rsidR="00A31BD9" w:rsidRPr="00F15348" w:rsidRDefault="00A31BD9" w:rsidP="00A31BD9">
            <w:pPr>
              <w:spacing w:before="0" w:after="0" w:line="240" w:lineRule="auto"/>
              <w:jc w:val="right"/>
              <w:rPr>
                <w:rFonts w:ascii="Arial" w:hAnsi="Arial" w:cs="Arial"/>
                <w:sz w:val="16"/>
                <w:szCs w:val="16"/>
              </w:rPr>
            </w:pPr>
            <w:r w:rsidRPr="00F15348">
              <w:rPr>
                <w:rFonts w:ascii="Arial" w:hAnsi="Arial" w:cs="Arial"/>
                <w:sz w:val="16"/>
                <w:szCs w:val="16"/>
              </w:rPr>
              <w:t>2026-27</w:t>
            </w:r>
          </w:p>
        </w:tc>
      </w:tr>
      <w:tr w:rsidR="00A31BD9" w:rsidRPr="00F15348" w14:paraId="1715F144" w14:textId="77777777" w:rsidTr="00A31BD9">
        <w:trPr>
          <w:divId w:val="1474328469"/>
          <w:trHeight w:hRule="exact" w:val="225"/>
        </w:trPr>
        <w:tc>
          <w:tcPr>
            <w:tcW w:w="3132" w:type="pct"/>
            <w:tcBorders>
              <w:top w:val="nil"/>
              <w:left w:val="nil"/>
              <w:bottom w:val="nil"/>
              <w:right w:val="nil"/>
            </w:tcBorders>
            <w:shd w:val="clear" w:color="auto" w:fill="auto"/>
            <w:noWrap/>
            <w:vAlign w:val="center"/>
            <w:hideMark/>
          </w:tcPr>
          <w:p w14:paraId="5D533211" w14:textId="77777777" w:rsidR="00A31BD9" w:rsidRPr="00F15348" w:rsidRDefault="00A31BD9" w:rsidP="00A31BD9">
            <w:pPr>
              <w:spacing w:before="0" w:after="0" w:line="240" w:lineRule="auto"/>
              <w:rPr>
                <w:rFonts w:ascii="Arial" w:hAnsi="Arial" w:cs="Arial"/>
                <w:sz w:val="16"/>
                <w:szCs w:val="16"/>
              </w:rPr>
            </w:pPr>
            <w:r w:rsidRPr="00F15348">
              <w:rPr>
                <w:rFonts w:ascii="Arial" w:hAnsi="Arial" w:cs="Arial"/>
                <w:sz w:val="16"/>
                <w:szCs w:val="16"/>
              </w:rPr>
              <w:t>GST entitlement at 2023-24 MYEFO</w:t>
            </w:r>
          </w:p>
        </w:tc>
        <w:tc>
          <w:tcPr>
            <w:tcW w:w="467" w:type="pct"/>
            <w:tcBorders>
              <w:top w:val="single" w:sz="4" w:space="0" w:color="auto"/>
              <w:left w:val="nil"/>
              <w:bottom w:val="single" w:sz="4" w:space="0" w:color="auto"/>
              <w:right w:val="nil"/>
            </w:tcBorders>
            <w:shd w:val="clear" w:color="auto" w:fill="auto"/>
            <w:noWrap/>
            <w:vAlign w:val="center"/>
            <w:hideMark/>
          </w:tcPr>
          <w:p w14:paraId="5BB4AA3D" w14:textId="77777777" w:rsidR="00A31BD9" w:rsidRPr="00F15348" w:rsidRDefault="00A31BD9" w:rsidP="00A31BD9">
            <w:pPr>
              <w:spacing w:before="0" w:after="0" w:line="240" w:lineRule="auto"/>
              <w:jc w:val="right"/>
              <w:rPr>
                <w:rFonts w:ascii="Arial" w:hAnsi="Arial" w:cs="Arial"/>
                <w:sz w:val="16"/>
                <w:szCs w:val="16"/>
              </w:rPr>
            </w:pPr>
            <w:r w:rsidRPr="00F15348">
              <w:rPr>
                <w:rFonts w:ascii="Arial" w:hAnsi="Arial" w:cs="Arial"/>
                <w:sz w:val="16"/>
                <w:szCs w:val="16"/>
              </w:rPr>
              <w:t>84,675</w:t>
            </w:r>
          </w:p>
        </w:tc>
        <w:tc>
          <w:tcPr>
            <w:tcW w:w="467" w:type="pct"/>
            <w:tcBorders>
              <w:top w:val="single" w:sz="4" w:space="0" w:color="auto"/>
              <w:left w:val="nil"/>
              <w:bottom w:val="single" w:sz="4" w:space="0" w:color="auto"/>
              <w:right w:val="nil"/>
            </w:tcBorders>
            <w:shd w:val="clear" w:color="000000" w:fill="E6F2FF"/>
            <w:noWrap/>
            <w:vAlign w:val="center"/>
            <w:hideMark/>
          </w:tcPr>
          <w:p w14:paraId="3CF3CDDD" w14:textId="77777777" w:rsidR="00A31BD9" w:rsidRPr="00F15348" w:rsidRDefault="00A31BD9" w:rsidP="00A31BD9">
            <w:pPr>
              <w:spacing w:before="0" w:after="0" w:line="240" w:lineRule="auto"/>
              <w:jc w:val="right"/>
              <w:rPr>
                <w:rFonts w:ascii="Arial" w:hAnsi="Arial" w:cs="Arial"/>
                <w:sz w:val="16"/>
                <w:szCs w:val="16"/>
              </w:rPr>
            </w:pPr>
            <w:r w:rsidRPr="00F15348">
              <w:rPr>
                <w:rFonts w:ascii="Arial" w:hAnsi="Arial" w:cs="Arial"/>
                <w:sz w:val="16"/>
                <w:szCs w:val="16"/>
              </w:rPr>
              <w:t>89,462</w:t>
            </w:r>
          </w:p>
        </w:tc>
        <w:tc>
          <w:tcPr>
            <w:tcW w:w="467" w:type="pct"/>
            <w:tcBorders>
              <w:top w:val="single" w:sz="4" w:space="0" w:color="auto"/>
              <w:left w:val="nil"/>
              <w:bottom w:val="single" w:sz="4" w:space="0" w:color="auto"/>
              <w:right w:val="nil"/>
            </w:tcBorders>
            <w:shd w:val="clear" w:color="auto" w:fill="auto"/>
            <w:noWrap/>
            <w:vAlign w:val="center"/>
            <w:hideMark/>
          </w:tcPr>
          <w:p w14:paraId="702D59BE" w14:textId="77777777" w:rsidR="00A31BD9" w:rsidRPr="00F15348" w:rsidRDefault="00A31BD9" w:rsidP="00A31BD9">
            <w:pPr>
              <w:spacing w:before="0" w:after="0" w:line="240" w:lineRule="auto"/>
              <w:jc w:val="right"/>
              <w:rPr>
                <w:rFonts w:ascii="Arial" w:hAnsi="Arial" w:cs="Arial"/>
                <w:sz w:val="16"/>
                <w:szCs w:val="16"/>
              </w:rPr>
            </w:pPr>
            <w:r w:rsidRPr="00F15348">
              <w:rPr>
                <w:rFonts w:ascii="Arial" w:hAnsi="Arial" w:cs="Arial"/>
                <w:sz w:val="16"/>
                <w:szCs w:val="16"/>
              </w:rPr>
              <w:t>95,325</w:t>
            </w:r>
          </w:p>
        </w:tc>
        <w:tc>
          <w:tcPr>
            <w:tcW w:w="467" w:type="pct"/>
            <w:tcBorders>
              <w:top w:val="single" w:sz="4" w:space="0" w:color="auto"/>
              <w:left w:val="nil"/>
              <w:bottom w:val="single" w:sz="4" w:space="0" w:color="auto"/>
              <w:right w:val="nil"/>
            </w:tcBorders>
            <w:shd w:val="clear" w:color="auto" w:fill="auto"/>
            <w:noWrap/>
            <w:vAlign w:val="center"/>
            <w:hideMark/>
          </w:tcPr>
          <w:p w14:paraId="16D8D2A6" w14:textId="77777777" w:rsidR="00A31BD9" w:rsidRPr="00F15348" w:rsidRDefault="00A31BD9" w:rsidP="00A31BD9">
            <w:pPr>
              <w:spacing w:before="0" w:after="0" w:line="240" w:lineRule="auto"/>
              <w:jc w:val="right"/>
              <w:rPr>
                <w:rFonts w:ascii="Arial" w:hAnsi="Arial" w:cs="Arial"/>
                <w:sz w:val="16"/>
                <w:szCs w:val="16"/>
              </w:rPr>
            </w:pPr>
            <w:r w:rsidRPr="00F15348">
              <w:rPr>
                <w:rFonts w:ascii="Arial" w:hAnsi="Arial" w:cs="Arial"/>
                <w:sz w:val="16"/>
                <w:szCs w:val="16"/>
              </w:rPr>
              <w:t>101,239</w:t>
            </w:r>
          </w:p>
        </w:tc>
      </w:tr>
      <w:tr w:rsidR="00A31BD9" w:rsidRPr="00F15348" w14:paraId="4B2358EF" w14:textId="77777777" w:rsidTr="00A31BD9">
        <w:trPr>
          <w:divId w:val="1474328469"/>
          <w:trHeight w:hRule="exact" w:val="225"/>
        </w:trPr>
        <w:tc>
          <w:tcPr>
            <w:tcW w:w="3132" w:type="pct"/>
            <w:tcBorders>
              <w:top w:val="nil"/>
              <w:left w:val="nil"/>
              <w:bottom w:val="nil"/>
              <w:right w:val="nil"/>
            </w:tcBorders>
            <w:shd w:val="clear" w:color="auto" w:fill="auto"/>
            <w:noWrap/>
            <w:vAlign w:val="center"/>
            <w:hideMark/>
          </w:tcPr>
          <w:p w14:paraId="3FD571B4" w14:textId="77777777" w:rsidR="00A31BD9" w:rsidRPr="00F15348" w:rsidRDefault="00A31BD9" w:rsidP="00A31BD9">
            <w:pPr>
              <w:spacing w:before="0" w:after="0" w:line="240" w:lineRule="auto"/>
              <w:rPr>
                <w:rFonts w:ascii="Arial" w:hAnsi="Arial" w:cs="Arial"/>
                <w:sz w:val="16"/>
                <w:szCs w:val="16"/>
              </w:rPr>
            </w:pPr>
            <w:r w:rsidRPr="00F15348">
              <w:rPr>
                <w:rFonts w:ascii="Arial" w:hAnsi="Arial" w:cs="Arial"/>
                <w:sz w:val="16"/>
                <w:szCs w:val="16"/>
              </w:rPr>
              <w:t>Changes between 2023-24 MYEFO and 2024-25 Budget</w:t>
            </w:r>
          </w:p>
        </w:tc>
        <w:tc>
          <w:tcPr>
            <w:tcW w:w="467" w:type="pct"/>
            <w:tcBorders>
              <w:top w:val="nil"/>
              <w:left w:val="nil"/>
              <w:bottom w:val="nil"/>
              <w:right w:val="nil"/>
            </w:tcBorders>
            <w:shd w:val="clear" w:color="auto" w:fill="auto"/>
            <w:noWrap/>
            <w:vAlign w:val="center"/>
            <w:hideMark/>
          </w:tcPr>
          <w:p w14:paraId="7A77E279" w14:textId="77777777" w:rsidR="00A31BD9" w:rsidRPr="00F15348" w:rsidRDefault="00A31BD9" w:rsidP="00A31BD9">
            <w:pPr>
              <w:spacing w:before="0" w:after="0" w:line="240" w:lineRule="auto"/>
              <w:rPr>
                <w:rFonts w:ascii="Arial" w:hAnsi="Arial" w:cs="Arial"/>
                <w:sz w:val="16"/>
                <w:szCs w:val="16"/>
              </w:rPr>
            </w:pPr>
            <w:r w:rsidRPr="00F15348">
              <w:rPr>
                <w:rFonts w:ascii="Arial" w:hAnsi="Arial" w:cs="Arial"/>
                <w:sz w:val="16"/>
                <w:szCs w:val="16"/>
              </w:rPr>
              <w:t> </w:t>
            </w:r>
          </w:p>
        </w:tc>
        <w:tc>
          <w:tcPr>
            <w:tcW w:w="467" w:type="pct"/>
            <w:tcBorders>
              <w:top w:val="nil"/>
              <w:left w:val="nil"/>
              <w:bottom w:val="nil"/>
              <w:right w:val="nil"/>
            </w:tcBorders>
            <w:shd w:val="clear" w:color="000000" w:fill="E6F2FF"/>
            <w:noWrap/>
            <w:vAlign w:val="center"/>
            <w:hideMark/>
          </w:tcPr>
          <w:p w14:paraId="64384539" w14:textId="77777777" w:rsidR="00A31BD9" w:rsidRPr="00F15348" w:rsidRDefault="00A31BD9" w:rsidP="00A31BD9">
            <w:pPr>
              <w:spacing w:before="0" w:after="0" w:line="240" w:lineRule="auto"/>
              <w:jc w:val="right"/>
              <w:rPr>
                <w:rFonts w:ascii="Arial" w:hAnsi="Arial" w:cs="Arial"/>
                <w:sz w:val="16"/>
                <w:szCs w:val="16"/>
              </w:rPr>
            </w:pPr>
            <w:r w:rsidRPr="00F15348">
              <w:rPr>
                <w:rFonts w:ascii="Arial" w:hAnsi="Arial" w:cs="Arial"/>
                <w:sz w:val="16"/>
                <w:szCs w:val="16"/>
              </w:rPr>
              <w:t> </w:t>
            </w:r>
          </w:p>
        </w:tc>
        <w:tc>
          <w:tcPr>
            <w:tcW w:w="467" w:type="pct"/>
            <w:tcBorders>
              <w:top w:val="nil"/>
              <w:left w:val="nil"/>
              <w:bottom w:val="nil"/>
              <w:right w:val="nil"/>
            </w:tcBorders>
            <w:shd w:val="clear" w:color="auto" w:fill="auto"/>
            <w:noWrap/>
            <w:vAlign w:val="center"/>
            <w:hideMark/>
          </w:tcPr>
          <w:p w14:paraId="5DC492EB" w14:textId="77777777" w:rsidR="00A31BD9" w:rsidRPr="00F15348" w:rsidRDefault="00A31BD9" w:rsidP="00A31BD9">
            <w:pPr>
              <w:spacing w:before="0" w:after="0" w:line="240" w:lineRule="auto"/>
              <w:jc w:val="right"/>
              <w:rPr>
                <w:rFonts w:ascii="Arial" w:hAnsi="Arial" w:cs="Arial"/>
                <w:sz w:val="16"/>
                <w:szCs w:val="16"/>
              </w:rPr>
            </w:pPr>
            <w:r w:rsidRPr="00F15348">
              <w:rPr>
                <w:rFonts w:ascii="Arial" w:hAnsi="Arial" w:cs="Arial"/>
                <w:sz w:val="16"/>
                <w:szCs w:val="16"/>
              </w:rPr>
              <w:t> </w:t>
            </w:r>
          </w:p>
        </w:tc>
        <w:tc>
          <w:tcPr>
            <w:tcW w:w="467" w:type="pct"/>
            <w:tcBorders>
              <w:top w:val="nil"/>
              <w:left w:val="nil"/>
              <w:bottom w:val="nil"/>
              <w:right w:val="nil"/>
            </w:tcBorders>
            <w:shd w:val="clear" w:color="auto" w:fill="auto"/>
            <w:noWrap/>
            <w:vAlign w:val="center"/>
            <w:hideMark/>
          </w:tcPr>
          <w:p w14:paraId="59451AD6" w14:textId="77777777" w:rsidR="00A31BD9" w:rsidRPr="00F15348" w:rsidRDefault="00A31BD9" w:rsidP="00A31BD9">
            <w:pPr>
              <w:spacing w:before="0" w:after="0" w:line="240" w:lineRule="auto"/>
              <w:jc w:val="right"/>
              <w:rPr>
                <w:rFonts w:ascii="Arial" w:hAnsi="Arial" w:cs="Arial"/>
                <w:sz w:val="16"/>
                <w:szCs w:val="16"/>
              </w:rPr>
            </w:pPr>
            <w:r w:rsidRPr="00F15348">
              <w:rPr>
                <w:rFonts w:ascii="Times New Roman" w:hAnsi="Times New Roman"/>
                <w:sz w:val="20"/>
              </w:rPr>
              <w:t> </w:t>
            </w:r>
          </w:p>
        </w:tc>
      </w:tr>
      <w:tr w:rsidR="00A31BD9" w:rsidRPr="00F15348" w14:paraId="263F8601" w14:textId="77777777" w:rsidTr="00A31BD9">
        <w:trPr>
          <w:divId w:val="1474328469"/>
          <w:trHeight w:hRule="exact" w:val="225"/>
        </w:trPr>
        <w:tc>
          <w:tcPr>
            <w:tcW w:w="3132" w:type="pct"/>
            <w:tcBorders>
              <w:top w:val="nil"/>
              <w:left w:val="nil"/>
              <w:bottom w:val="nil"/>
              <w:right w:val="nil"/>
            </w:tcBorders>
            <w:shd w:val="clear" w:color="auto" w:fill="auto"/>
            <w:noWrap/>
            <w:vAlign w:val="center"/>
            <w:hideMark/>
          </w:tcPr>
          <w:p w14:paraId="2617B6D2" w14:textId="77777777" w:rsidR="00A31BD9" w:rsidRPr="00F15348" w:rsidRDefault="00A31BD9" w:rsidP="00A31BD9">
            <w:pPr>
              <w:spacing w:before="0" w:after="0" w:line="240" w:lineRule="auto"/>
              <w:ind w:left="170"/>
              <w:rPr>
                <w:rFonts w:ascii="Arial" w:hAnsi="Arial" w:cs="Arial"/>
                <w:sz w:val="16"/>
                <w:szCs w:val="16"/>
              </w:rPr>
            </w:pPr>
            <w:r w:rsidRPr="00F15348">
              <w:rPr>
                <w:rFonts w:ascii="Arial" w:hAnsi="Arial" w:cs="Arial"/>
                <w:sz w:val="16"/>
                <w:szCs w:val="16"/>
              </w:rPr>
              <w:t>Effect of policy decisions</w:t>
            </w:r>
          </w:p>
        </w:tc>
        <w:tc>
          <w:tcPr>
            <w:tcW w:w="467" w:type="pct"/>
            <w:tcBorders>
              <w:top w:val="nil"/>
              <w:left w:val="nil"/>
              <w:bottom w:val="nil"/>
              <w:right w:val="nil"/>
            </w:tcBorders>
            <w:shd w:val="clear" w:color="auto" w:fill="auto"/>
            <w:noWrap/>
            <w:vAlign w:val="center"/>
            <w:hideMark/>
          </w:tcPr>
          <w:p w14:paraId="76CD62A3" w14:textId="77777777" w:rsidR="00A31BD9" w:rsidRPr="00F15348" w:rsidRDefault="00A31BD9" w:rsidP="00A31BD9">
            <w:pPr>
              <w:spacing w:before="0" w:after="0" w:line="240" w:lineRule="auto"/>
              <w:jc w:val="right"/>
              <w:rPr>
                <w:rFonts w:ascii="Arial" w:hAnsi="Arial" w:cs="Arial"/>
                <w:sz w:val="16"/>
                <w:szCs w:val="16"/>
              </w:rPr>
            </w:pPr>
            <w:r w:rsidRPr="00F15348">
              <w:rPr>
                <w:rFonts w:ascii="Arial" w:hAnsi="Arial" w:cs="Arial"/>
                <w:sz w:val="16"/>
                <w:szCs w:val="16"/>
              </w:rPr>
              <w:t>-</w:t>
            </w:r>
          </w:p>
        </w:tc>
        <w:tc>
          <w:tcPr>
            <w:tcW w:w="467" w:type="pct"/>
            <w:tcBorders>
              <w:top w:val="nil"/>
              <w:left w:val="nil"/>
              <w:bottom w:val="nil"/>
              <w:right w:val="nil"/>
            </w:tcBorders>
            <w:shd w:val="clear" w:color="000000" w:fill="E6F2FF"/>
            <w:noWrap/>
            <w:vAlign w:val="center"/>
            <w:hideMark/>
          </w:tcPr>
          <w:p w14:paraId="404E0AF0" w14:textId="77777777" w:rsidR="00A31BD9" w:rsidRPr="00F15348" w:rsidRDefault="00A31BD9" w:rsidP="00A31BD9">
            <w:pPr>
              <w:spacing w:before="0" w:after="0" w:line="240" w:lineRule="auto"/>
              <w:jc w:val="right"/>
              <w:rPr>
                <w:rFonts w:ascii="Arial" w:hAnsi="Arial" w:cs="Arial"/>
                <w:sz w:val="16"/>
                <w:szCs w:val="16"/>
              </w:rPr>
            </w:pPr>
            <w:r w:rsidRPr="00F15348">
              <w:rPr>
                <w:rFonts w:ascii="Arial" w:hAnsi="Arial" w:cs="Arial"/>
                <w:sz w:val="16"/>
                <w:szCs w:val="16"/>
              </w:rPr>
              <w:t>-5</w:t>
            </w:r>
          </w:p>
        </w:tc>
        <w:tc>
          <w:tcPr>
            <w:tcW w:w="467" w:type="pct"/>
            <w:tcBorders>
              <w:top w:val="nil"/>
              <w:left w:val="nil"/>
              <w:bottom w:val="nil"/>
              <w:right w:val="nil"/>
            </w:tcBorders>
            <w:shd w:val="clear" w:color="auto" w:fill="auto"/>
            <w:noWrap/>
            <w:vAlign w:val="center"/>
            <w:hideMark/>
          </w:tcPr>
          <w:p w14:paraId="0D067F9E" w14:textId="77777777" w:rsidR="00A31BD9" w:rsidRPr="00F15348" w:rsidRDefault="00A31BD9" w:rsidP="00A31BD9">
            <w:pPr>
              <w:spacing w:before="0" w:after="0" w:line="240" w:lineRule="auto"/>
              <w:jc w:val="right"/>
              <w:rPr>
                <w:rFonts w:ascii="Arial" w:hAnsi="Arial" w:cs="Arial"/>
                <w:sz w:val="16"/>
                <w:szCs w:val="16"/>
              </w:rPr>
            </w:pPr>
            <w:r w:rsidRPr="00F15348">
              <w:rPr>
                <w:rFonts w:ascii="Arial" w:hAnsi="Arial" w:cs="Arial"/>
                <w:sz w:val="16"/>
                <w:szCs w:val="16"/>
              </w:rPr>
              <w:t>-5</w:t>
            </w:r>
          </w:p>
        </w:tc>
        <w:tc>
          <w:tcPr>
            <w:tcW w:w="467" w:type="pct"/>
            <w:tcBorders>
              <w:top w:val="nil"/>
              <w:left w:val="nil"/>
              <w:bottom w:val="nil"/>
              <w:right w:val="nil"/>
            </w:tcBorders>
            <w:shd w:val="clear" w:color="auto" w:fill="auto"/>
            <w:noWrap/>
            <w:vAlign w:val="center"/>
            <w:hideMark/>
          </w:tcPr>
          <w:p w14:paraId="4D5A8F7D" w14:textId="77777777" w:rsidR="00A31BD9" w:rsidRPr="00F15348" w:rsidRDefault="00A31BD9" w:rsidP="00A31BD9">
            <w:pPr>
              <w:spacing w:before="0" w:after="0" w:line="240" w:lineRule="auto"/>
              <w:jc w:val="right"/>
              <w:rPr>
                <w:rFonts w:ascii="Arial" w:hAnsi="Arial" w:cs="Arial"/>
                <w:sz w:val="16"/>
                <w:szCs w:val="16"/>
              </w:rPr>
            </w:pPr>
            <w:r w:rsidRPr="00F15348">
              <w:rPr>
                <w:rFonts w:ascii="Arial" w:hAnsi="Arial" w:cs="Arial"/>
                <w:sz w:val="16"/>
                <w:szCs w:val="16"/>
              </w:rPr>
              <w:t>153</w:t>
            </w:r>
          </w:p>
        </w:tc>
      </w:tr>
      <w:tr w:rsidR="00A31BD9" w:rsidRPr="00F15348" w14:paraId="66D92210" w14:textId="77777777" w:rsidTr="00A31BD9">
        <w:trPr>
          <w:divId w:val="1474328469"/>
          <w:trHeight w:hRule="exact" w:val="225"/>
        </w:trPr>
        <w:tc>
          <w:tcPr>
            <w:tcW w:w="3132" w:type="pct"/>
            <w:tcBorders>
              <w:top w:val="nil"/>
              <w:left w:val="nil"/>
              <w:bottom w:val="nil"/>
              <w:right w:val="nil"/>
            </w:tcBorders>
            <w:shd w:val="clear" w:color="auto" w:fill="auto"/>
            <w:noWrap/>
            <w:vAlign w:val="center"/>
            <w:hideMark/>
          </w:tcPr>
          <w:p w14:paraId="6E0494CD" w14:textId="77777777" w:rsidR="00A31BD9" w:rsidRPr="00F15348" w:rsidRDefault="00A31BD9" w:rsidP="00A31BD9">
            <w:pPr>
              <w:spacing w:before="0" w:after="0" w:line="240" w:lineRule="auto"/>
              <w:ind w:left="170"/>
              <w:rPr>
                <w:rFonts w:ascii="Arial" w:hAnsi="Arial" w:cs="Arial"/>
                <w:sz w:val="16"/>
                <w:szCs w:val="16"/>
              </w:rPr>
            </w:pPr>
            <w:r w:rsidRPr="00F15348">
              <w:rPr>
                <w:rFonts w:ascii="Arial" w:hAnsi="Arial" w:cs="Arial"/>
                <w:sz w:val="16"/>
                <w:szCs w:val="16"/>
              </w:rPr>
              <w:t>Effect of parameter and other variations</w:t>
            </w:r>
          </w:p>
        </w:tc>
        <w:tc>
          <w:tcPr>
            <w:tcW w:w="467" w:type="pct"/>
            <w:tcBorders>
              <w:top w:val="nil"/>
              <w:left w:val="nil"/>
              <w:bottom w:val="nil"/>
              <w:right w:val="nil"/>
            </w:tcBorders>
            <w:shd w:val="clear" w:color="auto" w:fill="auto"/>
            <w:noWrap/>
            <w:vAlign w:val="center"/>
            <w:hideMark/>
          </w:tcPr>
          <w:p w14:paraId="40CD5E67" w14:textId="77777777" w:rsidR="00A31BD9" w:rsidRPr="00F15348" w:rsidRDefault="00A31BD9" w:rsidP="00A31BD9">
            <w:pPr>
              <w:spacing w:before="0" w:after="0" w:line="240" w:lineRule="auto"/>
              <w:jc w:val="right"/>
              <w:rPr>
                <w:rFonts w:ascii="Arial" w:hAnsi="Arial" w:cs="Arial"/>
                <w:sz w:val="16"/>
                <w:szCs w:val="16"/>
              </w:rPr>
            </w:pPr>
            <w:r w:rsidRPr="00F15348">
              <w:rPr>
                <w:rFonts w:ascii="Arial" w:hAnsi="Arial" w:cs="Arial"/>
                <w:sz w:val="16"/>
                <w:szCs w:val="16"/>
              </w:rPr>
              <w:t>1,694</w:t>
            </w:r>
          </w:p>
        </w:tc>
        <w:tc>
          <w:tcPr>
            <w:tcW w:w="467" w:type="pct"/>
            <w:tcBorders>
              <w:top w:val="nil"/>
              <w:left w:val="nil"/>
              <w:bottom w:val="nil"/>
              <w:right w:val="nil"/>
            </w:tcBorders>
            <w:shd w:val="clear" w:color="000000" w:fill="E6F2FF"/>
            <w:noWrap/>
            <w:vAlign w:val="center"/>
            <w:hideMark/>
          </w:tcPr>
          <w:p w14:paraId="21AB7ED8" w14:textId="77777777" w:rsidR="00A31BD9" w:rsidRPr="00F15348" w:rsidRDefault="00A31BD9" w:rsidP="00A31BD9">
            <w:pPr>
              <w:spacing w:before="0" w:after="0" w:line="240" w:lineRule="auto"/>
              <w:jc w:val="right"/>
              <w:rPr>
                <w:rFonts w:ascii="Arial" w:hAnsi="Arial" w:cs="Arial"/>
                <w:sz w:val="16"/>
                <w:szCs w:val="16"/>
              </w:rPr>
            </w:pPr>
            <w:r w:rsidRPr="00F15348">
              <w:rPr>
                <w:rFonts w:ascii="Arial" w:hAnsi="Arial" w:cs="Arial"/>
                <w:sz w:val="16"/>
                <w:szCs w:val="16"/>
              </w:rPr>
              <w:t>-923</w:t>
            </w:r>
          </w:p>
        </w:tc>
        <w:tc>
          <w:tcPr>
            <w:tcW w:w="467" w:type="pct"/>
            <w:tcBorders>
              <w:top w:val="nil"/>
              <w:left w:val="nil"/>
              <w:bottom w:val="nil"/>
              <w:right w:val="nil"/>
            </w:tcBorders>
            <w:shd w:val="clear" w:color="auto" w:fill="auto"/>
            <w:noWrap/>
            <w:vAlign w:val="center"/>
            <w:hideMark/>
          </w:tcPr>
          <w:p w14:paraId="4B2DEDC0" w14:textId="77777777" w:rsidR="00A31BD9" w:rsidRPr="00F15348" w:rsidRDefault="00A31BD9" w:rsidP="00A31BD9">
            <w:pPr>
              <w:spacing w:before="0" w:after="0" w:line="240" w:lineRule="auto"/>
              <w:jc w:val="right"/>
              <w:rPr>
                <w:rFonts w:ascii="Arial" w:hAnsi="Arial" w:cs="Arial"/>
                <w:sz w:val="16"/>
                <w:szCs w:val="16"/>
              </w:rPr>
            </w:pPr>
            <w:r w:rsidRPr="00F15348">
              <w:rPr>
                <w:rFonts w:ascii="Arial" w:hAnsi="Arial" w:cs="Arial"/>
                <w:sz w:val="16"/>
                <w:szCs w:val="16"/>
              </w:rPr>
              <w:t>-2,075</w:t>
            </w:r>
          </w:p>
        </w:tc>
        <w:tc>
          <w:tcPr>
            <w:tcW w:w="467" w:type="pct"/>
            <w:tcBorders>
              <w:top w:val="nil"/>
              <w:left w:val="nil"/>
              <w:bottom w:val="nil"/>
              <w:right w:val="nil"/>
            </w:tcBorders>
            <w:shd w:val="clear" w:color="auto" w:fill="auto"/>
            <w:noWrap/>
            <w:vAlign w:val="center"/>
            <w:hideMark/>
          </w:tcPr>
          <w:p w14:paraId="3C06AAF4" w14:textId="77777777" w:rsidR="00A31BD9" w:rsidRPr="00F15348" w:rsidRDefault="00A31BD9" w:rsidP="00A31BD9">
            <w:pPr>
              <w:spacing w:before="0" w:after="0" w:line="240" w:lineRule="auto"/>
              <w:jc w:val="right"/>
              <w:rPr>
                <w:rFonts w:ascii="Arial" w:hAnsi="Arial" w:cs="Arial"/>
                <w:sz w:val="16"/>
                <w:szCs w:val="16"/>
              </w:rPr>
            </w:pPr>
            <w:r w:rsidRPr="00F15348">
              <w:rPr>
                <w:rFonts w:ascii="Arial" w:hAnsi="Arial" w:cs="Arial"/>
                <w:sz w:val="16"/>
                <w:szCs w:val="16"/>
              </w:rPr>
              <w:t>-2,566</w:t>
            </w:r>
          </w:p>
        </w:tc>
      </w:tr>
      <w:tr w:rsidR="00A31BD9" w:rsidRPr="00F15348" w14:paraId="76CEFAC9" w14:textId="77777777" w:rsidTr="00A31BD9">
        <w:trPr>
          <w:divId w:val="1474328469"/>
          <w:trHeight w:hRule="exact" w:val="225"/>
        </w:trPr>
        <w:tc>
          <w:tcPr>
            <w:tcW w:w="3132" w:type="pct"/>
            <w:tcBorders>
              <w:top w:val="nil"/>
              <w:left w:val="nil"/>
              <w:bottom w:val="nil"/>
              <w:right w:val="nil"/>
            </w:tcBorders>
            <w:shd w:val="clear" w:color="auto" w:fill="auto"/>
            <w:noWrap/>
            <w:vAlign w:val="center"/>
            <w:hideMark/>
          </w:tcPr>
          <w:p w14:paraId="32FCAE55" w14:textId="77777777" w:rsidR="00A31BD9" w:rsidRPr="00F15348" w:rsidRDefault="00A31BD9" w:rsidP="00A31BD9">
            <w:pPr>
              <w:spacing w:before="0" w:after="0" w:line="240" w:lineRule="auto"/>
              <w:rPr>
                <w:rFonts w:ascii="Arial" w:hAnsi="Arial" w:cs="Arial"/>
                <w:sz w:val="16"/>
                <w:szCs w:val="16"/>
              </w:rPr>
            </w:pPr>
            <w:r w:rsidRPr="00F15348">
              <w:rPr>
                <w:rFonts w:ascii="Arial" w:hAnsi="Arial" w:cs="Arial"/>
                <w:sz w:val="16"/>
                <w:szCs w:val="16"/>
              </w:rPr>
              <w:t>Total variations</w:t>
            </w:r>
          </w:p>
        </w:tc>
        <w:tc>
          <w:tcPr>
            <w:tcW w:w="467" w:type="pct"/>
            <w:tcBorders>
              <w:top w:val="single" w:sz="4" w:space="0" w:color="auto"/>
              <w:left w:val="nil"/>
              <w:bottom w:val="single" w:sz="4" w:space="0" w:color="auto"/>
              <w:right w:val="nil"/>
            </w:tcBorders>
            <w:shd w:val="clear" w:color="auto" w:fill="auto"/>
            <w:noWrap/>
            <w:vAlign w:val="center"/>
            <w:hideMark/>
          </w:tcPr>
          <w:p w14:paraId="22B8C9A6" w14:textId="77777777" w:rsidR="00A31BD9" w:rsidRPr="00F15348" w:rsidRDefault="00A31BD9" w:rsidP="00A31BD9">
            <w:pPr>
              <w:spacing w:before="0" w:after="0" w:line="240" w:lineRule="auto"/>
              <w:jc w:val="right"/>
              <w:rPr>
                <w:rFonts w:ascii="Arial" w:hAnsi="Arial" w:cs="Arial"/>
                <w:sz w:val="16"/>
                <w:szCs w:val="16"/>
              </w:rPr>
            </w:pPr>
            <w:r w:rsidRPr="00F15348">
              <w:rPr>
                <w:rFonts w:ascii="Arial" w:hAnsi="Arial" w:cs="Arial"/>
                <w:sz w:val="16"/>
                <w:szCs w:val="16"/>
              </w:rPr>
              <w:t>1,694</w:t>
            </w:r>
          </w:p>
        </w:tc>
        <w:tc>
          <w:tcPr>
            <w:tcW w:w="467" w:type="pct"/>
            <w:tcBorders>
              <w:top w:val="single" w:sz="4" w:space="0" w:color="auto"/>
              <w:left w:val="nil"/>
              <w:bottom w:val="single" w:sz="4" w:space="0" w:color="auto"/>
              <w:right w:val="nil"/>
            </w:tcBorders>
            <w:shd w:val="clear" w:color="000000" w:fill="E6F2FF"/>
            <w:noWrap/>
            <w:vAlign w:val="center"/>
            <w:hideMark/>
          </w:tcPr>
          <w:p w14:paraId="261CA5D2" w14:textId="77777777" w:rsidR="00A31BD9" w:rsidRPr="00F15348" w:rsidRDefault="00A31BD9" w:rsidP="00A31BD9">
            <w:pPr>
              <w:spacing w:before="0" w:after="0" w:line="240" w:lineRule="auto"/>
              <w:jc w:val="right"/>
              <w:rPr>
                <w:rFonts w:ascii="Arial" w:hAnsi="Arial" w:cs="Arial"/>
                <w:sz w:val="16"/>
                <w:szCs w:val="16"/>
              </w:rPr>
            </w:pPr>
            <w:r w:rsidRPr="00F15348">
              <w:rPr>
                <w:rFonts w:ascii="Arial" w:hAnsi="Arial" w:cs="Arial"/>
                <w:sz w:val="16"/>
                <w:szCs w:val="16"/>
              </w:rPr>
              <w:t>-928</w:t>
            </w:r>
          </w:p>
        </w:tc>
        <w:tc>
          <w:tcPr>
            <w:tcW w:w="467" w:type="pct"/>
            <w:tcBorders>
              <w:top w:val="single" w:sz="4" w:space="0" w:color="auto"/>
              <w:left w:val="nil"/>
              <w:bottom w:val="single" w:sz="4" w:space="0" w:color="auto"/>
              <w:right w:val="nil"/>
            </w:tcBorders>
            <w:shd w:val="clear" w:color="000000" w:fill="FFFFFF"/>
            <w:noWrap/>
            <w:vAlign w:val="center"/>
            <w:hideMark/>
          </w:tcPr>
          <w:p w14:paraId="34122BD4" w14:textId="77777777" w:rsidR="00A31BD9" w:rsidRPr="00F15348" w:rsidRDefault="00A31BD9" w:rsidP="00A31BD9">
            <w:pPr>
              <w:spacing w:before="0" w:after="0" w:line="240" w:lineRule="auto"/>
              <w:jc w:val="right"/>
              <w:rPr>
                <w:rFonts w:ascii="Arial" w:hAnsi="Arial" w:cs="Arial"/>
                <w:sz w:val="16"/>
                <w:szCs w:val="16"/>
              </w:rPr>
            </w:pPr>
            <w:r w:rsidRPr="00F15348">
              <w:rPr>
                <w:rFonts w:ascii="Arial" w:hAnsi="Arial" w:cs="Arial"/>
                <w:sz w:val="16"/>
                <w:szCs w:val="16"/>
              </w:rPr>
              <w:t>-2,080</w:t>
            </w:r>
          </w:p>
        </w:tc>
        <w:tc>
          <w:tcPr>
            <w:tcW w:w="467" w:type="pct"/>
            <w:tcBorders>
              <w:top w:val="single" w:sz="4" w:space="0" w:color="auto"/>
              <w:left w:val="nil"/>
              <w:bottom w:val="single" w:sz="4" w:space="0" w:color="auto"/>
              <w:right w:val="nil"/>
            </w:tcBorders>
            <w:shd w:val="clear" w:color="000000" w:fill="FFFFFF"/>
            <w:noWrap/>
            <w:vAlign w:val="center"/>
            <w:hideMark/>
          </w:tcPr>
          <w:p w14:paraId="382822E2" w14:textId="77777777" w:rsidR="00A31BD9" w:rsidRPr="00F15348" w:rsidRDefault="00A31BD9" w:rsidP="00A31BD9">
            <w:pPr>
              <w:spacing w:before="0" w:after="0" w:line="240" w:lineRule="auto"/>
              <w:jc w:val="right"/>
              <w:rPr>
                <w:rFonts w:ascii="Arial" w:hAnsi="Arial" w:cs="Arial"/>
                <w:sz w:val="16"/>
                <w:szCs w:val="16"/>
              </w:rPr>
            </w:pPr>
            <w:r w:rsidRPr="00F15348">
              <w:rPr>
                <w:rFonts w:ascii="Arial" w:hAnsi="Arial" w:cs="Arial"/>
                <w:sz w:val="16"/>
                <w:szCs w:val="16"/>
              </w:rPr>
              <w:t>-2,413</w:t>
            </w:r>
          </w:p>
        </w:tc>
      </w:tr>
      <w:tr w:rsidR="00A31BD9" w:rsidRPr="00F15348" w14:paraId="4AFC3A84" w14:textId="77777777" w:rsidTr="00A31BD9">
        <w:trPr>
          <w:divId w:val="1474328469"/>
          <w:trHeight w:hRule="exact" w:val="225"/>
        </w:trPr>
        <w:tc>
          <w:tcPr>
            <w:tcW w:w="3132" w:type="pct"/>
            <w:tcBorders>
              <w:top w:val="nil"/>
              <w:left w:val="nil"/>
              <w:bottom w:val="single" w:sz="4" w:space="0" w:color="auto"/>
              <w:right w:val="nil"/>
            </w:tcBorders>
            <w:shd w:val="clear" w:color="auto" w:fill="auto"/>
            <w:noWrap/>
            <w:vAlign w:val="center"/>
            <w:hideMark/>
          </w:tcPr>
          <w:p w14:paraId="7D77E42E" w14:textId="77777777" w:rsidR="00A31BD9" w:rsidRPr="00F15348" w:rsidRDefault="00A31BD9" w:rsidP="00A31BD9">
            <w:pPr>
              <w:spacing w:before="0" w:after="0" w:line="240" w:lineRule="auto"/>
              <w:rPr>
                <w:rFonts w:ascii="Arial" w:hAnsi="Arial" w:cs="Arial"/>
                <w:sz w:val="16"/>
                <w:szCs w:val="16"/>
              </w:rPr>
            </w:pPr>
            <w:r w:rsidRPr="00F15348">
              <w:rPr>
                <w:rFonts w:ascii="Arial" w:hAnsi="Arial" w:cs="Arial"/>
                <w:sz w:val="16"/>
                <w:szCs w:val="16"/>
              </w:rPr>
              <w:t>GST entitlement at 2024-25 Budget</w:t>
            </w:r>
          </w:p>
        </w:tc>
        <w:tc>
          <w:tcPr>
            <w:tcW w:w="467" w:type="pct"/>
            <w:tcBorders>
              <w:top w:val="nil"/>
              <w:left w:val="nil"/>
              <w:bottom w:val="single" w:sz="4" w:space="0" w:color="auto"/>
              <w:right w:val="nil"/>
            </w:tcBorders>
            <w:shd w:val="clear" w:color="auto" w:fill="auto"/>
            <w:noWrap/>
            <w:vAlign w:val="center"/>
            <w:hideMark/>
          </w:tcPr>
          <w:p w14:paraId="7B79BFF4" w14:textId="77777777" w:rsidR="00A31BD9" w:rsidRPr="00F15348" w:rsidRDefault="00A31BD9" w:rsidP="00A31BD9">
            <w:pPr>
              <w:spacing w:before="0" w:after="0" w:line="240" w:lineRule="auto"/>
              <w:jc w:val="right"/>
              <w:rPr>
                <w:rFonts w:ascii="Arial" w:hAnsi="Arial" w:cs="Arial"/>
                <w:sz w:val="16"/>
                <w:szCs w:val="16"/>
              </w:rPr>
            </w:pPr>
            <w:r w:rsidRPr="00F15348">
              <w:rPr>
                <w:rFonts w:ascii="Arial" w:hAnsi="Arial" w:cs="Arial"/>
                <w:sz w:val="16"/>
                <w:szCs w:val="16"/>
              </w:rPr>
              <w:t>86,369</w:t>
            </w:r>
          </w:p>
        </w:tc>
        <w:tc>
          <w:tcPr>
            <w:tcW w:w="467" w:type="pct"/>
            <w:tcBorders>
              <w:top w:val="nil"/>
              <w:left w:val="nil"/>
              <w:bottom w:val="single" w:sz="4" w:space="0" w:color="auto"/>
              <w:right w:val="nil"/>
            </w:tcBorders>
            <w:shd w:val="clear" w:color="000000" w:fill="E6F2FF"/>
            <w:noWrap/>
            <w:vAlign w:val="center"/>
            <w:hideMark/>
          </w:tcPr>
          <w:p w14:paraId="08C5EE9A" w14:textId="77777777" w:rsidR="00A31BD9" w:rsidRPr="00F15348" w:rsidRDefault="00A31BD9" w:rsidP="00A31BD9">
            <w:pPr>
              <w:spacing w:before="0" w:after="0" w:line="240" w:lineRule="auto"/>
              <w:jc w:val="right"/>
              <w:rPr>
                <w:rFonts w:ascii="Arial" w:hAnsi="Arial" w:cs="Arial"/>
                <w:sz w:val="16"/>
                <w:szCs w:val="16"/>
              </w:rPr>
            </w:pPr>
            <w:r w:rsidRPr="00F15348">
              <w:rPr>
                <w:rFonts w:ascii="Arial" w:hAnsi="Arial" w:cs="Arial"/>
                <w:sz w:val="16"/>
                <w:szCs w:val="16"/>
              </w:rPr>
              <w:t>88,534</w:t>
            </w:r>
          </w:p>
        </w:tc>
        <w:tc>
          <w:tcPr>
            <w:tcW w:w="467" w:type="pct"/>
            <w:tcBorders>
              <w:top w:val="nil"/>
              <w:left w:val="nil"/>
              <w:bottom w:val="single" w:sz="4" w:space="0" w:color="auto"/>
              <w:right w:val="nil"/>
            </w:tcBorders>
            <w:shd w:val="clear" w:color="000000" w:fill="FFFFFF"/>
            <w:noWrap/>
            <w:vAlign w:val="center"/>
            <w:hideMark/>
          </w:tcPr>
          <w:p w14:paraId="2C5F4045" w14:textId="77777777" w:rsidR="00A31BD9" w:rsidRPr="00F15348" w:rsidRDefault="00A31BD9" w:rsidP="00A31BD9">
            <w:pPr>
              <w:spacing w:before="0" w:after="0" w:line="240" w:lineRule="auto"/>
              <w:jc w:val="right"/>
              <w:rPr>
                <w:rFonts w:ascii="Arial" w:hAnsi="Arial" w:cs="Arial"/>
                <w:sz w:val="16"/>
                <w:szCs w:val="16"/>
              </w:rPr>
            </w:pPr>
            <w:r w:rsidRPr="00F15348">
              <w:rPr>
                <w:rFonts w:ascii="Arial" w:hAnsi="Arial" w:cs="Arial"/>
                <w:sz w:val="16"/>
                <w:szCs w:val="16"/>
              </w:rPr>
              <w:t>93,245</w:t>
            </w:r>
          </w:p>
        </w:tc>
        <w:tc>
          <w:tcPr>
            <w:tcW w:w="467" w:type="pct"/>
            <w:tcBorders>
              <w:top w:val="nil"/>
              <w:left w:val="nil"/>
              <w:bottom w:val="single" w:sz="4" w:space="0" w:color="auto"/>
              <w:right w:val="nil"/>
            </w:tcBorders>
            <w:shd w:val="clear" w:color="000000" w:fill="FFFFFF"/>
            <w:noWrap/>
            <w:vAlign w:val="center"/>
            <w:hideMark/>
          </w:tcPr>
          <w:p w14:paraId="5D3164FE" w14:textId="77777777" w:rsidR="00A31BD9" w:rsidRPr="00F15348" w:rsidRDefault="00A31BD9" w:rsidP="00A31BD9">
            <w:pPr>
              <w:spacing w:before="0" w:after="0" w:line="240" w:lineRule="auto"/>
              <w:jc w:val="right"/>
              <w:rPr>
                <w:rFonts w:ascii="Arial" w:hAnsi="Arial" w:cs="Arial"/>
                <w:sz w:val="16"/>
                <w:szCs w:val="16"/>
              </w:rPr>
            </w:pPr>
            <w:r w:rsidRPr="00F15348">
              <w:rPr>
                <w:rFonts w:ascii="Arial" w:hAnsi="Arial" w:cs="Arial"/>
                <w:sz w:val="16"/>
                <w:szCs w:val="16"/>
              </w:rPr>
              <w:t>98,826</w:t>
            </w:r>
          </w:p>
        </w:tc>
      </w:tr>
    </w:tbl>
    <w:p w14:paraId="3FD48898" w14:textId="60D7DD13" w:rsidR="007652FD" w:rsidRPr="00F15348" w:rsidRDefault="00D555FF" w:rsidP="00521DB1">
      <w:r w:rsidRPr="00F15348">
        <w:t>The states’ GST entitlement is expected to reach $</w:t>
      </w:r>
      <w:r w:rsidR="00AD39EA" w:rsidRPr="00F15348">
        <w:t>104.5</w:t>
      </w:r>
      <w:r w:rsidR="00096E9C" w:rsidRPr="00F15348">
        <w:t> </w:t>
      </w:r>
      <w:r w:rsidRPr="00F15348">
        <w:t>billion by 202</w:t>
      </w:r>
      <w:r w:rsidR="00053365" w:rsidRPr="00F15348">
        <w:t>7</w:t>
      </w:r>
      <w:r w:rsidRPr="00F15348">
        <w:t>–2</w:t>
      </w:r>
      <w:r w:rsidR="00053365" w:rsidRPr="00F15348">
        <w:t>8</w:t>
      </w:r>
      <w:r w:rsidRPr="00F15348">
        <w:t xml:space="preserve">. Since the </w:t>
      </w:r>
      <w:r w:rsidR="00053365" w:rsidRPr="00F15348">
        <w:t>2023–</w:t>
      </w:r>
      <w:r w:rsidR="00B1112B" w:rsidRPr="00F15348">
        <w:rPr>
          <w:rFonts w:ascii="Times New Roman" w:hAnsi="Times New Roman"/>
        </w:rPr>
        <w:t>‍</w:t>
      </w:r>
      <w:r w:rsidR="00053365" w:rsidRPr="00F15348">
        <w:t>24</w:t>
      </w:r>
      <w:r w:rsidR="00704B1D" w:rsidRPr="00F15348">
        <w:t> </w:t>
      </w:r>
      <w:r w:rsidR="00053365" w:rsidRPr="00F15348">
        <w:t>MYEFO</w:t>
      </w:r>
      <w:r w:rsidRPr="00F15348">
        <w:t xml:space="preserve">, </w:t>
      </w:r>
      <w:r w:rsidR="001D6429" w:rsidRPr="00F15348">
        <w:t xml:space="preserve">the </w:t>
      </w:r>
      <w:r w:rsidR="00347866" w:rsidRPr="00F15348">
        <w:t>GST</w:t>
      </w:r>
      <w:r w:rsidR="001D6429" w:rsidRPr="00F15348">
        <w:t xml:space="preserve"> entitlement </w:t>
      </w:r>
      <w:r w:rsidRPr="00F15348">
        <w:t>ha</w:t>
      </w:r>
      <w:r w:rsidR="005E552B" w:rsidRPr="00F15348">
        <w:t>s</w:t>
      </w:r>
      <w:r w:rsidRPr="00F15348">
        <w:t xml:space="preserve"> been revised </w:t>
      </w:r>
      <w:r w:rsidR="00053365" w:rsidRPr="00F15348">
        <w:t>down</w:t>
      </w:r>
      <w:r w:rsidRPr="00F15348">
        <w:t xml:space="preserve"> by $</w:t>
      </w:r>
      <w:r w:rsidR="008952F6" w:rsidRPr="00F15348">
        <w:t>92</w:t>
      </w:r>
      <w:r w:rsidR="00AC6905" w:rsidRPr="00F15348">
        <w:t>7</w:t>
      </w:r>
      <w:r w:rsidR="00B50BB1" w:rsidRPr="00F15348">
        <w:t>.</w:t>
      </w:r>
      <w:r w:rsidR="00AC6905" w:rsidRPr="00F15348">
        <w:t>5</w:t>
      </w:r>
      <w:r w:rsidR="00096E9C" w:rsidRPr="00F15348">
        <w:t> </w:t>
      </w:r>
      <w:r w:rsidRPr="00F15348">
        <w:t>million in 202</w:t>
      </w:r>
      <w:r w:rsidR="00053365" w:rsidRPr="00F15348">
        <w:t>4</w:t>
      </w:r>
      <w:r w:rsidRPr="00F15348">
        <w:t>–2</w:t>
      </w:r>
      <w:r w:rsidR="00053365" w:rsidRPr="00F15348">
        <w:t>5</w:t>
      </w:r>
      <w:r w:rsidRPr="00F15348">
        <w:t xml:space="preserve"> and </w:t>
      </w:r>
      <w:r w:rsidR="00B802C4" w:rsidRPr="00F15348">
        <w:t>$5.5</w:t>
      </w:r>
      <w:r w:rsidRPr="00F15348">
        <w:t xml:space="preserve"> billion over the </w:t>
      </w:r>
      <w:r w:rsidR="000E5B2F" w:rsidRPr="00F15348">
        <w:t>five</w:t>
      </w:r>
      <w:r w:rsidRPr="00F15348">
        <w:t xml:space="preserve"> years from 202</w:t>
      </w:r>
      <w:r w:rsidR="00053365" w:rsidRPr="00F15348">
        <w:t>3</w:t>
      </w:r>
      <w:r w:rsidRPr="00F15348">
        <w:t>–2</w:t>
      </w:r>
      <w:r w:rsidR="00C3390A" w:rsidRPr="00F15348">
        <w:t>4</w:t>
      </w:r>
      <w:r w:rsidRPr="00F15348">
        <w:t xml:space="preserve"> to 202</w:t>
      </w:r>
      <w:r w:rsidR="00C3390A" w:rsidRPr="00F15348">
        <w:t>7</w:t>
      </w:r>
      <w:r w:rsidRPr="00F15348">
        <w:t>–2</w:t>
      </w:r>
      <w:r w:rsidR="00C3390A" w:rsidRPr="00F15348">
        <w:t>8</w:t>
      </w:r>
      <w:r w:rsidRPr="00F15348">
        <w:t>.</w:t>
      </w:r>
    </w:p>
    <w:p w14:paraId="6447460E" w14:textId="08CA3C6E" w:rsidR="00D555FF" w:rsidRPr="00F15348" w:rsidRDefault="007652FD" w:rsidP="00521DB1">
      <w:r w:rsidRPr="00F15348">
        <w:t xml:space="preserve">Excluding new policy decisions, </w:t>
      </w:r>
      <w:r w:rsidR="005F0948" w:rsidRPr="00F15348">
        <w:t xml:space="preserve">the </w:t>
      </w:r>
      <w:r w:rsidRPr="00F15348">
        <w:t xml:space="preserve">GST </w:t>
      </w:r>
      <w:r w:rsidR="00B401CA" w:rsidRPr="00F15348">
        <w:t xml:space="preserve">entitlement </w:t>
      </w:r>
      <w:r w:rsidRPr="00F15348">
        <w:t>ha</w:t>
      </w:r>
      <w:r w:rsidR="005F0948" w:rsidRPr="00F15348">
        <w:t>s</w:t>
      </w:r>
      <w:r w:rsidRPr="00F15348">
        <w:t xml:space="preserve"> been revised down by $9</w:t>
      </w:r>
      <w:r w:rsidR="002071F6" w:rsidRPr="00F15348">
        <w:t>22</w:t>
      </w:r>
      <w:r w:rsidRPr="00F15348">
        <w:t>.</w:t>
      </w:r>
      <w:r w:rsidR="002071F6" w:rsidRPr="00F15348">
        <w:t>5</w:t>
      </w:r>
      <w:r w:rsidR="00096E9C" w:rsidRPr="00F15348">
        <w:t> </w:t>
      </w:r>
      <w:r w:rsidRPr="00F15348">
        <w:t>million in 2024–25 and $5.9</w:t>
      </w:r>
      <w:r w:rsidR="00CB51A2" w:rsidRPr="00F15348">
        <w:t> </w:t>
      </w:r>
      <w:r w:rsidRPr="00F15348">
        <w:t>billion over the five years from 2023–24 to 2027–28</w:t>
      </w:r>
      <w:r w:rsidR="00C04F00" w:rsidRPr="00F15348">
        <w:t>, driven by the change in GST receipts</w:t>
      </w:r>
      <w:r w:rsidRPr="00F15348">
        <w:t>. GST receipts have been upgraded in 2023–24 due to stronger than expected collections. From 2024–25 the downgrade is driven by the lower outlook for nominal consumption subject to GST, partially offset by higher nominal dwelling investment.</w:t>
      </w:r>
    </w:p>
    <w:p w14:paraId="16ABF60E" w14:textId="41E69372" w:rsidR="00D555FF" w:rsidRPr="00F15348" w:rsidRDefault="0035126F" w:rsidP="00116F9E">
      <w:r w:rsidRPr="00F15348">
        <w:lastRenderedPageBreak/>
        <w:t xml:space="preserve">New tax policy measures announced since the 2023–24 MYEFO are expected to decrease GST </w:t>
      </w:r>
      <w:r w:rsidR="00BB6107" w:rsidRPr="00F15348">
        <w:t xml:space="preserve">entitlement </w:t>
      </w:r>
      <w:r w:rsidRPr="00F15348">
        <w:t>by $5.0</w:t>
      </w:r>
      <w:r w:rsidR="00BC326B" w:rsidRPr="00F15348">
        <w:t> </w:t>
      </w:r>
      <w:r w:rsidRPr="00F15348">
        <w:t xml:space="preserve">million in 2024–25 but increase GST </w:t>
      </w:r>
      <w:r w:rsidR="00BB6107" w:rsidRPr="00F15348">
        <w:t xml:space="preserve">entitlement </w:t>
      </w:r>
      <w:r w:rsidRPr="00F15348">
        <w:t xml:space="preserve">by </w:t>
      </w:r>
      <w:r w:rsidR="00754DF4" w:rsidRPr="00F15348">
        <w:t>$399.6</w:t>
      </w:r>
      <w:r w:rsidR="00BC326B" w:rsidRPr="00F15348">
        <w:t> </w:t>
      </w:r>
      <w:r w:rsidRPr="00F15348">
        <w:t>million over the five years from 2023–24 to 202</w:t>
      </w:r>
      <w:r w:rsidR="004B38DF" w:rsidRPr="00F15348">
        <w:t>7</w:t>
      </w:r>
      <w:r w:rsidRPr="00F15348">
        <w:t>–2</w:t>
      </w:r>
      <w:r w:rsidR="004B38DF" w:rsidRPr="00F15348">
        <w:t>8</w:t>
      </w:r>
      <w:r w:rsidR="00D555FF" w:rsidRPr="00F15348">
        <w:t>.</w:t>
      </w:r>
    </w:p>
    <w:p w14:paraId="7715533A" w14:textId="38D8D305" w:rsidR="004B1383" w:rsidRPr="00F15348" w:rsidRDefault="00D555FF" w:rsidP="004B1383">
      <w:pPr>
        <w:pStyle w:val="TableHeading"/>
        <w:rPr>
          <w:rFonts w:asciiTheme="minorHAnsi" w:eastAsiaTheme="minorHAnsi" w:hAnsiTheme="minorHAnsi" w:cstheme="minorBidi"/>
          <w:sz w:val="22"/>
          <w:szCs w:val="22"/>
          <w:lang w:eastAsia="en-US"/>
        </w:rPr>
      </w:pPr>
      <w:r w:rsidRPr="00F15348">
        <w:t>Table</w:t>
      </w:r>
      <w:r w:rsidR="00BC326B" w:rsidRPr="00F15348">
        <w:t> </w:t>
      </w:r>
      <w:r w:rsidRPr="00F15348">
        <w:t xml:space="preserve">3.4: Policy decisions since the </w:t>
      </w:r>
      <w:r w:rsidR="00910B5D" w:rsidRPr="00F15348">
        <w:t xml:space="preserve">2023–24 MYEFO </w:t>
      </w:r>
      <w:r w:rsidRPr="00F15348">
        <w:t>that affect the GST entitlement</w:t>
      </w:r>
    </w:p>
    <w:tbl>
      <w:tblPr>
        <w:tblW w:w="5000" w:type="pct"/>
        <w:tblCellMar>
          <w:left w:w="0" w:type="dxa"/>
          <w:right w:w="28" w:type="dxa"/>
        </w:tblCellMar>
        <w:tblLook w:val="04A0" w:firstRow="1" w:lastRow="0" w:firstColumn="1" w:lastColumn="0" w:noHBand="0" w:noVBand="1"/>
      </w:tblPr>
      <w:tblGrid>
        <w:gridCol w:w="4405"/>
        <w:gridCol w:w="661"/>
        <w:gridCol w:w="661"/>
        <w:gridCol w:w="661"/>
        <w:gridCol w:w="661"/>
        <w:gridCol w:w="661"/>
      </w:tblGrid>
      <w:tr w:rsidR="004B1383" w:rsidRPr="00F15348" w14:paraId="4AB8560E" w14:textId="77777777" w:rsidTr="004B1383">
        <w:trPr>
          <w:trHeight w:hRule="exact" w:val="226"/>
        </w:trPr>
        <w:tc>
          <w:tcPr>
            <w:tcW w:w="2753" w:type="pct"/>
            <w:tcBorders>
              <w:top w:val="single" w:sz="4" w:space="0" w:color="293F5B"/>
              <w:left w:val="nil"/>
              <w:bottom w:val="nil"/>
              <w:right w:val="nil"/>
            </w:tcBorders>
            <w:shd w:val="clear" w:color="auto" w:fill="auto"/>
            <w:noWrap/>
            <w:vAlign w:val="center"/>
            <w:hideMark/>
          </w:tcPr>
          <w:p w14:paraId="2FBF1CEE" w14:textId="0FE59F1A" w:rsidR="004B1383" w:rsidRPr="00F15348" w:rsidRDefault="004B1383" w:rsidP="004B1383">
            <w:pPr>
              <w:spacing w:before="0" w:after="0" w:line="240" w:lineRule="auto"/>
              <w:rPr>
                <w:rFonts w:ascii="Arial" w:hAnsi="Arial" w:cs="Arial"/>
                <w:sz w:val="16"/>
                <w:szCs w:val="16"/>
              </w:rPr>
            </w:pPr>
            <w:r w:rsidRPr="00F15348">
              <w:rPr>
                <w:rFonts w:ascii="Arial" w:hAnsi="Arial" w:cs="Arial"/>
                <w:sz w:val="16"/>
                <w:szCs w:val="16"/>
              </w:rPr>
              <w:t>$million</w:t>
            </w:r>
          </w:p>
        </w:tc>
        <w:tc>
          <w:tcPr>
            <w:tcW w:w="449" w:type="pct"/>
            <w:tcBorders>
              <w:top w:val="single" w:sz="4" w:space="0" w:color="293F5B"/>
              <w:left w:val="nil"/>
              <w:bottom w:val="single" w:sz="4" w:space="0" w:color="293F5B"/>
              <w:right w:val="nil"/>
            </w:tcBorders>
            <w:shd w:val="clear" w:color="auto" w:fill="auto"/>
            <w:noWrap/>
            <w:vAlign w:val="center"/>
            <w:hideMark/>
          </w:tcPr>
          <w:p w14:paraId="51C59D44"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2023-24</w:t>
            </w:r>
          </w:p>
        </w:tc>
        <w:tc>
          <w:tcPr>
            <w:tcW w:w="449" w:type="pct"/>
            <w:tcBorders>
              <w:top w:val="single" w:sz="4" w:space="0" w:color="293F5B"/>
              <w:left w:val="nil"/>
              <w:bottom w:val="single" w:sz="4" w:space="0" w:color="293F5B"/>
              <w:right w:val="nil"/>
            </w:tcBorders>
            <w:shd w:val="clear" w:color="000000" w:fill="E6F2FF"/>
            <w:noWrap/>
            <w:vAlign w:val="center"/>
            <w:hideMark/>
          </w:tcPr>
          <w:p w14:paraId="252F2C7F"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2024-25</w:t>
            </w:r>
          </w:p>
        </w:tc>
        <w:tc>
          <w:tcPr>
            <w:tcW w:w="449" w:type="pct"/>
            <w:tcBorders>
              <w:top w:val="single" w:sz="4" w:space="0" w:color="293F5B"/>
              <w:left w:val="nil"/>
              <w:bottom w:val="single" w:sz="4" w:space="0" w:color="293F5B"/>
              <w:right w:val="nil"/>
            </w:tcBorders>
            <w:shd w:val="clear" w:color="auto" w:fill="auto"/>
            <w:noWrap/>
            <w:vAlign w:val="center"/>
            <w:hideMark/>
          </w:tcPr>
          <w:p w14:paraId="1DCAC21B"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2025-26</w:t>
            </w:r>
          </w:p>
        </w:tc>
        <w:tc>
          <w:tcPr>
            <w:tcW w:w="449" w:type="pct"/>
            <w:tcBorders>
              <w:top w:val="single" w:sz="4" w:space="0" w:color="293F5B"/>
              <w:left w:val="nil"/>
              <w:bottom w:val="single" w:sz="4" w:space="0" w:color="293F5B"/>
              <w:right w:val="nil"/>
            </w:tcBorders>
            <w:shd w:val="clear" w:color="auto" w:fill="auto"/>
            <w:noWrap/>
            <w:vAlign w:val="center"/>
            <w:hideMark/>
          </w:tcPr>
          <w:p w14:paraId="0685419B"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2026-27</w:t>
            </w:r>
          </w:p>
        </w:tc>
        <w:tc>
          <w:tcPr>
            <w:tcW w:w="449" w:type="pct"/>
            <w:tcBorders>
              <w:top w:val="single" w:sz="4" w:space="0" w:color="293F5B"/>
              <w:left w:val="nil"/>
              <w:bottom w:val="single" w:sz="4" w:space="0" w:color="293F5B"/>
              <w:right w:val="nil"/>
            </w:tcBorders>
            <w:shd w:val="clear" w:color="auto" w:fill="auto"/>
            <w:noWrap/>
            <w:vAlign w:val="center"/>
            <w:hideMark/>
          </w:tcPr>
          <w:p w14:paraId="413288D6"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2027-28</w:t>
            </w:r>
          </w:p>
        </w:tc>
      </w:tr>
      <w:tr w:rsidR="004B1383" w:rsidRPr="00F15348" w14:paraId="315F4E18" w14:textId="77777777" w:rsidTr="004B1383">
        <w:trPr>
          <w:trHeight w:hRule="exact" w:val="226"/>
        </w:trPr>
        <w:tc>
          <w:tcPr>
            <w:tcW w:w="2753" w:type="pct"/>
            <w:tcBorders>
              <w:top w:val="nil"/>
              <w:left w:val="nil"/>
              <w:bottom w:val="nil"/>
              <w:right w:val="nil"/>
            </w:tcBorders>
            <w:shd w:val="clear" w:color="000000" w:fill="FFFFFF"/>
            <w:noWrap/>
            <w:vAlign w:val="center"/>
            <w:hideMark/>
          </w:tcPr>
          <w:p w14:paraId="1CCA2889" w14:textId="77777777" w:rsidR="004B1383" w:rsidRPr="00F15348" w:rsidRDefault="004B1383" w:rsidP="004B1383">
            <w:pPr>
              <w:spacing w:before="0" w:after="0" w:line="240" w:lineRule="auto"/>
              <w:ind w:left="170"/>
              <w:rPr>
                <w:rFonts w:ascii="Arial" w:hAnsi="Arial" w:cs="Arial"/>
                <w:sz w:val="16"/>
                <w:szCs w:val="16"/>
              </w:rPr>
            </w:pPr>
            <w:r w:rsidRPr="00F15348">
              <w:rPr>
                <w:rFonts w:ascii="Arial" w:hAnsi="Arial" w:cs="Arial"/>
                <w:sz w:val="16"/>
                <w:szCs w:val="16"/>
              </w:rPr>
              <w:t xml:space="preserve">Strengthening Tax Compliance – extending the </w:t>
            </w:r>
          </w:p>
        </w:tc>
        <w:tc>
          <w:tcPr>
            <w:tcW w:w="449" w:type="pct"/>
            <w:tcBorders>
              <w:top w:val="nil"/>
              <w:left w:val="nil"/>
              <w:bottom w:val="nil"/>
              <w:right w:val="nil"/>
            </w:tcBorders>
            <w:shd w:val="clear" w:color="auto" w:fill="auto"/>
            <w:noWrap/>
            <w:vAlign w:val="center"/>
            <w:hideMark/>
          </w:tcPr>
          <w:p w14:paraId="1281D442"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w:t>
            </w:r>
          </w:p>
        </w:tc>
        <w:tc>
          <w:tcPr>
            <w:tcW w:w="449" w:type="pct"/>
            <w:tcBorders>
              <w:top w:val="nil"/>
              <w:left w:val="nil"/>
              <w:bottom w:val="nil"/>
              <w:right w:val="nil"/>
            </w:tcBorders>
            <w:shd w:val="clear" w:color="000000" w:fill="E6F2FF"/>
            <w:noWrap/>
            <w:vAlign w:val="center"/>
            <w:hideMark/>
          </w:tcPr>
          <w:p w14:paraId="19B89C34"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w:t>
            </w:r>
          </w:p>
        </w:tc>
        <w:tc>
          <w:tcPr>
            <w:tcW w:w="449" w:type="pct"/>
            <w:tcBorders>
              <w:top w:val="nil"/>
              <w:left w:val="nil"/>
              <w:bottom w:val="nil"/>
              <w:right w:val="nil"/>
            </w:tcBorders>
            <w:shd w:val="clear" w:color="000000" w:fill="FFFFFF"/>
            <w:noWrap/>
            <w:vAlign w:val="center"/>
            <w:hideMark/>
          </w:tcPr>
          <w:p w14:paraId="5A4D4185"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w:t>
            </w:r>
          </w:p>
        </w:tc>
        <w:tc>
          <w:tcPr>
            <w:tcW w:w="449" w:type="pct"/>
            <w:tcBorders>
              <w:top w:val="nil"/>
              <w:left w:val="nil"/>
              <w:bottom w:val="nil"/>
              <w:right w:val="nil"/>
            </w:tcBorders>
            <w:shd w:val="clear" w:color="000000" w:fill="FFFFFF"/>
            <w:noWrap/>
            <w:vAlign w:val="center"/>
            <w:hideMark/>
          </w:tcPr>
          <w:p w14:paraId="60D761DB"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158.0</w:t>
            </w:r>
          </w:p>
        </w:tc>
        <w:tc>
          <w:tcPr>
            <w:tcW w:w="449" w:type="pct"/>
            <w:tcBorders>
              <w:top w:val="nil"/>
              <w:left w:val="nil"/>
              <w:bottom w:val="nil"/>
              <w:right w:val="nil"/>
            </w:tcBorders>
            <w:shd w:val="clear" w:color="000000" w:fill="FFFFFF"/>
            <w:noWrap/>
            <w:vAlign w:val="center"/>
            <w:hideMark/>
          </w:tcPr>
          <w:p w14:paraId="41D206E5"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271.6</w:t>
            </w:r>
          </w:p>
        </w:tc>
      </w:tr>
      <w:tr w:rsidR="004B1383" w:rsidRPr="00F15348" w14:paraId="504B544A" w14:textId="77777777" w:rsidTr="004B1383">
        <w:trPr>
          <w:trHeight w:hRule="exact" w:val="226"/>
        </w:trPr>
        <w:tc>
          <w:tcPr>
            <w:tcW w:w="2753" w:type="pct"/>
            <w:tcBorders>
              <w:top w:val="nil"/>
              <w:left w:val="nil"/>
              <w:bottom w:val="nil"/>
              <w:right w:val="nil"/>
            </w:tcBorders>
            <w:shd w:val="clear" w:color="000000" w:fill="FFFFFF"/>
            <w:noWrap/>
            <w:vAlign w:val="center"/>
            <w:hideMark/>
          </w:tcPr>
          <w:p w14:paraId="3043AC76" w14:textId="77777777" w:rsidR="004B1383" w:rsidRPr="00F15348" w:rsidRDefault="004B1383" w:rsidP="004B1383">
            <w:pPr>
              <w:spacing w:before="0" w:after="0" w:line="240" w:lineRule="auto"/>
              <w:ind w:left="340"/>
              <w:rPr>
                <w:rFonts w:ascii="Arial" w:hAnsi="Arial" w:cs="Arial"/>
                <w:sz w:val="16"/>
                <w:szCs w:val="16"/>
              </w:rPr>
            </w:pPr>
            <w:r w:rsidRPr="00F15348">
              <w:rPr>
                <w:rFonts w:ascii="Arial" w:hAnsi="Arial" w:cs="Arial"/>
                <w:sz w:val="16"/>
                <w:szCs w:val="16"/>
              </w:rPr>
              <w:t>Shadow Economy Compliance Program</w:t>
            </w:r>
          </w:p>
        </w:tc>
        <w:tc>
          <w:tcPr>
            <w:tcW w:w="449" w:type="pct"/>
            <w:tcBorders>
              <w:top w:val="nil"/>
              <w:left w:val="nil"/>
              <w:bottom w:val="nil"/>
              <w:right w:val="nil"/>
            </w:tcBorders>
            <w:shd w:val="clear" w:color="auto" w:fill="auto"/>
            <w:noWrap/>
            <w:vAlign w:val="center"/>
            <w:hideMark/>
          </w:tcPr>
          <w:p w14:paraId="2F3BF81F" w14:textId="77777777" w:rsidR="004B1383" w:rsidRPr="00F15348" w:rsidRDefault="004B1383" w:rsidP="004B1383">
            <w:pPr>
              <w:spacing w:before="0" w:after="0" w:line="240" w:lineRule="auto"/>
              <w:ind w:firstLineChars="200" w:firstLine="320"/>
              <w:rPr>
                <w:rFonts w:ascii="Arial" w:hAnsi="Arial" w:cs="Arial"/>
                <w:sz w:val="16"/>
                <w:szCs w:val="16"/>
              </w:rPr>
            </w:pPr>
          </w:p>
        </w:tc>
        <w:tc>
          <w:tcPr>
            <w:tcW w:w="449" w:type="pct"/>
            <w:tcBorders>
              <w:top w:val="nil"/>
              <w:left w:val="nil"/>
              <w:bottom w:val="nil"/>
              <w:right w:val="nil"/>
            </w:tcBorders>
            <w:shd w:val="clear" w:color="000000" w:fill="E6F2FF"/>
            <w:noWrap/>
            <w:vAlign w:val="center"/>
            <w:hideMark/>
          </w:tcPr>
          <w:p w14:paraId="2AAA7B27"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6943625A"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59211912"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65CBA379"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 </w:t>
            </w:r>
          </w:p>
        </w:tc>
      </w:tr>
      <w:tr w:rsidR="004B1383" w:rsidRPr="00F15348" w14:paraId="47273CC4" w14:textId="77777777" w:rsidTr="004B1383">
        <w:trPr>
          <w:trHeight w:hRule="exact" w:val="204"/>
        </w:trPr>
        <w:tc>
          <w:tcPr>
            <w:tcW w:w="2753" w:type="pct"/>
            <w:tcBorders>
              <w:top w:val="nil"/>
              <w:left w:val="nil"/>
              <w:bottom w:val="nil"/>
              <w:right w:val="nil"/>
            </w:tcBorders>
            <w:shd w:val="clear" w:color="000000" w:fill="FFFFFF"/>
            <w:vAlign w:val="center"/>
            <w:hideMark/>
          </w:tcPr>
          <w:p w14:paraId="74ED73F8" w14:textId="77777777" w:rsidR="004B1383" w:rsidRPr="00F15348" w:rsidRDefault="004B1383" w:rsidP="004B1383">
            <w:pPr>
              <w:spacing w:before="0" w:after="0" w:line="240" w:lineRule="auto"/>
              <w:ind w:left="170"/>
              <w:rPr>
                <w:rFonts w:ascii="Arial" w:hAnsi="Arial" w:cs="Arial"/>
                <w:sz w:val="16"/>
                <w:szCs w:val="16"/>
              </w:rPr>
            </w:pPr>
            <w:r w:rsidRPr="00F15348">
              <w:rPr>
                <w:rFonts w:ascii="Arial" w:hAnsi="Arial" w:cs="Arial"/>
                <w:sz w:val="16"/>
                <w:szCs w:val="16"/>
              </w:rPr>
              <w:t xml:space="preserve">Migration – Mobility Arrangement for Talented </w:t>
            </w:r>
          </w:p>
        </w:tc>
        <w:tc>
          <w:tcPr>
            <w:tcW w:w="449" w:type="pct"/>
            <w:tcBorders>
              <w:top w:val="nil"/>
              <w:left w:val="nil"/>
              <w:bottom w:val="nil"/>
              <w:right w:val="nil"/>
            </w:tcBorders>
            <w:shd w:val="clear" w:color="auto" w:fill="auto"/>
            <w:noWrap/>
            <w:vAlign w:val="center"/>
            <w:hideMark/>
          </w:tcPr>
          <w:p w14:paraId="5486F02C"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w:t>
            </w:r>
          </w:p>
        </w:tc>
        <w:tc>
          <w:tcPr>
            <w:tcW w:w="449" w:type="pct"/>
            <w:tcBorders>
              <w:top w:val="nil"/>
              <w:left w:val="nil"/>
              <w:bottom w:val="nil"/>
              <w:right w:val="nil"/>
            </w:tcBorders>
            <w:shd w:val="clear" w:color="000000" w:fill="E6F2FF"/>
            <w:noWrap/>
            <w:vAlign w:val="center"/>
            <w:hideMark/>
          </w:tcPr>
          <w:p w14:paraId="57B8A438"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w:t>
            </w:r>
          </w:p>
        </w:tc>
        <w:tc>
          <w:tcPr>
            <w:tcW w:w="449" w:type="pct"/>
            <w:tcBorders>
              <w:top w:val="nil"/>
              <w:left w:val="nil"/>
              <w:bottom w:val="nil"/>
              <w:right w:val="nil"/>
            </w:tcBorders>
            <w:shd w:val="clear" w:color="000000" w:fill="FFFFFF"/>
            <w:noWrap/>
            <w:vAlign w:val="center"/>
            <w:hideMark/>
          </w:tcPr>
          <w:p w14:paraId="6180E92F"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15.0</w:t>
            </w:r>
          </w:p>
        </w:tc>
        <w:tc>
          <w:tcPr>
            <w:tcW w:w="449" w:type="pct"/>
            <w:tcBorders>
              <w:top w:val="nil"/>
              <w:left w:val="nil"/>
              <w:bottom w:val="nil"/>
              <w:right w:val="nil"/>
            </w:tcBorders>
            <w:shd w:val="clear" w:color="000000" w:fill="FFFFFF"/>
            <w:noWrap/>
            <w:vAlign w:val="center"/>
            <w:hideMark/>
          </w:tcPr>
          <w:p w14:paraId="297E9F0B"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25.0</w:t>
            </w:r>
          </w:p>
        </w:tc>
        <w:tc>
          <w:tcPr>
            <w:tcW w:w="449" w:type="pct"/>
            <w:tcBorders>
              <w:top w:val="nil"/>
              <w:left w:val="nil"/>
              <w:bottom w:val="nil"/>
              <w:right w:val="nil"/>
            </w:tcBorders>
            <w:shd w:val="clear" w:color="000000" w:fill="FFFFFF"/>
            <w:noWrap/>
            <w:vAlign w:val="center"/>
            <w:hideMark/>
          </w:tcPr>
          <w:p w14:paraId="79A84335"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25.0</w:t>
            </w:r>
          </w:p>
        </w:tc>
      </w:tr>
      <w:tr w:rsidR="004B1383" w:rsidRPr="00F15348" w14:paraId="048C9A4F" w14:textId="77777777" w:rsidTr="004B1383">
        <w:trPr>
          <w:trHeight w:hRule="exact" w:val="204"/>
        </w:trPr>
        <w:tc>
          <w:tcPr>
            <w:tcW w:w="2753" w:type="pct"/>
            <w:tcBorders>
              <w:top w:val="nil"/>
              <w:left w:val="nil"/>
              <w:bottom w:val="nil"/>
              <w:right w:val="nil"/>
            </w:tcBorders>
            <w:shd w:val="clear" w:color="000000" w:fill="FFFFFF"/>
            <w:vAlign w:val="center"/>
            <w:hideMark/>
          </w:tcPr>
          <w:p w14:paraId="4753166D" w14:textId="77777777" w:rsidR="004B1383" w:rsidRPr="00F15348" w:rsidRDefault="004B1383" w:rsidP="004B1383">
            <w:pPr>
              <w:spacing w:before="0" w:after="0" w:line="240" w:lineRule="auto"/>
              <w:ind w:left="340"/>
              <w:rPr>
                <w:rFonts w:ascii="Arial" w:hAnsi="Arial" w:cs="Arial"/>
                <w:sz w:val="16"/>
                <w:szCs w:val="16"/>
              </w:rPr>
            </w:pPr>
            <w:r w:rsidRPr="00F15348">
              <w:rPr>
                <w:rFonts w:ascii="Arial" w:hAnsi="Arial" w:cs="Arial"/>
                <w:sz w:val="16"/>
                <w:szCs w:val="16"/>
              </w:rPr>
              <w:t xml:space="preserve">Early-professionals Scheme (MATES) and extending the </w:t>
            </w:r>
          </w:p>
        </w:tc>
        <w:tc>
          <w:tcPr>
            <w:tcW w:w="449" w:type="pct"/>
            <w:tcBorders>
              <w:top w:val="nil"/>
              <w:left w:val="nil"/>
              <w:bottom w:val="nil"/>
              <w:right w:val="nil"/>
            </w:tcBorders>
            <w:shd w:val="clear" w:color="auto" w:fill="auto"/>
            <w:noWrap/>
            <w:vAlign w:val="center"/>
            <w:hideMark/>
          </w:tcPr>
          <w:p w14:paraId="59902AAA" w14:textId="77777777" w:rsidR="004B1383" w:rsidRPr="00F15348" w:rsidRDefault="004B1383" w:rsidP="004B1383">
            <w:pPr>
              <w:spacing w:before="0" w:after="0" w:line="240" w:lineRule="auto"/>
              <w:ind w:firstLineChars="200" w:firstLine="320"/>
              <w:rPr>
                <w:rFonts w:ascii="Arial" w:hAnsi="Arial" w:cs="Arial"/>
                <w:sz w:val="16"/>
                <w:szCs w:val="16"/>
              </w:rPr>
            </w:pPr>
          </w:p>
        </w:tc>
        <w:tc>
          <w:tcPr>
            <w:tcW w:w="449" w:type="pct"/>
            <w:tcBorders>
              <w:top w:val="nil"/>
              <w:left w:val="nil"/>
              <w:bottom w:val="nil"/>
              <w:right w:val="nil"/>
            </w:tcBorders>
            <w:shd w:val="clear" w:color="000000" w:fill="E6F2FF"/>
            <w:noWrap/>
            <w:vAlign w:val="center"/>
            <w:hideMark/>
          </w:tcPr>
          <w:p w14:paraId="0AC19826"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3FF69BDB"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72C60748"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3212567C"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 </w:t>
            </w:r>
          </w:p>
        </w:tc>
      </w:tr>
      <w:tr w:rsidR="004B1383" w:rsidRPr="00F15348" w14:paraId="3824E419" w14:textId="77777777" w:rsidTr="004B1383">
        <w:trPr>
          <w:trHeight w:hRule="exact" w:val="204"/>
        </w:trPr>
        <w:tc>
          <w:tcPr>
            <w:tcW w:w="2753" w:type="pct"/>
            <w:tcBorders>
              <w:top w:val="nil"/>
              <w:left w:val="nil"/>
              <w:bottom w:val="nil"/>
              <w:right w:val="nil"/>
            </w:tcBorders>
            <w:shd w:val="clear" w:color="000000" w:fill="FFFFFF"/>
            <w:vAlign w:val="center"/>
            <w:hideMark/>
          </w:tcPr>
          <w:p w14:paraId="21087236" w14:textId="77777777" w:rsidR="004B1383" w:rsidRPr="00F15348" w:rsidRDefault="004B1383" w:rsidP="004B1383">
            <w:pPr>
              <w:spacing w:before="0" w:after="0" w:line="240" w:lineRule="auto"/>
              <w:ind w:left="510"/>
              <w:rPr>
                <w:rFonts w:ascii="Arial" w:hAnsi="Arial" w:cs="Arial"/>
                <w:sz w:val="16"/>
                <w:szCs w:val="16"/>
              </w:rPr>
            </w:pPr>
            <w:r w:rsidRPr="00F15348">
              <w:rPr>
                <w:rFonts w:ascii="Arial" w:hAnsi="Arial" w:cs="Arial"/>
                <w:sz w:val="16"/>
                <w:szCs w:val="16"/>
              </w:rPr>
              <w:t>validity of the Business Visitor visa for Indian nationals</w:t>
            </w:r>
          </w:p>
        </w:tc>
        <w:tc>
          <w:tcPr>
            <w:tcW w:w="449" w:type="pct"/>
            <w:tcBorders>
              <w:top w:val="nil"/>
              <w:left w:val="nil"/>
              <w:bottom w:val="nil"/>
              <w:right w:val="nil"/>
            </w:tcBorders>
            <w:shd w:val="clear" w:color="auto" w:fill="auto"/>
            <w:noWrap/>
            <w:vAlign w:val="center"/>
            <w:hideMark/>
          </w:tcPr>
          <w:p w14:paraId="5C124D38" w14:textId="77777777" w:rsidR="004B1383" w:rsidRPr="00F15348" w:rsidRDefault="004B1383" w:rsidP="004B1383">
            <w:pPr>
              <w:spacing w:before="0" w:after="0" w:line="240" w:lineRule="auto"/>
              <w:ind w:firstLineChars="300" w:firstLine="480"/>
              <w:rPr>
                <w:rFonts w:ascii="Arial" w:hAnsi="Arial" w:cs="Arial"/>
                <w:sz w:val="16"/>
                <w:szCs w:val="16"/>
              </w:rPr>
            </w:pPr>
          </w:p>
        </w:tc>
        <w:tc>
          <w:tcPr>
            <w:tcW w:w="449" w:type="pct"/>
            <w:tcBorders>
              <w:top w:val="nil"/>
              <w:left w:val="nil"/>
              <w:bottom w:val="nil"/>
              <w:right w:val="nil"/>
            </w:tcBorders>
            <w:shd w:val="clear" w:color="000000" w:fill="E6F2FF"/>
            <w:noWrap/>
            <w:vAlign w:val="center"/>
            <w:hideMark/>
          </w:tcPr>
          <w:p w14:paraId="452941BF"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5ACC2583"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64C7E65C"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63DD341B"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 </w:t>
            </w:r>
          </w:p>
        </w:tc>
      </w:tr>
      <w:tr w:rsidR="004B1383" w:rsidRPr="00F15348" w14:paraId="4610F27D" w14:textId="77777777" w:rsidTr="004B1383">
        <w:trPr>
          <w:trHeight w:hRule="exact" w:val="226"/>
        </w:trPr>
        <w:tc>
          <w:tcPr>
            <w:tcW w:w="2753" w:type="pct"/>
            <w:tcBorders>
              <w:top w:val="nil"/>
              <w:left w:val="nil"/>
              <w:bottom w:val="nil"/>
              <w:right w:val="nil"/>
            </w:tcBorders>
            <w:shd w:val="clear" w:color="000000" w:fill="FFFFFF"/>
            <w:noWrap/>
            <w:vAlign w:val="center"/>
            <w:hideMark/>
          </w:tcPr>
          <w:p w14:paraId="7A4F6952" w14:textId="77777777" w:rsidR="004B1383" w:rsidRPr="00F15348" w:rsidRDefault="004B1383" w:rsidP="004B1383">
            <w:pPr>
              <w:spacing w:before="0" w:after="0" w:line="240" w:lineRule="auto"/>
              <w:ind w:left="170"/>
              <w:rPr>
                <w:rFonts w:ascii="Arial" w:hAnsi="Arial" w:cs="Arial"/>
                <w:sz w:val="16"/>
                <w:szCs w:val="16"/>
              </w:rPr>
            </w:pPr>
            <w:r w:rsidRPr="00F15348">
              <w:rPr>
                <w:rFonts w:ascii="Arial" w:hAnsi="Arial" w:cs="Arial"/>
                <w:sz w:val="16"/>
                <w:szCs w:val="16"/>
              </w:rPr>
              <w:t xml:space="preserve">Permanent Migration Program – 2024-25 planning levels </w:t>
            </w:r>
          </w:p>
        </w:tc>
        <w:tc>
          <w:tcPr>
            <w:tcW w:w="449" w:type="pct"/>
            <w:tcBorders>
              <w:top w:val="nil"/>
              <w:left w:val="nil"/>
              <w:bottom w:val="nil"/>
              <w:right w:val="nil"/>
            </w:tcBorders>
            <w:shd w:val="clear" w:color="auto" w:fill="auto"/>
            <w:noWrap/>
            <w:vAlign w:val="center"/>
            <w:hideMark/>
          </w:tcPr>
          <w:p w14:paraId="5388719D"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w:t>
            </w:r>
          </w:p>
        </w:tc>
        <w:tc>
          <w:tcPr>
            <w:tcW w:w="449" w:type="pct"/>
            <w:tcBorders>
              <w:top w:val="nil"/>
              <w:left w:val="nil"/>
              <w:bottom w:val="nil"/>
              <w:right w:val="nil"/>
            </w:tcBorders>
            <w:shd w:val="clear" w:color="000000" w:fill="E6F2FF"/>
            <w:noWrap/>
            <w:vAlign w:val="center"/>
            <w:hideMark/>
          </w:tcPr>
          <w:p w14:paraId="347B7392"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w:t>
            </w:r>
          </w:p>
        </w:tc>
        <w:tc>
          <w:tcPr>
            <w:tcW w:w="449" w:type="pct"/>
            <w:tcBorders>
              <w:top w:val="nil"/>
              <w:left w:val="nil"/>
              <w:bottom w:val="nil"/>
              <w:right w:val="nil"/>
            </w:tcBorders>
            <w:shd w:val="clear" w:color="000000" w:fill="FFFFFF"/>
            <w:noWrap/>
            <w:vAlign w:val="center"/>
            <w:hideMark/>
          </w:tcPr>
          <w:p w14:paraId="7F0D7237"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-5.0</w:t>
            </w:r>
          </w:p>
        </w:tc>
        <w:tc>
          <w:tcPr>
            <w:tcW w:w="449" w:type="pct"/>
            <w:tcBorders>
              <w:top w:val="nil"/>
              <w:left w:val="nil"/>
              <w:bottom w:val="nil"/>
              <w:right w:val="nil"/>
            </w:tcBorders>
            <w:shd w:val="clear" w:color="000000" w:fill="FFFFFF"/>
            <w:noWrap/>
            <w:vAlign w:val="center"/>
            <w:hideMark/>
          </w:tcPr>
          <w:p w14:paraId="41E3A170"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-5.0</w:t>
            </w:r>
          </w:p>
        </w:tc>
        <w:tc>
          <w:tcPr>
            <w:tcW w:w="449" w:type="pct"/>
            <w:tcBorders>
              <w:top w:val="nil"/>
              <w:left w:val="nil"/>
              <w:bottom w:val="nil"/>
              <w:right w:val="nil"/>
            </w:tcBorders>
            <w:shd w:val="clear" w:color="000000" w:fill="FFFFFF"/>
            <w:noWrap/>
            <w:vAlign w:val="center"/>
            <w:hideMark/>
          </w:tcPr>
          <w:p w14:paraId="54B53076"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-10.0</w:t>
            </w:r>
          </w:p>
        </w:tc>
      </w:tr>
      <w:tr w:rsidR="004B1383" w:rsidRPr="00F15348" w14:paraId="57823E81" w14:textId="77777777" w:rsidTr="004B1383">
        <w:trPr>
          <w:trHeight w:hRule="exact" w:val="226"/>
        </w:trPr>
        <w:tc>
          <w:tcPr>
            <w:tcW w:w="2753" w:type="pct"/>
            <w:tcBorders>
              <w:top w:val="nil"/>
              <w:left w:val="nil"/>
              <w:bottom w:val="nil"/>
              <w:right w:val="nil"/>
            </w:tcBorders>
            <w:shd w:val="clear" w:color="000000" w:fill="FFFFFF"/>
            <w:noWrap/>
            <w:vAlign w:val="center"/>
            <w:hideMark/>
          </w:tcPr>
          <w:p w14:paraId="1333742A" w14:textId="77777777" w:rsidR="004B1383" w:rsidRPr="00F15348" w:rsidRDefault="004B1383" w:rsidP="004B1383">
            <w:pPr>
              <w:spacing w:before="0" w:after="0" w:line="240" w:lineRule="auto"/>
              <w:ind w:left="340"/>
              <w:rPr>
                <w:rFonts w:ascii="Arial" w:hAnsi="Arial" w:cs="Arial"/>
                <w:sz w:val="16"/>
                <w:szCs w:val="16"/>
              </w:rPr>
            </w:pPr>
            <w:r w:rsidRPr="00F15348">
              <w:rPr>
                <w:rFonts w:ascii="Arial" w:hAnsi="Arial" w:cs="Arial"/>
                <w:sz w:val="16"/>
                <w:szCs w:val="16"/>
              </w:rPr>
              <w:t>and multi-year planning</w:t>
            </w:r>
          </w:p>
        </w:tc>
        <w:tc>
          <w:tcPr>
            <w:tcW w:w="449" w:type="pct"/>
            <w:tcBorders>
              <w:top w:val="nil"/>
              <w:left w:val="nil"/>
              <w:bottom w:val="nil"/>
              <w:right w:val="nil"/>
            </w:tcBorders>
            <w:shd w:val="clear" w:color="auto" w:fill="auto"/>
            <w:noWrap/>
            <w:vAlign w:val="center"/>
            <w:hideMark/>
          </w:tcPr>
          <w:p w14:paraId="37FC1F10" w14:textId="77777777" w:rsidR="004B1383" w:rsidRPr="00F15348" w:rsidRDefault="004B1383" w:rsidP="004B1383">
            <w:pPr>
              <w:spacing w:before="0" w:after="0" w:line="240" w:lineRule="auto"/>
              <w:ind w:firstLineChars="200" w:firstLine="320"/>
              <w:rPr>
                <w:rFonts w:ascii="Arial" w:hAnsi="Arial" w:cs="Arial"/>
                <w:sz w:val="16"/>
                <w:szCs w:val="16"/>
              </w:rPr>
            </w:pPr>
          </w:p>
        </w:tc>
        <w:tc>
          <w:tcPr>
            <w:tcW w:w="449" w:type="pct"/>
            <w:tcBorders>
              <w:top w:val="nil"/>
              <w:left w:val="nil"/>
              <w:bottom w:val="nil"/>
              <w:right w:val="nil"/>
            </w:tcBorders>
            <w:shd w:val="clear" w:color="000000" w:fill="E6F2FF"/>
            <w:noWrap/>
            <w:vAlign w:val="center"/>
            <w:hideMark/>
          </w:tcPr>
          <w:p w14:paraId="5E407E4E"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6B3A59D7"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38956F56"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57DD152D"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 </w:t>
            </w:r>
          </w:p>
        </w:tc>
      </w:tr>
      <w:tr w:rsidR="004B1383" w:rsidRPr="00F15348" w14:paraId="509DA3E2" w14:textId="77777777" w:rsidTr="004B1383">
        <w:trPr>
          <w:trHeight w:hRule="exact" w:val="226"/>
        </w:trPr>
        <w:tc>
          <w:tcPr>
            <w:tcW w:w="2753" w:type="pct"/>
            <w:tcBorders>
              <w:top w:val="nil"/>
              <w:left w:val="nil"/>
              <w:bottom w:val="nil"/>
              <w:right w:val="nil"/>
            </w:tcBorders>
            <w:shd w:val="clear" w:color="000000" w:fill="FFFFFF"/>
            <w:noWrap/>
            <w:vAlign w:val="center"/>
            <w:hideMark/>
          </w:tcPr>
          <w:p w14:paraId="3AA4CEEE" w14:textId="77777777" w:rsidR="004B1383" w:rsidRPr="00F15348" w:rsidRDefault="004B1383" w:rsidP="004B1383">
            <w:pPr>
              <w:spacing w:before="0" w:after="0" w:line="240" w:lineRule="auto"/>
              <w:ind w:left="170"/>
              <w:rPr>
                <w:rFonts w:ascii="Arial" w:hAnsi="Arial" w:cs="Arial"/>
                <w:sz w:val="16"/>
                <w:szCs w:val="16"/>
              </w:rPr>
            </w:pPr>
            <w:r w:rsidRPr="00F15348">
              <w:rPr>
                <w:rFonts w:ascii="Arial" w:hAnsi="Arial" w:cs="Arial"/>
                <w:sz w:val="16"/>
                <w:szCs w:val="16"/>
              </w:rPr>
              <w:t>Migration System Reforms</w:t>
            </w:r>
          </w:p>
        </w:tc>
        <w:tc>
          <w:tcPr>
            <w:tcW w:w="449" w:type="pct"/>
            <w:tcBorders>
              <w:top w:val="nil"/>
              <w:left w:val="nil"/>
              <w:bottom w:val="nil"/>
              <w:right w:val="nil"/>
            </w:tcBorders>
            <w:shd w:val="clear" w:color="auto" w:fill="auto"/>
            <w:noWrap/>
            <w:vAlign w:val="center"/>
            <w:hideMark/>
          </w:tcPr>
          <w:p w14:paraId="5FA341CC"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w:t>
            </w:r>
          </w:p>
        </w:tc>
        <w:tc>
          <w:tcPr>
            <w:tcW w:w="449" w:type="pct"/>
            <w:tcBorders>
              <w:top w:val="nil"/>
              <w:left w:val="nil"/>
              <w:bottom w:val="nil"/>
              <w:right w:val="nil"/>
            </w:tcBorders>
            <w:shd w:val="clear" w:color="000000" w:fill="E6F2FF"/>
            <w:noWrap/>
            <w:vAlign w:val="center"/>
            <w:hideMark/>
          </w:tcPr>
          <w:p w14:paraId="152017F0"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w:t>
            </w:r>
          </w:p>
        </w:tc>
        <w:tc>
          <w:tcPr>
            <w:tcW w:w="449" w:type="pct"/>
            <w:tcBorders>
              <w:top w:val="nil"/>
              <w:left w:val="nil"/>
              <w:bottom w:val="nil"/>
              <w:right w:val="nil"/>
            </w:tcBorders>
            <w:shd w:val="clear" w:color="000000" w:fill="FFFFFF"/>
            <w:noWrap/>
            <w:vAlign w:val="center"/>
            <w:hideMark/>
          </w:tcPr>
          <w:p w14:paraId="0B430A16"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w:t>
            </w:r>
          </w:p>
        </w:tc>
        <w:tc>
          <w:tcPr>
            <w:tcW w:w="449" w:type="pct"/>
            <w:tcBorders>
              <w:top w:val="nil"/>
              <w:left w:val="nil"/>
              <w:bottom w:val="nil"/>
              <w:right w:val="nil"/>
            </w:tcBorders>
            <w:shd w:val="clear" w:color="000000" w:fill="FFFFFF"/>
            <w:noWrap/>
            <w:vAlign w:val="center"/>
            <w:hideMark/>
          </w:tcPr>
          <w:p w14:paraId="25E6B4CD"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w:t>
            </w:r>
          </w:p>
        </w:tc>
        <w:tc>
          <w:tcPr>
            <w:tcW w:w="449" w:type="pct"/>
            <w:tcBorders>
              <w:top w:val="nil"/>
              <w:left w:val="nil"/>
              <w:bottom w:val="nil"/>
              <w:right w:val="nil"/>
            </w:tcBorders>
            <w:shd w:val="clear" w:color="000000" w:fill="FFFFFF"/>
            <w:noWrap/>
            <w:vAlign w:val="center"/>
            <w:hideMark/>
          </w:tcPr>
          <w:p w14:paraId="1EB2E8E7"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w:t>
            </w:r>
          </w:p>
        </w:tc>
      </w:tr>
      <w:tr w:rsidR="004B1383" w:rsidRPr="00F15348" w14:paraId="06FE4B24" w14:textId="77777777" w:rsidTr="004B1383">
        <w:trPr>
          <w:trHeight w:hRule="exact" w:val="226"/>
        </w:trPr>
        <w:tc>
          <w:tcPr>
            <w:tcW w:w="2753" w:type="pct"/>
            <w:tcBorders>
              <w:top w:val="nil"/>
              <w:left w:val="nil"/>
              <w:bottom w:val="nil"/>
              <w:right w:val="nil"/>
            </w:tcBorders>
            <w:shd w:val="clear" w:color="000000" w:fill="FFFFFF"/>
            <w:noWrap/>
            <w:vAlign w:val="center"/>
            <w:hideMark/>
          </w:tcPr>
          <w:p w14:paraId="4AA4F742" w14:textId="77777777" w:rsidR="004B1383" w:rsidRPr="00F15348" w:rsidRDefault="004B1383" w:rsidP="004B1383">
            <w:pPr>
              <w:spacing w:before="0" w:after="0" w:line="240" w:lineRule="auto"/>
              <w:ind w:left="170"/>
              <w:rPr>
                <w:rFonts w:ascii="Arial" w:hAnsi="Arial" w:cs="Arial"/>
                <w:sz w:val="16"/>
                <w:szCs w:val="16"/>
              </w:rPr>
            </w:pPr>
            <w:r w:rsidRPr="00F15348">
              <w:rPr>
                <w:rFonts w:ascii="Arial" w:hAnsi="Arial" w:cs="Arial"/>
                <w:sz w:val="16"/>
                <w:szCs w:val="16"/>
              </w:rPr>
              <w:t>Modernising Digital Assets and Payments Regulation</w:t>
            </w:r>
          </w:p>
        </w:tc>
        <w:tc>
          <w:tcPr>
            <w:tcW w:w="449" w:type="pct"/>
            <w:tcBorders>
              <w:top w:val="nil"/>
              <w:left w:val="nil"/>
              <w:bottom w:val="nil"/>
              <w:right w:val="nil"/>
            </w:tcBorders>
            <w:shd w:val="clear" w:color="auto" w:fill="auto"/>
            <w:noWrap/>
            <w:vAlign w:val="center"/>
            <w:hideMark/>
          </w:tcPr>
          <w:p w14:paraId="35AE76DE"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w:t>
            </w:r>
          </w:p>
        </w:tc>
        <w:tc>
          <w:tcPr>
            <w:tcW w:w="449" w:type="pct"/>
            <w:tcBorders>
              <w:top w:val="nil"/>
              <w:left w:val="nil"/>
              <w:bottom w:val="nil"/>
              <w:right w:val="nil"/>
            </w:tcBorders>
            <w:shd w:val="clear" w:color="000000" w:fill="E6F2FF"/>
            <w:noWrap/>
            <w:vAlign w:val="center"/>
            <w:hideMark/>
          </w:tcPr>
          <w:p w14:paraId="0112FEF7"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w:t>
            </w:r>
          </w:p>
        </w:tc>
        <w:tc>
          <w:tcPr>
            <w:tcW w:w="449" w:type="pct"/>
            <w:tcBorders>
              <w:top w:val="nil"/>
              <w:left w:val="nil"/>
              <w:bottom w:val="nil"/>
              <w:right w:val="nil"/>
            </w:tcBorders>
            <w:shd w:val="clear" w:color="000000" w:fill="FFFFFF"/>
            <w:noWrap/>
            <w:vAlign w:val="center"/>
            <w:hideMark/>
          </w:tcPr>
          <w:p w14:paraId="50CBF4D0"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w:t>
            </w:r>
          </w:p>
        </w:tc>
        <w:tc>
          <w:tcPr>
            <w:tcW w:w="449" w:type="pct"/>
            <w:tcBorders>
              <w:top w:val="nil"/>
              <w:left w:val="nil"/>
              <w:bottom w:val="nil"/>
              <w:right w:val="nil"/>
            </w:tcBorders>
            <w:shd w:val="clear" w:color="000000" w:fill="FFFFFF"/>
            <w:noWrap/>
            <w:vAlign w:val="center"/>
            <w:hideMark/>
          </w:tcPr>
          <w:p w14:paraId="3B7BBA69"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w:t>
            </w:r>
          </w:p>
        </w:tc>
        <w:tc>
          <w:tcPr>
            <w:tcW w:w="449" w:type="pct"/>
            <w:tcBorders>
              <w:top w:val="nil"/>
              <w:left w:val="nil"/>
              <w:bottom w:val="nil"/>
              <w:right w:val="nil"/>
            </w:tcBorders>
            <w:shd w:val="clear" w:color="000000" w:fill="FFFFFF"/>
            <w:noWrap/>
            <w:vAlign w:val="center"/>
            <w:hideMark/>
          </w:tcPr>
          <w:p w14:paraId="14AB3433"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w:t>
            </w:r>
          </w:p>
        </w:tc>
      </w:tr>
      <w:tr w:rsidR="004B1383" w:rsidRPr="00F15348" w14:paraId="452DDAF4" w14:textId="77777777" w:rsidTr="004B1383">
        <w:trPr>
          <w:trHeight w:hRule="exact" w:val="226"/>
        </w:trPr>
        <w:tc>
          <w:tcPr>
            <w:tcW w:w="2753" w:type="pct"/>
            <w:tcBorders>
              <w:top w:val="nil"/>
              <w:left w:val="nil"/>
              <w:bottom w:val="nil"/>
              <w:right w:val="nil"/>
            </w:tcBorders>
            <w:shd w:val="clear" w:color="000000" w:fill="FFFFFF"/>
            <w:noWrap/>
            <w:vAlign w:val="center"/>
            <w:hideMark/>
          </w:tcPr>
          <w:p w14:paraId="649569E9" w14:textId="77777777" w:rsidR="004B1383" w:rsidRPr="00F15348" w:rsidRDefault="004B1383" w:rsidP="004B1383">
            <w:pPr>
              <w:spacing w:before="0" w:after="0" w:line="240" w:lineRule="auto"/>
              <w:ind w:left="170"/>
              <w:rPr>
                <w:rFonts w:ascii="Arial" w:hAnsi="Arial" w:cs="Arial"/>
                <w:sz w:val="16"/>
                <w:szCs w:val="16"/>
              </w:rPr>
            </w:pPr>
            <w:r w:rsidRPr="00F15348">
              <w:rPr>
                <w:rFonts w:ascii="Arial" w:hAnsi="Arial" w:cs="Arial"/>
                <w:sz w:val="16"/>
                <w:szCs w:val="16"/>
              </w:rPr>
              <w:t xml:space="preserve">Strengthening Tax Compliance – Australian Taxation Office </w:t>
            </w:r>
          </w:p>
        </w:tc>
        <w:tc>
          <w:tcPr>
            <w:tcW w:w="449" w:type="pct"/>
            <w:tcBorders>
              <w:top w:val="nil"/>
              <w:left w:val="nil"/>
              <w:bottom w:val="nil"/>
              <w:right w:val="nil"/>
            </w:tcBorders>
            <w:shd w:val="clear" w:color="auto" w:fill="auto"/>
            <w:noWrap/>
            <w:vAlign w:val="center"/>
            <w:hideMark/>
          </w:tcPr>
          <w:p w14:paraId="530CF492"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w:t>
            </w:r>
          </w:p>
        </w:tc>
        <w:tc>
          <w:tcPr>
            <w:tcW w:w="449" w:type="pct"/>
            <w:tcBorders>
              <w:top w:val="nil"/>
              <w:left w:val="nil"/>
              <w:bottom w:val="nil"/>
              <w:right w:val="nil"/>
            </w:tcBorders>
            <w:shd w:val="clear" w:color="000000" w:fill="E6F2FF"/>
            <w:noWrap/>
            <w:vAlign w:val="center"/>
            <w:hideMark/>
          </w:tcPr>
          <w:p w14:paraId="330F7894"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w:t>
            </w:r>
          </w:p>
        </w:tc>
        <w:tc>
          <w:tcPr>
            <w:tcW w:w="449" w:type="pct"/>
            <w:tcBorders>
              <w:top w:val="nil"/>
              <w:left w:val="nil"/>
              <w:bottom w:val="nil"/>
              <w:right w:val="nil"/>
            </w:tcBorders>
            <w:shd w:val="clear" w:color="000000" w:fill="FFFFFF"/>
            <w:noWrap/>
            <w:vAlign w:val="center"/>
            <w:hideMark/>
          </w:tcPr>
          <w:p w14:paraId="7391A30C"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w:t>
            </w:r>
          </w:p>
        </w:tc>
        <w:tc>
          <w:tcPr>
            <w:tcW w:w="449" w:type="pct"/>
            <w:tcBorders>
              <w:top w:val="nil"/>
              <w:left w:val="nil"/>
              <w:bottom w:val="nil"/>
              <w:right w:val="nil"/>
            </w:tcBorders>
            <w:shd w:val="clear" w:color="000000" w:fill="FFFFFF"/>
            <w:noWrap/>
            <w:vAlign w:val="center"/>
            <w:hideMark/>
          </w:tcPr>
          <w:p w14:paraId="35290908"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w:t>
            </w:r>
          </w:p>
        </w:tc>
        <w:tc>
          <w:tcPr>
            <w:tcW w:w="449" w:type="pct"/>
            <w:tcBorders>
              <w:top w:val="nil"/>
              <w:left w:val="nil"/>
              <w:bottom w:val="nil"/>
              <w:right w:val="nil"/>
            </w:tcBorders>
            <w:shd w:val="clear" w:color="000000" w:fill="FFFFFF"/>
            <w:noWrap/>
            <w:vAlign w:val="center"/>
            <w:hideMark/>
          </w:tcPr>
          <w:p w14:paraId="024C538C"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w:t>
            </w:r>
          </w:p>
        </w:tc>
      </w:tr>
      <w:tr w:rsidR="004B1383" w:rsidRPr="00F15348" w14:paraId="6CC21CF8" w14:textId="77777777" w:rsidTr="004B1383">
        <w:trPr>
          <w:trHeight w:hRule="exact" w:val="226"/>
        </w:trPr>
        <w:tc>
          <w:tcPr>
            <w:tcW w:w="2753" w:type="pct"/>
            <w:tcBorders>
              <w:top w:val="nil"/>
              <w:left w:val="nil"/>
              <w:bottom w:val="nil"/>
              <w:right w:val="nil"/>
            </w:tcBorders>
            <w:shd w:val="clear" w:color="000000" w:fill="FFFFFF"/>
            <w:noWrap/>
            <w:vAlign w:val="center"/>
            <w:hideMark/>
          </w:tcPr>
          <w:p w14:paraId="0B35AC38" w14:textId="77777777" w:rsidR="004B1383" w:rsidRPr="00F15348" w:rsidRDefault="004B1383" w:rsidP="004B1383">
            <w:pPr>
              <w:spacing w:before="0" w:after="0" w:line="240" w:lineRule="auto"/>
              <w:ind w:left="340"/>
              <w:rPr>
                <w:rFonts w:ascii="Arial" w:hAnsi="Arial" w:cs="Arial"/>
                <w:sz w:val="16"/>
                <w:szCs w:val="16"/>
              </w:rPr>
            </w:pPr>
            <w:r w:rsidRPr="00F15348">
              <w:rPr>
                <w:rFonts w:ascii="Arial" w:hAnsi="Arial" w:cs="Arial"/>
                <w:sz w:val="16"/>
                <w:szCs w:val="16"/>
              </w:rPr>
              <w:t>Counter Fraud Strategy</w:t>
            </w:r>
          </w:p>
        </w:tc>
        <w:tc>
          <w:tcPr>
            <w:tcW w:w="449" w:type="pct"/>
            <w:tcBorders>
              <w:top w:val="nil"/>
              <w:left w:val="nil"/>
              <w:bottom w:val="nil"/>
              <w:right w:val="nil"/>
            </w:tcBorders>
            <w:shd w:val="clear" w:color="auto" w:fill="auto"/>
            <w:noWrap/>
            <w:vAlign w:val="center"/>
            <w:hideMark/>
          </w:tcPr>
          <w:p w14:paraId="251CA834" w14:textId="77777777" w:rsidR="004B1383" w:rsidRPr="00F15348" w:rsidRDefault="004B1383" w:rsidP="004B1383">
            <w:pPr>
              <w:spacing w:before="0" w:after="0" w:line="240" w:lineRule="auto"/>
              <w:ind w:firstLineChars="200" w:firstLine="320"/>
              <w:rPr>
                <w:rFonts w:ascii="Arial" w:hAnsi="Arial" w:cs="Arial"/>
                <w:sz w:val="16"/>
                <w:szCs w:val="16"/>
              </w:rPr>
            </w:pPr>
          </w:p>
        </w:tc>
        <w:tc>
          <w:tcPr>
            <w:tcW w:w="449" w:type="pct"/>
            <w:tcBorders>
              <w:top w:val="nil"/>
              <w:left w:val="nil"/>
              <w:bottom w:val="nil"/>
              <w:right w:val="nil"/>
            </w:tcBorders>
            <w:shd w:val="clear" w:color="000000" w:fill="E6F2FF"/>
            <w:noWrap/>
            <w:vAlign w:val="center"/>
            <w:hideMark/>
          </w:tcPr>
          <w:p w14:paraId="576D8DC8"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20E52905"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126365DB"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 </w:t>
            </w:r>
          </w:p>
        </w:tc>
        <w:tc>
          <w:tcPr>
            <w:tcW w:w="449" w:type="pct"/>
            <w:tcBorders>
              <w:top w:val="nil"/>
              <w:left w:val="nil"/>
              <w:bottom w:val="nil"/>
              <w:right w:val="nil"/>
            </w:tcBorders>
            <w:shd w:val="clear" w:color="000000" w:fill="FFFFFF"/>
            <w:noWrap/>
            <w:vAlign w:val="center"/>
            <w:hideMark/>
          </w:tcPr>
          <w:p w14:paraId="0A474F83"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 </w:t>
            </w:r>
          </w:p>
        </w:tc>
      </w:tr>
      <w:tr w:rsidR="004B1383" w:rsidRPr="00F15348" w14:paraId="4365A20E" w14:textId="77777777" w:rsidTr="004B1383">
        <w:trPr>
          <w:trHeight w:hRule="exact" w:val="226"/>
        </w:trPr>
        <w:tc>
          <w:tcPr>
            <w:tcW w:w="2753" w:type="pct"/>
            <w:tcBorders>
              <w:top w:val="nil"/>
              <w:left w:val="nil"/>
              <w:bottom w:val="nil"/>
              <w:right w:val="nil"/>
            </w:tcBorders>
            <w:shd w:val="clear" w:color="000000" w:fill="FFFFFF"/>
            <w:noWrap/>
            <w:vAlign w:val="center"/>
            <w:hideMark/>
          </w:tcPr>
          <w:p w14:paraId="6DDE41C3" w14:textId="77777777" w:rsidR="004B1383" w:rsidRPr="00F15348" w:rsidRDefault="004B1383" w:rsidP="004B1383">
            <w:pPr>
              <w:spacing w:before="0" w:after="0" w:line="240" w:lineRule="auto"/>
              <w:ind w:left="170"/>
              <w:rPr>
                <w:rFonts w:ascii="Arial" w:hAnsi="Arial" w:cs="Arial"/>
                <w:sz w:val="16"/>
                <w:szCs w:val="16"/>
              </w:rPr>
            </w:pPr>
            <w:r w:rsidRPr="00F15348">
              <w:rPr>
                <w:rFonts w:ascii="Arial" w:hAnsi="Arial" w:cs="Arial"/>
                <w:sz w:val="16"/>
                <w:szCs w:val="16"/>
              </w:rPr>
              <w:t>Amendments to existing measures</w:t>
            </w:r>
          </w:p>
        </w:tc>
        <w:tc>
          <w:tcPr>
            <w:tcW w:w="449" w:type="pct"/>
            <w:tcBorders>
              <w:top w:val="nil"/>
              <w:left w:val="nil"/>
              <w:bottom w:val="nil"/>
              <w:right w:val="nil"/>
            </w:tcBorders>
            <w:shd w:val="clear" w:color="auto" w:fill="auto"/>
            <w:noWrap/>
            <w:vAlign w:val="center"/>
            <w:hideMark/>
          </w:tcPr>
          <w:p w14:paraId="028DD6CC"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w:t>
            </w:r>
          </w:p>
        </w:tc>
        <w:tc>
          <w:tcPr>
            <w:tcW w:w="449" w:type="pct"/>
            <w:tcBorders>
              <w:top w:val="nil"/>
              <w:left w:val="nil"/>
              <w:bottom w:val="nil"/>
              <w:right w:val="nil"/>
            </w:tcBorders>
            <w:shd w:val="clear" w:color="000000" w:fill="E6F2FF"/>
            <w:noWrap/>
            <w:vAlign w:val="center"/>
            <w:hideMark/>
          </w:tcPr>
          <w:p w14:paraId="1675F474"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w:t>
            </w:r>
          </w:p>
        </w:tc>
        <w:tc>
          <w:tcPr>
            <w:tcW w:w="449" w:type="pct"/>
            <w:tcBorders>
              <w:top w:val="nil"/>
              <w:left w:val="nil"/>
              <w:bottom w:val="nil"/>
              <w:right w:val="nil"/>
            </w:tcBorders>
            <w:shd w:val="clear" w:color="000000" w:fill="FFFFFF"/>
            <w:noWrap/>
            <w:vAlign w:val="center"/>
            <w:hideMark/>
          </w:tcPr>
          <w:p w14:paraId="462FBD4A"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w:t>
            </w:r>
          </w:p>
        </w:tc>
        <w:tc>
          <w:tcPr>
            <w:tcW w:w="449" w:type="pct"/>
            <w:tcBorders>
              <w:top w:val="nil"/>
              <w:left w:val="nil"/>
              <w:bottom w:val="nil"/>
              <w:right w:val="nil"/>
            </w:tcBorders>
            <w:shd w:val="clear" w:color="000000" w:fill="FFFFFF"/>
            <w:noWrap/>
            <w:vAlign w:val="center"/>
            <w:hideMark/>
          </w:tcPr>
          <w:p w14:paraId="307DA4BD"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w:t>
            </w:r>
          </w:p>
        </w:tc>
        <w:tc>
          <w:tcPr>
            <w:tcW w:w="449" w:type="pct"/>
            <w:tcBorders>
              <w:top w:val="nil"/>
              <w:left w:val="nil"/>
              <w:bottom w:val="nil"/>
              <w:right w:val="nil"/>
            </w:tcBorders>
            <w:shd w:val="clear" w:color="000000" w:fill="FFFFFF"/>
            <w:noWrap/>
            <w:vAlign w:val="center"/>
            <w:hideMark/>
          </w:tcPr>
          <w:p w14:paraId="5F25ACDE"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w:t>
            </w:r>
          </w:p>
        </w:tc>
      </w:tr>
      <w:tr w:rsidR="004B1383" w:rsidRPr="00F15348" w14:paraId="1FEDF619" w14:textId="77777777" w:rsidTr="004B1383">
        <w:trPr>
          <w:trHeight w:hRule="exact" w:val="226"/>
        </w:trPr>
        <w:tc>
          <w:tcPr>
            <w:tcW w:w="2753" w:type="pct"/>
            <w:tcBorders>
              <w:top w:val="nil"/>
              <w:left w:val="nil"/>
              <w:bottom w:val="nil"/>
              <w:right w:val="nil"/>
            </w:tcBorders>
            <w:shd w:val="clear" w:color="000000" w:fill="FFFFFF"/>
            <w:noWrap/>
            <w:vAlign w:val="center"/>
            <w:hideMark/>
          </w:tcPr>
          <w:p w14:paraId="2D06D206" w14:textId="77777777" w:rsidR="004B1383" w:rsidRPr="00F15348" w:rsidRDefault="004B1383" w:rsidP="004B1383">
            <w:pPr>
              <w:spacing w:before="0" w:after="0" w:line="240" w:lineRule="auto"/>
              <w:ind w:left="170"/>
              <w:rPr>
                <w:rFonts w:ascii="Arial" w:hAnsi="Arial" w:cs="Arial"/>
                <w:i/>
                <w:sz w:val="16"/>
                <w:szCs w:val="16"/>
              </w:rPr>
            </w:pPr>
            <w:r w:rsidRPr="00F15348">
              <w:rPr>
                <w:rFonts w:ascii="Arial" w:hAnsi="Arial" w:cs="Arial"/>
                <w:i/>
                <w:sz w:val="16"/>
                <w:szCs w:val="16"/>
              </w:rPr>
              <w:t>Decisions taken but not yet announced</w:t>
            </w:r>
          </w:p>
        </w:tc>
        <w:tc>
          <w:tcPr>
            <w:tcW w:w="449" w:type="pct"/>
            <w:tcBorders>
              <w:top w:val="nil"/>
              <w:left w:val="nil"/>
              <w:bottom w:val="nil"/>
              <w:right w:val="nil"/>
            </w:tcBorders>
            <w:shd w:val="clear" w:color="auto" w:fill="auto"/>
            <w:noWrap/>
            <w:vAlign w:val="center"/>
            <w:hideMark/>
          </w:tcPr>
          <w:p w14:paraId="79B3E8F9"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w:t>
            </w:r>
          </w:p>
        </w:tc>
        <w:tc>
          <w:tcPr>
            <w:tcW w:w="449" w:type="pct"/>
            <w:tcBorders>
              <w:top w:val="nil"/>
              <w:left w:val="nil"/>
              <w:bottom w:val="nil"/>
              <w:right w:val="nil"/>
            </w:tcBorders>
            <w:shd w:val="clear" w:color="000000" w:fill="E6F2FF"/>
            <w:noWrap/>
            <w:vAlign w:val="center"/>
            <w:hideMark/>
          </w:tcPr>
          <w:p w14:paraId="05FD8C86"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-5.0</w:t>
            </w:r>
          </w:p>
        </w:tc>
        <w:tc>
          <w:tcPr>
            <w:tcW w:w="449" w:type="pct"/>
            <w:tcBorders>
              <w:top w:val="nil"/>
              <w:left w:val="nil"/>
              <w:bottom w:val="nil"/>
              <w:right w:val="nil"/>
            </w:tcBorders>
            <w:shd w:val="clear" w:color="000000" w:fill="FFFFFF"/>
            <w:noWrap/>
            <w:vAlign w:val="center"/>
            <w:hideMark/>
          </w:tcPr>
          <w:p w14:paraId="6B04B217"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-15.0</w:t>
            </w:r>
          </w:p>
        </w:tc>
        <w:tc>
          <w:tcPr>
            <w:tcW w:w="449" w:type="pct"/>
            <w:tcBorders>
              <w:top w:val="nil"/>
              <w:left w:val="nil"/>
              <w:bottom w:val="nil"/>
              <w:right w:val="nil"/>
            </w:tcBorders>
            <w:shd w:val="clear" w:color="000000" w:fill="FFFFFF"/>
            <w:noWrap/>
            <w:vAlign w:val="center"/>
            <w:hideMark/>
          </w:tcPr>
          <w:p w14:paraId="2E310C26"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-25.0</w:t>
            </w:r>
          </w:p>
        </w:tc>
        <w:tc>
          <w:tcPr>
            <w:tcW w:w="449" w:type="pct"/>
            <w:tcBorders>
              <w:top w:val="nil"/>
              <w:left w:val="nil"/>
              <w:bottom w:val="nil"/>
              <w:right w:val="nil"/>
            </w:tcBorders>
            <w:shd w:val="clear" w:color="000000" w:fill="FFFFFF"/>
            <w:noWrap/>
            <w:vAlign w:val="center"/>
            <w:hideMark/>
          </w:tcPr>
          <w:p w14:paraId="2AABE7F2"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-30.0</w:t>
            </w:r>
          </w:p>
        </w:tc>
      </w:tr>
      <w:tr w:rsidR="004B1383" w:rsidRPr="00F15348" w14:paraId="10F8162B" w14:textId="77777777" w:rsidTr="004B1383">
        <w:trPr>
          <w:trHeight w:hRule="exact" w:val="226"/>
        </w:trPr>
        <w:tc>
          <w:tcPr>
            <w:tcW w:w="2753" w:type="pct"/>
            <w:tcBorders>
              <w:top w:val="nil"/>
              <w:left w:val="nil"/>
              <w:bottom w:val="single" w:sz="4" w:space="0" w:color="293F5B"/>
              <w:right w:val="nil"/>
            </w:tcBorders>
            <w:shd w:val="clear" w:color="auto" w:fill="auto"/>
            <w:noWrap/>
            <w:vAlign w:val="center"/>
            <w:hideMark/>
          </w:tcPr>
          <w:p w14:paraId="0706E5FE" w14:textId="77777777" w:rsidR="004B1383" w:rsidRPr="00F15348" w:rsidRDefault="004B1383" w:rsidP="004B1383">
            <w:pPr>
              <w:spacing w:before="0" w:after="0" w:line="240" w:lineRule="auto"/>
              <w:rPr>
                <w:rFonts w:ascii="Arial" w:hAnsi="Arial" w:cs="Arial"/>
                <w:sz w:val="16"/>
                <w:szCs w:val="16"/>
              </w:rPr>
            </w:pPr>
            <w:r w:rsidRPr="00F15348">
              <w:rPr>
                <w:rFonts w:ascii="Arial" w:hAnsi="Arial" w:cs="Arial"/>
                <w:sz w:val="16"/>
                <w:szCs w:val="16"/>
              </w:rPr>
              <w:t>Total</w:t>
            </w:r>
          </w:p>
        </w:tc>
        <w:tc>
          <w:tcPr>
            <w:tcW w:w="449" w:type="pct"/>
            <w:tcBorders>
              <w:top w:val="single" w:sz="4" w:space="0" w:color="293F5B"/>
              <w:left w:val="nil"/>
              <w:bottom w:val="single" w:sz="4" w:space="0" w:color="293F5B"/>
              <w:right w:val="nil"/>
            </w:tcBorders>
            <w:shd w:val="clear" w:color="auto" w:fill="auto"/>
            <w:noWrap/>
            <w:vAlign w:val="center"/>
            <w:hideMark/>
          </w:tcPr>
          <w:p w14:paraId="2EB1EAA3"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w:t>
            </w:r>
          </w:p>
        </w:tc>
        <w:tc>
          <w:tcPr>
            <w:tcW w:w="449" w:type="pct"/>
            <w:tcBorders>
              <w:top w:val="single" w:sz="4" w:space="0" w:color="293F5B"/>
              <w:left w:val="nil"/>
              <w:bottom w:val="single" w:sz="4" w:space="0" w:color="293F5B"/>
              <w:right w:val="nil"/>
            </w:tcBorders>
            <w:shd w:val="clear" w:color="000000" w:fill="E6F2FF"/>
            <w:noWrap/>
            <w:vAlign w:val="center"/>
            <w:hideMark/>
          </w:tcPr>
          <w:p w14:paraId="7A832CE1"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-5.0</w:t>
            </w:r>
          </w:p>
        </w:tc>
        <w:tc>
          <w:tcPr>
            <w:tcW w:w="449" w:type="pct"/>
            <w:tcBorders>
              <w:top w:val="single" w:sz="4" w:space="0" w:color="293F5B"/>
              <w:left w:val="nil"/>
              <w:bottom w:val="single" w:sz="4" w:space="0" w:color="293F5B"/>
              <w:right w:val="nil"/>
            </w:tcBorders>
            <w:shd w:val="clear" w:color="auto" w:fill="auto"/>
            <w:noWrap/>
            <w:vAlign w:val="center"/>
            <w:hideMark/>
          </w:tcPr>
          <w:p w14:paraId="155DA063"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-5.0</w:t>
            </w:r>
          </w:p>
        </w:tc>
        <w:tc>
          <w:tcPr>
            <w:tcW w:w="449" w:type="pct"/>
            <w:tcBorders>
              <w:top w:val="single" w:sz="4" w:space="0" w:color="293F5B"/>
              <w:left w:val="nil"/>
              <w:bottom w:val="single" w:sz="4" w:space="0" w:color="293F5B"/>
              <w:right w:val="nil"/>
            </w:tcBorders>
            <w:shd w:val="clear" w:color="auto" w:fill="auto"/>
            <w:noWrap/>
            <w:vAlign w:val="center"/>
            <w:hideMark/>
          </w:tcPr>
          <w:p w14:paraId="43DEB820"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153.0</w:t>
            </w:r>
          </w:p>
        </w:tc>
        <w:tc>
          <w:tcPr>
            <w:tcW w:w="449" w:type="pct"/>
            <w:tcBorders>
              <w:top w:val="single" w:sz="4" w:space="0" w:color="293F5B"/>
              <w:left w:val="nil"/>
              <w:bottom w:val="single" w:sz="4" w:space="0" w:color="293F5B"/>
              <w:right w:val="nil"/>
            </w:tcBorders>
            <w:shd w:val="clear" w:color="auto" w:fill="auto"/>
            <w:noWrap/>
            <w:vAlign w:val="center"/>
            <w:hideMark/>
          </w:tcPr>
          <w:p w14:paraId="524A8C60" w14:textId="77777777" w:rsidR="004B1383" w:rsidRPr="00F15348" w:rsidRDefault="004B1383" w:rsidP="004B1383">
            <w:pPr>
              <w:spacing w:before="0" w:after="0" w:line="240" w:lineRule="auto"/>
              <w:jc w:val="right"/>
              <w:rPr>
                <w:rFonts w:ascii="Arial" w:hAnsi="Arial" w:cs="Arial"/>
                <w:sz w:val="16"/>
                <w:szCs w:val="16"/>
              </w:rPr>
            </w:pPr>
            <w:r w:rsidRPr="00F15348">
              <w:rPr>
                <w:rFonts w:ascii="Arial" w:hAnsi="Arial" w:cs="Arial"/>
                <w:sz w:val="16"/>
                <w:szCs w:val="16"/>
              </w:rPr>
              <w:t>256.6</w:t>
            </w:r>
          </w:p>
        </w:tc>
      </w:tr>
    </w:tbl>
    <w:p w14:paraId="32F330F9" w14:textId="2154F15C" w:rsidR="00D555FF" w:rsidRPr="00F15348" w:rsidRDefault="00D555FF" w:rsidP="00533013">
      <w:pPr>
        <w:rPr>
          <w:rFonts w:ascii="Arial" w:hAnsi="Arial" w:cs="Arial"/>
          <w:sz w:val="16"/>
          <w:szCs w:val="16"/>
        </w:rPr>
      </w:pPr>
      <w:r w:rsidRPr="00F15348">
        <w:t xml:space="preserve">Detailed information on policy decisions taken since the </w:t>
      </w:r>
      <w:r w:rsidR="00E4514F" w:rsidRPr="00F15348">
        <w:t>2023–24 MYEFO</w:t>
      </w:r>
      <w:r w:rsidRPr="00F15348">
        <w:rPr>
          <w:i/>
        </w:rPr>
        <w:t xml:space="preserve"> </w:t>
      </w:r>
      <w:r w:rsidRPr="00F15348">
        <w:t xml:space="preserve">is included in Budget Paper No. 2. </w:t>
      </w:r>
    </w:p>
    <w:p w14:paraId="36AA7EB9" w14:textId="0D7187EC" w:rsidR="00D555FF" w:rsidRPr="00F15348" w:rsidRDefault="00D555FF" w:rsidP="00D555FF">
      <w:pPr>
        <w:pStyle w:val="Heading3"/>
      </w:pPr>
      <w:r w:rsidRPr="00F15348">
        <w:t xml:space="preserve">Distribution of the GST among the states </w:t>
      </w:r>
    </w:p>
    <w:p w14:paraId="45CC56E0" w14:textId="77777777" w:rsidR="00D555FF" w:rsidRPr="00F15348" w:rsidRDefault="00D555FF" w:rsidP="00D555FF">
      <w:r w:rsidRPr="00F15348">
        <w:t xml:space="preserve">The Australian Government distributes the GST among the states based on the GST revenue sharing relativities recommended by the Commonwealth Grants Commission (the CGC). </w:t>
      </w:r>
    </w:p>
    <w:p w14:paraId="4B2D96C8" w14:textId="5A683314" w:rsidR="00D555FF" w:rsidRPr="00F15348" w:rsidRDefault="00D555FF" w:rsidP="00D555FF">
      <w:r w:rsidRPr="00F15348">
        <w:t>The detailed calculation for the distribution of the GST entitlement in 202</w:t>
      </w:r>
      <w:r w:rsidR="0074477F" w:rsidRPr="00F15348">
        <w:t>4</w:t>
      </w:r>
      <w:r w:rsidRPr="00F15348">
        <w:t>–2</w:t>
      </w:r>
      <w:r w:rsidR="0074477F" w:rsidRPr="00F15348">
        <w:t>5</w:t>
      </w:r>
      <w:r w:rsidRPr="00F15348">
        <w:t xml:space="preserve"> is shown in Table</w:t>
      </w:r>
      <w:r w:rsidR="00E07A52" w:rsidRPr="00F15348">
        <w:t> </w:t>
      </w:r>
      <w:r w:rsidRPr="00F15348">
        <w:t xml:space="preserve">3.5. This method of calculation is prescribed in the </w:t>
      </w:r>
      <w:r w:rsidRPr="00F15348">
        <w:rPr>
          <w:rStyle w:val="Emphasis"/>
        </w:rPr>
        <w:t>Federal Financial Relations Act 2009</w:t>
      </w:r>
      <w:r w:rsidRPr="00F15348">
        <w:t xml:space="preserve">. </w:t>
      </w:r>
    </w:p>
    <w:p w14:paraId="2EFE5478" w14:textId="5E6AE666" w:rsidR="00D555FF" w:rsidRPr="00F15348" w:rsidRDefault="00D555FF" w:rsidP="00D555FF">
      <w:bookmarkStart w:id="12" w:name="_Toc4764868"/>
      <w:r w:rsidRPr="00F15348">
        <w:rPr>
          <w:rFonts w:cs="Arial"/>
        </w:rPr>
        <w:br w:type="page"/>
      </w:r>
    </w:p>
    <w:bookmarkEnd w:id="12"/>
    <w:p w14:paraId="1549A36A" w14:textId="54DC4521" w:rsidR="006B1861" w:rsidRPr="00F15348" w:rsidRDefault="00D555FF" w:rsidP="006B1861">
      <w:pPr>
        <w:pStyle w:val="TableHeading"/>
        <w:rPr>
          <w:rFonts w:asciiTheme="minorHAnsi" w:eastAsiaTheme="minorHAnsi" w:hAnsiTheme="minorHAnsi" w:cstheme="minorBidi"/>
          <w:sz w:val="22"/>
          <w:szCs w:val="22"/>
          <w:lang w:eastAsia="en-US"/>
        </w:rPr>
      </w:pPr>
      <w:r w:rsidRPr="00F15348">
        <w:rPr>
          <w:rFonts w:cs="Arial"/>
        </w:rPr>
        <w:lastRenderedPageBreak/>
        <w:t>Table</w:t>
      </w:r>
      <w:r w:rsidR="00E07A52" w:rsidRPr="00F15348">
        <w:rPr>
          <w:rFonts w:cs="Arial"/>
        </w:rPr>
        <w:t> </w:t>
      </w:r>
      <w:r w:rsidRPr="00F15348">
        <w:rPr>
          <w:rFonts w:cs="Arial"/>
        </w:rPr>
        <w:t>3.5: Calculation of GST entitlements</w:t>
      </w:r>
      <w:bookmarkStart w:id="13" w:name="_1709619944"/>
      <w:bookmarkStart w:id="14" w:name="_1709656120"/>
      <w:bookmarkEnd w:id="13"/>
      <w:bookmarkEnd w:id="14"/>
    </w:p>
    <w:tbl>
      <w:tblPr>
        <w:tblW w:w="5000" w:type="pct"/>
        <w:tblCellMar>
          <w:left w:w="0" w:type="dxa"/>
          <w:right w:w="28" w:type="dxa"/>
        </w:tblCellMar>
        <w:tblLook w:val="04A0" w:firstRow="1" w:lastRow="0" w:firstColumn="1" w:lastColumn="0" w:noHBand="0" w:noVBand="1"/>
      </w:tblPr>
      <w:tblGrid>
        <w:gridCol w:w="1572"/>
        <w:gridCol w:w="1289"/>
        <w:gridCol w:w="1289"/>
        <w:gridCol w:w="1289"/>
        <w:gridCol w:w="1289"/>
        <w:gridCol w:w="982"/>
      </w:tblGrid>
      <w:tr w:rsidR="006B1861" w:rsidRPr="00F15348" w14:paraId="0610BBCB" w14:textId="77777777" w:rsidTr="006B1861">
        <w:trPr>
          <w:trHeight w:hRule="exact" w:val="225"/>
        </w:trPr>
        <w:tc>
          <w:tcPr>
            <w:tcW w:w="1019" w:type="pct"/>
            <w:tcBorders>
              <w:top w:val="single" w:sz="4" w:space="0" w:color="293F5B"/>
              <w:left w:val="nil"/>
              <w:bottom w:val="nil"/>
              <w:right w:val="nil"/>
            </w:tcBorders>
            <w:shd w:val="clear" w:color="auto" w:fill="auto"/>
            <w:noWrap/>
            <w:vAlign w:val="bottom"/>
            <w:hideMark/>
          </w:tcPr>
          <w:p w14:paraId="1DD2A00F" w14:textId="596510FD" w:rsidR="006B1861" w:rsidRPr="00F15348" w:rsidRDefault="006B1861" w:rsidP="006B1861">
            <w:pPr>
              <w:spacing w:before="0" w:after="0" w:line="240" w:lineRule="auto"/>
              <w:rPr>
                <w:rFonts w:ascii="Arial" w:hAnsi="Arial" w:cs="Arial"/>
                <w:b/>
                <w:sz w:val="16"/>
                <w:szCs w:val="16"/>
              </w:rPr>
            </w:pPr>
            <w:r w:rsidRPr="00F15348">
              <w:rPr>
                <w:rFonts w:ascii="Arial" w:hAnsi="Arial" w:cs="Arial"/>
                <w:b/>
                <w:sz w:val="16"/>
                <w:szCs w:val="16"/>
              </w:rPr>
              <w:t> </w:t>
            </w:r>
          </w:p>
        </w:tc>
        <w:tc>
          <w:tcPr>
            <w:tcW w:w="836" w:type="pct"/>
            <w:tcBorders>
              <w:top w:val="single" w:sz="4" w:space="0" w:color="293F5B"/>
              <w:left w:val="nil"/>
              <w:bottom w:val="nil"/>
              <w:right w:val="nil"/>
            </w:tcBorders>
            <w:shd w:val="clear" w:color="auto" w:fill="auto"/>
            <w:noWrap/>
            <w:vAlign w:val="center"/>
            <w:hideMark/>
          </w:tcPr>
          <w:p w14:paraId="34531B78"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Estimated</w:t>
            </w:r>
          </w:p>
        </w:tc>
        <w:tc>
          <w:tcPr>
            <w:tcW w:w="836" w:type="pct"/>
            <w:tcBorders>
              <w:top w:val="single" w:sz="4" w:space="0" w:color="293F5B"/>
              <w:left w:val="nil"/>
              <w:bottom w:val="nil"/>
              <w:right w:val="nil"/>
            </w:tcBorders>
            <w:shd w:val="clear" w:color="auto" w:fill="auto"/>
            <w:noWrap/>
            <w:vAlign w:val="center"/>
            <w:hideMark/>
          </w:tcPr>
          <w:p w14:paraId="73519106" w14:textId="77777777" w:rsidR="006B1861" w:rsidRPr="00F15348" w:rsidRDefault="006B1861" w:rsidP="006B1861">
            <w:pPr>
              <w:spacing w:before="0" w:after="0" w:line="240" w:lineRule="auto"/>
              <w:rPr>
                <w:rFonts w:ascii="Arial" w:hAnsi="Arial" w:cs="Arial"/>
                <w:sz w:val="16"/>
                <w:szCs w:val="16"/>
              </w:rPr>
            </w:pPr>
            <w:r w:rsidRPr="00F15348">
              <w:rPr>
                <w:rFonts w:ascii="Arial" w:hAnsi="Arial" w:cs="Arial"/>
                <w:sz w:val="16"/>
                <w:szCs w:val="16"/>
              </w:rPr>
              <w:t> </w:t>
            </w:r>
          </w:p>
        </w:tc>
        <w:tc>
          <w:tcPr>
            <w:tcW w:w="836" w:type="pct"/>
            <w:tcBorders>
              <w:top w:val="single" w:sz="4" w:space="0" w:color="293F5B"/>
              <w:left w:val="nil"/>
              <w:bottom w:val="nil"/>
              <w:right w:val="nil"/>
            </w:tcBorders>
            <w:shd w:val="clear" w:color="auto" w:fill="auto"/>
            <w:noWrap/>
            <w:vAlign w:val="center"/>
            <w:hideMark/>
          </w:tcPr>
          <w:p w14:paraId="1B35897E"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Adjusted</w:t>
            </w:r>
          </w:p>
        </w:tc>
        <w:tc>
          <w:tcPr>
            <w:tcW w:w="836" w:type="pct"/>
            <w:tcBorders>
              <w:top w:val="single" w:sz="4" w:space="0" w:color="293F5B"/>
              <w:left w:val="nil"/>
              <w:bottom w:val="nil"/>
              <w:right w:val="nil"/>
            </w:tcBorders>
            <w:shd w:val="clear" w:color="auto" w:fill="auto"/>
            <w:noWrap/>
            <w:vAlign w:val="center"/>
            <w:hideMark/>
          </w:tcPr>
          <w:p w14:paraId="6FE8796B"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Share of</w:t>
            </w:r>
          </w:p>
        </w:tc>
        <w:tc>
          <w:tcPr>
            <w:tcW w:w="639" w:type="pct"/>
            <w:tcBorders>
              <w:top w:val="single" w:sz="4" w:space="0" w:color="293F5B"/>
              <w:left w:val="nil"/>
              <w:bottom w:val="nil"/>
              <w:right w:val="nil"/>
            </w:tcBorders>
            <w:shd w:val="clear" w:color="auto" w:fill="auto"/>
            <w:noWrap/>
            <w:vAlign w:val="center"/>
            <w:hideMark/>
          </w:tcPr>
          <w:p w14:paraId="4486E51F"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Share of</w:t>
            </w:r>
          </w:p>
        </w:tc>
      </w:tr>
      <w:tr w:rsidR="006B1861" w:rsidRPr="00F15348" w14:paraId="32A501FA" w14:textId="77777777" w:rsidTr="006B1861">
        <w:trPr>
          <w:trHeight w:hRule="exact" w:val="225"/>
        </w:trPr>
        <w:tc>
          <w:tcPr>
            <w:tcW w:w="1019" w:type="pct"/>
            <w:tcBorders>
              <w:top w:val="nil"/>
              <w:left w:val="nil"/>
              <w:bottom w:val="nil"/>
              <w:right w:val="nil"/>
            </w:tcBorders>
            <w:shd w:val="clear" w:color="auto" w:fill="auto"/>
            <w:noWrap/>
            <w:vAlign w:val="bottom"/>
            <w:hideMark/>
          </w:tcPr>
          <w:p w14:paraId="4B0112F1" w14:textId="77777777" w:rsidR="006B1861" w:rsidRPr="00F15348" w:rsidRDefault="006B1861" w:rsidP="006B1861">
            <w:pPr>
              <w:spacing w:before="0" w:after="0" w:line="240" w:lineRule="auto"/>
              <w:jc w:val="right"/>
              <w:rPr>
                <w:rFonts w:ascii="Arial" w:hAnsi="Arial" w:cs="Arial"/>
                <w:sz w:val="16"/>
                <w:szCs w:val="16"/>
              </w:rPr>
            </w:pPr>
          </w:p>
        </w:tc>
        <w:tc>
          <w:tcPr>
            <w:tcW w:w="836" w:type="pct"/>
            <w:tcBorders>
              <w:top w:val="nil"/>
              <w:left w:val="nil"/>
              <w:bottom w:val="nil"/>
              <w:right w:val="nil"/>
            </w:tcBorders>
            <w:shd w:val="clear" w:color="auto" w:fill="auto"/>
            <w:noWrap/>
            <w:vAlign w:val="center"/>
            <w:hideMark/>
          </w:tcPr>
          <w:p w14:paraId="03408A3C"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31 December</w:t>
            </w:r>
          </w:p>
        </w:tc>
        <w:tc>
          <w:tcPr>
            <w:tcW w:w="836" w:type="pct"/>
            <w:tcBorders>
              <w:top w:val="nil"/>
              <w:left w:val="nil"/>
              <w:bottom w:val="nil"/>
              <w:right w:val="nil"/>
            </w:tcBorders>
            <w:shd w:val="clear" w:color="auto" w:fill="auto"/>
            <w:noWrap/>
            <w:vAlign w:val="center"/>
            <w:hideMark/>
          </w:tcPr>
          <w:p w14:paraId="5E03DBBD"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GST</w:t>
            </w:r>
          </w:p>
        </w:tc>
        <w:tc>
          <w:tcPr>
            <w:tcW w:w="836" w:type="pct"/>
            <w:tcBorders>
              <w:top w:val="nil"/>
              <w:left w:val="nil"/>
              <w:bottom w:val="nil"/>
              <w:right w:val="nil"/>
            </w:tcBorders>
            <w:shd w:val="clear" w:color="auto" w:fill="auto"/>
            <w:noWrap/>
            <w:vAlign w:val="center"/>
            <w:hideMark/>
          </w:tcPr>
          <w:p w14:paraId="5511C77D"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 xml:space="preserve"> population</w:t>
            </w:r>
          </w:p>
        </w:tc>
        <w:tc>
          <w:tcPr>
            <w:tcW w:w="836" w:type="pct"/>
            <w:tcBorders>
              <w:top w:val="nil"/>
              <w:left w:val="nil"/>
              <w:bottom w:val="nil"/>
              <w:right w:val="nil"/>
            </w:tcBorders>
            <w:shd w:val="clear" w:color="auto" w:fill="auto"/>
            <w:noWrap/>
            <w:vAlign w:val="center"/>
            <w:hideMark/>
          </w:tcPr>
          <w:p w14:paraId="261EF17C"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 xml:space="preserve">adjusted </w:t>
            </w:r>
          </w:p>
        </w:tc>
        <w:tc>
          <w:tcPr>
            <w:tcW w:w="639" w:type="pct"/>
            <w:tcBorders>
              <w:top w:val="nil"/>
              <w:left w:val="nil"/>
              <w:bottom w:val="nil"/>
              <w:right w:val="nil"/>
            </w:tcBorders>
            <w:shd w:val="clear" w:color="auto" w:fill="auto"/>
            <w:noWrap/>
            <w:vAlign w:val="center"/>
            <w:hideMark/>
          </w:tcPr>
          <w:p w14:paraId="0C22EB2E"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GST pool</w:t>
            </w:r>
          </w:p>
        </w:tc>
      </w:tr>
      <w:tr w:rsidR="006B1861" w:rsidRPr="00F15348" w14:paraId="713260A3" w14:textId="77777777" w:rsidTr="006B1861">
        <w:trPr>
          <w:trHeight w:hRule="exact" w:val="225"/>
        </w:trPr>
        <w:tc>
          <w:tcPr>
            <w:tcW w:w="1019" w:type="pct"/>
            <w:tcBorders>
              <w:top w:val="nil"/>
              <w:left w:val="nil"/>
              <w:bottom w:val="nil"/>
              <w:right w:val="nil"/>
            </w:tcBorders>
            <w:shd w:val="clear" w:color="auto" w:fill="auto"/>
            <w:noWrap/>
            <w:vAlign w:val="bottom"/>
            <w:hideMark/>
          </w:tcPr>
          <w:p w14:paraId="7F49AB7C" w14:textId="77777777" w:rsidR="006B1861" w:rsidRPr="00F15348" w:rsidRDefault="006B1861" w:rsidP="006B1861">
            <w:pPr>
              <w:spacing w:before="0" w:after="0" w:line="240" w:lineRule="auto"/>
              <w:jc w:val="right"/>
              <w:rPr>
                <w:rFonts w:ascii="Arial" w:hAnsi="Arial" w:cs="Arial"/>
                <w:sz w:val="16"/>
                <w:szCs w:val="16"/>
              </w:rPr>
            </w:pPr>
          </w:p>
        </w:tc>
        <w:tc>
          <w:tcPr>
            <w:tcW w:w="836" w:type="pct"/>
            <w:tcBorders>
              <w:top w:val="nil"/>
              <w:left w:val="nil"/>
              <w:bottom w:val="nil"/>
              <w:right w:val="nil"/>
            </w:tcBorders>
            <w:shd w:val="clear" w:color="auto" w:fill="auto"/>
            <w:vAlign w:val="center"/>
            <w:hideMark/>
          </w:tcPr>
          <w:p w14:paraId="4844A1D1"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population</w:t>
            </w:r>
          </w:p>
        </w:tc>
        <w:tc>
          <w:tcPr>
            <w:tcW w:w="836" w:type="pct"/>
            <w:tcBorders>
              <w:top w:val="nil"/>
              <w:left w:val="nil"/>
              <w:bottom w:val="nil"/>
              <w:right w:val="nil"/>
            </w:tcBorders>
            <w:shd w:val="clear" w:color="auto" w:fill="auto"/>
            <w:noWrap/>
            <w:vAlign w:val="center"/>
            <w:hideMark/>
          </w:tcPr>
          <w:p w14:paraId="0C00ACD0"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relativities</w:t>
            </w:r>
          </w:p>
        </w:tc>
        <w:tc>
          <w:tcPr>
            <w:tcW w:w="836" w:type="pct"/>
            <w:tcBorders>
              <w:top w:val="nil"/>
              <w:left w:val="nil"/>
              <w:bottom w:val="nil"/>
              <w:right w:val="nil"/>
            </w:tcBorders>
            <w:shd w:val="clear" w:color="auto" w:fill="auto"/>
            <w:noWrap/>
            <w:vAlign w:val="center"/>
            <w:hideMark/>
          </w:tcPr>
          <w:p w14:paraId="10F271E5"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(1) x (2)</w:t>
            </w:r>
          </w:p>
        </w:tc>
        <w:tc>
          <w:tcPr>
            <w:tcW w:w="836" w:type="pct"/>
            <w:tcBorders>
              <w:top w:val="nil"/>
              <w:left w:val="nil"/>
              <w:bottom w:val="nil"/>
              <w:right w:val="nil"/>
            </w:tcBorders>
            <w:shd w:val="clear" w:color="auto" w:fill="auto"/>
            <w:noWrap/>
            <w:vAlign w:val="center"/>
            <w:hideMark/>
          </w:tcPr>
          <w:p w14:paraId="400818DC"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population</w:t>
            </w:r>
          </w:p>
        </w:tc>
        <w:tc>
          <w:tcPr>
            <w:tcW w:w="639" w:type="pct"/>
            <w:tcBorders>
              <w:top w:val="nil"/>
              <w:left w:val="nil"/>
              <w:bottom w:val="nil"/>
              <w:right w:val="nil"/>
            </w:tcBorders>
            <w:shd w:val="clear" w:color="auto" w:fill="auto"/>
            <w:noWrap/>
            <w:vAlign w:val="center"/>
            <w:hideMark/>
          </w:tcPr>
          <w:p w14:paraId="11AE9261"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$million</w:t>
            </w:r>
          </w:p>
        </w:tc>
      </w:tr>
      <w:tr w:rsidR="006B1861" w:rsidRPr="00F15348" w14:paraId="44922AE3" w14:textId="77777777" w:rsidTr="006B1861">
        <w:trPr>
          <w:trHeight w:hRule="exact" w:val="225"/>
        </w:trPr>
        <w:tc>
          <w:tcPr>
            <w:tcW w:w="1019" w:type="pct"/>
            <w:tcBorders>
              <w:top w:val="nil"/>
              <w:left w:val="nil"/>
              <w:bottom w:val="single" w:sz="4" w:space="0" w:color="293F5B"/>
              <w:right w:val="nil"/>
            </w:tcBorders>
            <w:shd w:val="clear" w:color="auto" w:fill="auto"/>
            <w:noWrap/>
            <w:vAlign w:val="center"/>
            <w:hideMark/>
          </w:tcPr>
          <w:p w14:paraId="34B23F68" w14:textId="77777777" w:rsidR="006B1861" w:rsidRPr="00F15348" w:rsidRDefault="006B1861" w:rsidP="006B1861">
            <w:pPr>
              <w:spacing w:before="0" w:after="0" w:line="240" w:lineRule="auto"/>
              <w:rPr>
                <w:rFonts w:ascii="Arial" w:hAnsi="Arial" w:cs="Arial"/>
                <w:b/>
                <w:sz w:val="16"/>
                <w:szCs w:val="16"/>
              </w:rPr>
            </w:pPr>
            <w:r w:rsidRPr="00F15348">
              <w:rPr>
                <w:rFonts w:ascii="Arial" w:hAnsi="Arial" w:cs="Arial"/>
                <w:b/>
                <w:sz w:val="16"/>
                <w:szCs w:val="16"/>
              </w:rPr>
              <w:t>2024-25</w:t>
            </w:r>
          </w:p>
        </w:tc>
        <w:tc>
          <w:tcPr>
            <w:tcW w:w="836" w:type="pct"/>
            <w:tcBorders>
              <w:top w:val="nil"/>
              <w:left w:val="nil"/>
              <w:bottom w:val="single" w:sz="4" w:space="0" w:color="293F5B"/>
              <w:right w:val="nil"/>
            </w:tcBorders>
            <w:shd w:val="clear" w:color="auto" w:fill="auto"/>
            <w:noWrap/>
            <w:vAlign w:val="center"/>
            <w:hideMark/>
          </w:tcPr>
          <w:p w14:paraId="35374BBA"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(1)</w:t>
            </w:r>
          </w:p>
        </w:tc>
        <w:tc>
          <w:tcPr>
            <w:tcW w:w="836" w:type="pct"/>
            <w:tcBorders>
              <w:top w:val="nil"/>
              <w:left w:val="nil"/>
              <w:bottom w:val="single" w:sz="4" w:space="0" w:color="293F5B"/>
              <w:right w:val="nil"/>
            </w:tcBorders>
            <w:shd w:val="clear" w:color="auto" w:fill="auto"/>
            <w:noWrap/>
            <w:vAlign w:val="center"/>
            <w:hideMark/>
          </w:tcPr>
          <w:p w14:paraId="2560FB55"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(2)</w:t>
            </w:r>
          </w:p>
        </w:tc>
        <w:tc>
          <w:tcPr>
            <w:tcW w:w="836" w:type="pct"/>
            <w:tcBorders>
              <w:top w:val="nil"/>
              <w:left w:val="nil"/>
              <w:bottom w:val="single" w:sz="4" w:space="0" w:color="293F5B"/>
              <w:right w:val="nil"/>
            </w:tcBorders>
            <w:shd w:val="clear" w:color="auto" w:fill="auto"/>
            <w:noWrap/>
            <w:vAlign w:val="center"/>
            <w:hideMark/>
          </w:tcPr>
          <w:p w14:paraId="1496C0C7"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 </w:t>
            </w:r>
          </w:p>
        </w:tc>
        <w:tc>
          <w:tcPr>
            <w:tcW w:w="836" w:type="pct"/>
            <w:tcBorders>
              <w:top w:val="nil"/>
              <w:left w:val="nil"/>
              <w:bottom w:val="single" w:sz="4" w:space="0" w:color="293F5B"/>
              <w:right w:val="nil"/>
            </w:tcBorders>
            <w:shd w:val="clear" w:color="auto" w:fill="auto"/>
            <w:noWrap/>
            <w:vAlign w:val="center"/>
            <w:hideMark/>
          </w:tcPr>
          <w:p w14:paraId="766E3E0C"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 </w:t>
            </w:r>
          </w:p>
        </w:tc>
        <w:tc>
          <w:tcPr>
            <w:tcW w:w="639" w:type="pct"/>
            <w:tcBorders>
              <w:top w:val="nil"/>
              <w:left w:val="nil"/>
              <w:bottom w:val="single" w:sz="4" w:space="0" w:color="293F5B"/>
              <w:right w:val="nil"/>
            </w:tcBorders>
            <w:shd w:val="clear" w:color="auto" w:fill="auto"/>
            <w:noWrap/>
            <w:vAlign w:val="center"/>
            <w:hideMark/>
          </w:tcPr>
          <w:p w14:paraId="7E4F558E"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 </w:t>
            </w:r>
          </w:p>
        </w:tc>
      </w:tr>
      <w:tr w:rsidR="006B1861" w:rsidRPr="00F15348" w14:paraId="044F85FB" w14:textId="77777777" w:rsidTr="006B1861">
        <w:trPr>
          <w:trHeight w:hRule="exact" w:val="225"/>
        </w:trPr>
        <w:tc>
          <w:tcPr>
            <w:tcW w:w="1019" w:type="pct"/>
            <w:tcBorders>
              <w:top w:val="nil"/>
              <w:left w:val="nil"/>
              <w:bottom w:val="nil"/>
              <w:right w:val="nil"/>
            </w:tcBorders>
            <w:shd w:val="clear" w:color="auto" w:fill="auto"/>
            <w:noWrap/>
            <w:vAlign w:val="center"/>
            <w:hideMark/>
          </w:tcPr>
          <w:p w14:paraId="36841B82" w14:textId="77777777" w:rsidR="006B1861" w:rsidRPr="00F15348" w:rsidRDefault="006B1861" w:rsidP="006B1861">
            <w:pPr>
              <w:spacing w:before="0" w:after="0" w:line="240" w:lineRule="auto"/>
              <w:rPr>
                <w:rFonts w:ascii="Arial" w:hAnsi="Arial" w:cs="Arial"/>
                <w:sz w:val="16"/>
                <w:szCs w:val="16"/>
              </w:rPr>
            </w:pPr>
            <w:r w:rsidRPr="00F15348">
              <w:rPr>
                <w:rFonts w:ascii="Arial" w:hAnsi="Arial" w:cs="Arial"/>
                <w:sz w:val="16"/>
                <w:szCs w:val="16"/>
              </w:rPr>
              <w:t>NSW</w:t>
            </w:r>
          </w:p>
        </w:tc>
        <w:tc>
          <w:tcPr>
            <w:tcW w:w="836" w:type="pct"/>
            <w:tcBorders>
              <w:top w:val="nil"/>
              <w:left w:val="nil"/>
              <w:bottom w:val="nil"/>
              <w:right w:val="nil"/>
            </w:tcBorders>
            <w:shd w:val="clear" w:color="auto" w:fill="auto"/>
            <w:noWrap/>
            <w:vAlign w:val="center"/>
            <w:hideMark/>
          </w:tcPr>
          <w:p w14:paraId="05202A4A"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8,554,010</w:t>
            </w:r>
          </w:p>
        </w:tc>
        <w:tc>
          <w:tcPr>
            <w:tcW w:w="836" w:type="pct"/>
            <w:tcBorders>
              <w:top w:val="nil"/>
              <w:left w:val="nil"/>
              <w:bottom w:val="nil"/>
              <w:right w:val="nil"/>
            </w:tcBorders>
            <w:shd w:val="clear" w:color="auto" w:fill="auto"/>
            <w:noWrap/>
            <w:vAlign w:val="center"/>
            <w:hideMark/>
          </w:tcPr>
          <w:p w14:paraId="3E03071D"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0.86736</w:t>
            </w:r>
          </w:p>
        </w:tc>
        <w:tc>
          <w:tcPr>
            <w:tcW w:w="836" w:type="pct"/>
            <w:tcBorders>
              <w:top w:val="nil"/>
              <w:left w:val="nil"/>
              <w:bottom w:val="nil"/>
              <w:right w:val="nil"/>
            </w:tcBorders>
            <w:shd w:val="clear" w:color="auto" w:fill="auto"/>
            <w:noWrap/>
            <w:vAlign w:val="center"/>
            <w:hideMark/>
          </w:tcPr>
          <w:p w14:paraId="1534C026"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7,419,406</w:t>
            </w:r>
          </w:p>
        </w:tc>
        <w:tc>
          <w:tcPr>
            <w:tcW w:w="836" w:type="pct"/>
            <w:tcBorders>
              <w:top w:val="nil"/>
              <w:left w:val="nil"/>
              <w:bottom w:val="nil"/>
              <w:right w:val="nil"/>
            </w:tcBorders>
            <w:shd w:val="clear" w:color="auto" w:fill="auto"/>
            <w:noWrap/>
            <w:vAlign w:val="center"/>
            <w:hideMark/>
          </w:tcPr>
          <w:p w14:paraId="23BC38C4"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27.1%</w:t>
            </w:r>
          </w:p>
        </w:tc>
        <w:tc>
          <w:tcPr>
            <w:tcW w:w="639" w:type="pct"/>
            <w:tcBorders>
              <w:top w:val="nil"/>
              <w:left w:val="nil"/>
              <w:bottom w:val="nil"/>
              <w:right w:val="nil"/>
            </w:tcBorders>
            <w:shd w:val="clear" w:color="auto" w:fill="auto"/>
            <w:noWrap/>
            <w:vAlign w:val="center"/>
            <w:hideMark/>
          </w:tcPr>
          <w:p w14:paraId="06DA6B35"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24,015</w:t>
            </w:r>
          </w:p>
        </w:tc>
      </w:tr>
      <w:tr w:rsidR="006B1861" w:rsidRPr="00F15348" w14:paraId="6113CBCE" w14:textId="77777777" w:rsidTr="006B1861">
        <w:trPr>
          <w:trHeight w:hRule="exact" w:val="225"/>
        </w:trPr>
        <w:tc>
          <w:tcPr>
            <w:tcW w:w="1019" w:type="pct"/>
            <w:tcBorders>
              <w:top w:val="nil"/>
              <w:left w:val="nil"/>
              <w:bottom w:val="nil"/>
              <w:right w:val="nil"/>
            </w:tcBorders>
            <w:shd w:val="clear" w:color="auto" w:fill="auto"/>
            <w:noWrap/>
            <w:vAlign w:val="center"/>
            <w:hideMark/>
          </w:tcPr>
          <w:p w14:paraId="79D3AAB9" w14:textId="77777777" w:rsidR="006B1861" w:rsidRPr="00F15348" w:rsidRDefault="006B1861" w:rsidP="006B1861">
            <w:pPr>
              <w:spacing w:before="0" w:after="0" w:line="240" w:lineRule="auto"/>
              <w:rPr>
                <w:rFonts w:ascii="Arial" w:hAnsi="Arial" w:cs="Arial"/>
                <w:sz w:val="16"/>
                <w:szCs w:val="16"/>
              </w:rPr>
            </w:pPr>
            <w:r w:rsidRPr="00F15348">
              <w:rPr>
                <w:rFonts w:ascii="Arial" w:hAnsi="Arial" w:cs="Arial"/>
                <w:sz w:val="16"/>
                <w:szCs w:val="16"/>
              </w:rPr>
              <w:t>VIC</w:t>
            </w:r>
          </w:p>
        </w:tc>
        <w:tc>
          <w:tcPr>
            <w:tcW w:w="836" w:type="pct"/>
            <w:tcBorders>
              <w:top w:val="nil"/>
              <w:left w:val="nil"/>
              <w:bottom w:val="nil"/>
              <w:right w:val="nil"/>
            </w:tcBorders>
            <w:shd w:val="clear" w:color="auto" w:fill="auto"/>
            <w:noWrap/>
            <w:vAlign w:val="center"/>
            <w:hideMark/>
          </w:tcPr>
          <w:p w14:paraId="4849726B"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7,035,214</w:t>
            </w:r>
          </w:p>
        </w:tc>
        <w:tc>
          <w:tcPr>
            <w:tcW w:w="836" w:type="pct"/>
            <w:tcBorders>
              <w:top w:val="nil"/>
              <w:left w:val="nil"/>
              <w:bottom w:val="nil"/>
              <w:right w:val="nil"/>
            </w:tcBorders>
            <w:shd w:val="clear" w:color="auto" w:fill="auto"/>
            <w:noWrap/>
            <w:vAlign w:val="center"/>
            <w:hideMark/>
          </w:tcPr>
          <w:p w14:paraId="44B74C69"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0.96502</w:t>
            </w:r>
          </w:p>
        </w:tc>
        <w:tc>
          <w:tcPr>
            <w:tcW w:w="836" w:type="pct"/>
            <w:tcBorders>
              <w:top w:val="nil"/>
              <w:left w:val="nil"/>
              <w:bottom w:val="nil"/>
              <w:right w:val="nil"/>
            </w:tcBorders>
            <w:shd w:val="clear" w:color="auto" w:fill="auto"/>
            <w:noWrap/>
            <w:vAlign w:val="center"/>
            <w:hideMark/>
          </w:tcPr>
          <w:p w14:paraId="46FB344E"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6,789,122</w:t>
            </w:r>
          </w:p>
        </w:tc>
        <w:tc>
          <w:tcPr>
            <w:tcW w:w="836" w:type="pct"/>
            <w:tcBorders>
              <w:top w:val="nil"/>
              <w:left w:val="nil"/>
              <w:bottom w:val="nil"/>
              <w:right w:val="nil"/>
            </w:tcBorders>
            <w:shd w:val="clear" w:color="auto" w:fill="auto"/>
            <w:noWrap/>
            <w:vAlign w:val="center"/>
            <w:hideMark/>
          </w:tcPr>
          <w:p w14:paraId="2E127E36"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24.8%</w:t>
            </w:r>
          </w:p>
        </w:tc>
        <w:tc>
          <w:tcPr>
            <w:tcW w:w="639" w:type="pct"/>
            <w:tcBorders>
              <w:top w:val="nil"/>
              <w:left w:val="nil"/>
              <w:bottom w:val="nil"/>
              <w:right w:val="nil"/>
            </w:tcBorders>
            <w:shd w:val="clear" w:color="auto" w:fill="auto"/>
            <w:noWrap/>
            <w:vAlign w:val="center"/>
            <w:hideMark/>
          </w:tcPr>
          <w:p w14:paraId="1680AA59"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21,974</w:t>
            </w:r>
          </w:p>
        </w:tc>
      </w:tr>
      <w:tr w:rsidR="006B1861" w:rsidRPr="00F15348" w14:paraId="7AF4C662" w14:textId="77777777" w:rsidTr="006B1861">
        <w:trPr>
          <w:trHeight w:hRule="exact" w:val="225"/>
        </w:trPr>
        <w:tc>
          <w:tcPr>
            <w:tcW w:w="1019" w:type="pct"/>
            <w:tcBorders>
              <w:top w:val="nil"/>
              <w:left w:val="nil"/>
              <w:bottom w:val="nil"/>
              <w:right w:val="nil"/>
            </w:tcBorders>
            <w:shd w:val="clear" w:color="auto" w:fill="auto"/>
            <w:noWrap/>
            <w:vAlign w:val="center"/>
            <w:hideMark/>
          </w:tcPr>
          <w:p w14:paraId="4F7E95DF" w14:textId="77777777" w:rsidR="006B1861" w:rsidRPr="00F15348" w:rsidRDefault="006B1861" w:rsidP="006B1861">
            <w:pPr>
              <w:spacing w:before="0" w:after="0" w:line="240" w:lineRule="auto"/>
              <w:rPr>
                <w:rFonts w:ascii="Arial" w:hAnsi="Arial" w:cs="Arial"/>
                <w:sz w:val="16"/>
                <w:szCs w:val="16"/>
              </w:rPr>
            </w:pPr>
            <w:r w:rsidRPr="00F15348">
              <w:rPr>
                <w:rFonts w:ascii="Arial" w:hAnsi="Arial" w:cs="Arial"/>
                <w:sz w:val="16"/>
                <w:szCs w:val="16"/>
              </w:rPr>
              <w:t>QLD</w:t>
            </w:r>
          </w:p>
        </w:tc>
        <w:tc>
          <w:tcPr>
            <w:tcW w:w="836" w:type="pct"/>
            <w:tcBorders>
              <w:top w:val="nil"/>
              <w:left w:val="nil"/>
              <w:bottom w:val="nil"/>
              <w:right w:val="nil"/>
            </w:tcBorders>
            <w:shd w:val="clear" w:color="auto" w:fill="auto"/>
            <w:noWrap/>
            <w:vAlign w:val="center"/>
            <w:hideMark/>
          </w:tcPr>
          <w:p w14:paraId="46486567"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5,623,915</w:t>
            </w:r>
          </w:p>
        </w:tc>
        <w:tc>
          <w:tcPr>
            <w:tcW w:w="836" w:type="pct"/>
            <w:tcBorders>
              <w:top w:val="nil"/>
              <w:left w:val="nil"/>
              <w:bottom w:val="nil"/>
              <w:right w:val="nil"/>
            </w:tcBorders>
            <w:shd w:val="clear" w:color="auto" w:fill="auto"/>
            <w:noWrap/>
            <w:vAlign w:val="center"/>
            <w:hideMark/>
          </w:tcPr>
          <w:p w14:paraId="6266EEA4"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0.95232</w:t>
            </w:r>
          </w:p>
        </w:tc>
        <w:tc>
          <w:tcPr>
            <w:tcW w:w="836" w:type="pct"/>
            <w:tcBorders>
              <w:top w:val="nil"/>
              <w:left w:val="nil"/>
              <w:bottom w:val="nil"/>
              <w:right w:val="nil"/>
            </w:tcBorders>
            <w:shd w:val="clear" w:color="auto" w:fill="auto"/>
            <w:noWrap/>
            <w:vAlign w:val="center"/>
            <w:hideMark/>
          </w:tcPr>
          <w:p w14:paraId="21DDFBB2"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5,355,767</w:t>
            </w:r>
          </w:p>
        </w:tc>
        <w:tc>
          <w:tcPr>
            <w:tcW w:w="836" w:type="pct"/>
            <w:tcBorders>
              <w:top w:val="nil"/>
              <w:left w:val="nil"/>
              <w:bottom w:val="nil"/>
              <w:right w:val="nil"/>
            </w:tcBorders>
            <w:shd w:val="clear" w:color="auto" w:fill="auto"/>
            <w:noWrap/>
            <w:vAlign w:val="center"/>
            <w:hideMark/>
          </w:tcPr>
          <w:p w14:paraId="5C0DA7A4"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19.6%</w:t>
            </w:r>
          </w:p>
        </w:tc>
        <w:tc>
          <w:tcPr>
            <w:tcW w:w="639" w:type="pct"/>
            <w:tcBorders>
              <w:top w:val="nil"/>
              <w:left w:val="nil"/>
              <w:bottom w:val="nil"/>
              <w:right w:val="nil"/>
            </w:tcBorders>
            <w:shd w:val="clear" w:color="auto" w:fill="auto"/>
            <w:noWrap/>
            <w:vAlign w:val="center"/>
            <w:hideMark/>
          </w:tcPr>
          <w:p w14:paraId="12E51F77"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17,335</w:t>
            </w:r>
          </w:p>
        </w:tc>
      </w:tr>
      <w:tr w:rsidR="006B1861" w:rsidRPr="00F15348" w14:paraId="37B57583" w14:textId="77777777" w:rsidTr="006B1861">
        <w:trPr>
          <w:trHeight w:hRule="exact" w:val="225"/>
        </w:trPr>
        <w:tc>
          <w:tcPr>
            <w:tcW w:w="1019" w:type="pct"/>
            <w:tcBorders>
              <w:top w:val="nil"/>
              <w:left w:val="nil"/>
              <w:bottom w:val="nil"/>
              <w:right w:val="nil"/>
            </w:tcBorders>
            <w:shd w:val="clear" w:color="auto" w:fill="auto"/>
            <w:noWrap/>
            <w:vAlign w:val="center"/>
            <w:hideMark/>
          </w:tcPr>
          <w:p w14:paraId="1B6B999C" w14:textId="77777777" w:rsidR="006B1861" w:rsidRPr="00F15348" w:rsidRDefault="006B1861" w:rsidP="006B1861">
            <w:pPr>
              <w:spacing w:before="0" w:after="0" w:line="240" w:lineRule="auto"/>
              <w:rPr>
                <w:rFonts w:ascii="Arial" w:hAnsi="Arial" w:cs="Arial"/>
                <w:sz w:val="16"/>
                <w:szCs w:val="16"/>
              </w:rPr>
            </w:pPr>
            <w:r w:rsidRPr="00F15348">
              <w:rPr>
                <w:rFonts w:ascii="Arial" w:hAnsi="Arial" w:cs="Arial"/>
                <w:sz w:val="16"/>
                <w:szCs w:val="16"/>
              </w:rPr>
              <w:t>WA</w:t>
            </w:r>
          </w:p>
        </w:tc>
        <w:tc>
          <w:tcPr>
            <w:tcW w:w="836" w:type="pct"/>
            <w:tcBorders>
              <w:top w:val="nil"/>
              <w:left w:val="nil"/>
              <w:bottom w:val="nil"/>
              <w:right w:val="nil"/>
            </w:tcBorders>
            <w:shd w:val="clear" w:color="auto" w:fill="auto"/>
            <w:noWrap/>
            <w:vAlign w:val="center"/>
            <w:hideMark/>
          </w:tcPr>
          <w:p w14:paraId="09F0C0D4"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2,975,463</w:t>
            </w:r>
          </w:p>
        </w:tc>
        <w:tc>
          <w:tcPr>
            <w:tcW w:w="836" w:type="pct"/>
            <w:tcBorders>
              <w:top w:val="nil"/>
              <w:left w:val="nil"/>
              <w:bottom w:val="nil"/>
              <w:right w:val="nil"/>
            </w:tcBorders>
            <w:shd w:val="clear" w:color="auto" w:fill="auto"/>
            <w:noWrap/>
            <w:vAlign w:val="center"/>
            <w:hideMark/>
          </w:tcPr>
          <w:p w14:paraId="74223F9B"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0.75000</w:t>
            </w:r>
          </w:p>
        </w:tc>
        <w:tc>
          <w:tcPr>
            <w:tcW w:w="836" w:type="pct"/>
            <w:tcBorders>
              <w:top w:val="nil"/>
              <w:left w:val="nil"/>
              <w:bottom w:val="nil"/>
              <w:right w:val="nil"/>
            </w:tcBorders>
            <w:shd w:val="clear" w:color="auto" w:fill="auto"/>
            <w:noWrap/>
            <w:vAlign w:val="center"/>
            <w:hideMark/>
          </w:tcPr>
          <w:p w14:paraId="60EF1F28"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2,231,597</w:t>
            </w:r>
          </w:p>
        </w:tc>
        <w:tc>
          <w:tcPr>
            <w:tcW w:w="836" w:type="pct"/>
            <w:tcBorders>
              <w:top w:val="nil"/>
              <w:left w:val="nil"/>
              <w:bottom w:val="nil"/>
              <w:right w:val="nil"/>
            </w:tcBorders>
            <w:shd w:val="clear" w:color="auto" w:fill="auto"/>
            <w:noWrap/>
            <w:vAlign w:val="center"/>
            <w:hideMark/>
          </w:tcPr>
          <w:p w14:paraId="508B397E"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8.2%</w:t>
            </w:r>
          </w:p>
        </w:tc>
        <w:tc>
          <w:tcPr>
            <w:tcW w:w="639" w:type="pct"/>
            <w:tcBorders>
              <w:top w:val="nil"/>
              <w:left w:val="nil"/>
              <w:bottom w:val="nil"/>
              <w:right w:val="nil"/>
            </w:tcBorders>
            <w:shd w:val="clear" w:color="auto" w:fill="auto"/>
            <w:noWrap/>
            <w:vAlign w:val="center"/>
            <w:hideMark/>
          </w:tcPr>
          <w:p w14:paraId="08296933"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7,223</w:t>
            </w:r>
          </w:p>
        </w:tc>
      </w:tr>
      <w:tr w:rsidR="006B1861" w:rsidRPr="00F15348" w14:paraId="46EF1859" w14:textId="77777777" w:rsidTr="006B1861">
        <w:trPr>
          <w:trHeight w:hRule="exact" w:val="225"/>
        </w:trPr>
        <w:tc>
          <w:tcPr>
            <w:tcW w:w="1019" w:type="pct"/>
            <w:tcBorders>
              <w:top w:val="nil"/>
              <w:left w:val="nil"/>
              <w:bottom w:val="nil"/>
              <w:right w:val="nil"/>
            </w:tcBorders>
            <w:shd w:val="clear" w:color="auto" w:fill="auto"/>
            <w:noWrap/>
            <w:vAlign w:val="center"/>
            <w:hideMark/>
          </w:tcPr>
          <w:p w14:paraId="4769EDF8" w14:textId="77777777" w:rsidR="006B1861" w:rsidRPr="00F15348" w:rsidRDefault="006B1861" w:rsidP="006B1861">
            <w:pPr>
              <w:spacing w:before="0" w:after="0" w:line="240" w:lineRule="auto"/>
              <w:rPr>
                <w:rFonts w:ascii="Arial" w:hAnsi="Arial" w:cs="Arial"/>
                <w:sz w:val="16"/>
                <w:szCs w:val="16"/>
              </w:rPr>
            </w:pPr>
            <w:r w:rsidRPr="00F15348">
              <w:rPr>
                <w:rFonts w:ascii="Arial" w:hAnsi="Arial" w:cs="Arial"/>
                <w:sz w:val="16"/>
                <w:szCs w:val="16"/>
              </w:rPr>
              <w:t>SA</w:t>
            </w:r>
          </w:p>
        </w:tc>
        <w:tc>
          <w:tcPr>
            <w:tcW w:w="836" w:type="pct"/>
            <w:tcBorders>
              <w:top w:val="nil"/>
              <w:left w:val="nil"/>
              <w:bottom w:val="nil"/>
              <w:right w:val="nil"/>
            </w:tcBorders>
            <w:shd w:val="clear" w:color="auto" w:fill="auto"/>
            <w:noWrap/>
            <w:vAlign w:val="center"/>
            <w:hideMark/>
          </w:tcPr>
          <w:p w14:paraId="45DB1298"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1,883,059</w:t>
            </w:r>
          </w:p>
        </w:tc>
        <w:tc>
          <w:tcPr>
            <w:tcW w:w="836" w:type="pct"/>
            <w:tcBorders>
              <w:top w:val="nil"/>
              <w:left w:val="nil"/>
              <w:bottom w:val="nil"/>
              <w:right w:val="nil"/>
            </w:tcBorders>
            <w:shd w:val="clear" w:color="auto" w:fill="auto"/>
            <w:noWrap/>
            <w:vAlign w:val="center"/>
            <w:hideMark/>
          </w:tcPr>
          <w:p w14:paraId="00652059"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1.40312</w:t>
            </w:r>
          </w:p>
        </w:tc>
        <w:tc>
          <w:tcPr>
            <w:tcW w:w="836" w:type="pct"/>
            <w:tcBorders>
              <w:top w:val="nil"/>
              <w:left w:val="nil"/>
              <w:bottom w:val="nil"/>
              <w:right w:val="nil"/>
            </w:tcBorders>
            <w:shd w:val="clear" w:color="auto" w:fill="auto"/>
            <w:noWrap/>
            <w:vAlign w:val="center"/>
            <w:hideMark/>
          </w:tcPr>
          <w:p w14:paraId="4296A29D"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2,642,158</w:t>
            </w:r>
          </w:p>
        </w:tc>
        <w:tc>
          <w:tcPr>
            <w:tcW w:w="836" w:type="pct"/>
            <w:tcBorders>
              <w:top w:val="nil"/>
              <w:left w:val="nil"/>
              <w:bottom w:val="nil"/>
              <w:right w:val="nil"/>
            </w:tcBorders>
            <w:shd w:val="clear" w:color="auto" w:fill="auto"/>
            <w:noWrap/>
            <w:vAlign w:val="center"/>
            <w:hideMark/>
          </w:tcPr>
          <w:p w14:paraId="27E9484A"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9.7%</w:t>
            </w:r>
          </w:p>
        </w:tc>
        <w:tc>
          <w:tcPr>
            <w:tcW w:w="639" w:type="pct"/>
            <w:tcBorders>
              <w:top w:val="nil"/>
              <w:left w:val="nil"/>
              <w:bottom w:val="nil"/>
              <w:right w:val="nil"/>
            </w:tcBorders>
            <w:shd w:val="clear" w:color="auto" w:fill="auto"/>
            <w:noWrap/>
            <w:vAlign w:val="center"/>
            <w:hideMark/>
          </w:tcPr>
          <w:p w14:paraId="3B870C49"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8,552</w:t>
            </w:r>
          </w:p>
        </w:tc>
      </w:tr>
      <w:tr w:rsidR="006B1861" w:rsidRPr="00F15348" w14:paraId="113DB68A" w14:textId="77777777" w:rsidTr="006B1861">
        <w:trPr>
          <w:trHeight w:hRule="exact" w:val="225"/>
        </w:trPr>
        <w:tc>
          <w:tcPr>
            <w:tcW w:w="1019" w:type="pct"/>
            <w:tcBorders>
              <w:top w:val="nil"/>
              <w:left w:val="nil"/>
              <w:bottom w:val="nil"/>
              <w:right w:val="nil"/>
            </w:tcBorders>
            <w:shd w:val="clear" w:color="auto" w:fill="auto"/>
            <w:noWrap/>
            <w:vAlign w:val="center"/>
            <w:hideMark/>
          </w:tcPr>
          <w:p w14:paraId="5D85E147" w14:textId="77777777" w:rsidR="006B1861" w:rsidRPr="00F15348" w:rsidRDefault="006B1861" w:rsidP="006B1861">
            <w:pPr>
              <w:spacing w:before="0" w:after="0" w:line="240" w:lineRule="auto"/>
              <w:rPr>
                <w:rFonts w:ascii="Arial" w:hAnsi="Arial" w:cs="Arial"/>
                <w:sz w:val="16"/>
                <w:szCs w:val="16"/>
              </w:rPr>
            </w:pPr>
            <w:r w:rsidRPr="00F15348">
              <w:rPr>
                <w:rFonts w:ascii="Arial" w:hAnsi="Arial" w:cs="Arial"/>
                <w:sz w:val="16"/>
                <w:szCs w:val="16"/>
              </w:rPr>
              <w:t>TAS</w:t>
            </w:r>
          </w:p>
        </w:tc>
        <w:tc>
          <w:tcPr>
            <w:tcW w:w="836" w:type="pct"/>
            <w:tcBorders>
              <w:top w:val="nil"/>
              <w:left w:val="nil"/>
              <w:bottom w:val="nil"/>
              <w:right w:val="nil"/>
            </w:tcBorders>
            <w:shd w:val="clear" w:color="auto" w:fill="auto"/>
            <w:noWrap/>
            <w:vAlign w:val="center"/>
            <w:hideMark/>
          </w:tcPr>
          <w:p w14:paraId="74203D8D"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575,193</w:t>
            </w:r>
          </w:p>
        </w:tc>
        <w:tc>
          <w:tcPr>
            <w:tcW w:w="836" w:type="pct"/>
            <w:tcBorders>
              <w:top w:val="nil"/>
              <w:left w:val="nil"/>
              <w:bottom w:val="nil"/>
              <w:right w:val="nil"/>
            </w:tcBorders>
            <w:shd w:val="clear" w:color="auto" w:fill="auto"/>
            <w:noWrap/>
            <w:vAlign w:val="center"/>
            <w:hideMark/>
          </w:tcPr>
          <w:p w14:paraId="13E6457C"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1.82832</w:t>
            </w:r>
          </w:p>
        </w:tc>
        <w:tc>
          <w:tcPr>
            <w:tcW w:w="836" w:type="pct"/>
            <w:tcBorders>
              <w:top w:val="nil"/>
              <w:left w:val="nil"/>
              <w:bottom w:val="nil"/>
              <w:right w:val="nil"/>
            </w:tcBorders>
            <w:shd w:val="clear" w:color="auto" w:fill="auto"/>
            <w:noWrap/>
            <w:vAlign w:val="center"/>
            <w:hideMark/>
          </w:tcPr>
          <w:p w14:paraId="040451E2"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1,051,637</w:t>
            </w:r>
          </w:p>
        </w:tc>
        <w:tc>
          <w:tcPr>
            <w:tcW w:w="836" w:type="pct"/>
            <w:tcBorders>
              <w:top w:val="nil"/>
              <w:left w:val="nil"/>
              <w:bottom w:val="nil"/>
              <w:right w:val="nil"/>
            </w:tcBorders>
            <w:shd w:val="clear" w:color="auto" w:fill="auto"/>
            <w:noWrap/>
            <w:vAlign w:val="center"/>
            <w:hideMark/>
          </w:tcPr>
          <w:p w14:paraId="34C6088B"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3.8%</w:t>
            </w:r>
          </w:p>
        </w:tc>
        <w:tc>
          <w:tcPr>
            <w:tcW w:w="639" w:type="pct"/>
            <w:tcBorders>
              <w:top w:val="nil"/>
              <w:left w:val="nil"/>
              <w:bottom w:val="nil"/>
              <w:right w:val="nil"/>
            </w:tcBorders>
            <w:shd w:val="clear" w:color="auto" w:fill="auto"/>
            <w:noWrap/>
            <w:vAlign w:val="center"/>
            <w:hideMark/>
          </w:tcPr>
          <w:p w14:paraId="2C42943D"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3,404</w:t>
            </w:r>
          </w:p>
        </w:tc>
      </w:tr>
      <w:tr w:rsidR="006B1861" w:rsidRPr="00F15348" w14:paraId="7680BE2B" w14:textId="77777777" w:rsidTr="006B1861">
        <w:trPr>
          <w:trHeight w:hRule="exact" w:val="225"/>
        </w:trPr>
        <w:tc>
          <w:tcPr>
            <w:tcW w:w="1019" w:type="pct"/>
            <w:tcBorders>
              <w:top w:val="nil"/>
              <w:left w:val="nil"/>
              <w:bottom w:val="nil"/>
              <w:right w:val="nil"/>
            </w:tcBorders>
            <w:shd w:val="clear" w:color="auto" w:fill="auto"/>
            <w:noWrap/>
            <w:vAlign w:val="center"/>
            <w:hideMark/>
          </w:tcPr>
          <w:p w14:paraId="07907F76" w14:textId="77777777" w:rsidR="006B1861" w:rsidRPr="00F15348" w:rsidRDefault="006B1861" w:rsidP="006B1861">
            <w:pPr>
              <w:spacing w:before="0" w:after="0" w:line="240" w:lineRule="auto"/>
              <w:rPr>
                <w:rFonts w:ascii="Arial" w:hAnsi="Arial" w:cs="Arial"/>
                <w:sz w:val="16"/>
                <w:szCs w:val="16"/>
              </w:rPr>
            </w:pPr>
            <w:r w:rsidRPr="00F15348">
              <w:rPr>
                <w:rFonts w:ascii="Arial" w:hAnsi="Arial" w:cs="Arial"/>
                <w:sz w:val="16"/>
                <w:szCs w:val="16"/>
              </w:rPr>
              <w:t>ACT</w:t>
            </w:r>
          </w:p>
        </w:tc>
        <w:tc>
          <w:tcPr>
            <w:tcW w:w="836" w:type="pct"/>
            <w:tcBorders>
              <w:top w:val="nil"/>
              <w:left w:val="nil"/>
              <w:bottom w:val="nil"/>
              <w:right w:val="nil"/>
            </w:tcBorders>
            <w:shd w:val="clear" w:color="auto" w:fill="auto"/>
            <w:noWrap/>
            <w:vAlign w:val="center"/>
            <w:hideMark/>
          </w:tcPr>
          <w:p w14:paraId="4D76959A"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477,958</w:t>
            </w:r>
          </w:p>
        </w:tc>
        <w:tc>
          <w:tcPr>
            <w:tcW w:w="836" w:type="pct"/>
            <w:tcBorders>
              <w:top w:val="nil"/>
              <w:left w:val="nil"/>
              <w:bottom w:val="nil"/>
              <w:right w:val="nil"/>
            </w:tcBorders>
            <w:shd w:val="clear" w:color="auto" w:fill="auto"/>
            <w:noWrap/>
            <w:vAlign w:val="center"/>
            <w:hideMark/>
          </w:tcPr>
          <w:p w14:paraId="59561693"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1.20419</w:t>
            </w:r>
          </w:p>
        </w:tc>
        <w:tc>
          <w:tcPr>
            <w:tcW w:w="836" w:type="pct"/>
            <w:tcBorders>
              <w:top w:val="nil"/>
              <w:left w:val="nil"/>
              <w:bottom w:val="nil"/>
              <w:right w:val="nil"/>
            </w:tcBorders>
            <w:shd w:val="clear" w:color="auto" w:fill="auto"/>
            <w:noWrap/>
            <w:vAlign w:val="center"/>
            <w:hideMark/>
          </w:tcPr>
          <w:p w14:paraId="56ACF93E"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575,552</w:t>
            </w:r>
          </w:p>
        </w:tc>
        <w:tc>
          <w:tcPr>
            <w:tcW w:w="836" w:type="pct"/>
            <w:tcBorders>
              <w:top w:val="nil"/>
              <w:left w:val="nil"/>
              <w:bottom w:val="nil"/>
              <w:right w:val="nil"/>
            </w:tcBorders>
            <w:shd w:val="clear" w:color="auto" w:fill="auto"/>
            <w:noWrap/>
            <w:vAlign w:val="center"/>
            <w:hideMark/>
          </w:tcPr>
          <w:p w14:paraId="44E29252"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2.1%</w:t>
            </w:r>
          </w:p>
        </w:tc>
        <w:tc>
          <w:tcPr>
            <w:tcW w:w="639" w:type="pct"/>
            <w:tcBorders>
              <w:top w:val="nil"/>
              <w:left w:val="nil"/>
              <w:bottom w:val="nil"/>
              <w:right w:val="nil"/>
            </w:tcBorders>
            <w:shd w:val="clear" w:color="auto" w:fill="auto"/>
            <w:noWrap/>
            <w:vAlign w:val="center"/>
            <w:hideMark/>
          </w:tcPr>
          <w:p w14:paraId="4314229D"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1,863</w:t>
            </w:r>
          </w:p>
        </w:tc>
      </w:tr>
      <w:tr w:rsidR="006B1861" w:rsidRPr="00F15348" w14:paraId="13A8E04A" w14:textId="77777777" w:rsidTr="006B1861">
        <w:trPr>
          <w:trHeight w:hRule="exact" w:val="225"/>
        </w:trPr>
        <w:tc>
          <w:tcPr>
            <w:tcW w:w="1019" w:type="pct"/>
            <w:tcBorders>
              <w:top w:val="nil"/>
              <w:left w:val="nil"/>
              <w:bottom w:val="nil"/>
              <w:right w:val="nil"/>
            </w:tcBorders>
            <w:shd w:val="clear" w:color="auto" w:fill="auto"/>
            <w:noWrap/>
            <w:vAlign w:val="center"/>
            <w:hideMark/>
          </w:tcPr>
          <w:p w14:paraId="440C6F5B" w14:textId="77777777" w:rsidR="006B1861" w:rsidRPr="00F15348" w:rsidRDefault="006B1861" w:rsidP="006B1861">
            <w:pPr>
              <w:spacing w:before="0" w:after="0" w:line="240" w:lineRule="auto"/>
              <w:rPr>
                <w:rFonts w:ascii="Arial" w:hAnsi="Arial" w:cs="Arial"/>
                <w:sz w:val="16"/>
                <w:szCs w:val="16"/>
              </w:rPr>
            </w:pPr>
            <w:r w:rsidRPr="00F15348">
              <w:rPr>
                <w:rFonts w:ascii="Arial" w:hAnsi="Arial" w:cs="Arial"/>
                <w:sz w:val="16"/>
                <w:szCs w:val="16"/>
              </w:rPr>
              <w:t>NT</w:t>
            </w:r>
          </w:p>
        </w:tc>
        <w:tc>
          <w:tcPr>
            <w:tcW w:w="836" w:type="pct"/>
            <w:tcBorders>
              <w:top w:val="nil"/>
              <w:left w:val="nil"/>
              <w:bottom w:val="nil"/>
              <w:right w:val="nil"/>
            </w:tcBorders>
            <w:shd w:val="clear" w:color="auto" w:fill="auto"/>
            <w:noWrap/>
            <w:vAlign w:val="center"/>
            <w:hideMark/>
          </w:tcPr>
          <w:p w14:paraId="2C18DA17"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254,164</w:t>
            </w:r>
          </w:p>
        </w:tc>
        <w:tc>
          <w:tcPr>
            <w:tcW w:w="836" w:type="pct"/>
            <w:tcBorders>
              <w:top w:val="nil"/>
              <w:left w:val="nil"/>
              <w:bottom w:val="nil"/>
              <w:right w:val="nil"/>
            </w:tcBorders>
            <w:shd w:val="clear" w:color="auto" w:fill="auto"/>
            <w:noWrap/>
            <w:vAlign w:val="center"/>
            <w:hideMark/>
          </w:tcPr>
          <w:p w14:paraId="50736AA3"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5.06681</w:t>
            </w:r>
          </w:p>
        </w:tc>
        <w:tc>
          <w:tcPr>
            <w:tcW w:w="836" w:type="pct"/>
            <w:tcBorders>
              <w:top w:val="nil"/>
              <w:left w:val="nil"/>
              <w:bottom w:val="nil"/>
              <w:right w:val="nil"/>
            </w:tcBorders>
            <w:shd w:val="clear" w:color="auto" w:fill="auto"/>
            <w:noWrap/>
            <w:vAlign w:val="center"/>
            <w:hideMark/>
          </w:tcPr>
          <w:p w14:paraId="76CED796"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1,287,801</w:t>
            </w:r>
          </w:p>
        </w:tc>
        <w:tc>
          <w:tcPr>
            <w:tcW w:w="836" w:type="pct"/>
            <w:tcBorders>
              <w:top w:val="nil"/>
              <w:left w:val="nil"/>
              <w:bottom w:val="nil"/>
              <w:right w:val="nil"/>
            </w:tcBorders>
            <w:shd w:val="clear" w:color="auto" w:fill="auto"/>
            <w:noWrap/>
            <w:vAlign w:val="center"/>
            <w:hideMark/>
          </w:tcPr>
          <w:p w14:paraId="783196AA"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4.7%</w:t>
            </w:r>
          </w:p>
        </w:tc>
        <w:tc>
          <w:tcPr>
            <w:tcW w:w="639" w:type="pct"/>
            <w:tcBorders>
              <w:top w:val="nil"/>
              <w:left w:val="nil"/>
              <w:bottom w:val="nil"/>
              <w:right w:val="nil"/>
            </w:tcBorders>
            <w:shd w:val="clear" w:color="auto" w:fill="auto"/>
            <w:noWrap/>
            <w:vAlign w:val="center"/>
            <w:hideMark/>
          </w:tcPr>
          <w:p w14:paraId="216DFDA8"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4,168</w:t>
            </w:r>
          </w:p>
        </w:tc>
      </w:tr>
      <w:tr w:rsidR="006B1861" w:rsidRPr="00F15348" w14:paraId="42952BC5" w14:textId="77777777" w:rsidTr="006B1861">
        <w:trPr>
          <w:trHeight w:hRule="exact" w:val="225"/>
        </w:trPr>
        <w:tc>
          <w:tcPr>
            <w:tcW w:w="1019" w:type="pct"/>
            <w:tcBorders>
              <w:top w:val="single" w:sz="4" w:space="0" w:color="293F5B"/>
              <w:left w:val="nil"/>
              <w:bottom w:val="single" w:sz="4" w:space="0" w:color="293F5B"/>
              <w:right w:val="nil"/>
            </w:tcBorders>
            <w:shd w:val="clear" w:color="000000" w:fill="E6F2FF"/>
            <w:noWrap/>
            <w:vAlign w:val="center"/>
            <w:hideMark/>
          </w:tcPr>
          <w:p w14:paraId="50B12A95" w14:textId="77777777" w:rsidR="006B1861" w:rsidRPr="00F15348" w:rsidRDefault="006B1861" w:rsidP="006B1861">
            <w:pPr>
              <w:spacing w:before="0" w:after="0" w:line="240" w:lineRule="auto"/>
              <w:rPr>
                <w:rFonts w:ascii="Arial" w:hAnsi="Arial" w:cs="Arial"/>
                <w:sz w:val="16"/>
                <w:szCs w:val="16"/>
              </w:rPr>
            </w:pPr>
            <w:r w:rsidRPr="00F15348">
              <w:rPr>
                <w:rFonts w:ascii="Arial" w:hAnsi="Arial" w:cs="Arial"/>
                <w:sz w:val="16"/>
                <w:szCs w:val="16"/>
              </w:rPr>
              <w:t>Total</w:t>
            </w:r>
          </w:p>
        </w:tc>
        <w:tc>
          <w:tcPr>
            <w:tcW w:w="836" w:type="pct"/>
            <w:tcBorders>
              <w:top w:val="single" w:sz="4" w:space="0" w:color="293F5B"/>
              <w:left w:val="nil"/>
              <w:bottom w:val="single" w:sz="4" w:space="0" w:color="293F5B"/>
              <w:right w:val="nil"/>
            </w:tcBorders>
            <w:shd w:val="clear" w:color="000000" w:fill="E6F2FF"/>
            <w:noWrap/>
            <w:vAlign w:val="center"/>
            <w:hideMark/>
          </w:tcPr>
          <w:p w14:paraId="37BB7CB5"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27,378,976</w:t>
            </w:r>
          </w:p>
        </w:tc>
        <w:tc>
          <w:tcPr>
            <w:tcW w:w="836" w:type="pct"/>
            <w:tcBorders>
              <w:top w:val="single" w:sz="4" w:space="0" w:color="293F5B"/>
              <w:left w:val="nil"/>
              <w:bottom w:val="single" w:sz="4" w:space="0" w:color="293F5B"/>
              <w:right w:val="nil"/>
            </w:tcBorders>
            <w:shd w:val="clear" w:color="000000" w:fill="E6F2FF"/>
            <w:noWrap/>
            <w:vAlign w:val="center"/>
            <w:hideMark/>
          </w:tcPr>
          <w:p w14:paraId="2EABF8C8"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na</w:t>
            </w:r>
          </w:p>
        </w:tc>
        <w:tc>
          <w:tcPr>
            <w:tcW w:w="836" w:type="pct"/>
            <w:tcBorders>
              <w:top w:val="single" w:sz="4" w:space="0" w:color="293F5B"/>
              <w:left w:val="nil"/>
              <w:bottom w:val="single" w:sz="4" w:space="0" w:color="293F5B"/>
              <w:right w:val="nil"/>
            </w:tcBorders>
            <w:shd w:val="clear" w:color="000000" w:fill="E6F2FF"/>
            <w:noWrap/>
            <w:vAlign w:val="center"/>
            <w:hideMark/>
          </w:tcPr>
          <w:p w14:paraId="1673E002"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27,353,040</w:t>
            </w:r>
          </w:p>
        </w:tc>
        <w:tc>
          <w:tcPr>
            <w:tcW w:w="836" w:type="pct"/>
            <w:tcBorders>
              <w:top w:val="single" w:sz="4" w:space="0" w:color="293F5B"/>
              <w:left w:val="nil"/>
              <w:bottom w:val="single" w:sz="4" w:space="0" w:color="293F5B"/>
              <w:right w:val="nil"/>
            </w:tcBorders>
            <w:shd w:val="clear" w:color="000000" w:fill="E6F2FF"/>
            <w:noWrap/>
            <w:vAlign w:val="center"/>
            <w:hideMark/>
          </w:tcPr>
          <w:p w14:paraId="76656DE9"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100%</w:t>
            </w:r>
          </w:p>
        </w:tc>
        <w:tc>
          <w:tcPr>
            <w:tcW w:w="639" w:type="pct"/>
            <w:tcBorders>
              <w:top w:val="single" w:sz="4" w:space="0" w:color="293F5B"/>
              <w:left w:val="nil"/>
              <w:bottom w:val="single" w:sz="4" w:space="0" w:color="293F5B"/>
              <w:right w:val="nil"/>
            </w:tcBorders>
            <w:shd w:val="clear" w:color="000000" w:fill="E6F2FF"/>
            <w:noWrap/>
            <w:vAlign w:val="center"/>
            <w:hideMark/>
          </w:tcPr>
          <w:p w14:paraId="2C3684E6" w14:textId="77777777" w:rsidR="006B1861" w:rsidRPr="00F15348" w:rsidRDefault="006B1861" w:rsidP="006B1861">
            <w:pPr>
              <w:spacing w:before="0" w:after="0" w:line="240" w:lineRule="auto"/>
              <w:jc w:val="right"/>
              <w:rPr>
                <w:rFonts w:ascii="Arial" w:hAnsi="Arial" w:cs="Arial"/>
                <w:sz w:val="16"/>
                <w:szCs w:val="16"/>
              </w:rPr>
            </w:pPr>
            <w:r w:rsidRPr="00F15348">
              <w:rPr>
                <w:rFonts w:ascii="Arial" w:hAnsi="Arial" w:cs="Arial"/>
                <w:sz w:val="16"/>
                <w:szCs w:val="16"/>
              </w:rPr>
              <w:t>88,534</w:t>
            </w:r>
          </w:p>
        </w:tc>
      </w:tr>
    </w:tbl>
    <w:p w14:paraId="472C4726" w14:textId="7E8524A8" w:rsidR="00D555FF" w:rsidRPr="00F15348" w:rsidRDefault="00D555FF" w:rsidP="007D74F0">
      <w:pPr>
        <w:rPr>
          <w:rFonts w:eastAsiaTheme="minorHAnsi"/>
        </w:rPr>
      </w:pPr>
      <w:r w:rsidRPr="00F15348">
        <w:t xml:space="preserve">In 2018, the Australian Government reformed the system of HFE to provide a fairer way to distribute the GST among the states. From 2021–22, the system began its transition to a more stable and predictable equalisation standard that will reduce volatility in states’ GST payments. </w:t>
      </w:r>
    </w:p>
    <w:p w14:paraId="08B2548D" w14:textId="00F5F00C" w:rsidR="00D555FF" w:rsidRPr="00F15348" w:rsidRDefault="00D555FF" w:rsidP="00D555FF">
      <w:r w:rsidRPr="00F15348">
        <w:t>To support the states’ transition to the new system, the Australian Government provided an additional $5.2 billion in transitional GST top</w:t>
      </w:r>
      <w:r w:rsidRPr="00F15348">
        <w:noBreakHyphen/>
        <w:t xml:space="preserve">up payments over the </w:t>
      </w:r>
      <w:r w:rsidR="00973A5B" w:rsidRPr="00F15348">
        <w:t>three</w:t>
      </w:r>
      <w:r w:rsidRPr="00F15348">
        <w:t xml:space="preserve"> years to</w:t>
      </w:r>
      <w:r w:rsidR="00973A5B" w:rsidRPr="00F15348">
        <w:br/>
      </w:r>
      <w:r w:rsidRPr="00F15348">
        <w:t>2021–22 to ensure that no state ha</w:t>
      </w:r>
      <w:r w:rsidR="009B535D" w:rsidRPr="00F15348">
        <w:t>d</w:t>
      </w:r>
      <w:r w:rsidRPr="00F15348">
        <w:t xml:space="preserve"> an effective GST relativity below 0.7, or 4.66024 for the Northern Territory. At the time of the 2018 reforms, it was estimated that $1.8 billion in top</w:t>
      </w:r>
      <w:r w:rsidRPr="00F15348">
        <w:noBreakHyphen/>
        <w:t xml:space="preserve">up payments would be required over those </w:t>
      </w:r>
      <w:r w:rsidR="00973A5B" w:rsidRPr="00F15348">
        <w:t>three</w:t>
      </w:r>
      <w:r w:rsidRPr="00F15348">
        <w:t xml:space="preserve"> years. </w:t>
      </w:r>
    </w:p>
    <w:p w14:paraId="3C624D3C" w14:textId="77B71A3B" w:rsidR="00D555FF" w:rsidRPr="00F15348" w:rsidRDefault="00D555FF" w:rsidP="00D555FF">
      <w:r w:rsidRPr="00F15348">
        <w:t>From 2022–23, the new HFE system include</w:t>
      </w:r>
      <w:r w:rsidR="00B902AA" w:rsidRPr="00F15348">
        <w:t>d</w:t>
      </w:r>
      <w:r w:rsidRPr="00F15348">
        <w:t xml:space="preserve"> a relativity floor of 0.7, permanently increasing to 0.75 in 2024–25. Further, the Australian Government has guaranteed</w:t>
      </w:r>
      <w:r w:rsidR="00D355F3" w:rsidRPr="00F15348">
        <w:t xml:space="preserve"> </w:t>
      </w:r>
      <w:r w:rsidRPr="00F15348">
        <w:t xml:space="preserve">that each state will receive at least the cumulative better of the old or the new HFE system for the </w:t>
      </w:r>
      <w:r w:rsidR="003D690E" w:rsidRPr="00F15348">
        <w:t>nine</w:t>
      </w:r>
      <w:r w:rsidR="007E0E64" w:rsidRPr="00F15348">
        <w:t> </w:t>
      </w:r>
      <w:r w:rsidRPr="00F15348">
        <w:t>years from 2021–22 to 202</w:t>
      </w:r>
      <w:r w:rsidR="007D05E8" w:rsidRPr="00F15348">
        <w:t>9</w:t>
      </w:r>
      <w:r w:rsidRPr="00F15348">
        <w:t>–</w:t>
      </w:r>
      <w:r w:rsidR="007D05E8" w:rsidRPr="00F15348">
        <w:t>30</w:t>
      </w:r>
      <w:r w:rsidRPr="00F15348">
        <w:t>. The HFE transition payments associated with this guarantee are outlined in Table</w:t>
      </w:r>
      <w:r w:rsidR="00FB4A59" w:rsidRPr="00F15348">
        <w:t> </w:t>
      </w:r>
      <w:r w:rsidRPr="00F15348">
        <w:t>3.1.</w:t>
      </w:r>
    </w:p>
    <w:p w14:paraId="2239D07D" w14:textId="5EDB7AB3" w:rsidR="00D555FF" w:rsidRPr="00F15348" w:rsidRDefault="00D555FF" w:rsidP="00D555FF">
      <w:r w:rsidRPr="00F15348">
        <w:t>The CGC does not forecast GST sharing relativities beyond the budget year. The distribution of GST among the states and any resulting transitional payments for 202</w:t>
      </w:r>
      <w:r w:rsidR="007D05E8" w:rsidRPr="00F15348">
        <w:t>5</w:t>
      </w:r>
      <w:r w:rsidRPr="00F15348">
        <w:t>–2</w:t>
      </w:r>
      <w:r w:rsidR="007D05E8" w:rsidRPr="00F15348">
        <w:t>6</w:t>
      </w:r>
      <w:r w:rsidRPr="00F15348">
        <w:t xml:space="preserve"> </w:t>
      </w:r>
      <w:r w:rsidR="0057695D" w:rsidRPr="00F15348">
        <w:t>is</w:t>
      </w:r>
      <w:r w:rsidRPr="00F15348">
        <w:t xml:space="preserve"> calculated based on a technical assumption that uses the 202</w:t>
      </w:r>
      <w:r w:rsidR="007D05E8" w:rsidRPr="00F15348">
        <w:t>4</w:t>
      </w:r>
      <w:r w:rsidRPr="00F15348">
        <w:t>–2</w:t>
      </w:r>
      <w:r w:rsidR="007D05E8" w:rsidRPr="00F15348">
        <w:t>5</w:t>
      </w:r>
      <w:r w:rsidRPr="00F15348">
        <w:t xml:space="preserve"> relativities as the starting point, which are then adjusted to reflect the transition to the updated distribution system. </w:t>
      </w:r>
    </w:p>
    <w:p w14:paraId="1F000F26" w14:textId="54F170BA" w:rsidR="00D555FF" w:rsidRPr="00F15348" w:rsidRDefault="00D555FF" w:rsidP="00D555FF">
      <w:r w:rsidRPr="00F15348">
        <w:t>In 2026–27</w:t>
      </w:r>
      <w:r w:rsidR="00240BFC" w:rsidRPr="00F15348">
        <w:t xml:space="preserve"> and 2027–28</w:t>
      </w:r>
      <w:r w:rsidRPr="00F15348">
        <w:t xml:space="preserve">, this assumption is changed on the basis that relativities will </w:t>
      </w:r>
      <w:r w:rsidR="00091C4E" w:rsidRPr="00F15348">
        <w:t xml:space="preserve">slowly </w:t>
      </w:r>
      <w:r w:rsidRPr="00F15348">
        <w:t>begin to revert toward historical averages</w:t>
      </w:r>
      <w:r w:rsidR="0062400A" w:rsidRPr="00F15348">
        <w:t xml:space="preserve"> as </w:t>
      </w:r>
      <w:r w:rsidR="006A78FA" w:rsidRPr="00F15348">
        <w:t>commodity prices are</w:t>
      </w:r>
      <w:r w:rsidR="006C59CC" w:rsidRPr="00F15348">
        <w:t xml:space="preserve"> assumed to fall from their current levels</w:t>
      </w:r>
      <w:r w:rsidR="006A78FA" w:rsidRPr="00F15348">
        <w:t>. However</w:t>
      </w:r>
      <w:r w:rsidR="006C59CC" w:rsidRPr="00F15348">
        <w:t xml:space="preserve">, the three year lag in the CGC’s relativity calculations means that the reversion will be more gradual than previously anticipated. </w:t>
      </w:r>
      <w:r w:rsidR="00EE314E" w:rsidRPr="00F15348">
        <w:t xml:space="preserve">Given this, </w:t>
      </w:r>
      <w:r w:rsidR="00E9140E" w:rsidRPr="00F15348">
        <w:t xml:space="preserve">the </w:t>
      </w:r>
      <w:r w:rsidRPr="00F15348">
        <w:t>transitional payment</w:t>
      </w:r>
      <w:r w:rsidR="006E7DB1" w:rsidRPr="00F15348">
        <w:t>s</w:t>
      </w:r>
      <w:r w:rsidRPr="00F15348">
        <w:t xml:space="preserve"> for 2026–27 </w:t>
      </w:r>
      <w:r w:rsidR="00E9140E" w:rsidRPr="00F15348">
        <w:t xml:space="preserve">and </w:t>
      </w:r>
      <w:r w:rsidR="00A3685C" w:rsidRPr="00F15348">
        <w:t>2027–28</w:t>
      </w:r>
      <w:r w:rsidRPr="00F15348">
        <w:t xml:space="preserve"> </w:t>
      </w:r>
      <w:r w:rsidR="006E7DB1" w:rsidRPr="00F15348">
        <w:t>are</w:t>
      </w:r>
      <w:r w:rsidRPr="00F15348">
        <w:t xml:space="preserve"> assumed to be </w:t>
      </w:r>
      <w:r w:rsidR="00196D78" w:rsidRPr="00F15348">
        <w:t>80</w:t>
      </w:r>
      <w:r w:rsidR="00240BFC" w:rsidRPr="00F15348">
        <w:t> per cent</w:t>
      </w:r>
      <w:r w:rsidRPr="00F15348">
        <w:t xml:space="preserve"> </w:t>
      </w:r>
      <w:r w:rsidR="00E9140E" w:rsidRPr="00F15348">
        <w:t>and</w:t>
      </w:r>
      <w:r w:rsidR="00800D99" w:rsidRPr="00F15348">
        <w:t xml:space="preserve"> </w:t>
      </w:r>
      <w:r w:rsidR="00196D78" w:rsidRPr="00F15348">
        <w:t>60</w:t>
      </w:r>
      <w:r w:rsidR="00800D99" w:rsidRPr="00F15348">
        <w:t xml:space="preserve"> per cent </w:t>
      </w:r>
      <w:r w:rsidR="00E9140E" w:rsidRPr="00F15348">
        <w:t>respectively</w:t>
      </w:r>
      <w:r w:rsidR="006E7DB1" w:rsidRPr="00F15348">
        <w:t xml:space="preserve">, </w:t>
      </w:r>
      <w:r w:rsidR="00800D99" w:rsidRPr="00F15348">
        <w:t xml:space="preserve">of what would be expected from using the 2024–25 relativities. </w:t>
      </w:r>
      <w:r w:rsidRPr="00F15348">
        <w:t>The estimates (shown in Table</w:t>
      </w:r>
      <w:r w:rsidR="003956FD" w:rsidRPr="00F15348">
        <w:t> </w:t>
      </w:r>
      <w:r w:rsidRPr="00F15348">
        <w:t xml:space="preserve">3.1) do not reflect any attempt to project future GST relativities or GST entitlements. </w:t>
      </w:r>
    </w:p>
    <w:p w14:paraId="6051E012" w14:textId="1012E22F" w:rsidR="00D555FF" w:rsidRPr="00FE1853" w:rsidRDefault="00D555FF" w:rsidP="00D555FF">
      <w:r w:rsidRPr="00F15348">
        <w:lastRenderedPageBreak/>
        <w:t xml:space="preserve">The </w:t>
      </w:r>
      <w:r w:rsidR="0016287D" w:rsidRPr="00F15348">
        <w:t>Australian</w:t>
      </w:r>
      <w:r w:rsidRPr="00F15348">
        <w:t xml:space="preserve"> Government is expected to provide an estimated $</w:t>
      </w:r>
      <w:r w:rsidR="00773E24" w:rsidRPr="00F15348">
        <w:t>20.4</w:t>
      </w:r>
      <w:r w:rsidR="003956FD" w:rsidRPr="00F15348">
        <w:t> </w:t>
      </w:r>
      <w:r w:rsidRPr="00F15348">
        <w:t>billion in HFE transition payments from 202</w:t>
      </w:r>
      <w:r w:rsidR="00875407" w:rsidRPr="00F15348">
        <w:t>4</w:t>
      </w:r>
      <w:r w:rsidRPr="00F15348">
        <w:t>–</w:t>
      </w:r>
      <w:r w:rsidRPr="00F15348" w:rsidDel="00317CA3">
        <w:t>2</w:t>
      </w:r>
      <w:r w:rsidR="0087473A" w:rsidRPr="00F15348">
        <w:t>5</w:t>
      </w:r>
      <w:r w:rsidRPr="00F15348">
        <w:t xml:space="preserve"> to 202</w:t>
      </w:r>
      <w:r w:rsidR="0087473A" w:rsidRPr="00F15348">
        <w:t>7</w:t>
      </w:r>
      <w:r w:rsidRPr="00F15348">
        <w:t>–2</w:t>
      </w:r>
      <w:r w:rsidR="0087473A" w:rsidRPr="00F15348">
        <w:t>8</w:t>
      </w:r>
      <w:r w:rsidRPr="00F15348">
        <w:t xml:space="preserve"> to support the transition to the new HFE system. </w:t>
      </w:r>
    </w:p>
    <w:p w14:paraId="400E0661" w14:textId="5F10517C" w:rsidR="00D555FF" w:rsidRPr="00F15348" w:rsidRDefault="00D555FF" w:rsidP="00D555FF">
      <w:pPr>
        <w:pStyle w:val="Heading3"/>
        <w:tabs>
          <w:tab w:val="left" w:pos="3119"/>
        </w:tabs>
      </w:pPr>
      <w:r w:rsidRPr="00F15348">
        <w:t xml:space="preserve">GST administration </w:t>
      </w:r>
    </w:p>
    <w:p w14:paraId="75178A08" w14:textId="77777777" w:rsidR="00D555FF" w:rsidRPr="00F15348" w:rsidRDefault="00D555FF" w:rsidP="00D555FF">
      <w:pPr>
        <w:keepNext/>
        <w:spacing w:after="200"/>
      </w:pPr>
      <w:r w:rsidRPr="00F15348">
        <w:t xml:space="preserve">States compensate the Australian Government for the costs incurred by the ATO for administering the GST, including costs incurred by the Department of Home Affairs. In practice, this is achieved by the Australian Government reducing the monthly GST payments to the states by the GST administration costs. </w:t>
      </w:r>
    </w:p>
    <w:p w14:paraId="23174A19" w14:textId="0400E194" w:rsidR="00D555FF" w:rsidRPr="00F15348" w:rsidRDefault="00D555FF" w:rsidP="00D555FF">
      <w:pPr>
        <w:keepNext/>
        <w:spacing w:after="200"/>
      </w:pPr>
      <w:r w:rsidRPr="00F15348">
        <w:t>The GST administration budget for the ATO is estimated to be $</w:t>
      </w:r>
      <w:r w:rsidR="00B97AAF" w:rsidRPr="00F15348">
        <w:t>709.0</w:t>
      </w:r>
      <w:r w:rsidR="003956FD" w:rsidRPr="00F15348">
        <w:t> </w:t>
      </w:r>
      <w:r w:rsidRPr="00F15348">
        <w:t>million for 202</w:t>
      </w:r>
      <w:r w:rsidR="00077971" w:rsidRPr="00F15348">
        <w:t>4</w:t>
      </w:r>
      <w:r w:rsidRPr="00F15348">
        <w:t>–2</w:t>
      </w:r>
      <w:r w:rsidR="00077971" w:rsidRPr="00F15348">
        <w:t>5</w:t>
      </w:r>
      <w:r w:rsidRPr="00F15348">
        <w:t>, as shown in Table</w:t>
      </w:r>
      <w:r w:rsidR="003956FD" w:rsidRPr="00F15348">
        <w:t> </w:t>
      </w:r>
      <w:r w:rsidRPr="00F15348">
        <w:t>3.6.</w:t>
      </w:r>
    </w:p>
    <w:p w14:paraId="16564C91" w14:textId="00A96B47" w:rsidR="009B3040" w:rsidRPr="00F15348" w:rsidRDefault="00D555FF" w:rsidP="009B3040">
      <w:pPr>
        <w:pStyle w:val="TableHeading"/>
        <w:tabs>
          <w:tab w:val="left" w:pos="3119"/>
        </w:tabs>
        <w:rPr>
          <w:rFonts w:asciiTheme="minorHAnsi" w:eastAsiaTheme="minorHAnsi" w:hAnsiTheme="minorHAnsi" w:cstheme="minorBidi"/>
          <w:b w:val="0"/>
          <w:sz w:val="22"/>
          <w:szCs w:val="22"/>
          <w:lang w:eastAsia="en-US"/>
        </w:rPr>
      </w:pPr>
      <w:r w:rsidRPr="00F15348">
        <w:rPr>
          <w:rFonts w:cs="Arial"/>
        </w:rPr>
        <w:t>Table</w:t>
      </w:r>
      <w:r w:rsidR="003956FD" w:rsidRPr="00F15348">
        <w:rPr>
          <w:rFonts w:cs="Arial"/>
        </w:rPr>
        <w:t> </w:t>
      </w:r>
      <w:r w:rsidRPr="00F15348">
        <w:rPr>
          <w:rFonts w:cs="Arial"/>
        </w:rPr>
        <w:t>3.6: Reconciliation of the GST administration budget</w:t>
      </w:r>
      <w:bookmarkStart w:id="15" w:name="_1744653129"/>
      <w:bookmarkEnd w:id="15"/>
    </w:p>
    <w:tbl>
      <w:tblPr>
        <w:tblW w:w="5000" w:type="pct"/>
        <w:tblCellMar>
          <w:left w:w="0" w:type="dxa"/>
          <w:right w:w="28" w:type="dxa"/>
        </w:tblCellMar>
        <w:tblLook w:val="04A0" w:firstRow="1" w:lastRow="0" w:firstColumn="1" w:lastColumn="0" w:noHBand="0" w:noVBand="1"/>
      </w:tblPr>
      <w:tblGrid>
        <w:gridCol w:w="3645"/>
        <w:gridCol w:w="813"/>
        <w:gridCol w:w="813"/>
        <w:gridCol w:w="813"/>
        <w:gridCol w:w="813"/>
        <w:gridCol w:w="813"/>
      </w:tblGrid>
      <w:tr w:rsidR="009B3040" w:rsidRPr="00F15348" w14:paraId="49AD4963" w14:textId="77777777" w:rsidTr="009B3040">
        <w:trPr>
          <w:divId w:val="1163937905"/>
          <w:trHeight w:hRule="exact" w:val="225"/>
        </w:trPr>
        <w:tc>
          <w:tcPr>
            <w:tcW w:w="2364" w:type="pct"/>
            <w:tcBorders>
              <w:top w:val="single" w:sz="4" w:space="0" w:color="000000"/>
              <w:left w:val="nil"/>
              <w:bottom w:val="nil"/>
              <w:right w:val="nil"/>
            </w:tcBorders>
            <w:shd w:val="clear" w:color="auto" w:fill="auto"/>
            <w:noWrap/>
            <w:vAlign w:val="bottom"/>
            <w:hideMark/>
          </w:tcPr>
          <w:p w14:paraId="360B6167" w14:textId="2AFBBB89" w:rsidR="009B3040" w:rsidRPr="00F15348" w:rsidRDefault="009B3040" w:rsidP="009B3040">
            <w:pPr>
              <w:spacing w:before="0" w:after="0" w:line="240" w:lineRule="auto"/>
              <w:rPr>
                <w:rFonts w:ascii="Arial" w:hAnsi="Arial" w:cs="Arial"/>
                <w:sz w:val="16"/>
                <w:szCs w:val="16"/>
              </w:rPr>
            </w:pPr>
            <w:r w:rsidRPr="00F15348">
              <w:rPr>
                <w:rFonts w:ascii="Arial" w:hAnsi="Arial" w:cs="Arial"/>
                <w:sz w:val="16"/>
                <w:szCs w:val="16"/>
              </w:rPr>
              <w:t>$million</w:t>
            </w:r>
          </w:p>
        </w:tc>
        <w:tc>
          <w:tcPr>
            <w:tcW w:w="527" w:type="pct"/>
            <w:tcBorders>
              <w:top w:val="single" w:sz="4" w:space="0" w:color="000000"/>
              <w:left w:val="nil"/>
              <w:bottom w:val="nil"/>
              <w:right w:val="nil"/>
            </w:tcBorders>
            <w:shd w:val="clear" w:color="auto" w:fill="auto"/>
            <w:noWrap/>
            <w:vAlign w:val="bottom"/>
            <w:hideMark/>
          </w:tcPr>
          <w:p w14:paraId="6DA48D4C"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2023-24</w:t>
            </w:r>
          </w:p>
        </w:tc>
        <w:tc>
          <w:tcPr>
            <w:tcW w:w="527" w:type="pct"/>
            <w:tcBorders>
              <w:top w:val="single" w:sz="4" w:space="0" w:color="000000"/>
              <w:left w:val="nil"/>
              <w:bottom w:val="nil"/>
              <w:right w:val="nil"/>
            </w:tcBorders>
            <w:shd w:val="clear" w:color="000000" w:fill="E6F2FF"/>
            <w:noWrap/>
            <w:vAlign w:val="bottom"/>
            <w:hideMark/>
          </w:tcPr>
          <w:p w14:paraId="5CCD977E"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2024-25</w:t>
            </w:r>
          </w:p>
        </w:tc>
        <w:tc>
          <w:tcPr>
            <w:tcW w:w="527" w:type="pct"/>
            <w:tcBorders>
              <w:top w:val="single" w:sz="4" w:space="0" w:color="000000"/>
              <w:left w:val="nil"/>
              <w:bottom w:val="nil"/>
              <w:right w:val="nil"/>
            </w:tcBorders>
            <w:shd w:val="clear" w:color="auto" w:fill="auto"/>
            <w:noWrap/>
            <w:vAlign w:val="bottom"/>
            <w:hideMark/>
          </w:tcPr>
          <w:p w14:paraId="5639926A"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2025-26</w:t>
            </w:r>
          </w:p>
        </w:tc>
        <w:tc>
          <w:tcPr>
            <w:tcW w:w="527" w:type="pct"/>
            <w:tcBorders>
              <w:top w:val="single" w:sz="4" w:space="0" w:color="000000"/>
              <w:left w:val="nil"/>
              <w:bottom w:val="nil"/>
              <w:right w:val="nil"/>
            </w:tcBorders>
            <w:shd w:val="clear" w:color="auto" w:fill="auto"/>
            <w:noWrap/>
            <w:vAlign w:val="bottom"/>
            <w:hideMark/>
          </w:tcPr>
          <w:p w14:paraId="79B2DDF2"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2026-27</w:t>
            </w:r>
          </w:p>
        </w:tc>
        <w:tc>
          <w:tcPr>
            <w:tcW w:w="527" w:type="pct"/>
            <w:tcBorders>
              <w:top w:val="single" w:sz="4" w:space="0" w:color="000000"/>
              <w:left w:val="nil"/>
              <w:bottom w:val="nil"/>
              <w:right w:val="nil"/>
            </w:tcBorders>
            <w:shd w:val="clear" w:color="auto" w:fill="auto"/>
            <w:noWrap/>
            <w:vAlign w:val="bottom"/>
            <w:hideMark/>
          </w:tcPr>
          <w:p w14:paraId="5DF98D44"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2027-28</w:t>
            </w:r>
          </w:p>
        </w:tc>
      </w:tr>
      <w:tr w:rsidR="009B3040" w:rsidRPr="00F15348" w14:paraId="44454CCF" w14:textId="77777777" w:rsidTr="009B3040">
        <w:trPr>
          <w:divId w:val="1163937905"/>
          <w:trHeight w:hRule="exact" w:val="225"/>
        </w:trPr>
        <w:tc>
          <w:tcPr>
            <w:tcW w:w="2364" w:type="pct"/>
            <w:tcBorders>
              <w:top w:val="nil"/>
              <w:left w:val="nil"/>
              <w:bottom w:val="nil"/>
              <w:right w:val="nil"/>
            </w:tcBorders>
            <w:shd w:val="clear" w:color="auto" w:fill="auto"/>
            <w:noWrap/>
            <w:vAlign w:val="bottom"/>
            <w:hideMark/>
          </w:tcPr>
          <w:p w14:paraId="17E53315" w14:textId="77777777" w:rsidR="009B3040" w:rsidRPr="00F15348" w:rsidRDefault="009B3040" w:rsidP="009B3040">
            <w:pPr>
              <w:spacing w:before="0" w:after="0" w:line="240" w:lineRule="auto"/>
              <w:rPr>
                <w:rFonts w:ascii="Arial" w:hAnsi="Arial" w:cs="Arial"/>
                <w:sz w:val="16"/>
                <w:szCs w:val="16"/>
              </w:rPr>
            </w:pPr>
            <w:r w:rsidRPr="00F15348">
              <w:rPr>
                <w:rFonts w:ascii="Arial" w:hAnsi="Arial" w:cs="Arial"/>
                <w:sz w:val="16"/>
                <w:szCs w:val="16"/>
              </w:rPr>
              <w:t>Administration budget at 2023-24 Budget</w:t>
            </w:r>
          </w:p>
        </w:tc>
        <w:tc>
          <w:tcPr>
            <w:tcW w:w="527" w:type="pct"/>
            <w:tcBorders>
              <w:top w:val="single" w:sz="4" w:space="0" w:color="000000"/>
              <w:left w:val="nil"/>
              <w:bottom w:val="single" w:sz="4" w:space="0" w:color="000000"/>
              <w:right w:val="nil"/>
            </w:tcBorders>
            <w:shd w:val="clear" w:color="auto" w:fill="auto"/>
            <w:noWrap/>
            <w:vAlign w:val="center"/>
            <w:hideMark/>
          </w:tcPr>
          <w:p w14:paraId="4EE5777B"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719.4</w:t>
            </w:r>
          </w:p>
        </w:tc>
        <w:tc>
          <w:tcPr>
            <w:tcW w:w="527" w:type="pct"/>
            <w:tcBorders>
              <w:top w:val="single" w:sz="4" w:space="0" w:color="000000"/>
              <w:left w:val="nil"/>
              <w:bottom w:val="single" w:sz="4" w:space="0" w:color="000000"/>
              <w:right w:val="nil"/>
            </w:tcBorders>
            <w:shd w:val="clear" w:color="000000" w:fill="E6F2FF"/>
            <w:noWrap/>
            <w:vAlign w:val="center"/>
            <w:hideMark/>
          </w:tcPr>
          <w:p w14:paraId="54259521"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724.1</w:t>
            </w:r>
          </w:p>
        </w:tc>
        <w:tc>
          <w:tcPr>
            <w:tcW w:w="527" w:type="pct"/>
            <w:tcBorders>
              <w:top w:val="single" w:sz="4" w:space="0" w:color="000000"/>
              <w:left w:val="nil"/>
              <w:bottom w:val="single" w:sz="4" w:space="0" w:color="000000"/>
              <w:right w:val="nil"/>
            </w:tcBorders>
            <w:shd w:val="clear" w:color="auto" w:fill="auto"/>
            <w:noWrap/>
            <w:vAlign w:val="center"/>
            <w:hideMark/>
          </w:tcPr>
          <w:p w14:paraId="40D6FEF6"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735.6</w:t>
            </w:r>
          </w:p>
        </w:tc>
        <w:tc>
          <w:tcPr>
            <w:tcW w:w="527" w:type="pct"/>
            <w:tcBorders>
              <w:top w:val="single" w:sz="4" w:space="0" w:color="000000"/>
              <w:left w:val="nil"/>
              <w:bottom w:val="single" w:sz="4" w:space="0" w:color="000000"/>
              <w:right w:val="nil"/>
            </w:tcBorders>
            <w:shd w:val="clear" w:color="auto" w:fill="auto"/>
            <w:noWrap/>
            <w:vAlign w:val="center"/>
            <w:hideMark/>
          </w:tcPr>
          <w:p w14:paraId="12FFF365"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734.1</w:t>
            </w:r>
          </w:p>
        </w:tc>
        <w:tc>
          <w:tcPr>
            <w:tcW w:w="527" w:type="pct"/>
            <w:tcBorders>
              <w:top w:val="single" w:sz="4" w:space="0" w:color="000000"/>
              <w:left w:val="nil"/>
              <w:bottom w:val="single" w:sz="4" w:space="0" w:color="000000"/>
              <w:right w:val="nil"/>
            </w:tcBorders>
            <w:shd w:val="clear" w:color="auto" w:fill="auto"/>
            <w:noWrap/>
            <w:vAlign w:val="center"/>
            <w:hideMark/>
          </w:tcPr>
          <w:p w14:paraId="00291CDF"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na</w:t>
            </w:r>
          </w:p>
        </w:tc>
      </w:tr>
      <w:tr w:rsidR="009B3040" w:rsidRPr="00F15348" w14:paraId="6E46B567" w14:textId="77777777" w:rsidTr="009B3040">
        <w:trPr>
          <w:divId w:val="1163937905"/>
          <w:trHeight w:hRule="exact" w:val="225"/>
        </w:trPr>
        <w:tc>
          <w:tcPr>
            <w:tcW w:w="2364" w:type="pct"/>
            <w:tcBorders>
              <w:top w:val="nil"/>
              <w:left w:val="nil"/>
              <w:bottom w:val="nil"/>
              <w:right w:val="nil"/>
            </w:tcBorders>
            <w:shd w:val="clear" w:color="auto" w:fill="auto"/>
            <w:noWrap/>
            <w:vAlign w:val="bottom"/>
            <w:hideMark/>
          </w:tcPr>
          <w:p w14:paraId="31A08B13" w14:textId="77777777" w:rsidR="009B3040" w:rsidRPr="00F15348" w:rsidRDefault="009B3040" w:rsidP="009B3040">
            <w:pPr>
              <w:spacing w:before="0" w:after="0" w:line="240" w:lineRule="auto"/>
              <w:rPr>
                <w:rFonts w:ascii="Arial" w:hAnsi="Arial" w:cs="Arial"/>
                <w:sz w:val="16"/>
                <w:szCs w:val="16"/>
              </w:rPr>
            </w:pPr>
            <w:r w:rsidRPr="00F15348">
              <w:rPr>
                <w:rFonts w:ascii="Arial" w:hAnsi="Arial" w:cs="Arial"/>
                <w:sz w:val="16"/>
                <w:szCs w:val="16"/>
              </w:rPr>
              <w:t>Total variations from 2023-24 Budget</w:t>
            </w:r>
          </w:p>
        </w:tc>
        <w:tc>
          <w:tcPr>
            <w:tcW w:w="527" w:type="pct"/>
            <w:tcBorders>
              <w:top w:val="nil"/>
              <w:left w:val="nil"/>
              <w:bottom w:val="nil"/>
              <w:right w:val="nil"/>
            </w:tcBorders>
            <w:shd w:val="clear" w:color="auto" w:fill="auto"/>
            <w:noWrap/>
            <w:vAlign w:val="bottom"/>
            <w:hideMark/>
          </w:tcPr>
          <w:p w14:paraId="77043303"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 </w:t>
            </w:r>
          </w:p>
        </w:tc>
        <w:tc>
          <w:tcPr>
            <w:tcW w:w="527" w:type="pct"/>
            <w:tcBorders>
              <w:top w:val="nil"/>
              <w:left w:val="nil"/>
              <w:bottom w:val="nil"/>
              <w:right w:val="nil"/>
            </w:tcBorders>
            <w:shd w:val="clear" w:color="000000" w:fill="E6F2FF"/>
            <w:noWrap/>
            <w:vAlign w:val="bottom"/>
            <w:hideMark/>
          </w:tcPr>
          <w:p w14:paraId="7725F57E"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 </w:t>
            </w:r>
          </w:p>
        </w:tc>
        <w:tc>
          <w:tcPr>
            <w:tcW w:w="527" w:type="pct"/>
            <w:tcBorders>
              <w:top w:val="nil"/>
              <w:left w:val="nil"/>
              <w:bottom w:val="nil"/>
              <w:right w:val="nil"/>
            </w:tcBorders>
            <w:shd w:val="clear" w:color="auto" w:fill="auto"/>
            <w:noWrap/>
            <w:vAlign w:val="bottom"/>
            <w:hideMark/>
          </w:tcPr>
          <w:p w14:paraId="0647E946"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 </w:t>
            </w:r>
          </w:p>
        </w:tc>
        <w:tc>
          <w:tcPr>
            <w:tcW w:w="527" w:type="pct"/>
            <w:tcBorders>
              <w:top w:val="nil"/>
              <w:left w:val="nil"/>
              <w:bottom w:val="nil"/>
              <w:right w:val="nil"/>
            </w:tcBorders>
            <w:shd w:val="clear" w:color="auto" w:fill="auto"/>
            <w:noWrap/>
            <w:vAlign w:val="bottom"/>
            <w:hideMark/>
          </w:tcPr>
          <w:p w14:paraId="0FCCD7B5"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 </w:t>
            </w:r>
          </w:p>
        </w:tc>
        <w:tc>
          <w:tcPr>
            <w:tcW w:w="527" w:type="pct"/>
            <w:tcBorders>
              <w:top w:val="nil"/>
              <w:left w:val="nil"/>
              <w:bottom w:val="nil"/>
              <w:right w:val="nil"/>
            </w:tcBorders>
            <w:shd w:val="clear" w:color="auto" w:fill="auto"/>
            <w:noWrap/>
            <w:vAlign w:val="bottom"/>
            <w:hideMark/>
          </w:tcPr>
          <w:p w14:paraId="407BF3D9" w14:textId="77777777" w:rsidR="009B3040" w:rsidRPr="00F15348" w:rsidRDefault="009B3040" w:rsidP="009B3040">
            <w:pPr>
              <w:spacing w:before="0" w:after="0" w:line="240" w:lineRule="auto"/>
              <w:jc w:val="right"/>
              <w:rPr>
                <w:rFonts w:ascii="Arial" w:hAnsi="Arial" w:cs="Arial"/>
                <w:sz w:val="16"/>
                <w:szCs w:val="16"/>
              </w:rPr>
            </w:pPr>
          </w:p>
        </w:tc>
      </w:tr>
      <w:tr w:rsidR="009B3040" w:rsidRPr="00F15348" w14:paraId="43EC634F" w14:textId="77777777" w:rsidTr="009B3040">
        <w:trPr>
          <w:divId w:val="1163937905"/>
          <w:trHeight w:hRule="exact" w:val="225"/>
        </w:trPr>
        <w:tc>
          <w:tcPr>
            <w:tcW w:w="2364" w:type="pct"/>
            <w:tcBorders>
              <w:top w:val="nil"/>
              <w:left w:val="nil"/>
              <w:bottom w:val="nil"/>
              <w:right w:val="nil"/>
            </w:tcBorders>
            <w:shd w:val="clear" w:color="auto" w:fill="auto"/>
            <w:noWrap/>
            <w:vAlign w:val="center"/>
            <w:hideMark/>
          </w:tcPr>
          <w:p w14:paraId="29AA2E00" w14:textId="77777777" w:rsidR="009B3040" w:rsidRPr="00F15348" w:rsidRDefault="009B3040" w:rsidP="009B3040">
            <w:pPr>
              <w:spacing w:before="0" w:after="0" w:line="240" w:lineRule="auto"/>
              <w:ind w:left="170"/>
              <w:rPr>
                <w:rFonts w:ascii="Arial" w:hAnsi="Arial" w:cs="Arial"/>
                <w:sz w:val="16"/>
                <w:szCs w:val="16"/>
              </w:rPr>
            </w:pPr>
            <w:r w:rsidRPr="00F15348">
              <w:rPr>
                <w:rFonts w:ascii="Arial" w:hAnsi="Arial" w:cs="Arial"/>
                <w:sz w:val="16"/>
                <w:szCs w:val="16"/>
              </w:rPr>
              <w:t>to 2023-24 MYEFO</w:t>
            </w:r>
          </w:p>
        </w:tc>
        <w:tc>
          <w:tcPr>
            <w:tcW w:w="527" w:type="pct"/>
            <w:tcBorders>
              <w:top w:val="nil"/>
              <w:left w:val="nil"/>
              <w:bottom w:val="nil"/>
              <w:right w:val="nil"/>
            </w:tcBorders>
            <w:shd w:val="clear" w:color="auto" w:fill="auto"/>
            <w:noWrap/>
            <w:vAlign w:val="center"/>
            <w:hideMark/>
          </w:tcPr>
          <w:p w14:paraId="00B379F7"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-69.2</w:t>
            </w:r>
          </w:p>
        </w:tc>
        <w:tc>
          <w:tcPr>
            <w:tcW w:w="527" w:type="pct"/>
            <w:tcBorders>
              <w:top w:val="nil"/>
              <w:left w:val="nil"/>
              <w:bottom w:val="nil"/>
              <w:right w:val="nil"/>
            </w:tcBorders>
            <w:shd w:val="clear" w:color="000000" w:fill="E6F2FF"/>
            <w:noWrap/>
            <w:vAlign w:val="center"/>
            <w:hideMark/>
          </w:tcPr>
          <w:p w14:paraId="005AA28B"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-15.1</w:t>
            </w:r>
          </w:p>
        </w:tc>
        <w:tc>
          <w:tcPr>
            <w:tcW w:w="527" w:type="pct"/>
            <w:tcBorders>
              <w:top w:val="nil"/>
              <w:left w:val="nil"/>
              <w:bottom w:val="nil"/>
              <w:right w:val="nil"/>
            </w:tcBorders>
            <w:shd w:val="clear" w:color="auto" w:fill="auto"/>
            <w:noWrap/>
            <w:vAlign w:val="center"/>
            <w:hideMark/>
          </w:tcPr>
          <w:p w14:paraId="301A6F9C"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-13.0</w:t>
            </w:r>
          </w:p>
        </w:tc>
        <w:tc>
          <w:tcPr>
            <w:tcW w:w="527" w:type="pct"/>
            <w:tcBorders>
              <w:top w:val="nil"/>
              <w:left w:val="nil"/>
              <w:bottom w:val="nil"/>
              <w:right w:val="nil"/>
            </w:tcBorders>
            <w:shd w:val="clear" w:color="auto" w:fill="auto"/>
            <w:noWrap/>
            <w:vAlign w:val="center"/>
            <w:hideMark/>
          </w:tcPr>
          <w:p w14:paraId="01389318"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-9.4</w:t>
            </w:r>
          </w:p>
        </w:tc>
        <w:tc>
          <w:tcPr>
            <w:tcW w:w="527" w:type="pct"/>
            <w:tcBorders>
              <w:top w:val="nil"/>
              <w:left w:val="nil"/>
              <w:bottom w:val="nil"/>
              <w:right w:val="nil"/>
            </w:tcBorders>
            <w:shd w:val="clear" w:color="auto" w:fill="auto"/>
            <w:noWrap/>
            <w:vAlign w:val="center"/>
            <w:hideMark/>
          </w:tcPr>
          <w:p w14:paraId="726FBE82"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na</w:t>
            </w:r>
          </w:p>
        </w:tc>
      </w:tr>
      <w:tr w:rsidR="009B3040" w:rsidRPr="00F15348" w14:paraId="643A8A48" w14:textId="77777777" w:rsidTr="009B3040">
        <w:trPr>
          <w:divId w:val="1163937905"/>
          <w:trHeight w:hRule="exact" w:val="225"/>
        </w:trPr>
        <w:tc>
          <w:tcPr>
            <w:tcW w:w="2364" w:type="pct"/>
            <w:tcBorders>
              <w:top w:val="nil"/>
              <w:left w:val="nil"/>
              <w:bottom w:val="nil"/>
              <w:right w:val="nil"/>
            </w:tcBorders>
            <w:shd w:val="clear" w:color="auto" w:fill="auto"/>
            <w:noWrap/>
            <w:vAlign w:val="bottom"/>
            <w:hideMark/>
          </w:tcPr>
          <w:p w14:paraId="5EAAAA3C" w14:textId="77777777" w:rsidR="009B3040" w:rsidRPr="00F15348" w:rsidRDefault="009B3040" w:rsidP="009B3040">
            <w:pPr>
              <w:spacing w:before="0" w:after="0" w:line="240" w:lineRule="auto"/>
              <w:rPr>
                <w:rFonts w:ascii="Arial" w:hAnsi="Arial" w:cs="Arial"/>
                <w:sz w:val="16"/>
                <w:szCs w:val="16"/>
              </w:rPr>
            </w:pPr>
            <w:r w:rsidRPr="00F15348">
              <w:rPr>
                <w:rFonts w:ascii="Arial" w:hAnsi="Arial" w:cs="Arial"/>
                <w:sz w:val="16"/>
                <w:szCs w:val="16"/>
              </w:rPr>
              <w:t>Administration budget at 2023-24 MYEFO</w:t>
            </w:r>
          </w:p>
        </w:tc>
        <w:tc>
          <w:tcPr>
            <w:tcW w:w="527" w:type="pct"/>
            <w:tcBorders>
              <w:top w:val="single" w:sz="4" w:space="0" w:color="000000"/>
              <w:left w:val="nil"/>
              <w:bottom w:val="nil"/>
              <w:right w:val="nil"/>
            </w:tcBorders>
            <w:shd w:val="clear" w:color="auto" w:fill="auto"/>
            <w:noWrap/>
            <w:vAlign w:val="center"/>
            <w:hideMark/>
          </w:tcPr>
          <w:p w14:paraId="5451A626"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650.2</w:t>
            </w:r>
          </w:p>
        </w:tc>
        <w:tc>
          <w:tcPr>
            <w:tcW w:w="527" w:type="pct"/>
            <w:tcBorders>
              <w:top w:val="single" w:sz="4" w:space="0" w:color="000000"/>
              <w:left w:val="nil"/>
              <w:bottom w:val="nil"/>
              <w:right w:val="nil"/>
            </w:tcBorders>
            <w:shd w:val="clear" w:color="000000" w:fill="E6F2FF"/>
            <w:noWrap/>
            <w:vAlign w:val="center"/>
            <w:hideMark/>
          </w:tcPr>
          <w:p w14:paraId="5B5FDE4A"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709.0</w:t>
            </w:r>
          </w:p>
        </w:tc>
        <w:tc>
          <w:tcPr>
            <w:tcW w:w="527" w:type="pct"/>
            <w:tcBorders>
              <w:top w:val="single" w:sz="4" w:space="0" w:color="000000"/>
              <w:left w:val="nil"/>
              <w:bottom w:val="nil"/>
              <w:right w:val="nil"/>
            </w:tcBorders>
            <w:shd w:val="clear" w:color="auto" w:fill="auto"/>
            <w:noWrap/>
            <w:vAlign w:val="center"/>
            <w:hideMark/>
          </w:tcPr>
          <w:p w14:paraId="07DF9899"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722.6</w:t>
            </w:r>
          </w:p>
        </w:tc>
        <w:tc>
          <w:tcPr>
            <w:tcW w:w="527" w:type="pct"/>
            <w:tcBorders>
              <w:top w:val="single" w:sz="4" w:space="0" w:color="000000"/>
              <w:left w:val="nil"/>
              <w:bottom w:val="nil"/>
              <w:right w:val="nil"/>
            </w:tcBorders>
            <w:shd w:val="clear" w:color="auto" w:fill="auto"/>
            <w:noWrap/>
            <w:vAlign w:val="center"/>
            <w:hideMark/>
          </w:tcPr>
          <w:p w14:paraId="27EDE5A6"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724.7</w:t>
            </w:r>
          </w:p>
        </w:tc>
        <w:tc>
          <w:tcPr>
            <w:tcW w:w="527" w:type="pct"/>
            <w:tcBorders>
              <w:top w:val="single" w:sz="4" w:space="0" w:color="000000"/>
              <w:left w:val="nil"/>
              <w:bottom w:val="nil"/>
              <w:right w:val="nil"/>
            </w:tcBorders>
            <w:shd w:val="clear" w:color="auto" w:fill="auto"/>
            <w:noWrap/>
            <w:vAlign w:val="center"/>
            <w:hideMark/>
          </w:tcPr>
          <w:p w14:paraId="6C8FD064"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na</w:t>
            </w:r>
          </w:p>
        </w:tc>
      </w:tr>
      <w:tr w:rsidR="009B3040" w:rsidRPr="00F15348" w14:paraId="5F5A2906" w14:textId="77777777" w:rsidTr="009B3040">
        <w:trPr>
          <w:divId w:val="1163937905"/>
          <w:trHeight w:hRule="exact" w:val="225"/>
        </w:trPr>
        <w:tc>
          <w:tcPr>
            <w:tcW w:w="2364" w:type="pct"/>
            <w:tcBorders>
              <w:top w:val="nil"/>
              <w:left w:val="nil"/>
              <w:bottom w:val="nil"/>
              <w:right w:val="nil"/>
            </w:tcBorders>
            <w:shd w:val="clear" w:color="auto" w:fill="auto"/>
            <w:noWrap/>
            <w:vAlign w:val="bottom"/>
            <w:hideMark/>
          </w:tcPr>
          <w:p w14:paraId="34D7D309" w14:textId="77777777" w:rsidR="009B3040" w:rsidRPr="00F15348" w:rsidRDefault="009B3040" w:rsidP="009B3040">
            <w:pPr>
              <w:spacing w:before="0" w:after="0" w:line="240" w:lineRule="auto"/>
              <w:rPr>
                <w:rFonts w:ascii="Arial" w:hAnsi="Arial" w:cs="Arial"/>
                <w:sz w:val="16"/>
                <w:szCs w:val="16"/>
              </w:rPr>
            </w:pPr>
            <w:r w:rsidRPr="00F15348">
              <w:rPr>
                <w:rFonts w:ascii="Arial" w:hAnsi="Arial" w:cs="Arial"/>
                <w:sz w:val="16"/>
                <w:szCs w:val="16"/>
              </w:rPr>
              <w:t>Changes from 2023-24 MYEFO</w:t>
            </w:r>
          </w:p>
        </w:tc>
        <w:tc>
          <w:tcPr>
            <w:tcW w:w="527" w:type="pct"/>
            <w:tcBorders>
              <w:top w:val="nil"/>
              <w:left w:val="nil"/>
              <w:bottom w:val="nil"/>
              <w:right w:val="nil"/>
            </w:tcBorders>
            <w:shd w:val="clear" w:color="auto" w:fill="auto"/>
            <w:noWrap/>
            <w:vAlign w:val="bottom"/>
            <w:hideMark/>
          </w:tcPr>
          <w:p w14:paraId="56C7C2CE" w14:textId="77777777" w:rsidR="009B3040" w:rsidRPr="00F15348" w:rsidRDefault="009B3040" w:rsidP="009B3040">
            <w:pPr>
              <w:spacing w:before="0" w:after="0" w:line="240" w:lineRule="auto"/>
              <w:rPr>
                <w:rFonts w:ascii="Arial" w:hAnsi="Arial" w:cs="Arial"/>
                <w:sz w:val="16"/>
                <w:szCs w:val="16"/>
              </w:rPr>
            </w:pPr>
          </w:p>
        </w:tc>
        <w:tc>
          <w:tcPr>
            <w:tcW w:w="527" w:type="pct"/>
            <w:tcBorders>
              <w:top w:val="nil"/>
              <w:left w:val="nil"/>
              <w:bottom w:val="nil"/>
              <w:right w:val="nil"/>
            </w:tcBorders>
            <w:shd w:val="clear" w:color="000000" w:fill="E6F2FF"/>
            <w:noWrap/>
            <w:vAlign w:val="bottom"/>
            <w:hideMark/>
          </w:tcPr>
          <w:p w14:paraId="48893E10"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 </w:t>
            </w:r>
          </w:p>
        </w:tc>
        <w:tc>
          <w:tcPr>
            <w:tcW w:w="527" w:type="pct"/>
            <w:tcBorders>
              <w:top w:val="nil"/>
              <w:left w:val="nil"/>
              <w:bottom w:val="nil"/>
              <w:right w:val="nil"/>
            </w:tcBorders>
            <w:shd w:val="clear" w:color="auto" w:fill="auto"/>
            <w:noWrap/>
            <w:vAlign w:val="bottom"/>
            <w:hideMark/>
          </w:tcPr>
          <w:p w14:paraId="541ED4DC" w14:textId="77777777" w:rsidR="009B3040" w:rsidRPr="00F15348" w:rsidRDefault="009B3040" w:rsidP="009B3040">
            <w:pPr>
              <w:spacing w:before="0" w:after="0" w:line="240" w:lineRule="auto"/>
              <w:jc w:val="right"/>
              <w:rPr>
                <w:rFonts w:ascii="Arial" w:hAnsi="Arial" w:cs="Arial"/>
                <w:sz w:val="16"/>
                <w:szCs w:val="16"/>
              </w:rPr>
            </w:pPr>
          </w:p>
        </w:tc>
        <w:tc>
          <w:tcPr>
            <w:tcW w:w="527" w:type="pct"/>
            <w:tcBorders>
              <w:top w:val="nil"/>
              <w:left w:val="nil"/>
              <w:bottom w:val="nil"/>
              <w:right w:val="nil"/>
            </w:tcBorders>
            <w:shd w:val="clear" w:color="auto" w:fill="auto"/>
            <w:noWrap/>
            <w:vAlign w:val="bottom"/>
            <w:hideMark/>
          </w:tcPr>
          <w:p w14:paraId="3DD8EF16" w14:textId="77777777" w:rsidR="009B3040" w:rsidRPr="00F15348" w:rsidRDefault="009B3040" w:rsidP="009B3040">
            <w:pPr>
              <w:spacing w:before="0" w:after="0" w:line="240" w:lineRule="auto"/>
              <w:jc w:val="right"/>
              <w:rPr>
                <w:rFonts w:ascii="Times New Roman" w:hAnsi="Times New Roman"/>
                <w:sz w:val="20"/>
              </w:rPr>
            </w:pPr>
          </w:p>
        </w:tc>
        <w:tc>
          <w:tcPr>
            <w:tcW w:w="527" w:type="pct"/>
            <w:tcBorders>
              <w:top w:val="nil"/>
              <w:left w:val="nil"/>
              <w:bottom w:val="nil"/>
              <w:right w:val="nil"/>
            </w:tcBorders>
            <w:shd w:val="clear" w:color="auto" w:fill="auto"/>
            <w:noWrap/>
            <w:vAlign w:val="bottom"/>
            <w:hideMark/>
          </w:tcPr>
          <w:p w14:paraId="4658FFCD" w14:textId="77777777" w:rsidR="009B3040" w:rsidRPr="00F15348" w:rsidRDefault="009B3040" w:rsidP="009B3040">
            <w:pPr>
              <w:spacing w:before="0" w:after="0" w:line="240" w:lineRule="auto"/>
              <w:jc w:val="right"/>
              <w:rPr>
                <w:rFonts w:ascii="Times New Roman" w:hAnsi="Times New Roman"/>
                <w:sz w:val="20"/>
              </w:rPr>
            </w:pPr>
          </w:p>
        </w:tc>
      </w:tr>
      <w:tr w:rsidR="009B3040" w:rsidRPr="00F15348" w14:paraId="64BF7594" w14:textId="77777777" w:rsidTr="009B3040">
        <w:trPr>
          <w:divId w:val="1163937905"/>
          <w:trHeight w:hRule="exact" w:val="220"/>
        </w:trPr>
        <w:tc>
          <w:tcPr>
            <w:tcW w:w="2364" w:type="pct"/>
            <w:tcBorders>
              <w:top w:val="nil"/>
              <w:left w:val="nil"/>
              <w:bottom w:val="nil"/>
              <w:right w:val="nil"/>
            </w:tcBorders>
            <w:shd w:val="clear" w:color="auto" w:fill="auto"/>
            <w:noWrap/>
            <w:vAlign w:val="bottom"/>
            <w:hideMark/>
          </w:tcPr>
          <w:p w14:paraId="20E4A4F2" w14:textId="77777777" w:rsidR="009B3040" w:rsidRPr="00F15348" w:rsidRDefault="009B3040" w:rsidP="009B3040">
            <w:pPr>
              <w:spacing w:before="0" w:after="0" w:line="240" w:lineRule="auto"/>
              <w:ind w:left="170"/>
              <w:rPr>
                <w:rFonts w:ascii="Arial" w:hAnsi="Arial" w:cs="Arial"/>
                <w:sz w:val="16"/>
                <w:szCs w:val="16"/>
              </w:rPr>
            </w:pPr>
            <w:r w:rsidRPr="00F15348">
              <w:rPr>
                <w:rFonts w:ascii="Arial" w:hAnsi="Arial" w:cs="Arial"/>
                <w:sz w:val="16"/>
                <w:szCs w:val="16"/>
              </w:rPr>
              <w:t>to 2024-25 Budget</w:t>
            </w:r>
          </w:p>
        </w:tc>
        <w:tc>
          <w:tcPr>
            <w:tcW w:w="527" w:type="pct"/>
            <w:tcBorders>
              <w:top w:val="nil"/>
              <w:left w:val="nil"/>
              <w:bottom w:val="nil"/>
              <w:right w:val="nil"/>
            </w:tcBorders>
            <w:shd w:val="clear" w:color="auto" w:fill="auto"/>
            <w:noWrap/>
            <w:vAlign w:val="bottom"/>
            <w:hideMark/>
          </w:tcPr>
          <w:p w14:paraId="7E98A29D" w14:textId="77777777" w:rsidR="009B3040" w:rsidRPr="00F15348" w:rsidRDefault="009B3040" w:rsidP="009B3040">
            <w:pPr>
              <w:spacing w:before="0" w:after="0" w:line="240" w:lineRule="auto"/>
              <w:ind w:firstLineChars="100" w:firstLine="160"/>
              <w:rPr>
                <w:rFonts w:ascii="Arial" w:hAnsi="Arial" w:cs="Arial"/>
                <w:sz w:val="16"/>
                <w:szCs w:val="16"/>
              </w:rPr>
            </w:pPr>
          </w:p>
        </w:tc>
        <w:tc>
          <w:tcPr>
            <w:tcW w:w="527" w:type="pct"/>
            <w:tcBorders>
              <w:top w:val="nil"/>
              <w:left w:val="nil"/>
              <w:bottom w:val="nil"/>
              <w:right w:val="nil"/>
            </w:tcBorders>
            <w:shd w:val="clear" w:color="000000" w:fill="E6F2FF"/>
            <w:noWrap/>
            <w:vAlign w:val="bottom"/>
            <w:hideMark/>
          </w:tcPr>
          <w:p w14:paraId="40A364E9"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 </w:t>
            </w:r>
          </w:p>
        </w:tc>
        <w:tc>
          <w:tcPr>
            <w:tcW w:w="527" w:type="pct"/>
            <w:tcBorders>
              <w:top w:val="nil"/>
              <w:left w:val="nil"/>
              <w:bottom w:val="nil"/>
              <w:right w:val="nil"/>
            </w:tcBorders>
            <w:shd w:val="clear" w:color="auto" w:fill="auto"/>
            <w:noWrap/>
            <w:vAlign w:val="bottom"/>
            <w:hideMark/>
          </w:tcPr>
          <w:p w14:paraId="57630C7E" w14:textId="77777777" w:rsidR="009B3040" w:rsidRPr="00F15348" w:rsidRDefault="009B3040" w:rsidP="009B3040">
            <w:pPr>
              <w:spacing w:before="0" w:after="0" w:line="240" w:lineRule="auto"/>
              <w:jc w:val="right"/>
              <w:rPr>
                <w:rFonts w:ascii="Arial" w:hAnsi="Arial" w:cs="Arial"/>
                <w:sz w:val="16"/>
                <w:szCs w:val="16"/>
              </w:rPr>
            </w:pPr>
          </w:p>
        </w:tc>
        <w:tc>
          <w:tcPr>
            <w:tcW w:w="527" w:type="pct"/>
            <w:tcBorders>
              <w:top w:val="nil"/>
              <w:left w:val="nil"/>
              <w:bottom w:val="nil"/>
              <w:right w:val="nil"/>
            </w:tcBorders>
            <w:shd w:val="clear" w:color="auto" w:fill="auto"/>
            <w:noWrap/>
            <w:vAlign w:val="bottom"/>
            <w:hideMark/>
          </w:tcPr>
          <w:p w14:paraId="0DE3336A" w14:textId="77777777" w:rsidR="009B3040" w:rsidRPr="00F15348" w:rsidRDefault="009B3040" w:rsidP="009B3040">
            <w:pPr>
              <w:spacing w:before="0" w:after="0" w:line="240" w:lineRule="auto"/>
              <w:jc w:val="right"/>
              <w:rPr>
                <w:rFonts w:ascii="Times New Roman" w:hAnsi="Times New Roman"/>
                <w:sz w:val="20"/>
              </w:rPr>
            </w:pPr>
          </w:p>
        </w:tc>
        <w:tc>
          <w:tcPr>
            <w:tcW w:w="527" w:type="pct"/>
            <w:tcBorders>
              <w:top w:val="nil"/>
              <w:left w:val="nil"/>
              <w:bottom w:val="nil"/>
              <w:right w:val="nil"/>
            </w:tcBorders>
            <w:shd w:val="clear" w:color="auto" w:fill="auto"/>
            <w:noWrap/>
            <w:vAlign w:val="bottom"/>
            <w:hideMark/>
          </w:tcPr>
          <w:p w14:paraId="603823BA" w14:textId="77777777" w:rsidR="009B3040" w:rsidRPr="00F15348" w:rsidRDefault="009B3040" w:rsidP="009B3040">
            <w:pPr>
              <w:spacing w:before="0" w:after="0" w:line="240" w:lineRule="auto"/>
              <w:jc w:val="right"/>
              <w:rPr>
                <w:rFonts w:ascii="Times New Roman" w:hAnsi="Times New Roman"/>
                <w:sz w:val="20"/>
              </w:rPr>
            </w:pPr>
          </w:p>
        </w:tc>
      </w:tr>
      <w:tr w:rsidR="009B3040" w:rsidRPr="00F15348" w14:paraId="720E68B6" w14:textId="77777777" w:rsidTr="009B3040">
        <w:trPr>
          <w:divId w:val="1163937905"/>
          <w:trHeight w:hRule="exact" w:val="225"/>
        </w:trPr>
        <w:tc>
          <w:tcPr>
            <w:tcW w:w="2364" w:type="pct"/>
            <w:tcBorders>
              <w:top w:val="nil"/>
              <w:left w:val="nil"/>
              <w:bottom w:val="nil"/>
              <w:right w:val="nil"/>
            </w:tcBorders>
            <w:shd w:val="clear" w:color="auto" w:fill="auto"/>
            <w:noWrap/>
            <w:vAlign w:val="center"/>
            <w:hideMark/>
          </w:tcPr>
          <w:p w14:paraId="200E94E5" w14:textId="77777777" w:rsidR="009B3040" w:rsidRPr="00F15348" w:rsidRDefault="009B3040" w:rsidP="009B3040">
            <w:pPr>
              <w:spacing w:before="0" w:after="0" w:line="240" w:lineRule="auto"/>
              <w:ind w:left="170"/>
              <w:rPr>
                <w:rFonts w:ascii="Arial" w:hAnsi="Arial" w:cs="Arial"/>
                <w:i/>
                <w:sz w:val="16"/>
                <w:szCs w:val="16"/>
              </w:rPr>
            </w:pPr>
            <w:r w:rsidRPr="00F15348">
              <w:rPr>
                <w:rFonts w:ascii="Arial" w:hAnsi="Arial" w:cs="Arial"/>
                <w:i/>
                <w:sz w:val="16"/>
                <w:szCs w:val="16"/>
              </w:rPr>
              <w:t>Parameter variations</w:t>
            </w:r>
          </w:p>
        </w:tc>
        <w:tc>
          <w:tcPr>
            <w:tcW w:w="527" w:type="pct"/>
            <w:tcBorders>
              <w:top w:val="nil"/>
              <w:left w:val="nil"/>
              <w:bottom w:val="nil"/>
              <w:right w:val="nil"/>
            </w:tcBorders>
            <w:shd w:val="clear" w:color="auto" w:fill="auto"/>
            <w:noWrap/>
            <w:vAlign w:val="center"/>
            <w:hideMark/>
          </w:tcPr>
          <w:p w14:paraId="6A72DEC5"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w:t>
            </w:r>
          </w:p>
        </w:tc>
        <w:tc>
          <w:tcPr>
            <w:tcW w:w="527" w:type="pct"/>
            <w:tcBorders>
              <w:top w:val="nil"/>
              <w:left w:val="nil"/>
              <w:bottom w:val="nil"/>
              <w:right w:val="nil"/>
            </w:tcBorders>
            <w:shd w:val="clear" w:color="000000" w:fill="E6F2FF"/>
            <w:noWrap/>
            <w:vAlign w:val="center"/>
            <w:hideMark/>
          </w:tcPr>
          <w:p w14:paraId="53D913A4"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-0.6</w:t>
            </w:r>
          </w:p>
        </w:tc>
        <w:tc>
          <w:tcPr>
            <w:tcW w:w="527" w:type="pct"/>
            <w:tcBorders>
              <w:top w:val="nil"/>
              <w:left w:val="nil"/>
              <w:bottom w:val="nil"/>
              <w:right w:val="nil"/>
            </w:tcBorders>
            <w:shd w:val="clear" w:color="auto" w:fill="auto"/>
            <w:noWrap/>
            <w:vAlign w:val="center"/>
            <w:hideMark/>
          </w:tcPr>
          <w:p w14:paraId="49D35FE2"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-2.6</w:t>
            </w:r>
          </w:p>
        </w:tc>
        <w:tc>
          <w:tcPr>
            <w:tcW w:w="527" w:type="pct"/>
            <w:tcBorders>
              <w:top w:val="nil"/>
              <w:left w:val="nil"/>
              <w:bottom w:val="nil"/>
              <w:right w:val="nil"/>
            </w:tcBorders>
            <w:shd w:val="clear" w:color="auto" w:fill="auto"/>
            <w:noWrap/>
            <w:vAlign w:val="center"/>
            <w:hideMark/>
          </w:tcPr>
          <w:p w14:paraId="4D122AC1"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-2.0</w:t>
            </w:r>
          </w:p>
        </w:tc>
        <w:tc>
          <w:tcPr>
            <w:tcW w:w="527" w:type="pct"/>
            <w:tcBorders>
              <w:top w:val="nil"/>
              <w:left w:val="nil"/>
              <w:bottom w:val="nil"/>
              <w:right w:val="nil"/>
            </w:tcBorders>
            <w:shd w:val="clear" w:color="auto" w:fill="auto"/>
            <w:noWrap/>
            <w:vAlign w:val="center"/>
            <w:hideMark/>
          </w:tcPr>
          <w:p w14:paraId="4CFF1D28"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-5.9</w:t>
            </w:r>
          </w:p>
        </w:tc>
      </w:tr>
      <w:tr w:rsidR="009B3040" w:rsidRPr="00F15348" w14:paraId="47AAADAA" w14:textId="77777777" w:rsidTr="009B3040">
        <w:trPr>
          <w:divId w:val="1163937905"/>
          <w:trHeight w:hRule="exact" w:val="225"/>
        </w:trPr>
        <w:tc>
          <w:tcPr>
            <w:tcW w:w="2364" w:type="pct"/>
            <w:tcBorders>
              <w:top w:val="nil"/>
              <w:left w:val="nil"/>
              <w:bottom w:val="nil"/>
              <w:right w:val="nil"/>
            </w:tcBorders>
            <w:shd w:val="clear" w:color="auto" w:fill="auto"/>
            <w:noWrap/>
            <w:vAlign w:val="center"/>
            <w:hideMark/>
          </w:tcPr>
          <w:p w14:paraId="2DD3FE83" w14:textId="77777777" w:rsidR="009B3040" w:rsidRPr="00F15348" w:rsidRDefault="009B3040" w:rsidP="009B3040">
            <w:pPr>
              <w:spacing w:before="0" w:after="0" w:line="240" w:lineRule="auto"/>
              <w:ind w:left="170"/>
              <w:rPr>
                <w:rFonts w:ascii="Arial" w:hAnsi="Arial" w:cs="Arial"/>
                <w:i/>
                <w:sz w:val="16"/>
                <w:szCs w:val="16"/>
              </w:rPr>
            </w:pPr>
            <w:r w:rsidRPr="00F15348">
              <w:rPr>
                <w:rFonts w:ascii="Arial" w:hAnsi="Arial" w:cs="Arial"/>
                <w:i/>
                <w:sz w:val="16"/>
                <w:szCs w:val="16"/>
              </w:rPr>
              <w:t>Other variations</w:t>
            </w:r>
          </w:p>
        </w:tc>
        <w:tc>
          <w:tcPr>
            <w:tcW w:w="527" w:type="pct"/>
            <w:tcBorders>
              <w:top w:val="nil"/>
              <w:left w:val="nil"/>
              <w:bottom w:val="single" w:sz="4" w:space="0" w:color="000000"/>
              <w:right w:val="nil"/>
            </w:tcBorders>
            <w:shd w:val="clear" w:color="auto" w:fill="auto"/>
            <w:noWrap/>
            <w:vAlign w:val="center"/>
            <w:hideMark/>
          </w:tcPr>
          <w:p w14:paraId="38D7ACC0"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w:t>
            </w:r>
          </w:p>
        </w:tc>
        <w:tc>
          <w:tcPr>
            <w:tcW w:w="527" w:type="pct"/>
            <w:tcBorders>
              <w:top w:val="nil"/>
              <w:left w:val="nil"/>
              <w:bottom w:val="single" w:sz="4" w:space="0" w:color="000000"/>
              <w:right w:val="nil"/>
            </w:tcBorders>
            <w:shd w:val="clear" w:color="000000" w:fill="E6F2FF"/>
            <w:noWrap/>
            <w:vAlign w:val="center"/>
            <w:hideMark/>
          </w:tcPr>
          <w:p w14:paraId="450B0E54"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0.6</w:t>
            </w:r>
          </w:p>
        </w:tc>
        <w:tc>
          <w:tcPr>
            <w:tcW w:w="527" w:type="pct"/>
            <w:tcBorders>
              <w:top w:val="nil"/>
              <w:left w:val="nil"/>
              <w:bottom w:val="single" w:sz="4" w:space="0" w:color="000000"/>
              <w:right w:val="nil"/>
            </w:tcBorders>
            <w:shd w:val="clear" w:color="auto" w:fill="auto"/>
            <w:noWrap/>
            <w:vAlign w:val="center"/>
            <w:hideMark/>
          </w:tcPr>
          <w:p w14:paraId="5431786B"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1.6</w:t>
            </w:r>
          </w:p>
        </w:tc>
        <w:tc>
          <w:tcPr>
            <w:tcW w:w="527" w:type="pct"/>
            <w:tcBorders>
              <w:top w:val="nil"/>
              <w:left w:val="nil"/>
              <w:bottom w:val="single" w:sz="4" w:space="0" w:color="000000"/>
              <w:right w:val="nil"/>
            </w:tcBorders>
            <w:shd w:val="clear" w:color="auto" w:fill="auto"/>
            <w:noWrap/>
            <w:vAlign w:val="bottom"/>
            <w:hideMark/>
          </w:tcPr>
          <w:p w14:paraId="08E57ACA"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0.8</w:t>
            </w:r>
          </w:p>
        </w:tc>
        <w:tc>
          <w:tcPr>
            <w:tcW w:w="527" w:type="pct"/>
            <w:tcBorders>
              <w:top w:val="nil"/>
              <w:left w:val="nil"/>
              <w:bottom w:val="single" w:sz="4" w:space="0" w:color="000000"/>
              <w:right w:val="nil"/>
            </w:tcBorders>
            <w:shd w:val="clear" w:color="auto" w:fill="auto"/>
            <w:noWrap/>
            <w:vAlign w:val="center"/>
            <w:hideMark/>
          </w:tcPr>
          <w:p w14:paraId="66A449A8"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w:t>
            </w:r>
          </w:p>
        </w:tc>
      </w:tr>
      <w:tr w:rsidR="009B3040" w:rsidRPr="00F15348" w14:paraId="578A1993" w14:textId="77777777" w:rsidTr="009B3040">
        <w:trPr>
          <w:divId w:val="1163937905"/>
          <w:trHeight w:hRule="exact" w:val="225"/>
        </w:trPr>
        <w:tc>
          <w:tcPr>
            <w:tcW w:w="2364" w:type="pct"/>
            <w:tcBorders>
              <w:top w:val="nil"/>
              <w:left w:val="nil"/>
              <w:bottom w:val="nil"/>
              <w:right w:val="nil"/>
            </w:tcBorders>
            <w:shd w:val="clear" w:color="auto" w:fill="auto"/>
            <w:noWrap/>
            <w:vAlign w:val="bottom"/>
            <w:hideMark/>
          </w:tcPr>
          <w:p w14:paraId="79D5215B" w14:textId="77777777" w:rsidR="009B3040" w:rsidRPr="00F15348" w:rsidRDefault="009B3040" w:rsidP="009B3040">
            <w:pPr>
              <w:spacing w:before="0" w:after="0" w:line="240" w:lineRule="auto"/>
              <w:rPr>
                <w:rFonts w:ascii="Arial" w:hAnsi="Arial" w:cs="Arial"/>
                <w:sz w:val="16"/>
                <w:szCs w:val="16"/>
              </w:rPr>
            </w:pPr>
            <w:r w:rsidRPr="00F15348">
              <w:rPr>
                <w:rFonts w:ascii="Arial" w:hAnsi="Arial" w:cs="Arial"/>
                <w:sz w:val="16"/>
                <w:szCs w:val="16"/>
              </w:rPr>
              <w:t>Total variations</w:t>
            </w:r>
          </w:p>
        </w:tc>
        <w:tc>
          <w:tcPr>
            <w:tcW w:w="527" w:type="pct"/>
            <w:tcBorders>
              <w:top w:val="nil"/>
              <w:left w:val="nil"/>
              <w:bottom w:val="single" w:sz="4" w:space="0" w:color="000000"/>
              <w:right w:val="nil"/>
            </w:tcBorders>
            <w:shd w:val="clear" w:color="auto" w:fill="auto"/>
            <w:noWrap/>
            <w:vAlign w:val="center"/>
            <w:hideMark/>
          </w:tcPr>
          <w:p w14:paraId="006D8EA8"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w:t>
            </w:r>
          </w:p>
        </w:tc>
        <w:tc>
          <w:tcPr>
            <w:tcW w:w="527" w:type="pct"/>
            <w:tcBorders>
              <w:top w:val="nil"/>
              <w:left w:val="nil"/>
              <w:bottom w:val="single" w:sz="4" w:space="0" w:color="000000"/>
              <w:right w:val="nil"/>
            </w:tcBorders>
            <w:shd w:val="clear" w:color="000000" w:fill="E6F2FF"/>
            <w:noWrap/>
            <w:vAlign w:val="center"/>
            <w:hideMark/>
          </w:tcPr>
          <w:p w14:paraId="06067A68"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w:t>
            </w:r>
          </w:p>
        </w:tc>
        <w:tc>
          <w:tcPr>
            <w:tcW w:w="527" w:type="pct"/>
            <w:tcBorders>
              <w:top w:val="nil"/>
              <w:left w:val="nil"/>
              <w:bottom w:val="single" w:sz="4" w:space="0" w:color="000000"/>
              <w:right w:val="nil"/>
            </w:tcBorders>
            <w:shd w:val="clear" w:color="auto" w:fill="auto"/>
            <w:noWrap/>
            <w:vAlign w:val="center"/>
            <w:hideMark/>
          </w:tcPr>
          <w:p w14:paraId="4192A42D"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-1.0</w:t>
            </w:r>
          </w:p>
        </w:tc>
        <w:tc>
          <w:tcPr>
            <w:tcW w:w="527" w:type="pct"/>
            <w:tcBorders>
              <w:top w:val="nil"/>
              <w:left w:val="nil"/>
              <w:bottom w:val="single" w:sz="4" w:space="0" w:color="000000"/>
              <w:right w:val="nil"/>
            </w:tcBorders>
            <w:shd w:val="clear" w:color="auto" w:fill="auto"/>
            <w:noWrap/>
            <w:vAlign w:val="center"/>
            <w:hideMark/>
          </w:tcPr>
          <w:p w14:paraId="31B120C2"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-1.2</w:t>
            </w:r>
          </w:p>
        </w:tc>
        <w:tc>
          <w:tcPr>
            <w:tcW w:w="527" w:type="pct"/>
            <w:tcBorders>
              <w:top w:val="nil"/>
              <w:left w:val="nil"/>
              <w:bottom w:val="single" w:sz="4" w:space="0" w:color="000000"/>
              <w:right w:val="nil"/>
            </w:tcBorders>
            <w:shd w:val="clear" w:color="auto" w:fill="auto"/>
            <w:noWrap/>
            <w:vAlign w:val="center"/>
            <w:hideMark/>
          </w:tcPr>
          <w:p w14:paraId="734274DC"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-5.9</w:t>
            </w:r>
          </w:p>
        </w:tc>
      </w:tr>
      <w:tr w:rsidR="009B3040" w:rsidRPr="00F15348" w14:paraId="5D3E7513" w14:textId="77777777" w:rsidTr="009B3040">
        <w:trPr>
          <w:divId w:val="1163937905"/>
          <w:trHeight w:hRule="exact" w:val="225"/>
        </w:trPr>
        <w:tc>
          <w:tcPr>
            <w:tcW w:w="2364" w:type="pct"/>
            <w:tcBorders>
              <w:top w:val="nil"/>
              <w:left w:val="nil"/>
              <w:bottom w:val="nil"/>
              <w:right w:val="nil"/>
            </w:tcBorders>
            <w:shd w:val="clear" w:color="auto" w:fill="auto"/>
            <w:noWrap/>
            <w:vAlign w:val="bottom"/>
            <w:hideMark/>
          </w:tcPr>
          <w:p w14:paraId="68040DC4" w14:textId="77777777" w:rsidR="009B3040" w:rsidRPr="00F15348" w:rsidRDefault="009B3040" w:rsidP="009B3040">
            <w:pPr>
              <w:spacing w:before="0" w:after="0" w:line="240" w:lineRule="auto"/>
              <w:rPr>
                <w:rFonts w:ascii="Arial" w:hAnsi="Arial" w:cs="Arial"/>
                <w:sz w:val="16"/>
                <w:szCs w:val="16"/>
              </w:rPr>
            </w:pPr>
            <w:r w:rsidRPr="00F15348">
              <w:rPr>
                <w:rFonts w:ascii="Arial" w:hAnsi="Arial" w:cs="Arial"/>
                <w:sz w:val="16"/>
                <w:szCs w:val="16"/>
              </w:rPr>
              <w:t>Administration budget at 2024-25 Budget (a)</w:t>
            </w:r>
          </w:p>
        </w:tc>
        <w:tc>
          <w:tcPr>
            <w:tcW w:w="527" w:type="pct"/>
            <w:tcBorders>
              <w:top w:val="nil"/>
              <w:left w:val="nil"/>
              <w:bottom w:val="nil"/>
              <w:right w:val="nil"/>
            </w:tcBorders>
            <w:shd w:val="clear" w:color="auto" w:fill="auto"/>
            <w:noWrap/>
            <w:vAlign w:val="center"/>
            <w:hideMark/>
          </w:tcPr>
          <w:p w14:paraId="7E911195"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650.2</w:t>
            </w:r>
          </w:p>
        </w:tc>
        <w:tc>
          <w:tcPr>
            <w:tcW w:w="527" w:type="pct"/>
            <w:tcBorders>
              <w:top w:val="nil"/>
              <w:left w:val="nil"/>
              <w:bottom w:val="nil"/>
              <w:right w:val="nil"/>
            </w:tcBorders>
            <w:shd w:val="clear" w:color="000000" w:fill="E6F2FF"/>
            <w:noWrap/>
            <w:vAlign w:val="center"/>
            <w:hideMark/>
          </w:tcPr>
          <w:p w14:paraId="1E5C8B39"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709.0</w:t>
            </w:r>
          </w:p>
        </w:tc>
        <w:tc>
          <w:tcPr>
            <w:tcW w:w="527" w:type="pct"/>
            <w:tcBorders>
              <w:top w:val="nil"/>
              <w:left w:val="nil"/>
              <w:bottom w:val="nil"/>
              <w:right w:val="nil"/>
            </w:tcBorders>
            <w:shd w:val="clear" w:color="auto" w:fill="auto"/>
            <w:noWrap/>
            <w:vAlign w:val="center"/>
            <w:hideMark/>
          </w:tcPr>
          <w:p w14:paraId="5F55DA8E"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721.6</w:t>
            </w:r>
          </w:p>
        </w:tc>
        <w:tc>
          <w:tcPr>
            <w:tcW w:w="527" w:type="pct"/>
            <w:tcBorders>
              <w:top w:val="nil"/>
              <w:left w:val="nil"/>
              <w:bottom w:val="nil"/>
              <w:right w:val="nil"/>
            </w:tcBorders>
            <w:shd w:val="clear" w:color="auto" w:fill="auto"/>
            <w:noWrap/>
            <w:vAlign w:val="center"/>
            <w:hideMark/>
          </w:tcPr>
          <w:p w14:paraId="7BAE530C"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723.5</w:t>
            </w:r>
          </w:p>
        </w:tc>
        <w:tc>
          <w:tcPr>
            <w:tcW w:w="527" w:type="pct"/>
            <w:tcBorders>
              <w:top w:val="nil"/>
              <w:left w:val="nil"/>
              <w:bottom w:val="nil"/>
              <w:right w:val="nil"/>
            </w:tcBorders>
            <w:shd w:val="clear" w:color="auto" w:fill="auto"/>
            <w:noWrap/>
            <w:vAlign w:val="center"/>
            <w:hideMark/>
          </w:tcPr>
          <w:p w14:paraId="69B4EEEA"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482.0</w:t>
            </w:r>
          </w:p>
        </w:tc>
      </w:tr>
      <w:tr w:rsidR="009B3040" w:rsidRPr="00F15348" w14:paraId="17F97773" w14:textId="77777777" w:rsidTr="009B3040">
        <w:trPr>
          <w:divId w:val="1163937905"/>
          <w:trHeight w:hRule="exact" w:val="225"/>
        </w:trPr>
        <w:tc>
          <w:tcPr>
            <w:tcW w:w="2364" w:type="pct"/>
            <w:tcBorders>
              <w:top w:val="nil"/>
              <w:left w:val="nil"/>
              <w:bottom w:val="nil"/>
              <w:right w:val="nil"/>
            </w:tcBorders>
            <w:shd w:val="clear" w:color="auto" w:fill="auto"/>
            <w:noWrap/>
            <w:vAlign w:val="center"/>
            <w:hideMark/>
          </w:tcPr>
          <w:p w14:paraId="401E5396" w14:textId="77777777" w:rsidR="009B3040" w:rsidRPr="00F15348" w:rsidRDefault="009B3040" w:rsidP="009B3040">
            <w:pPr>
              <w:spacing w:before="0" w:after="0" w:line="240" w:lineRule="auto"/>
              <w:rPr>
                <w:rFonts w:ascii="Arial" w:hAnsi="Arial" w:cs="Arial"/>
                <w:sz w:val="16"/>
                <w:szCs w:val="16"/>
              </w:rPr>
            </w:pPr>
            <w:r w:rsidRPr="00F15348">
              <w:rPr>
                <w:rFonts w:ascii="Arial" w:hAnsi="Arial" w:cs="Arial"/>
                <w:sz w:val="16"/>
                <w:szCs w:val="16"/>
              </w:rPr>
              <w:t>less Prior year adjustment</w:t>
            </w:r>
          </w:p>
        </w:tc>
        <w:tc>
          <w:tcPr>
            <w:tcW w:w="527" w:type="pct"/>
            <w:tcBorders>
              <w:top w:val="nil"/>
              <w:left w:val="nil"/>
              <w:bottom w:val="nil"/>
              <w:right w:val="nil"/>
            </w:tcBorders>
            <w:shd w:val="clear" w:color="auto" w:fill="auto"/>
            <w:noWrap/>
            <w:vAlign w:val="center"/>
            <w:hideMark/>
          </w:tcPr>
          <w:p w14:paraId="66797ABB"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-23.9</w:t>
            </w:r>
          </w:p>
        </w:tc>
        <w:tc>
          <w:tcPr>
            <w:tcW w:w="527" w:type="pct"/>
            <w:tcBorders>
              <w:top w:val="nil"/>
              <w:left w:val="nil"/>
              <w:bottom w:val="nil"/>
              <w:right w:val="nil"/>
            </w:tcBorders>
            <w:shd w:val="clear" w:color="000000" w:fill="E6F2FF"/>
            <w:noWrap/>
            <w:vAlign w:val="center"/>
            <w:hideMark/>
          </w:tcPr>
          <w:p w14:paraId="5D663E95"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w:t>
            </w:r>
          </w:p>
        </w:tc>
        <w:tc>
          <w:tcPr>
            <w:tcW w:w="527" w:type="pct"/>
            <w:tcBorders>
              <w:top w:val="nil"/>
              <w:left w:val="nil"/>
              <w:bottom w:val="single" w:sz="4" w:space="0" w:color="000000"/>
              <w:right w:val="nil"/>
            </w:tcBorders>
            <w:shd w:val="clear" w:color="auto" w:fill="auto"/>
            <w:noWrap/>
            <w:vAlign w:val="center"/>
            <w:hideMark/>
          </w:tcPr>
          <w:p w14:paraId="367BD47D"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w:t>
            </w:r>
          </w:p>
        </w:tc>
        <w:tc>
          <w:tcPr>
            <w:tcW w:w="527" w:type="pct"/>
            <w:tcBorders>
              <w:top w:val="nil"/>
              <w:left w:val="nil"/>
              <w:bottom w:val="single" w:sz="4" w:space="0" w:color="000000"/>
              <w:right w:val="nil"/>
            </w:tcBorders>
            <w:shd w:val="clear" w:color="auto" w:fill="auto"/>
            <w:noWrap/>
            <w:vAlign w:val="center"/>
            <w:hideMark/>
          </w:tcPr>
          <w:p w14:paraId="47938AA3"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w:t>
            </w:r>
          </w:p>
        </w:tc>
        <w:tc>
          <w:tcPr>
            <w:tcW w:w="527" w:type="pct"/>
            <w:tcBorders>
              <w:top w:val="nil"/>
              <w:left w:val="nil"/>
              <w:bottom w:val="single" w:sz="4" w:space="0" w:color="000000"/>
              <w:right w:val="nil"/>
            </w:tcBorders>
            <w:shd w:val="clear" w:color="auto" w:fill="auto"/>
            <w:noWrap/>
            <w:vAlign w:val="center"/>
            <w:hideMark/>
          </w:tcPr>
          <w:p w14:paraId="023A7725"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w:t>
            </w:r>
          </w:p>
        </w:tc>
      </w:tr>
      <w:tr w:rsidR="009B3040" w:rsidRPr="00F15348" w14:paraId="0C23A494" w14:textId="77777777" w:rsidTr="009B3040">
        <w:trPr>
          <w:divId w:val="1163937905"/>
          <w:trHeight w:hRule="exact" w:val="225"/>
        </w:trPr>
        <w:tc>
          <w:tcPr>
            <w:tcW w:w="2364" w:type="pct"/>
            <w:tcBorders>
              <w:top w:val="nil"/>
              <w:left w:val="nil"/>
              <w:bottom w:val="single" w:sz="4" w:space="0" w:color="000000"/>
              <w:right w:val="nil"/>
            </w:tcBorders>
            <w:shd w:val="clear" w:color="auto" w:fill="auto"/>
            <w:noWrap/>
            <w:vAlign w:val="bottom"/>
            <w:hideMark/>
          </w:tcPr>
          <w:p w14:paraId="58682250" w14:textId="77777777" w:rsidR="009B3040" w:rsidRPr="00F15348" w:rsidRDefault="009B3040" w:rsidP="009B3040">
            <w:pPr>
              <w:spacing w:before="0" w:after="0" w:line="240" w:lineRule="auto"/>
              <w:rPr>
                <w:rFonts w:ascii="Arial" w:hAnsi="Arial" w:cs="Arial"/>
                <w:sz w:val="16"/>
                <w:szCs w:val="16"/>
              </w:rPr>
            </w:pPr>
            <w:r w:rsidRPr="00F15348">
              <w:rPr>
                <w:rFonts w:ascii="Arial" w:hAnsi="Arial" w:cs="Arial"/>
                <w:sz w:val="16"/>
                <w:szCs w:val="16"/>
              </w:rPr>
              <w:t>equals State government payments</w:t>
            </w:r>
          </w:p>
        </w:tc>
        <w:tc>
          <w:tcPr>
            <w:tcW w:w="527" w:type="pct"/>
            <w:tcBorders>
              <w:top w:val="single" w:sz="4" w:space="0" w:color="000000"/>
              <w:left w:val="nil"/>
              <w:bottom w:val="single" w:sz="4" w:space="0" w:color="000000"/>
              <w:right w:val="nil"/>
            </w:tcBorders>
            <w:shd w:val="clear" w:color="auto" w:fill="auto"/>
            <w:noWrap/>
            <w:vAlign w:val="center"/>
            <w:hideMark/>
          </w:tcPr>
          <w:p w14:paraId="2DF93600"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626.3</w:t>
            </w:r>
          </w:p>
        </w:tc>
        <w:tc>
          <w:tcPr>
            <w:tcW w:w="527" w:type="pct"/>
            <w:tcBorders>
              <w:top w:val="single" w:sz="4" w:space="0" w:color="000000"/>
              <w:left w:val="nil"/>
              <w:bottom w:val="single" w:sz="4" w:space="0" w:color="000000"/>
              <w:right w:val="nil"/>
            </w:tcBorders>
            <w:shd w:val="clear" w:color="000000" w:fill="E6F2FF"/>
            <w:noWrap/>
            <w:vAlign w:val="center"/>
            <w:hideMark/>
          </w:tcPr>
          <w:p w14:paraId="4C9956CC"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709.0</w:t>
            </w:r>
          </w:p>
        </w:tc>
        <w:tc>
          <w:tcPr>
            <w:tcW w:w="527" w:type="pct"/>
            <w:tcBorders>
              <w:top w:val="nil"/>
              <w:left w:val="nil"/>
              <w:bottom w:val="single" w:sz="4" w:space="0" w:color="000000"/>
              <w:right w:val="nil"/>
            </w:tcBorders>
            <w:shd w:val="clear" w:color="auto" w:fill="auto"/>
            <w:noWrap/>
            <w:vAlign w:val="center"/>
            <w:hideMark/>
          </w:tcPr>
          <w:p w14:paraId="31A39DD0"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721.6</w:t>
            </w:r>
          </w:p>
        </w:tc>
        <w:tc>
          <w:tcPr>
            <w:tcW w:w="527" w:type="pct"/>
            <w:tcBorders>
              <w:top w:val="nil"/>
              <w:left w:val="nil"/>
              <w:bottom w:val="single" w:sz="4" w:space="0" w:color="000000"/>
              <w:right w:val="nil"/>
            </w:tcBorders>
            <w:shd w:val="clear" w:color="auto" w:fill="auto"/>
            <w:noWrap/>
            <w:vAlign w:val="center"/>
            <w:hideMark/>
          </w:tcPr>
          <w:p w14:paraId="6CE9F5E6"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723.5</w:t>
            </w:r>
          </w:p>
        </w:tc>
        <w:tc>
          <w:tcPr>
            <w:tcW w:w="527" w:type="pct"/>
            <w:tcBorders>
              <w:top w:val="nil"/>
              <w:left w:val="nil"/>
              <w:bottom w:val="single" w:sz="4" w:space="0" w:color="000000"/>
              <w:right w:val="nil"/>
            </w:tcBorders>
            <w:shd w:val="clear" w:color="auto" w:fill="auto"/>
            <w:noWrap/>
            <w:vAlign w:val="center"/>
            <w:hideMark/>
          </w:tcPr>
          <w:p w14:paraId="668B6161" w14:textId="77777777" w:rsidR="009B3040" w:rsidRPr="00F15348" w:rsidRDefault="009B3040" w:rsidP="009B3040">
            <w:pPr>
              <w:spacing w:before="0" w:after="0" w:line="240" w:lineRule="auto"/>
              <w:jc w:val="right"/>
              <w:rPr>
                <w:rFonts w:ascii="Arial" w:hAnsi="Arial" w:cs="Arial"/>
                <w:sz w:val="16"/>
                <w:szCs w:val="16"/>
              </w:rPr>
            </w:pPr>
            <w:r w:rsidRPr="00F15348">
              <w:rPr>
                <w:rFonts w:ascii="Arial" w:hAnsi="Arial" w:cs="Arial"/>
                <w:sz w:val="16"/>
                <w:szCs w:val="16"/>
              </w:rPr>
              <w:t>482.0</w:t>
            </w:r>
          </w:p>
        </w:tc>
      </w:tr>
    </w:tbl>
    <w:p w14:paraId="33D4810E" w14:textId="694E6C9B" w:rsidR="00D555FF" w:rsidRPr="00F15348" w:rsidRDefault="003E5A2A" w:rsidP="00EA35FA">
      <w:pPr>
        <w:pStyle w:val="ChartandTableFootnoteAlpha"/>
        <w:numPr>
          <w:ilvl w:val="0"/>
          <w:numId w:val="29"/>
        </w:numPr>
        <w:rPr>
          <w:rFonts w:eastAsiaTheme="minorEastAsia"/>
          <w:color w:val="auto"/>
        </w:rPr>
      </w:pPr>
      <w:r w:rsidRPr="00F15348">
        <w:rPr>
          <w:rFonts w:eastAsiaTheme="minorEastAsia"/>
          <w:color w:val="auto"/>
        </w:rPr>
        <w:t>Decreases in estimates from 2027</w:t>
      </w:r>
      <w:r w:rsidR="00F91EF9" w:rsidRPr="00F15348">
        <w:rPr>
          <w:rFonts w:eastAsiaTheme="minorEastAsia"/>
          <w:color w:val="auto"/>
        </w:rPr>
        <w:t>–</w:t>
      </w:r>
      <w:r w:rsidRPr="00F15348">
        <w:rPr>
          <w:rFonts w:eastAsiaTheme="minorEastAsia"/>
          <w:color w:val="auto"/>
        </w:rPr>
        <w:t>28 reflect the end of GST Compliance Program announced at the 2023</w:t>
      </w:r>
      <w:r w:rsidR="00F91EF9" w:rsidRPr="00F15348">
        <w:rPr>
          <w:rFonts w:eastAsiaTheme="minorEastAsia"/>
          <w:color w:val="auto"/>
        </w:rPr>
        <w:t>–</w:t>
      </w:r>
      <w:r w:rsidRPr="00F15348">
        <w:rPr>
          <w:rFonts w:eastAsiaTheme="minorEastAsia"/>
          <w:color w:val="auto"/>
        </w:rPr>
        <w:t>24 Budget</w:t>
      </w:r>
      <w:r w:rsidR="00D555FF" w:rsidRPr="00F15348">
        <w:rPr>
          <w:rFonts w:eastAsiaTheme="minorEastAsia"/>
          <w:color w:val="auto"/>
        </w:rPr>
        <w:t>.</w:t>
      </w:r>
    </w:p>
    <w:p w14:paraId="7A67B5B2" w14:textId="78EAB435" w:rsidR="00D555FF" w:rsidRPr="00983551" w:rsidRDefault="00D555FF" w:rsidP="00D555FF">
      <w:pPr>
        <w:pStyle w:val="ChartLine"/>
        <w:rPr>
          <w:rFonts w:eastAsiaTheme="minorHAnsi"/>
        </w:rPr>
      </w:pPr>
    </w:p>
    <w:p w14:paraId="77B27608" w14:textId="4681B432" w:rsidR="00D555FF" w:rsidRPr="00F15348" w:rsidRDefault="00D555FF" w:rsidP="00D555FF">
      <w:pPr>
        <w:pStyle w:val="Heading2"/>
      </w:pPr>
      <w:r w:rsidRPr="00F15348">
        <w:t xml:space="preserve">Other general revenue assistance </w:t>
      </w:r>
    </w:p>
    <w:p w14:paraId="1467013A" w14:textId="6FA001D3" w:rsidR="00D555FF" w:rsidRPr="00F15348" w:rsidRDefault="00D555FF" w:rsidP="00D555FF">
      <w:pPr>
        <w:spacing w:after="200"/>
      </w:pPr>
      <w:r w:rsidRPr="00F15348">
        <w:t>Like GST, other general revenue assistance is provided to the states, without conditions, to spend according to their own budget priorities.</w:t>
      </w:r>
    </w:p>
    <w:p w14:paraId="403A58FA" w14:textId="3CE2F143" w:rsidR="0004721F" w:rsidRPr="00F15348" w:rsidRDefault="00D555FF" w:rsidP="0004721F">
      <w:pPr>
        <w:pStyle w:val="TableHeading"/>
        <w:keepLines/>
        <w:rPr>
          <w:rFonts w:asciiTheme="minorHAnsi" w:eastAsiaTheme="minorHAnsi" w:hAnsiTheme="minorHAnsi" w:cstheme="minorBidi"/>
          <w:sz w:val="22"/>
          <w:szCs w:val="22"/>
          <w:lang w:eastAsia="en-US"/>
        </w:rPr>
      </w:pPr>
      <w:bookmarkStart w:id="16" w:name="_Toc4764870"/>
      <w:r w:rsidRPr="00F15348">
        <w:rPr>
          <w:rFonts w:cs="Arial"/>
        </w:rPr>
        <w:t>Table</w:t>
      </w:r>
      <w:r w:rsidR="003956FD" w:rsidRPr="00F15348">
        <w:rPr>
          <w:rFonts w:cs="Arial"/>
        </w:rPr>
        <w:t> </w:t>
      </w:r>
      <w:r w:rsidRPr="00F15348">
        <w:rPr>
          <w:rFonts w:cs="Arial"/>
        </w:rPr>
        <w:t>3.7: Other general revenue assista</w:t>
      </w:r>
      <w:bookmarkEnd w:id="16"/>
      <w:r w:rsidRPr="00F15348">
        <w:rPr>
          <w:rFonts w:cs="Arial"/>
        </w:rPr>
        <w:t>nce</w:t>
      </w:r>
      <w:bookmarkStart w:id="17" w:name="_1727702413"/>
      <w:bookmarkStart w:id="18" w:name="_1727650484"/>
      <w:bookmarkEnd w:id="17"/>
      <w:bookmarkEnd w:id="18"/>
    </w:p>
    <w:tbl>
      <w:tblPr>
        <w:tblW w:w="5000" w:type="pct"/>
        <w:tblCellMar>
          <w:left w:w="0" w:type="dxa"/>
          <w:right w:w="28" w:type="dxa"/>
        </w:tblCellMar>
        <w:tblLook w:val="04A0" w:firstRow="1" w:lastRow="0" w:firstColumn="1" w:lastColumn="0" w:noHBand="0" w:noVBand="1"/>
      </w:tblPr>
      <w:tblGrid>
        <w:gridCol w:w="3785"/>
        <w:gridCol w:w="748"/>
        <w:gridCol w:w="871"/>
        <w:gridCol w:w="810"/>
        <w:gridCol w:w="748"/>
        <w:gridCol w:w="748"/>
      </w:tblGrid>
      <w:tr w:rsidR="0004721F" w:rsidRPr="00F15348" w14:paraId="5992486C" w14:textId="77777777" w:rsidTr="0004721F">
        <w:trPr>
          <w:trHeight w:hRule="exact" w:val="225"/>
        </w:trPr>
        <w:tc>
          <w:tcPr>
            <w:tcW w:w="2454" w:type="pct"/>
            <w:tcBorders>
              <w:top w:val="single" w:sz="4" w:space="0" w:color="293F5B"/>
              <w:left w:val="nil"/>
              <w:bottom w:val="nil"/>
              <w:right w:val="nil"/>
            </w:tcBorders>
            <w:shd w:val="clear" w:color="000000" w:fill="FFFFFF"/>
            <w:noWrap/>
            <w:vAlign w:val="center"/>
            <w:hideMark/>
          </w:tcPr>
          <w:p w14:paraId="089C1D9C" w14:textId="63F4C51A" w:rsidR="0004721F" w:rsidRPr="00F15348" w:rsidRDefault="0004721F" w:rsidP="0004721F">
            <w:pPr>
              <w:spacing w:before="0" w:after="0" w:line="240" w:lineRule="auto"/>
              <w:rPr>
                <w:rFonts w:ascii="Arial" w:hAnsi="Arial" w:cs="Arial"/>
                <w:sz w:val="16"/>
                <w:szCs w:val="16"/>
              </w:rPr>
            </w:pPr>
            <w:r w:rsidRPr="00F15348">
              <w:rPr>
                <w:rFonts w:ascii="Arial" w:hAnsi="Arial" w:cs="Arial"/>
                <w:sz w:val="16"/>
                <w:szCs w:val="16"/>
              </w:rPr>
              <w:t>$million</w:t>
            </w:r>
          </w:p>
        </w:tc>
        <w:tc>
          <w:tcPr>
            <w:tcW w:w="485" w:type="pct"/>
            <w:tcBorders>
              <w:top w:val="single" w:sz="4" w:space="0" w:color="293F5B"/>
              <w:left w:val="nil"/>
              <w:bottom w:val="nil"/>
              <w:right w:val="nil"/>
            </w:tcBorders>
            <w:shd w:val="clear" w:color="auto" w:fill="auto"/>
            <w:noWrap/>
            <w:vAlign w:val="center"/>
            <w:hideMark/>
          </w:tcPr>
          <w:p w14:paraId="6828AA7C" w14:textId="77777777" w:rsidR="0004721F" w:rsidRPr="00F15348" w:rsidRDefault="0004721F" w:rsidP="0004721F">
            <w:pPr>
              <w:spacing w:before="0" w:after="0" w:line="240" w:lineRule="auto"/>
              <w:jc w:val="right"/>
              <w:rPr>
                <w:rFonts w:ascii="Arial" w:hAnsi="Arial" w:cs="Arial"/>
                <w:sz w:val="16"/>
                <w:szCs w:val="16"/>
              </w:rPr>
            </w:pPr>
            <w:r w:rsidRPr="00F15348">
              <w:rPr>
                <w:rFonts w:ascii="Arial" w:hAnsi="Arial" w:cs="Arial"/>
                <w:sz w:val="16"/>
                <w:szCs w:val="16"/>
              </w:rPr>
              <w:t>2023-24</w:t>
            </w:r>
          </w:p>
        </w:tc>
        <w:tc>
          <w:tcPr>
            <w:tcW w:w="565" w:type="pct"/>
            <w:tcBorders>
              <w:top w:val="single" w:sz="4" w:space="0" w:color="293F5B"/>
              <w:left w:val="nil"/>
              <w:bottom w:val="nil"/>
              <w:right w:val="nil"/>
            </w:tcBorders>
            <w:shd w:val="clear" w:color="000000" w:fill="E6F2FF"/>
            <w:noWrap/>
            <w:vAlign w:val="center"/>
            <w:hideMark/>
          </w:tcPr>
          <w:p w14:paraId="7B213574" w14:textId="77777777" w:rsidR="0004721F" w:rsidRPr="00F15348" w:rsidRDefault="0004721F" w:rsidP="0004721F">
            <w:pPr>
              <w:spacing w:before="0" w:after="0" w:line="240" w:lineRule="auto"/>
              <w:jc w:val="right"/>
              <w:rPr>
                <w:rFonts w:ascii="Arial" w:hAnsi="Arial" w:cs="Arial"/>
                <w:sz w:val="16"/>
                <w:szCs w:val="16"/>
              </w:rPr>
            </w:pPr>
            <w:r w:rsidRPr="00F15348">
              <w:rPr>
                <w:rFonts w:ascii="Arial" w:hAnsi="Arial" w:cs="Arial"/>
                <w:sz w:val="16"/>
                <w:szCs w:val="16"/>
              </w:rPr>
              <w:t>2024-25</w:t>
            </w:r>
          </w:p>
        </w:tc>
        <w:tc>
          <w:tcPr>
            <w:tcW w:w="525" w:type="pct"/>
            <w:tcBorders>
              <w:top w:val="single" w:sz="4" w:space="0" w:color="293F5B"/>
              <w:left w:val="nil"/>
              <w:bottom w:val="nil"/>
              <w:right w:val="nil"/>
            </w:tcBorders>
            <w:shd w:val="clear" w:color="000000" w:fill="FFFFFF"/>
            <w:noWrap/>
            <w:vAlign w:val="center"/>
            <w:hideMark/>
          </w:tcPr>
          <w:p w14:paraId="440C9E3F" w14:textId="77777777" w:rsidR="0004721F" w:rsidRPr="00F15348" w:rsidRDefault="0004721F" w:rsidP="0004721F">
            <w:pPr>
              <w:spacing w:before="0" w:after="0" w:line="240" w:lineRule="auto"/>
              <w:jc w:val="right"/>
              <w:rPr>
                <w:rFonts w:ascii="Arial" w:hAnsi="Arial" w:cs="Arial"/>
                <w:sz w:val="16"/>
                <w:szCs w:val="16"/>
              </w:rPr>
            </w:pPr>
            <w:r w:rsidRPr="00F15348">
              <w:rPr>
                <w:rFonts w:ascii="Arial" w:hAnsi="Arial" w:cs="Arial"/>
                <w:sz w:val="16"/>
                <w:szCs w:val="16"/>
              </w:rPr>
              <w:t>2025-26</w:t>
            </w:r>
          </w:p>
        </w:tc>
        <w:tc>
          <w:tcPr>
            <w:tcW w:w="485" w:type="pct"/>
            <w:tcBorders>
              <w:top w:val="single" w:sz="4" w:space="0" w:color="293F5B"/>
              <w:left w:val="nil"/>
              <w:bottom w:val="nil"/>
              <w:right w:val="nil"/>
            </w:tcBorders>
            <w:shd w:val="clear" w:color="000000" w:fill="FFFFFF"/>
            <w:noWrap/>
            <w:vAlign w:val="center"/>
            <w:hideMark/>
          </w:tcPr>
          <w:p w14:paraId="331FC183" w14:textId="77777777" w:rsidR="0004721F" w:rsidRPr="00F15348" w:rsidRDefault="0004721F" w:rsidP="0004721F">
            <w:pPr>
              <w:spacing w:before="0" w:after="0" w:line="240" w:lineRule="auto"/>
              <w:jc w:val="right"/>
              <w:rPr>
                <w:rFonts w:ascii="Arial" w:hAnsi="Arial" w:cs="Arial"/>
                <w:sz w:val="16"/>
                <w:szCs w:val="16"/>
              </w:rPr>
            </w:pPr>
            <w:r w:rsidRPr="00F15348">
              <w:rPr>
                <w:rFonts w:ascii="Arial" w:hAnsi="Arial" w:cs="Arial"/>
                <w:sz w:val="16"/>
                <w:szCs w:val="16"/>
              </w:rPr>
              <w:t>2026-27</w:t>
            </w:r>
          </w:p>
        </w:tc>
        <w:tc>
          <w:tcPr>
            <w:tcW w:w="485" w:type="pct"/>
            <w:tcBorders>
              <w:top w:val="single" w:sz="4" w:space="0" w:color="293F5B"/>
              <w:left w:val="nil"/>
              <w:bottom w:val="nil"/>
              <w:right w:val="nil"/>
            </w:tcBorders>
            <w:shd w:val="clear" w:color="000000" w:fill="FFFFFF"/>
            <w:noWrap/>
            <w:vAlign w:val="center"/>
            <w:hideMark/>
          </w:tcPr>
          <w:p w14:paraId="644F8445" w14:textId="77777777" w:rsidR="0004721F" w:rsidRPr="00F15348" w:rsidRDefault="0004721F" w:rsidP="0004721F">
            <w:pPr>
              <w:spacing w:before="0" w:after="0" w:line="240" w:lineRule="auto"/>
              <w:jc w:val="right"/>
              <w:rPr>
                <w:rFonts w:ascii="Arial" w:hAnsi="Arial" w:cs="Arial"/>
                <w:sz w:val="16"/>
                <w:szCs w:val="16"/>
              </w:rPr>
            </w:pPr>
            <w:r w:rsidRPr="00F15348">
              <w:rPr>
                <w:rFonts w:ascii="Arial" w:hAnsi="Arial" w:cs="Arial"/>
                <w:sz w:val="16"/>
                <w:szCs w:val="16"/>
              </w:rPr>
              <w:t>2027-28</w:t>
            </w:r>
          </w:p>
        </w:tc>
      </w:tr>
      <w:tr w:rsidR="0004721F" w:rsidRPr="00F15348" w14:paraId="6356F9FC" w14:textId="77777777" w:rsidTr="0004721F">
        <w:trPr>
          <w:trHeight w:hRule="exact" w:val="225"/>
        </w:trPr>
        <w:tc>
          <w:tcPr>
            <w:tcW w:w="2454" w:type="pct"/>
            <w:tcBorders>
              <w:top w:val="nil"/>
              <w:left w:val="nil"/>
              <w:bottom w:val="nil"/>
              <w:right w:val="nil"/>
            </w:tcBorders>
            <w:shd w:val="clear" w:color="000000" w:fill="FFFFFF"/>
            <w:noWrap/>
            <w:vAlign w:val="center"/>
            <w:hideMark/>
          </w:tcPr>
          <w:p w14:paraId="5BF12CA7" w14:textId="77777777" w:rsidR="0004721F" w:rsidRPr="00F15348" w:rsidRDefault="0004721F" w:rsidP="0004721F">
            <w:pPr>
              <w:spacing w:before="0" w:after="0" w:line="240" w:lineRule="auto"/>
              <w:rPr>
                <w:rFonts w:ascii="Arial" w:hAnsi="Arial" w:cs="Arial"/>
                <w:sz w:val="16"/>
                <w:szCs w:val="16"/>
              </w:rPr>
            </w:pPr>
            <w:r w:rsidRPr="00F15348">
              <w:rPr>
                <w:rFonts w:ascii="Arial" w:hAnsi="Arial" w:cs="Arial"/>
                <w:sz w:val="16"/>
                <w:szCs w:val="16"/>
              </w:rPr>
              <w:t>ACT municipal services</w:t>
            </w:r>
          </w:p>
        </w:tc>
        <w:tc>
          <w:tcPr>
            <w:tcW w:w="485" w:type="pct"/>
            <w:tcBorders>
              <w:top w:val="single" w:sz="4" w:space="0" w:color="293F5B"/>
              <w:left w:val="nil"/>
              <w:bottom w:val="nil"/>
              <w:right w:val="nil"/>
            </w:tcBorders>
            <w:shd w:val="clear" w:color="000000" w:fill="FFFFFF"/>
            <w:noWrap/>
            <w:vAlign w:val="center"/>
            <w:hideMark/>
          </w:tcPr>
          <w:p w14:paraId="4E4ADF34" w14:textId="77777777" w:rsidR="0004721F" w:rsidRPr="00F15348" w:rsidRDefault="0004721F" w:rsidP="0004721F">
            <w:pPr>
              <w:spacing w:before="0" w:after="0" w:line="240" w:lineRule="auto"/>
              <w:jc w:val="right"/>
              <w:rPr>
                <w:rFonts w:ascii="Arial" w:hAnsi="Arial" w:cs="Arial"/>
                <w:sz w:val="16"/>
                <w:szCs w:val="16"/>
              </w:rPr>
            </w:pPr>
            <w:r w:rsidRPr="00F15348">
              <w:rPr>
                <w:rFonts w:ascii="Arial" w:hAnsi="Arial" w:cs="Arial"/>
                <w:sz w:val="16"/>
                <w:szCs w:val="16"/>
              </w:rPr>
              <w:t>43.9</w:t>
            </w:r>
          </w:p>
        </w:tc>
        <w:tc>
          <w:tcPr>
            <w:tcW w:w="565" w:type="pct"/>
            <w:tcBorders>
              <w:top w:val="single" w:sz="4" w:space="0" w:color="293F5B"/>
              <w:left w:val="nil"/>
              <w:bottom w:val="nil"/>
              <w:right w:val="nil"/>
            </w:tcBorders>
            <w:shd w:val="clear" w:color="000000" w:fill="E6F2FF"/>
            <w:noWrap/>
            <w:vAlign w:val="center"/>
            <w:hideMark/>
          </w:tcPr>
          <w:p w14:paraId="2961B43F" w14:textId="77777777" w:rsidR="0004721F" w:rsidRPr="00F15348" w:rsidRDefault="0004721F" w:rsidP="0004721F">
            <w:pPr>
              <w:spacing w:before="0" w:after="0" w:line="240" w:lineRule="auto"/>
              <w:jc w:val="right"/>
              <w:rPr>
                <w:rFonts w:ascii="Arial" w:hAnsi="Arial" w:cs="Arial"/>
                <w:sz w:val="16"/>
                <w:szCs w:val="16"/>
              </w:rPr>
            </w:pPr>
            <w:r w:rsidRPr="00F15348">
              <w:rPr>
                <w:rFonts w:ascii="Arial" w:hAnsi="Arial" w:cs="Arial"/>
                <w:sz w:val="16"/>
                <w:szCs w:val="16"/>
              </w:rPr>
              <w:t>45.4</w:t>
            </w:r>
          </w:p>
        </w:tc>
        <w:tc>
          <w:tcPr>
            <w:tcW w:w="525" w:type="pct"/>
            <w:tcBorders>
              <w:top w:val="single" w:sz="4" w:space="0" w:color="293F5B"/>
              <w:left w:val="nil"/>
              <w:bottom w:val="nil"/>
              <w:right w:val="nil"/>
            </w:tcBorders>
            <w:shd w:val="clear" w:color="000000" w:fill="FFFFFF"/>
            <w:noWrap/>
            <w:vAlign w:val="center"/>
            <w:hideMark/>
          </w:tcPr>
          <w:p w14:paraId="244C8D03" w14:textId="77777777" w:rsidR="0004721F" w:rsidRPr="00F15348" w:rsidRDefault="0004721F" w:rsidP="0004721F">
            <w:pPr>
              <w:spacing w:before="0" w:after="0" w:line="240" w:lineRule="auto"/>
              <w:jc w:val="right"/>
              <w:rPr>
                <w:rFonts w:ascii="Arial" w:hAnsi="Arial" w:cs="Arial"/>
                <w:sz w:val="16"/>
                <w:szCs w:val="16"/>
              </w:rPr>
            </w:pPr>
            <w:r w:rsidRPr="00F15348">
              <w:rPr>
                <w:rFonts w:ascii="Arial" w:hAnsi="Arial" w:cs="Arial"/>
                <w:sz w:val="16"/>
                <w:szCs w:val="16"/>
              </w:rPr>
              <w:t>46.4</w:t>
            </w:r>
          </w:p>
        </w:tc>
        <w:tc>
          <w:tcPr>
            <w:tcW w:w="485" w:type="pct"/>
            <w:tcBorders>
              <w:top w:val="single" w:sz="4" w:space="0" w:color="293F5B"/>
              <w:left w:val="nil"/>
              <w:bottom w:val="nil"/>
              <w:right w:val="nil"/>
            </w:tcBorders>
            <w:shd w:val="clear" w:color="000000" w:fill="FFFFFF"/>
            <w:noWrap/>
            <w:vAlign w:val="center"/>
            <w:hideMark/>
          </w:tcPr>
          <w:p w14:paraId="27CA6171" w14:textId="77777777" w:rsidR="0004721F" w:rsidRPr="00F15348" w:rsidRDefault="0004721F" w:rsidP="0004721F">
            <w:pPr>
              <w:spacing w:before="0" w:after="0" w:line="240" w:lineRule="auto"/>
              <w:jc w:val="right"/>
              <w:rPr>
                <w:rFonts w:ascii="Arial" w:hAnsi="Arial" w:cs="Arial"/>
                <w:sz w:val="16"/>
                <w:szCs w:val="16"/>
              </w:rPr>
            </w:pPr>
            <w:r w:rsidRPr="00F15348">
              <w:rPr>
                <w:rFonts w:ascii="Arial" w:hAnsi="Arial" w:cs="Arial"/>
                <w:sz w:val="16"/>
                <w:szCs w:val="16"/>
              </w:rPr>
              <w:t>47.5</w:t>
            </w:r>
          </w:p>
        </w:tc>
        <w:tc>
          <w:tcPr>
            <w:tcW w:w="485" w:type="pct"/>
            <w:tcBorders>
              <w:top w:val="single" w:sz="4" w:space="0" w:color="293F5B"/>
              <w:left w:val="nil"/>
              <w:bottom w:val="nil"/>
              <w:right w:val="nil"/>
            </w:tcBorders>
            <w:shd w:val="clear" w:color="000000" w:fill="FFFFFF"/>
            <w:noWrap/>
            <w:vAlign w:val="center"/>
            <w:hideMark/>
          </w:tcPr>
          <w:p w14:paraId="1A08EC1E" w14:textId="77777777" w:rsidR="0004721F" w:rsidRPr="00F15348" w:rsidRDefault="0004721F" w:rsidP="0004721F">
            <w:pPr>
              <w:spacing w:before="0" w:after="0" w:line="240" w:lineRule="auto"/>
              <w:jc w:val="right"/>
              <w:rPr>
                <w:rFonts w:ascii="Arial" w:hAnsi="Arial" w:cs="Arial"/>
                <w:sz w:val="16"/>
                <w:szCs w:val="16"/>
              </w:rPr>
            </w:pPr>
            <w:r w:rsidRPr="00F15348">
              <w:rPr>
                <w:rFonts w:ascii="Arial" w:hAnsi="Arial" w:cs="Arial"/>
                <w:sz w:val="16"/>
                <w:szCs w:val="16"/>
              </w:rPr>
              <w:t>48.4</w:t>
            </w:r>
          </w:p>
        </w:tc>
      </w:tr>
      <w:tr w:rsidR="0004721F" w:rsidRPr="00F15348" w14:paraId="75578C8A" w14:textId="77777777" w:rsidTr="0004721F">
        <w:trPr>
          <w:trHeight w:hRule="exact" w:val="225"/>
        </w:trPr>
        <w:tc>
          <w:tcPr>
            <w:tcW w:w="2454" w:type="pct"/>
            <w:tcBorders>
              <w:top w:val="nil"/>
              <w:left w:val="nil"/>
              <w:bottom w:val="nil"/>
              <w:right w:val="nil"/>
            </w:tcBorders>
            <w:shd w:val="clear" w:color="000000" w:fill="FFFFFF"/>
            <w:noWrap/>
            <w:vAlign w:val="center"/>
            <w:hideMark/>
          </w:tcPr>
          <w:p w14:paraId="1AC13681" w14:textId="77777777" w:rsidR="0004721F" w:rsidRPr="00F15348" w:rsidRDefault="0004721F" w:rsidP="0004721F">
            <w:pPr>
              <w:spacing w:before="0" w:after="0" w:line="240" w:lineRule="auto"/>
              <w:rPr>
                <w:rFonts w:ascii="Arial" w:hAnsi="Arial" w:cs="Arial"/>
                <w:sz w:val="16"/>
                <w:szCs w:val="16"/>
              </w:rPr>
            </w:pPr>
            <w:r w:rsidRPr="00F15348">
              <w:rPr>
                <w:rFonts w:ascii="Arial" w:hAnsi="Arial" w:cs="Arial"/>
                <w:sz w:val="16"/>
                <w:szCs w:val="16"/>
              </w:rPr>
              <w:t>Royalty payments</w:t>
            </w:r>
          </w:p>
        </w:tc>
        <w:tc>
          <w:tcPr>
            <w:tcW w:w="485" w:type="pct"/>
            <w:tcBorders>
              <w:top w:val="nil"/>
              <w:left w:val="nil"/>
              <w:bottom w:val="single" w:sz="4" w:space="0" w:color="293F5B"/>
              <w:right w:val="nil"/>
            </w:tcBorders>
            <w:shd w:val="clear" w:color="000000" w:fill="FFFFFF"/>
            <w:noWrap/>
            <w:vAlign w:val="center"/>
            <w:hideMark/>
          </w:tcPr>
          <w:p w14:paraId="0154B34E" w14:textId="77777777" w:rsidR="0004721F" w:rsidRPr="00F15348" w:rsidRDefault="0004721F" w:rsidP="0004721F">
            <w:pPr>
              <w:spacing w:before="0" w:after="0" w:line="240" w:lineRule="auto"/>
              <w:jc w:val="right"/>
              <w:rPr>
                <w:rFonts w:ascii="Arial" w:hAnsi="Arial" w:cs="Arial"/>
                <w:sz w:val="16"/>
                <w:szCs w:val="16"/>
              </w:rPr>
            </w:pPr>
            <w:r w:rsidRPr="00F15348">
              <w:rPr>
                <w:rFonts w:ascii="Arial" w:hAnsi="Arial" w:cs="Arial"/>
                <w:sz w:val="16"/>
                <w:szCs w:val="16"/>
              </w:rPr>
              <w:t>732.2</w:t>
            </w:r>
          </w:p>
        </w:tc>
        <w:tc>
          <w:tcPr>
            <w:tcW w:w="565" w:type="pct"/>
            <w:tcBorders>
              <w:top w:val="nil"/>
              <w:left w:val="nil"/>
              <w:bottom w:val="single" w:sz="4" w:space="0" w:color="293F5B"/>
              <w:right w:val="nil"/>
            </w:tcBorders>
            <w:shd w:val="clear" w:color="000000" w:fill="E6F2FF"/>
            <w:noWrap/>
            <w:vAlign w:val="center"/>
            <w:hideMark/>
          </w:tcPr>
          <w:p w14:paraId="296F72E8" w14:textId="77777777" w:rsidR="0004721F" w:rsidRPr="00F15348" w:rsidRDefault="0004721F" w:rsidP="0004721F">
            <w:pPr>
              <w:spacing w:before="0" w:after="0" w:line="240" w:lineRule="auto"/>
              <w:jc w:val="right"/>
              <w:rPr>
                <w:rFonts w:ascii="Arial" w:hAnsi="Arial" w:cs="Arial"/>
                <w:sz w:val="16"/>
                <w:szCs w:val="16"/>
              </w:rPr>
            </w:pPr>
            <w:r w:rsidRPr="00F15348">
              <w:rPr>
                <w:rFonts w:ascii="Arial" w:hAnsi="Arial" w:cs="Arial"/>
                <w:sz w:val="16"/>
                <w:szCs w:val="16"/>
              </w:rPr>
              <w:t>666.1</w:t>
            </w:r>
          </w:p>
        </w:tc>
        <w:tc>
          <w:tcPr>
            <w:tcW w:w="525" w:type="pct"/>
            <w:tcBorders>
              <w:top w:val="nil"/>
              <w:left w:val="nil"/>
              <w:bottom w:val="single" w:sz="4" w:space="0" w:color="293F5B"/>
              <w:right w:val="nil"/>
            </w:tcBorders>
            <w:shd w:val="clear" w:color="000000" w:fill="FFFFFF"/>
            <w:noWrap/>
            <w:vAlign w:val="center"/>
            <w:hideMark/>
          </w:tcPr>
          <w:p w14:paraId="3397F145" w14:textId="77777777" w:rsidR="0004721F" w:rsidRPr="00F15348" w:rsidRDefault="0004721F" w:rsidP="0004721F">
            <w:pPr>
              <w:spacing w:before="0" w:after="0" w:line="240" w:lineRule="auto"/>
              <w:jc w:val="right"/>
              <w:rPr>
                <w:rFonts w:ascii="Arial" w:hAnsi="Arial" w:cs="Arial"/>
                <w:sz w:val="16"/>
                <w:szCs w:val="16"/>
              </w:rPr>
            </w:pPr>
            <w:r w:rsidRPr="00F15348">
              <w:rPr>
                <w:rFonts w:ascii="Arial" w:hAnsi="Arial" w:cs="Arial"/>
                <w:sz w:val="16"/>
                <w:szCs w:val="16"/>
              </w:rPr>
              <w:t>524.3</w:t>
            </w:r>
          </w:p>
        </w:tc>
        <w:tc>
          <w:tcPr>
            <w:tcW w:w="485" w:type="pct"/>
            <w:tcBorders>
              <w:top w:val="nil"/>
              <w:left w:val="nil"/>
              <w:bottom w:val="single" w:sz="4" w:space="0" w:color="293F5B"/>
              <w:right w:val="nil"/>
            </w:tcBorders>
            <w:shd w:val="clear" w:color="000000" w:fill="FFFFFF"/>
            <w:noWrap/>
            <w:vAlign w:val="center"/>
            <w:hideMark/>
          </w:tcPr>
          <w:p w14:paraId="670FB1E1" w14:textId="77777777" w:rsidR="0004721F" w:rsidRPr="00F15348" w:rsidRDefault="0004721F" w:rsidP="0004721F">
            <w:pPr>
              <w:spacing w:before="0" w:after="0" w:line="240" w:lineRule="auto"/>
              <w:jc w:val="right"/>
              <w:rPr>
                <w:rFonts w:ascii="Arial" w:hAnsi="Arial" w:cs="Arial"/>
                <w:sz w:val="16"/>
                <w:szCs w:val="16"/>
              </w:rPr>
            </w:pPr>
            <w:r w:rsidRPr="00F15348">
              <w:rPr>
                <w:rFonts w:ascii="Arial" w:hAnsi="Arial" w:cs="Arial"/>
                <w:sz w:val="16"/>
                <w:szCs w:val="16"/>
              </w:rPr>
              <w:t>410.2</w:t>
            </w:r>
          </w:p>
        </w:tc>
        <w:tc>
          <w:tcPr>
            <w:tcW w:w="485" w:type="pct"/>
            <w:tcBorders>
              <w:top w:val="nil"/>
              <w:left w:val="nil"/>
              <w:bottom w:val="single" w:sz="4" w:space="0" w:color="293F5B"/>
              <w:right w:val="nil"/>
            </w:tcBorders>
            <w:shd w:val="clear" w:color="000000" w:fill="FFFFFF"/>
            <w:noWrap/>
            <w:vAlign w:val="center"/>
            <w:hideMark/>
          </w:tcPr>
          <w:p w14:paraId="6027E3B5" w14:textId="77777777" w:rsidR="0004721F" w:rsidRPr="00F15348" w:rsidRDefault="0004721F" w:rsidP="0004721F">
            <w:pPr>
              <w:spacing w:before="0" w:after="0" w:line="240" w:lineRule="auto"/>
              <w:jc w:val="right"/>
              <w:rPr>
                <w:rFonts w:ascii="Arial" w:hAnsi="Arial" w:cs="Arial"/>
                <w:sz w:val="16"/>
                <w:szCs w:val="16"/>
              </w:rPr>
            </w:pPr>
            <w:r w:rsidRPr="00F15348">
              <w:rPr>
                <w:rFonts w:ascii="Arial" w:hAnsi="Arial" w:cs="Arial"/>
                <w:sz w:val="16"/>
                <w:szCs w:val="16"/>
              </w:rPr>
              <w:t>386.1</w:t>
            </w:r>
          </w:p>
        </w:tc>
      </w:tr>
      <w:tr w:rsidR="0004721F" w:rsidRPr="00F15348" w14:paraId="40188919" w14:textId="77777777" w:rsidTr="0004721F">
        <w:trPr>
          <w:trHeight w:hRule="exact" w:val="225"/>
        </w:trPr>
        <w:tc>
          <w:tcPr>
            <w:tcW w:w="2454" w:type="pct"/>
            <w:tcBorders>
              <w:top w:val="nil"/>
              <w:left w:val="nil"/>
              <w:bottom w:val="single" w:sz="4" w:space="0" w:color="293F5B"/>
              <w:right w:val="nil"/>
            </w:tcBorders>
            <w:shd w:val="clear" w:color="000000" w:fill="FFFFFF"/>
            <w:noWrap/>
            <w:vAlign w:val="center"/>
            <w:hideMark/>
          </w:tcPr>
          <w:p w14:paraId="3AB778A7" w14:textId="77777777" w:rsidR="0004721F" w:rsidRPr="00F15348" w:rsidRDefault="0004721F" w:rsidP="0004721F">
            <w:pPr>
              <w:spacing w:before="0" w:after="0" w:line="240" w:lineRule="auto"/>
              <w:rPr>
                <w:rFonts w:ascii="Arial" w:hAnsi="Arial" w:cs="Arial"/>
                <w:b/>
                <w:sz w:val="16"/>
                <w:szCs w:val="16"/>
              </w:rPr>
            </w:pPr>
            <w:r w:rsidRPr="00F15348">
              <w:rPr>
                <w:rFonts w:ascii="Arial" w:hAnsi="Arial" w:cs="Arial"/>
                <w:b/>
                <w:sz w:val="16"/>
                <w:szCs w:val="16"/>
              </w:rPr>
              <w:t>Total other general revenue assistance</w:t>
            </w:r>
          </w:p>
        </w:tc>
        <w:tc>
          <w:tcPr>
            <w:tcW w:w="485" w:type="pct"/>
            <w:tcBorders>
              <w:top w:val="nil"/>
              <w:left w:val="nil"/>
              <w:bottom w:val="single" w:sz="4" w:space="0" w:color="293F5B"/>
              <w:right w:val="nil"/>
            </w:tcBorders>
            <w:shd w:val="clear" w:color="000000" w:fill="FFFFFF"/>
            <w:noWrap/>
            <w:vAlign w:val="center"/>
            <w:hideMark/>
          </w:tcPr>
          <w:p w14:paraId="2B9C7583" w14:textId="77777777" w:rsidR="0004721F" w:rsidRPr="00F15348" w:rsidRDefault="0004721F" w:rsidP="0004721F">
            <w:pPr>
              <w:spacing w:before="0" w:after="0" w:line="240" w:lineRule="auto"/>
              <w:jc w:val="right"/>
              <w:rPr>
                <w:rFonts w:ascii="Arial" w:hAnsi="Arial" w:cs="Arial"/>
                <w:b/>
                <w:sz w:val="16"/>
                <w:szCs w:val="16"/>
              </w:rPr>
            </w:pPr>
            <w:r w:rsidRPr="00F15348">
              <w:rPr>
                <w:rFonts w:ascii="Arial" w:hAnsi="Arial" w:cs="Arial"/>
                <w:b/>
                <w:sz w:val="16"/>
                <w:szCs w:val="16"/>
              </w:rPr>
              <w:t>776.1</w:t>
            </w:r>
          </w:p>
        </w:tc>
        <w:tc>
          <w:tcPr>
            <w:tcW w:w="565" w:type="pct"/>
            <w:tcBorders>
              <w:top w:val="nil"/>
              <w:left w:val="nil"/>
              <w:bottom w:val="single" w:sz="4" w:space="0" w:color="293F5B"/>
              <w:right w:val="nil"/>
            </w:tcBorders>
            <w:shd w:val="clear" w:color="000000" w:fill="E6F2FF"/>
            <w:noWrap/>
            <w:vAlign w:val="center"/>
            <w:hideMark/>
          </w:tcPr>
          <w:p w14:paraId="2C54EA13" w14:textId="77777777" w:rsidR="0004721F" w:rsidRPr="00F15348" w:rsidRDefault="0004721F" w:rsidP="0004721F">
            <w:pPr>
              <w:spacing w:before="0" w:after="0" w:line="240" w:lineRule="auto"/>
              <w:jc w:val="right"/>
              <w:rPr>
                <w:rFonts w:ascii="Arial" w:hAnsi="Arial" w:cs="Arial"/>
                <w:b/>
                <w:sz w:val="16"/>
                <w:szCs w:val="16"/>
              </w:rPr>
            </w:pPr>
            <w:r w:rsidRPr="00F15348">
              <w:rPr>
                <w:rFonts w:ascii="Arial" w:hAnsi="Arial" w:cs="Arial"/>
                <w:b/>
                <w:sz w:val="16"/>
                <w:szCs w:val="16"/>
              </w:rPr>
              <w:t>711.4</w:t>
            </w:r>
          </w:p>
        </w:tc>
        <w:tc>
          <w:tcPr>
            <w:tcW w:w="525" w:type="pct"/>
            <w:tcBorders>
              <w:top w:val="nil"/>
              <w:left w:val="nil"/>
              <w:bottom w:val="single" w:sz="4" w:space="0" w:color="293F5B"/>
              <w:right w:val="nil"/>
            </w:tcBorders>
            <w:shd w:val="clear" w:color="000000" w:fill="FFFFFF"/>
            <w:noWrap/>
            <w:vAlign w:val="center"/>
            <w:hideMark/>
          </w:tcPr>
          <w:p w14:paraId="50A49951" w14:textId="77777777" w:rsidR="0004721F" w:rsidRPr="00F15348" w:rsidRDefault="0004721F" w:rsidP="0004721F">
            <w:pPr>
              <w:spacing w:before="0" w:after="0" w:line="240" w:lineRule="auto"/>
              <w:jc w:val="right"/>
              <w:rPr>
                <w:rFonts w:ascii="Arial" w:hAnsi="Arial" w:cs="Arial"/>
                <w:b/>
                <w:sz w:val="16"/>
                <w:szCs w:val="16"/>
              </w:rPr>
            </w:pPr>
            <w:r w:rsidRPr="00F15348">
              <w:rPr>
                <w:rFonts w:ascii="Arial" w:hAnsi="Arial" w:cs="Arial"/>
                <w:b/>
                <w:sz w:val="16"/>
                <w:szCs w:val="16"/>
              </w:rPr>
              <w:t>570.7</w:t>
            </w:r>
          </w:p>
        </w:tc>
        <w:tc>
          <w:tcPr>
            <w:tcW w:w="485" w:type="pct"/>
            <w:tcBorders>
              <w:top w:val="nil"/>
              <w:left w:val="nil"/>
              <w:bottom w:val="single" w:sz="4" w:space="0" w:color="293F5B"/>
              <w:right w:val="nil"/>
            </w:tcBorders>
            <w:shd w:val="clear" w:color="000000" w:fill="FFFFFF"/>
            <w:noWrap/>
            <w:vAlign w:val="center"/>
            <w:hideMark/>
          </w:tcPr>
          <w:p w14:paraId="559A9E07" w14:textId="77777777" w:rsidR="0004721F" w:rsidRPr="00F15348" w:rsidRDefault="0004721F" w:rsidP="0004721F">
            <w:pPr>
              <w:spacing w:before="0" w:after="0" w:line="240" w:lineRule="auto"/>
              <w:jc w:val="right"/>
              <w:rPr>
                <w:rFonts w:ascii="Arial" w:hAnsi="Arial" w:cs="Arial"/>
                <w:b/>
                <w:sz w:val="16"/>
                <w:szCs w:val="16"/>
              </w:rPr>
            </w:pPr>
            <w:r w:rsidRPr="00F15348">
              <w:rPr>
                <w:rFonts w:ascii="Arial" w:hAnsi="Arial" w:cs="Arial"/>
                <w:b/>
                <w:sz w:val="16"/>
                <w:szCs w:val="16"/>
              </w:rPr>
              <w:t>457.6</w:t>
            </w:r>
          </w:p>
        </w:tc>
        <w:tc>
          <w:tcPr>
            <w:tcW w:w="485" w:type="pct"/>
            <w:tcBorders>
              <w:top w:val="nil"/>
              <w:left w:val="nil"/>
              <w:bottom w:val="single" w:sz="4" w:space="0" w:color="293F5B"/>
              <w:right w:val="nil"/>
            </w:tcBorders>
            <w:shd w:val="clear" w:color="000000" w:fill="FFFFFF"/>
            <w:noWrap/>
            <w:vAlign w:val="center"/>
            <w:hideMark/>
          </w:tcPr>
          <w:p w14:paraId="27AD5813" w14:textId="77777777" w:rsidR="0004721F" w:rsidRPr="00F15348" w:rsidRDefault="0004721F" w:rsidP="0004721F">
            <w:pPr>
              <w:spacing w:before="0" w:after="0" w:line="240" w:lineRule="auto"/>
              <w:jc w:val="right"/>
              <w:rPr>
                <w:rFonts w:ascii="Arial" w:hAnsi="Arial" w:cs="Arial"/>
                <w:b/>
                <w:sz w:val="16"/>
                <w:szCs w:val="16"/>
              </w:rPr>
            </w:pPr>
            <w:r w:rsidRPr="00F15348">
              <w:rPr>
                <w:rFonts w:ascii="Arial" w:hAnsi="Arial" w:cs="Arial"/>
                <w:b/>
                <w:sz w:val="16"/>
                <w:szCs w:val="16"/>
              </w:rPr>
              <w:t>434.5</w:t>
            </w:r>
          </w:p>
        </w:tc>
      </w:tr>
    </w:tbl>
    <w:p w14:paraId="29295E43" w14:textId="65E5D32A" w:rsidR="00D555FF" w:rsidRPr="00F15348" w:rsidRDefault="00D555FF" w:rsidP="007D74F0">
      <w:pPr>
        <w:pStyle w:val="SingleParagraph"/>
        <w:rPr>
          <w:rFonts w:ascii="Arial" w:hAnsi="Arial" w:cs="Arial"/>
          <w:sz w:val="16"/>
          <w:szCs w:val="16"/>
        </w:rPr>
      </w:pPr>
    </w:p>
    <w:p w14:paraId="67E58A68" w14:textId="77777777" w:rsidR="00D555FF" w:rsidRPr="00F15348" w:rsidRDefault="00D555FF" w:rsidP="00BD6C75">
      <w:pPr>
        <w:pStyle w:val="Heading3"/>
      </w:pPr>
      <w:r w:rsidRPr="00F15348">
        <w:lastRenderedPageBreak/>
        <w:t>Australian Capital Territory municipal services</w:t>
      </w:r>
    </w:p>
    <w:p w14:paraId="6BFBB150" w14:textId="22DCD4A8" w:rsidR="00D555FF" w:rsidRPr="00F15348" w:rsidRDefault="00D555FF" w:rsidP="00C33E0E">
      <w:pPr>
        <w:keepLines/>
      </w:pPr>
      <w:r w:rsidRPr="00F15348">
        <w:t>The Australian Government provides general revenue assistance to the Australian Capital Territory to assist in meeting the additional municipal costs that arise from Canberra’s role as the national capital. The payments also compensate the Australian Capital Territory for additional costs resulting from the national capital planning influences on the provision of water and sewerage services.</w:t>
      </w:r>
    </w:p>
    <w:p w14:paraId="31CE3BBB" w14:textId="77777777" w:rsidR="00D555FF" w:rsidRPr="00F15348" w:rsidRDefault="00D555FF" w:rsidP="00D555FF">
      <w:pPr>
        <w:pStyle w:val="Heading3"/>
      </w:pPr>
      <w:r w:rsidRPr="00F15348">
        <w:t>Royalty payments</w:t>
      </w:r>
    </w:p>
    <w:p w14:paraId="4FD63D8A" w14:textId="77777777" w:rsidR="00D555FF" w:rsidRPr="00F15348" w:rsidRDefault="00D555FF" w:rsidP="00D555FF">
      <w:pPr>
        <w:pStyle w:val="Heading4"/>
      </w:pPr>
      <w:r w:rsidRPr="00F15348">
        <w:t>Western Australia</w:t>
      </w:r>
    </w:p>
    <w:p w14:paraId="6903B158" w14:textId="77777777" w:rsidR="00D555FF" w:rsidRPr="00F15348" w:rsidRDefault="00D555FF" w:rsidP="00D555FF">
      <w:pPr>
        <w:keepNext/>
      </w:pPr>
      <w:r w:rsidRPr="00F15348">
        <w:t xml:space="preserve">The Australian Government provides general revenue assistance to Western Australia from royalties collected under the </w:t>
      </w:r>
      <w:r w:rsidRPr="00F15348">
        <w:rPr>
          <w:rStyle w:val="Emphasis"/>
        </w:rPr>
        <w:t>Offshore Petroleum (Royalty) Act 2006</w:t>
      </w:r>
      <w:r w:rsidRPr="00F15348">
        <w:t xml:space="preserve"> in respect of the North West Shelf oil and gas project off the coast of Western Australia. The Australian Government collects these royalties because it has jurisdiction over offshore areas.</w:t>
      </w:r>
    </w:p>
    <w:p w14:paraId="4DB7717B" w14:textId="77777777" w:rsidR="00D555FF" w:rsidRPr="00F15348" w:rsidRDefault="00D555FF" w:rsidP="00D555FF">
      <w:r w:rsidRPr="00F15348">
        <w:t xml:space="preserve">Royalties are shared between the Australian Government (approximately one third) and Western Australia (approximately two thirds). These revenue sharing arrangements are set out in the </w:t>
      </w:r>
      <w:r w:rsidRPr="00F15348">
        <w:rPr>
          <w:rStyle w:val="Emphasis"/>
        </w:rPr>
        <w:t>Offshore Petroleum and Greenhouse Gas Storage Act 2006</w:t>
      </w:r>
      <w:r w:rsidRPr="00F15348">
        <w:t>.</w:t>
      </w:r>
    </w:p>
    <w:p w14:paraId="118966D6" w14:textId="77777777" w:rsidR="00D555FF" w:rsidRPr="00F15348" w:rsidRDefault="00D555FF" w:rsidP="00D555FF">
      <w:pPr>
        <w:pStyle w:val="Heading4"/>
      </w:pPr>
      <w:r w:rsidRPr="00F15348">
        <w:t>Compensation for reduced royalties</w:t>
      </w:r>
    </w:p>
    <w:p w14:paraId="5F3AC97A" w14:textId="023F35F7" w:rsidR="00D555FF" w:rsidRPr="00F15348" w:rsidRDefault="00D555FF" w:rsidP="00D555FF">
      <w:r w:rsidRPr="00F15348">
        <w:t xml:space="preserve">The Australian Government provides general revenue assistance to compensate Western Australia for the loss of royalty revenue resulting from the removal of the exemption of condensate from crude oil excise in the </w:t>
      </w:r>
      <w:r w:rsidRPr="00F15348">
        <w:rPr>
          <w:rStyle w:val="Emphasis"/>
        </w:rPr>
        <w:t>2009–10 Budget</w:t>
      </w:r>
      <w:r w:rsidRPr="00F15348">
        <w:t xml:space="preserve">. </w:t>
      </w:r>
    </w:p>
    <w:p w14:paraId="6D502DD3" w14:textId="6EF84BD2" w:rsidR="00D555FF" w:rsidRPr="00F15348" w:rsidRDefault="00D555FF" w:rsidP="00D555FF">
      <w:pPr>
        <w:pStyle w:val="Heading2"/>
      </w:pPr>
      <w:bookmarkStart w:id="19" w:name="_Toc4765148"/>
      <w:r w:rsidRPr="00F15348">
        <w:t>Mirror tax arrangements</w:t>
      </w:r>
      <w:bookmarkEnd w:id="19"/>
      <w:r w:rsidRPr="00F15348">
        <w:t xml:space="preserve"> </w:t>
      </w:r>
    </w:p>
    <w:p w14:paraId="37FAF60F" w14:textId="77777777" w:rsidR="00D555FF" w:rsidRPr="00F15348" w:rsidRDefault="00D555FF" w:rsidP="00D555FF">
      <w:pPr>
        <w:keepLines/>
      </w:pPr>
      <w:r w:rsidRPr="00F15348">
        <w:t xml:space="preserve">The Australian Government introduced mirror tax arrangements in 1998 to ensure that the states were not financially disadvantaged by the High Court decision in </w:t>
      </w:r>
      <w:r w:rsidRPr="00F15348">
        <w:rPr>
          <w:rStyle w:val="Emphasis"/>
        </w:rPr>
        <w:t>Allders International Pty Ltd v Commissioner of State Revenue (Victoria)</w:t>
      </w:r>
      <w:r w:rsidRPr="00F15348">
        <w:t>, which invalidated state taxes on Commonwealth places. These arrangements mirror certain state taxes, including payroll taxes, land taxes and stamp duties, with respect to Commonwealth places. The states collect these mirror taxes on behalf of the Australian Government and bear the administrative costs of collection.</w:t>
      </w:r>
    </w:p>
    <w:p w14:paraId="31BE6169" w14:textId="2B429E50" w:rsidR="00D555FF" w:rsidRPr="00F15348" w:rsidRDefault="00D555FF" w:rsidP="00D555FF">
      <w:pPr>
        <w:keepLines/>
      </w:pPr>
      <w:r w:rsidRPr="00F15348">
        <w:t>All mirror tax revenues are credited to the Australian Government and simultaneously appropriated to the states with no net impact on the Australian Government’s budget position as shown in Table</w:t>
      </w:r>
      <w:r w:rsidR="00242DFF" w:rsidRPr="00F15348">
        <w:t> </w:t>
      </w:r>
      <w:r w:rsidRPr="00F15348">
        <w:t>3.8.</w:t>
      </w:r>
    </w:p>
    <w:p w14:paraId="4F6F9C2B" w14:textId="72CAB745" w:rsidR="00131EE1" w:rsidRPr="00F15348" w:rsidRDefault="00D555FF" w:rsidP="00131EE1">
      <w:pPr>
        <w:pStyle w:val="TableHeading"/>
        <w:rPr>
          <w:rFonts w:asciiTheme="minorHAnsi" w:eastAsiaTheme="minorHAnsi" w:hAnsiTheme="minorHAnsi" w:cstheme="minorBidi"/>
          <w:sz w:val="22"/>
          <w:szCs w:val="22"/>
          <w:lang w:eastAsia="en-US"/>
        </w:rPr>
      </w:pPr>
      <w:bookmarkStart w:id="20" w:name="_Toc4764871"/>
      <w:r w:rsidRPr="00F15348">
        <w:rPr>
          <w:rFonts w:cs="Arial"/>
        </w:rPr>
        <w:t>Table</w:t>
      </w:r>
      <w:r w:rsidR="00242DFF" w:rsidRPr="00F15348">
        <w:rPr>
          <w:rFonts w:cs="Arial"/>
        </w:rPr>
        <w:t> </w:t>
      </w:r>
      <w:r w:rsidRPr="00F15348">
        <w:rPr>
          <w:rFonts w:cs="Arial"/>
        </w:rPr>
        <w:t>3.8: Mirror taxes accrued on behalf of the states</w:t>
      </w:r>
      <w:bookmarkEnd w:id="20"/>
    </w:p>
    <w:tbl>
      <w:tblPr>
        <w:tblW w:w="5000" w:type="pct"/>
        <w:tblCellMar>
          <w:left w:w="0" w:type="dxa"/>
          <w:right w:w="28" w:type="dxa"/>
        </w:tblCellMar>
        <w:tblLook w:val="04A0" w:firstRow="1" w:lastRow="0" w:firstColumn="1" w:lastColumn="0" w:noHBand="0" w:noVBand="1"/>
      </w:tblPr>
      <w:tblGrid>
        <w:gridCol w:w="3415"/>
        <w:gridCol w:w="859"/>
        <w:gridCol w:w="859"/>
        <w:gridCol w:w="859"/>
        <w:gridCol w:w="859"/>
        <w:gridCol w:w="859"/>
      </w:tblGrid>
      <w:tr w:rsidR="00131EE1" w:rsidRPr="00F15348" w14:paraId="0EA6927D" w14:textId="77777777" w:rsidTr="00131EE1">
        <w:trPr>
          <w:trHeight w:hRule="exact" w:val="225"/>
        </w:trPr>
        <w:tc>
          <w:tcPr>
            <w:tcW w:w="2213" w:type="pct"/>
            <w:tcBorders>
              <w:top w:val="single" w:sz="4" w:space="0" w:color="293F5B"/>
              <w:left w:val="nil"/>
              <w:bottom w:val="nil"/>
              <w:right w:val="nil"/>
            </w:tcBorders>
            <w:shd w:val="clear" w:color="auto" w:fill="auto"/>
            <w:noWrap/>
            <w:vAlign w:val="center"/>
            <w:hideMark/>
          </w:tcPr>
          <w:p w14:paraId="4B0F05C1" w14:textId="0552AAD0" w:rsidR="00131EE1" w:rsidRPr="00F15348" w:rsidRDefault="00131EE1" w:rsidP="00131EE1">
            <w:pPr>
              <w:spacing w:before="0" w:after="0" w:line="240" w:lineRule="auto"/>
              <w:rPr>
                <w:rFonts w:ascii="Arial" w:hAnsi="Arial" w:cs="Arial"/>
                <w:sz w:val="16"/>
                <w:szCs w:val="16"/>
              </w:rPr>
            </w:pPr>
            <w:r w:rsidRPr="00F15348">
              <w:rPr>
                <w:rFonts w:ascii="Arial" w:hAnsi="Arial" w:cs="Arial"/>
                <w:sz w:val="16"/>
                <w:szCs w:val="16"/>
              </w:rPr>
              <w:t>$million</w:t>
            </w:r>
          </w:p>
        </w:tc>
        <w:tc>
          <w:tcPr>
            <w:tcW w:w="557" w:type="pct"/>
            <w:tcBorders>
              <w:top w:val="single" w:sz="4" w:space="0" w:color="293F5B"/>
              <w:left w:val="nil"/>
              <w:bottom w:val="single" w:sz="4" w:space="0" w:color="293F5B"/>
              <w:right w:val="nil"/>
            </w:tcBorders>
            <w:shd w:val="clear" w:color="auto" w:fill="auto"/>
            <w:noWrap/>
            <w:vAlign w:val="center"/>
            <w:hideMark/>
          </w:tcPr>
          <w:p w14:paraId="1A5CA185" w14:textId="77777777" w:rsidR="00131EE1" w:rsidRPr="00F15348" w:rsidRDefault="00131EE1" w:rsidP="00131EE1">
            <w:pPr>
              <w:spacing w:before="0" w:after="0" w:line="240" w:lineRule="auto"/>
              <w:jc w:val="right"/>
              <w:rPr>
                <w:rFonts w:ascii="Arial" w:hAnsi="Arial" w:cs="Arial"/>
                <w:sz w:val="16"/>
                <w:szCs w:val="16"/>
              </w:rPr>
            </w:pPr>
            <w:r w:rsidRPr="00F15348">
              <w:rPr>
                <w:rFonts w:ascii="Arial" w:hAnsi="Arial" w:cs="Arial"/>
                <w:sz w:val="16"/>
                <w:szCs w:val="16"/>
              </w:rPr>
              <w:t>2023-24</w:t>
            </w:r>
          </w:p>
        </w:tc>
        <w:tc>
          <w:tcPr>
            <w:tcW w:w="557" w:type="pct"/>
            <w:tcBorders>
              <w:top w:val="single" w:sz="4" w:space="0" w:color="293F5B"/>
              <w:left w:val="nil"/>
              <w:bottom w:val="single" w:sz="4" w:space="0" w:color="293F5B"/>
              <w:right w:val="nil"/>
            </w:tcBorders>
            <w:shd w:val="clear" w:color="000000" w:fill="E6F2FF"/>
            <w:noWrap/>
            <w:vAlign w:val="center"/>
            <w:hideMark/>
          </w:tcPr>
          <w:p w14:paraId="6EAD2E13" w14:textId="77777777" w:rsidR="00131EE1" w:rsidRPr="00F15348" w:rsidRDefault="00131EE1" w:rsidP="00131EE1">
            <w:pPr>
              <w:spacing w:before="0" w:after="0" w:line="240" w:lineRule="auto"/>
              <w:jc w:val="right"/>
              <w:rPr>
                <w:rFonts w:ascii="Arial" w:hAnsi="Arial" w:cs="Arial"/>
                <w:sz w:val="16"/>
                <w:szCs w:val="16"/>
              </w:rPr>
            </w:pPr>
            <w:r w:rsidRPr="00F15348">
              <w:rPr>
                <w:rFonts w:ascii="Arial" w:hAnsi="Arial" w:cs="Arial"/>
                <w:sz w:val="16"/>
                <w:szCs w:val="16"/>
              </w:rPr>
              <w:t>2024-25</w:t>
            </w:r>
          </w:p>
        </w:tc>
        <w:tc>
          <w:tcPr>
            <w:tcW w:w="557" w:type="pct"/>
            <w:tcBorders>
              <w:top w:val="single" w:sz="4" w:space="0" w:color="293F5B"/>
              <w:left w:val="nil"/>
              <w:bottom w:val="single" w:sz="4" w:space="0" w:color="293F5B"/>
              <w:right w:val="nil"/>
            </w:tcBorders>
            <w:shd w:val="clear" w:color="auto" w:fill="auto"/>
            <w:noWrap/>
            <w:vAlign w:val="center"/>
            <w:hideMark/>
          </w:tcPr>
          <w:p w14:paraId="04CD890A" w14:textId="77777777" w:rsidR="00131EE1" w:rsidRPr="00F15348" w:rsidRDefault="00131EE1" w:rsidP="00131EE1">
            <w:pPr>
              <w:spacing w:before="0" w:after="0" w:line="240" w:lineRule="auto"/>
              <w:jc w:val="right"/>
              <w:rPr>
                <w:rFonts w:ascii="Arial" w:hAnsi="Arial" w:cs="Arial"/>
                <w:sz w:val="16"/>
                <w:szCs w:val="16"/>
              </w:rPr>
            </w:pPr>
            <w:r w:rsidRPr="00F15348">
              <w:rPr>
                <w:rFonts w:ascii="Arial" w:hAnsi="Arial" w:cs="Arial"/>
                <w:sz w:val="16"/>
                <w:szCs w:val="16"/>
              </w:rPr>
              <w:t>2025-26</w:t>
            </w:r>
          </w:p>
        </w:tc>
        <w:tc>
          <w:tcPr>
            <w:tcW w:w="557" w:type="pct"/>
            <w:tcBorders>
              <w:top w:val="single" w:sz="4" w:space="0" w:color="293F5B"/>
              <w:left w:val="nil"/>
              <w:bottom w:val="single" w:sz="4" w:space="0" w:color="293F5B"/>
              <w:right w:val="nil"/>
            </w:tcBorders>
            <w:shd w:val="clear" w:color="auto" w:fill="auto"/>
            <w:noWrap/>
            <w:vAlign w:val="center"/>
            <w:hideMark/>
          </w:tcPr>
          <w:p w14:paraId="5C0EFB1B" w14:textId="77777777" w:rsidR="00131EE1" w:rsidRPr="00F15348" w:rsidRDefault="00131EE1" w:rsidP="00131EE1">
            <w:pPr>
              <w:spacing w:before="0" w:after="0" w:line="240" w:lineRule="auto"/>
              <w:jc w:val="right"/>
              <w:rPr>
                <w:rFonts w:ascii="Arial" w:hAnsi="Arial" w:cs="Arial"/>
                <w:sz w:val="16"/>
                <w:szCs w:val="16"/>
              </w:rPr>
            </w:pPr>
            <w:r w:rsidRPr="00F15348">
              <w:rPr>
                <w:rFonts w:ascii="Arial" w:hAnsi="Arial" w:cs="Arial"/>
                <w:sz w:val="16"/>
                <w:szCs w:val="16"/>
              </w:rPr>
              <w:t>2026-27</w:t>
            </w:r>
          </w:p>
        </w:tc>
        <w:tc>
          <w:tcPr>
            <w:tcW w:w="557" w:type="pct"/>
            <w:tcBorders>
              <w:top w:val="single" w:sz="4" w:space="0" w:color="293F5B"/>
              <w:left w:val="nil"/>
              <w:bottom w:val="single" w:sz="4" w:space="0" w:color="293F5B"/>
              <w:right w:val="nil"/>
            </w:tcBorders>
            <w:shd w:val="clear" w:color="auto" w:fill="auto"/>
            <w:noWrap/>
            <w:vAlign w:val="center"/>
            <w:hideMark/>
          </w:tcPr>
          <w:p w14:paraId="45C416AC" w14:textId="77777777" w:rsidR="00131EE1" w:rsidRPr="00F15348" w:rsidRDefault="00131EE1" w:rsidP="00131EE1">
            <w:pPr>
              <w:spacing w:before="0" w:after="0" w:line="240" w:lineRule="auto"/>
              <w:jc w:val="right"/>
              <w:rPr>
                <w:rFonts w:ascii="Arial" w:hAnsi="Arial" w:cs="Arial"/>
                <w:sz w:val="16"/>
                <w:szCs w:val="16"/>
              </w:rPr>
            </w:pPr>
            <w:r w:rsidRPr="00F15348">
              <w:rPr>
                <w:rFonts w:ascii="Arial" w:hAnsi="Arial" w:cs="Arial"/>
                <w:sz w:val="16"/>
                <w:szCs w:val="16"/>
              </w:rPr>
              <w:t>2027-28</w:t>
            </w:r>
          </w:p>
        </w:tc>
      </w:tr>
      <w:tr w:rsidR="00131EE1" w:rsidRPr="00F15348" w14:paraId="194A0D5E" w14:textId="77777777" w:rsidTr="00131EE1">
        <w:trPr>
          <w:trHeight w:hRule="exact" w:val="225"/>
        </w:trPr>
        <w:tc>
          <w:tcPr>
            <w:tcW w:w="2213" w:type="pct"/>
            <w:tcBorders>
              <w:top w:val="nil"/>
              <w:left w:val="nil"/>
              <w:bottom w:val="nil"/>
              <w:right w:val="nil"/>
            </w:tcBorders>
            <w:shd w:val="clear" w:color="auto" w:fill="auto"/>
            <w:noWrap/>
            <w:vAlign w:val="center"/>
            <w:hideMark/>
          </w:tcPr>
          <w:p w14:paraId="274E7C42" w14:textId="77777777" w:rsidR="00131EE1" w:rsidRPr="00F15348" w:rsidRDefault="00131EE1" w:rsidP="00131EE1">
            <w:pPr>
              <w:spacing w:before="0" w:after="0" w:line="240" w:lineRule="auto"/>
              <w:rPr>
                <w:rFonts w:ascii="Arial" w:hAnsi="Arial" w:cs="Arial"/>
                <w:sz w:val="16"/>
                <w:szCs w:val="16"/>
              </w:rPr>
            </w:pPr>
            <w:r w:rsidRPr="00F15348">
              <w:rPr>
                <w:rFonts w:ascii="Arial" w:hAnsi="Arial" w:cs="Arial"/>
                <w:sz w:val="16"/>
                <w:szCs w:val="16"/>
              </w:rPr>
              <w:t>Mirror taxes</w:t>
            </w:r>
          </w:p>
        </w:tc>
        <w:tc>
          <w:tcPr>
            <w:tcW w:w="557" w:type="pct"/>
            <w:tcBorders>
              <w:top w:val="nil"/>
              <w:left w:val="nil"/>
              <w:bottom w:val="nil"/>
              <w:right w:val="nil"/>
            </w:tcBorders>
            <w:shd w:val="clear" w:color="auto" w:fill="auto"/>
            <w:noWrap/>
            <w:vAlign w:val="center"/>
            <w:hideMark/>
          </w:tcPr>
          <w:p w14:paraId="0901C852" w14:textId="77777777" w:rsidR="00131EE1" w:rsidRPr="00F15348" w:rsidRDefault="00131EE1" w:rsidP="00131EE1">
            <w:pPr>
              <w:spacing w:before="0" w:after="0" w:line="240" w:lineRule="auto"/>
              <w:jc w:val="right"/>
              <w:rPr>
                <w:rFonts w:ascii="Arial" w:hAnsi="Arial" w:cs="Arial"/>
                <w:sz w:val="16"/>
                <w:szCs w:val="16"/>
              </w:rPr>
            </w:pPr>
            <w:r w:rsidRPr="00F15348">
              <w:rPr>
                <w:rFonts w:ascii="Arial" w:hAnsi="Arial" w:cs="Arial"/>
                <w:sz w:val="16"/>
                <w:szCs w:val="16"/>
              </w:rPr>
              <w:t>838</w:t>
            </w:r>
          </w:p>
        </w:tc>
        <w:tc>
          <w:tcPr>
            <w:tcW w:w="557" w:type="pct"/>
            <w:tcBorders>
              <w:top w:val="nil"/>
              <w:left w:val="nil"/>
              <w:bottom w:val="nil"/>
              <w:right w:val="nil"/>
            </w:tcBorders>
            <w:shd w:val="clear" w:color="000000" w:fill="E6F2FF"/>
            <w:noWrap/>
            <w:vAlign w:val="center"/>
            <w:hideMark/>
          </w:tcPr>
          <w:p w14:paraId="246EAB30" w14:textId="77777777" w:rsidR="00131EE1" w:rsidRPr="00F15348" w:rsidRDefault="00131EE1" w:rsidP="00131EE1">
            <w:pPr>
              <w:spacing w:before="0" w:after="0" w:line="240" w:lineRule="auto"/>
              <w:jc w:val="right"/>
              <w:rPr>
                <w:rFonts w:ascii="Arial" w:hAnsi="Arial" w:cs="Arial"/>
                <w:sz w:val="16"/>
                <w:szCs w:val="16"/>
              </w:rPr>
            </w:pPr>
            <w:r w:rsidRPr="00F15348">
              <w:rPr>
                <w:rFonts w:ascii="Arial" w:hAnsi="Arial" w:cs="Arial"/>
                <w:sz w:val="16"/>
                <w:szCs w:val="16"/>
              </w:rPr>
              <w:t>878</w:t>
            </w:r>
          </w:p>
        </w:tc>
        <w:tc>
          <w:tcPr>
            <w:tcW w:w="557" w:type="pct"/>
            <w:tcBorders>
              <w:top w:val="nil"/>
              <w:left w:val="nil"/>
              <w:bottom w:val="nil"/>
              <w:right w:val="nil"/>
            </w:tcBorders>
            <w:shd w:val="clear" w:color="auto" w:fill="auto"/>
            <w:noWrap/>
            <w:vAlign w:val="center"/>
            <w:hideMark/>
          </w:tcPr>
          <w:p w14:paraId="44AA0929" w14:textId="77777777" w:rsidR="00131EE1" w:rsidRPr="00F15348" w:rsidRDefault="00131EE1" w:rsidP="00131EE1">
            <w:pPr>
              <w:spacing w:before="0" w:after="0" w:line="240" w:lineRule="auto"/>
              <w:jc w:val="right"/>
              <w:rPr>
                <w:rFonts w:ascii="Arial" w:hAnsi="Arial" w:cs="Arial"/>
                <w:sz w:val="16"/>
                <w:szCs w:val="16"/>
              </w:rPr>
            </w:pPr>
            <w:r w:rsidRPr="00F15348">
              <w:rPr>
                <w:rFonts w:ascii="Arial" w:hAnsi="Arial" w:cs="Arial"/>
                <w:sz w:val="16"/>
                <w:szCs w:val="16"/>
              </w:rPr>
              <w:t>920</w:t>
            </w:r>
          </w:p>
        </w:tc>
        <w:tc>
          <w:tcPr>
            <w:tcW w:w="557" w:type="pct"/>
            <w:tcBorders>
              <w:top w:val="nil"/>
              <w:left w:val="nil"/>
              <w:bottom w:val="nil"/>
              <w:right w:val="nil"/>
            </w:tcBorders>
            <w:shd w:val="clear" w:color="auto" w:fill="auto"/>
            <w:noWrap/>
            <w:vAlign w:val="center"/>
            <w:hideMark/>
          </w:tcPr>
          <w:p w14:paraId="4A2E30A0" w14:textId="77777777" w:rsidR="00131EE1" w:rsidRPr="00F15348" w:rsidRDefault="00131EE1" w:rsidP="00131EE1">
            <w:pPr>
              <w:spacing w:before="0" w:after="0" w:line="240" w:lineRule="auto"/>
              <w:jc w:val="right"/>
              <w:rPr>
                <w:rFonts w:ascii="Arial" w:hAnsi="Arial" w:cs="Arial"/>
                <w:sz w:val="16"/>
                <w:szCs w:val="16"/>
              </w:rPr>
            </w:pPr>
            <w:r w:rsidRPr="00F15348">
              <w:rPr>
                <w:rFonts w:ascii="Arial" w:hAnsi="Arial" w:cs="Arial"/>
                <w:sz w:val="16"/>
                <w:szCs w:val="16"/>
              </w:rPr>
              <w:t>970</w:t>
            </w:r>
          </w:p>
        </w:tc>
        <w:tc>
          <w:tcPr>
            <w:tcW w:w="557" w:type="pct"/>
            <w:tcBorders>
              <w:top w:val="nil"/>
              <w:left w:val="nil"/>
              <w:bottom w:val="nil"/>
              <w:right w:val="nil"/>
            </w:tcBorders>
            <w:shd w:val="clear" w:color="auto" w:fill="auto"/>
            <w:noWrap/>
            <w:vAlign w:val="center"/>
            <w:hideMark/>
          </w:tcPr>
          <w:p w14:paraId="690C55F2" w14:textId="77777777" w:rsidR="00131EE1" w:rsidRPr="00F15348" w:rsidRDefault="00131EE1" w:rsidP="00131EE1">
            <w:pPr>
              <w:spacing w:before="0" w:after="0" w:line="240" w:lineRule="auto"/>
              <w:jc w:val="right"/>
              <w:rPr>
                <w:rFonts w:ascii="Arial" w:hAnsi="Arial" w:cs="Arial"/>
                <w:sz w:val="16"/>
                <w:szCs w:val="16"/>
              </w:rPr>
            </w:pPr>
            <w:r w:rsidRPr="00F15348">
              <w:rPr>
                <w:rFonts w:ascii="Arial" w:hAnsi="Arial" w:cs="Arial"/>
                <w:sz w:val="16"/>
                <w:szCs w:val="16"/>
              </w:rPr>
              <w:t>1021</w:t>
            </w:r>
          </w:p>
        </w:tc>
      </w:tr>
      <w:tr w:rsidR="00131EE1" w:rsidRPr="00F15348" w14:paraId="39105A3E" w14:textId="77777777" w:rsidTr="00131EE1">
        <w:trPr>
          <w:trHeight w:hRule="exact" w:val="225"/>
        </w:trPr>
        <w:tc>
          <w:tcPr>
            <w:tcW w:w="2213" w:type="pct"/>
            <w:tcBorders>
              <w:top w:val="nil"/>
              <w:left w:val="nil"/>
              <w:bottom w:val="nil"/>
              <w:right w:val="nil"/>
            </w:tcBorders>
            <w:shd w:val="clear" w:color="auto" w:fill="auto"/>
            <w:noWrap/>
            <w:vAlign w:val="center"/>
            <w:hideMark/>
          </w:tcPr>
          <w:p w14:paraId="48EF8A91" w14:textId="77777777" w:rsidR="00131EE1" w:rsidRPr="00F15348" w:rsidRDefault="00131EE1" w:rsidP="00131EE1">
            <w:pPr>
              <w:spacing w:before="0" w:after="0" w:line="240" w:lineRule="auto"/>
              <w:rPr>
                <w:rFonts w:ascii="Arial" w:hAnsi="Arial" w:cs="Arial"/>
                <w:sz w:val="16"/>
                <w:szCs w:val="16"/>
              </w:rPr>
            </w:pPr>
            <w:r w:rsidRPr="00F15348">
              <w:rPr>
                <w:rFonts w:ascii="Arial" w:hAnsi="Arial" w:cs="Arial"/>
                <w:i/>
                <w:sz w:val="16"/>
                <w:szCs w:val="16"/>
              </w:rPr>
              <w:t xml:space="preserve">less </w:t>
            </w:r>
            <w:r w:rsidRPr="00F15348">
              <w:rPr>
                <w:rFonts w:ascii="Arial" w:hAnsi="Arial" w:cs="Arial"/>
                <w:sz w:val="16"/>
                <w:szCs w:val="16"/>
              </w:rPr>
              <w:t>Transfers to state governments</w:t>
            </w:r>
          </w:p>
        </w:tc>
        <w:tc>
          <w:tcPr>
            <w:tcW w:w="557" w:type="pct"/>
            <w:tcBorders>
              <w:top w:val="nil"/>
              <w:left w:val="nil"/>
              <w:bottom w:val="nil"/>
              <w:right w:val="nil"/>
            </w:tcBorders>
            <w:shd w:val="clear" w:color="auto" w:fill="auto"/>
            <w:noWrap/>
            <w:vAlign w:val="center"/>
            <w:hideMark/>
          </w:tcPr>
          <w:p w14:paraId="28A3B817" w14:textId="77777777" w:rsidR="00131EE1" w:rsidRPr="00F15348" w:rsidRDefault="00131EE1" w:rsidP="00131EE1">
            <w:pPr>
              <w:spacing w:before="0" w:after="0" w:line="240" w:lineRule="auto"/>
              <w:jc w:val="right"/>
              <w:rPr>
                <w:rFonts w:ascii="Arial" w:hAnsi="Arial" w:cs="Arial"/>
                <w:sz w:val="16"/>
                <w:szCs w:val="16"/>
              </w:rPr>
            </w:pPr>
            <w:r w:rsidRPr="00F15348">
              <w:rPr>
                <w:rFonts w:ascii="Arial" w:hAnsi="Arial" w:cs="Arial"/>
                <w:sz w:val="16"/>
                <w:szCs w:val="16"/>
              </w:rPr>
              <w:t>838</w:t>
            </w:r>
          </w:p>
        </w:tc>
        <w:tc>
          <w:tcPr>
            <w:tcW w:w="557" w:type="pct"/>
            <w:tcBorders>
              <w:top w:val="nil"/>
              <w:left w:val="nil"/>
              <w:bottom w:val="nil"/>
              <w:right w:val="nil"/>
            </w:tcBorders>
            <w:shd w:val="clear" w:color="000000" w:fill="E6F2FF"/>
            <w:noWrap/>
            <w:vAlign w:val="center"/>
            <w:hideMark/>
          </w:tcPr>
          <w:p w14:paraId="2BDA14E9" w14:textId="77777777" w:rsidR="00131EE1" w:rsidRPr="00F15348" w:rsidRDefault="00131EE1" w:rsidP="00131EE1">
            <w:pPr>
              <w:spacing w:before="0" w:after="0" w:line="240" w:lineRule="auto"/>
              <w:jc w:val="right"/>
              <w:rPr>
                <w:rFonts w:ascii="Arial" w:hAnsi="Arial" w:cs="Arial"/>
                <w:sz w:val="16"/>
                <w:szCs w:val="16"/>
              </w:rPr>
            </w:pPr>
            <w:r w:rsidRPr="00F15348">
              <w:rPr>
                <w:rFonts w:ascii="Arial" w:hAnsi="Arial" w:cs="Arial"/>
                <w:sz w:val="16"/>
                <w:szCs w:val="16"/>
              </w:rPr>
              <w:t>878</w:t>
            </w:r>
          </w:p>
        </w:tc>
        <w:tc>
          <w:tcPr>
            <w:tcW w:w="557" w:type="pct"/>
            <w:tcBorders>
              <w:top w:val="nil"/>
              <w:left w:val="nil"/>
              <w:bottom w:val="nil"/>
              <w:right w:val="nil"/>
            </w:tcBorders>
            <w:shd w:val="clear" w:color="auto" w:fill="auto"/>
            <w:noWrap/>
            <w:vAlign w:val="center"/>
            <w:hideMark/>
          </w:tcPr>
          <w:p w14:paraId="6860FE37" w14:textId="77777777" w:rsidR="00131EE1" w:rsidRPr="00F15348" w:rsidRDefault="00131EE1" w:rsidP="00131EE1">
            <w:pPr>
              <w:spacing w:before="0" w:after="0" w:line="240" w:lineRule="auto"/>
              <w:jc w:val="right"/>
              <w:rPr>
                <w:rFonts w:ascii="Arial" w:hAnsi="Arial" w:cs="Arial"/>
                <w:sz w:val="16"/>
                <w:szCs w:val="16"/>
              </w:rPr>
            </w:pPr>
            <w:r w:rsidRPr="00F15348">
              <w:rPr>
                <w:rFonts w:ascii="Arial" w:hAnsi="Arial" w:cs="Arial"/>
                <w:sz w:val="16"/>
                <w:szCs w:val="16"/>
              </w:rPr>
              <w:t>920</w:t>
            </w:r>
          </w:p>
        </w:tc>
        <w:tc>
          <w:tcPr>
            <w:tcW w:w="557" w:type="pct"/>
            <w:tcBorders>
              <w:top w:val="nil"/>
              <w:left w:val="nil"/>
              <w:bottom w:val="nil"/>
              <w:right w:val="nil"/>
            </w:tcBorders>
            <w:shd w:val="clear" w:color="auto" w:fill="auto"/>
            <w:noWrap/>
            <w:vAlign w:val="center"/>
            <w:hideMark/>
          </w:tcPr>
          <w:p w14:paraId="6C05806F" w14:textId="77777777" w:rsidR="00131EE1" w:rsidRPr="00F15348" w:rsidRDefault="00131EE1" w:rsidP="00131EE1">
            <w:pPr>
              <w:spacing w:before="0" w:after="0" w:line="240" w:lineRule="auto"/>
              <w:jc w:val="right"/>
              <w:rPr>
                <w:rFonts w:ascii="Arial" w:hAnsi="Arial" w:cs="Arial"/>
                <w:sz w:val="16"/>
                <w:szCs w:val="16"/>
              </w:rPr>
            </w:pPr>
            <w:r w:rsidRPr="00F15348">
              <w:rPr>
                <w:rFonts w:ascii="Arial" w:hAnsi="Arial" w:cs="Arial"/>
                <w:sz w:val="16"/>
                <w:szCs w:val="16"/>
              </w:rPr>
              <w:t>970</w:t>
            </w:r>
          </w:p>
        </w:tc>
        <w:tc>
          <w:tcPr>
            <w:tcW w:w="557" w:type="pct"/>
            <w:tcBorders>
              <w:top w:val="nil"/>
              <w:left w:val="nil"/>
              <w:bottom w:val="nil"/>
              <w:right w:val="nil"/>
            </w:tcBorders>
            <w:shd w:val="clear" w:color="auto" w:fill="auto"/>
            <w:noWrap/>
            <w:vAlign w:val="center"/>
            <w:hideMark/>
          </w:tcPr>
          <w:p w14:paraId="2A1D1737" w14:textId="77777777" w:rsidR="00131EE1" w:rsidRPr="00F15348" w:rsidRDefault="00131EE1" w:rsidP="00131EE1">
            <w:pPr>
              <w:spacing w:before="0" w:after="0" w:line="240" w:lineRule="auto"/>
              <w:jc w:val="right"/>
              <w:rPr>
                <w:rFonts w:ascii="Arial" w:hAnsi="Arial" w:cs="Arial"/>
                <w:sz w:val="16"/>
                <w:szCs w:val="16"/>
              </w:rPr>
            </w:pPr>
            <w:r w:rsidRPr="00F15348">
              <w:rPr>
                <w:rFonts w:ascii="Arial" w:hAnsi="Arial" w:cs="Arial"/>
                <w:sz w:val="16"/>
                <w:szCs w:val="16"/>
              </w:rPr>
              <w:t>1021</w:t>
            </w:r>
          </w:p>
        </w:tc>
      </w:tr>
      <w:tr w:rsidR="00131EE1" w:rsidRPr="00F15348" w14:paraId="7AA2D7DA" w14:textId="77777777" w:rsidTr="00131EE1">
        <w:trPr>
          <w:trHeight w:hRule="exact" w:val="225"/>
        </w:trPr>
        <w:tc>
          <w:tcPr>
            <w:tcW w:w="2213" w:type="pct"/>
            <w:tcBorders>
              <w:top w:val="nil"/>
              <w:left w:val="nil"/>
              <w:bottom w:val="single" w:sz="4" w:space="0" w:color="293F5B"/>
              <w:right w:val="nil"/>
            </w:tcBorders>
            <w:shd w:val="clear" w:color="auto" w:fill="auto"/>
            <w:noWrap/>
            <w:vAlign w:val="center"/>
            <w:hideMark/>
          </w:tcPr>
          <w:p w14:paraId="4362DE61" w14:textId="77777777" w:rsidR="00131EE1" w:rsidRPr="00F15348" w:rsidRDefault="00131EE1" w:rsidP="00131EE1">
            <w:pPr>
              <w:spacing w:before="0" w:after="0" w:line="240" w:lineRule="auto"/>
              <w:rPr>
                <w:rFonts w:ascii="Arial" w:hAnsi="Arial" w:cs="Arial"/>
                <w:sz w:val="16"/>
                <w:szCs w:val="16"/>
              </w:rPr>
            </w:pPr>
            <w:r w:rsidRPr="00F15348">
              <w:rPr>
                <w:rFonts w:ascii="Arial" w:hAnsi="Arial" w:cs="Arial"/>
                <w:sz w:val="16"/>
                <w:szCs w:val="16"/>
              </w:rPr>
              <w:t>Australian Government budget impact</w:t>
            </w:r>
          </w:p>
        </w:tc>
        <w:tc>
          <w:tcPr>
            <w:tcW w:w="557" w:type="pct"/>
            <w:tcBorders>
              <w:top w:val="single" w:sz="4" w:space="0" w:color="293F5B"/>
              <w:left w:val="nil"/>
              <w:bottom w:val="single" w:sz="4" w:space="0" w:color="293F5B"/>
              <w:right w:val="nil"/>
            </w:tcBorders>
            <w:shd w:val="clear" w:color="auto" w:fill="auto"/>
            <w:noWrap/>
            <w:vAlign w:val="bottom"/>
            <w:hideMark/>
          </w:tcPr>
          <w:p w14:paraId="42FA119F" w14:textId="77777777" w:rsidR="00131EE1" w:rsidRPr="00F15348" w:rsidRDefault="00131EE1" w:rsidP="00131EE1">
            <w:pPr>
              <w:spacing w:before="0" w:after="0" w:line="240" w:lineRule="auto"/>
              <w:jc w:val="right"/>
              <w:rPr>
                <w:rFonts w:ascii="Arial" w:hAnsi="Arial" w:cs="Arial"/>
                <w:sz w:val="16"/>
                <w:szCs w:val="16"/>
              </w:rPr>
            </w:pPr>
            <w:r w:rsidRPr="00F15348">
              <w:rPr>
                <w:rFonts w:ascii="Arial" w:hAnsi="Arial" w:cs="Arial"/>
                <w:sz w:val="16"/>
                <w:szCs w:val="16"/>
              </w:rPr>
              <w:t>-</w:t>
            </w:r>
          </w:p>
        </w:tc>
        <w:tc>
          <w:tcPr>
            <w:tcW w:w="557" w:type="pct"/>
            <w:tcBorders>
              <w:top w:val="single" w:sz="4" w:space="0" w:color="293F5B"/>
              <w:left w:val="nil"/>
              <w:bottom w:val="single" w:sz="4" w:space="0" w:color="293F5B"/>
              <w:right w:val="nil"/>
            </w:tcBorders>
            <w:shd w:val="clear" w:color="000000" w:fill="E6F2FF"/>
            <w:noWrap/>
            <w:vAlign w:val="bottom"/>
            <w:hideMark/>
          </w:tcPr>
          <w:p w14:paraId="0E82C733" w14:textId="77777777" w:rsidR="00131EE1" w:rsidRPr="00F15348" w:rsidRDefault="00131EE1" w:rsidP="00131EE1">
            <w:pPr>
              <w:spacing w:before="0" w:after="0" w:line="240" w:lineRule="auto"/>
              <w:jc w:val="right"/>
              <w:rPr>
                <w:rFonts w:ascii="Arial" w:hAnsi="Arial" w:cs="Arial"/>
                <w:sz w:val="16"/>
                <w:szCs w:val="16"/>
              </w:rPr>
            </w:pPr>
            <w:r w:rsidRPr="00F15348">
              <w:rPr>
                <w:rFonts w:ascii="Arial" w:hAnsi="Arial" w:cs="Arial"/>
                <w:sz w:val="16"/>
                <w:szCs w:val="16"/>
              </w:rPr>
              <w:t>-</w:t>
            </w:r>
          </w:p>
        </w:tc>
        <w:tc>
          <w:tcPr>
            <w:tcW w:w="557" w:type="pct"/>
            <w:tcBorders>
              <w:top w:val="single" w:sz="4" w:space="0" w:color="293F5B"/>
              <w:left w:val="nil"/>
              <w:bottom w:val="single" w:sz="4" w:space="0" w:color="293F5B"/>
              <w:right w:val="nil"/>
            </w:tcBorders>
            <w:shd w:val="clear" w:color="auto" w:fill="auto"/>
            <w:noWrap/>
            <w:vAlign w:val="bottom"/>
            <w:hideMark/>
          </w:tcPr>
          <w:p w14:paraId="4A20991D" w14:textId="77777777" w:rsidR="00131EE1" w:rsidRPr="00F15348" w:rsidRDefault="00131EE1" w:rsidP="00131EE1">
            <w:pPr>
              <w:spacing w:before="0" w:after="0" w:line="240" w:lineRule="auto"/>
              <w:jc w:val="right"/>
              <w:rPr>
                <w:rFonts w:ascii="Arial" w:hAnsi="Arial" w:cs="Arial"/>
                <w:sz w:val="16"/>
                <w:szCs w:val="16"/>
              </w:rPr>
            </w:pPr>
            <w:r w:rsidRPr="00F15348">
              <w:rPr>
                <w:rFonts w:ascii="Arial" w:hAnsi="Arial" w:cs="Arial"/>
                <w:sz w:val="16"/>
                <w:szCs w:val="16"/>
              </w:rPr>
              <w:t>-</w:t>
            </w:r>
          </w:p>
        </w:tc>
        <w:tc>
          <w:tcPr>
            <w:tcW w:w="557" w:type="pct"/>
            <w:tcBorders>
              <w:top w:val="single" w:sz="4" w:space="0" w:color="293F5B"/>
              <w:left w:val="nil"/>
              <w:bottom w:val="single" w:sz="4" w:space="0" w:color="293F5B"/>
              <w:right w:val="nil"/>
            </w:tcBorders>
            <w:shd w:val="clear" w:color="auto" w:fill="auto"/>
            <w:noWrap/>
            <w:vAlign w:val="bottom"/>
            <w:hideMark/>
          </w:tcPr>
          <w:p w14:paraId="5F9EC01B" w14:textId="77777777" w:rsidR="00131EE1" w:rsidRPr="00F15348" w:rsidRDefault="00131EE1" w:rsidP="00131EE1">
            <w:pPr>
              <w:spacing w:before="0" w:after="0" w:line="240" w:lineRule="auto"/>
              <w:jc w:val="right"/>
              <w:rPr>
                <w:rFonts w:ascii="Arial" w:hAnsi="Arial" w:cs="Arial"/>
                <w:sz w:val="16"/>
                <w:szCs w:val="16"/>
              </w:rPr>
            </w:pPr>
            <w:r w:rsidRPr="00F15348">
              <w:rPr>
                <w:rFonts w:ascii="Arial" w:hAnsi="Arial" w:cs="Arial"/>
                <w:sz w:val="16"/>
                <w:szCs w:val="16"/>
              </w:rPr>
              <w:t>-</w:t>
            </w:r>
          </w:p>
        </w:tc>
        <w:tc>
          <w:tcPr>
            <w:tcW w:w="557" w:type="pct"/>
            <w:tcBorders>
              <w:top w:val="single" w:sz="4" w:space="0" w:color="293F5B"/>
              <w:left w:val="nil"/>
              <w:bottom w:val="single" w:sz="4" w:space="0" w:color="293F5B"/>
              <w:right w:val="nil"/>
            </w:tcBorders>
            <w:shd w:val="clear" w:color="auto" w:fill="auto"/>
            <w:noWrap/>
            <w:vAlign w:val="bottom"/>
            <w:hideMark/>
          </w:tcPr>
          <w:p w14:paraId="683CAC17" w14:textId="77777777" w:rsidR="00131EE1" w:rsidRPr="00F15348" w:rsidRDefault="00131EE1" w:rsidP="00131EE1">
            <w:pPr>
              <w:spacing w:before="0" w:after="0" w:line="240" w:lineRule="auto"/>
              <w:jc w:val="right"/>
              <w:rPr>
                <w:rFonts w:ascii="Arial" w:hAnsi="Arial" w:cs="Arial"/>
                <w:sz w:val="16"/>
                <w:szCs w:val="16"/>
              </w:rPr>
            </w:pPr>
            <w:r w:rsidRPr="00F15348">
              <w:rPr>
                <w:rFonts w:ascii="Arial" w:hAnsi="Arial" w:cs="Arial"/>
                <w:sz w:val="16"/>
                <w:szCs w:val="16"/>
              </w:rPr>
              <w:t>-</w:t>
            </w:r>
          </w:p>
        </w:tc>
      </w:tr>
    </w:tbl>
    <w:p w14:paraId="7CEDF524" w14:textId="32C59B1F" w:rsidR="00A11F5D" w:rsidRPr="00D555FF" w:rsidRDefault="00A11F5D" w:rsidP="00D555FF"/>
    <w:sectPr w:rsidR="00A11F5D" w:rsidRPr="00D555FF" w:rsidSect="001E37C0">
      <w:headerReference w:type="even" r:id="rId11"/>
      <w:headerReference w:type="default" r:id="rId12"/>
      <w:footerReference w:type="even" r:id="rId13"/>
      <w:footerReference w:type="default" r:id="rId14"/>
      <w:headerReference w:type="first" r:id="rId15"/>
      <w:footerReference w:type="first" r:id="rId16"/>
      <w:pgSz w:w="11906" w:h="16838" w:code="9"/>
      <w:pgMar w:top="2835" w:right="2098" w:bottom="2466" w:left="2098" w:header="1814" w:footer="1814" w:gutter="0"/>
      <w:pgNumType w:start="12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3EAF4" w14:textId="77777777" w:rsidR="007D6D68" w:rsidRDefault="007D6D68" w:rsidP="00E40261">
      <w:pPr>
        <w:spacing w:after="0" w:line="240" w:lineRule="auto"/>
      </w:pPr>
      <w:r>
        <w:separator/>
      </w:r>
    </w:p>
  </w:endnote>
  <w:endnote w:type="continuationSeparator" w:id="0">
    <w:p w14:paraId="1A3417F2" w14:textId="77777777" w:rsidR="007D6D68" w:rsidRDefault="007D6D68" w:rsidP="00E40261">
      <w:pPr>
        <w:spacing w:after="0" w:line="240" w:lineRule="auto"/>
      </w:pPr>
      <w:r>
        <w:continuationSeparator/>
      </w:r>
    </w:p>
  </w:endnote>
  <w:endnote w:type="continuationNotice" w:id="1">
    <w:p w14:paraId="72620D22" w14:textId="77777777" w:rsidR="007D6D68" w:rsidRDefault="007D6D6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F284A" w14:textId="4AF07996" w:rsidR="00FB5DDD" w:rsidRDefault="00FB5DDD" w:rsidP="00360947">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6</w:t>
    </w:r>
    <w:r w:rsidRPr="00B3705D">
      <w:rPr>
        <w:b/>
        <w:bCs/>
      </w:rPr>
      <w:fldChar w:fldCharType="end"/>
    </w:r>
    <w:r w:rsidRPr="00B3705D">
      <w:t xml:space="preserve">  |  </w:t>
    </w:r>
    <w:r w:rsidR="00975B45">
      <w:fldChar w:fldCharType="begin"/>
    </w:r>
    <w:r w:rsidR="00975B45">
      <w:instrText xml:space="preserve"> SUBJECT   \* MERGEFORMAT </w:instrText>
    </w:r>
    <w:r w:rsidR="00975B45">
      <w:fldChar w:fldCharType="separate"/>
    </w:r>
    <w:r w:rsidR="00710D09">
      <w:t>Part 3: General revenue assistance</w:t>
    </w:r>
    <w:r w:rsidR="00975B4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44717" w14:textId="5B54A184" w:rsidR="00FB5DDD" w:rsidRDefault="00975B45" w:rsidP="002A6A16">
    <w:pPr>
      <w:pStyle w:val="FooterOdd"/>
    </w:pPr>
    <w:r>
      <w:fldChar w:fldCharType="begin"/>
    </w:r>
    <w:r>
      <w:instrText xml:space="preserve"> SUBJECT   \* MERGEFORMAT </w:instrText>
    </w:r>
    <w:r>
      <w:fldChar w:fldCharType="separate"/>
    </w:r>
    <w:r w:rsidR="00710D09">
      <w:t>Part 3: General revenue assistance</w:t>
    </w:r>
    <w:r>
      <w:fldChar w:fldCharType="end"/>
    </w:r>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01A4C" w14:textId="209F3C5D" w:rsidR="00FB5DDD" w:rsidRDefault="00975B45" w:rsidP="00360947">
    <w:pPr>
      <w:pStyle w:val="FooterOdd"/>
    </w:pPr>
    <w:r>
      <w:fldChar w:fldCharType="begin"/>
    </w:r>
    <w:r>
      <w:instrText xml:space="preserve"> SUBJECT   \* MERGEFORMAT </w:instrText>
    </w:r>
    <w:r>
      <w:fldChar w:fldCharType="separate"/>
    </w:r>
    <w:r w:rsidR="00710D09">
      <w:t>Part 3: General revenue assistance</w:t>
    </w:r>
    <w:r>
      <w:fldChar w:fldCharType="end"/>
    </w:r>
    <w:r w:rsidR="00FB5DDD" w:rsidRPr="00B3705D">
      <w:t xml:space="preserve">  |  </w:t>
    </w:r>
    <w:r w:rsidR="00FB5DDD" w:rsidRPr="00B3705D">
      <w:rPr>
        <w:b/>
        <w:bCs/>
      </w:rPr>
      <w:t xml:space="preserve">Page </w:t>
    </w:r>
    <w:r w:rsidR="00FB5DDD" w:rsidRPr="00B3705D">
      <w:rPr>
        <w:b/>
        <w:bCs/>
      </w:rPr>
      <w:fldChar w:fldCharType="begin"/>
    </w:r>
    <w:r w:rsidR="00FB5DDD" w:rsidRPr="00B3705D">
      <w:rPr>
        <w:b/>
        <w:bCs/>
      </w:rPr>
      <w:instrText xml:space="preserve"> PAGE  \* Arabic  \* MERGEFORMAT </w:instrText>
    </w:r>
    <w:r w:rsidR="00FB5DDD" w:rsidRPr="00B3705D">
      <w:rPr>
        <w:b/>
        <w:bCs/>
      </w:rPr>
      <w:fldChar w:fldCharType="separate"/>
    </w:r>
    <w:r w:rsidR="00FB5DDD">
      <w:rPr>
        <w:b/>
        <w:bCs/>
      </w:rPr>
      <w:t>1</w:t>
    </w:r>
    <w:r w:rsidR="00FB5DDD"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E38AF" w14:textId="77777777" w:rsidR="007D6D68" w:rsidRPr="003C1CA4" w:rsidRDefault="007D6D68" w:rsidP="00EB6597">
      <w:pPr>
        <w:spacing w:after="0" w:line="240" w:lineRule="auto"/>
        <w:ind w:right="8277"/>
        <w:rPr>
          <w:rFonts w:asciiTheme="majorHAnsi" w:hAnsiTheme="majorHAnsi"/>
          <w:color w:val="E1E3E6" w:themeColor="background2" w:themeTint="33"/>
        </w:rPr>
      </w:pPr>
      <w:r w:rsidRPr="003C1CA4">
        <w:rPr>
          <w:rFonts w:asciiTheme="majorHAnsi" w:hAnsiTheme="majorHAnsi"/>
          <w:color w:val="E1E3E6" w:themeColor="background2" w:themeTint="33"/>
        </w:rPr>
        <w:t>—</w:t>
      </w:r>
    </w:p>
  </w:footnote>
  <w:footnote w:type="continuationSeparator" w:id="0">
    <w:p w14:paraId="758637CB" w14:textId="77777777" w:rsidR="007D6D68" w:rsidRDefault="007D6D68" w:rsidP="00E40261">
      <w:pPr>
        <w:spacing w:after="0" w:line="240" w:lineRule="auto"/>
      </w:pPr>
      <w:r>
        <w:continuationSeparator/>
      </w:r>
    </w:p>
  </w:footnote>
  <w:footnote w:type="continuationNotice" w:id="1">
    <w:p w14:paraId="52C3DF5D" w14:textId="77777777" w:rsidR="007D6D68" w:rsidRDefault="007D6D6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98975" w14:textId="289661F3" w:rsidR="00FB5DDD" w:rsidRPr="00AA5439" w:rsidRDefault="00FB5DDD" w:rsidP="00AA5439">
    <w:pPr>
      <w:pStyle w:val="HeaderEven"/>
      <w:rPr>
        <w:sz w:val="2"/>
        <w:szCs w:val="2"/>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FB5DDD" w14:paraId="725BEB2D" w14:textId="77777777">
      <w:trPr>
        <w:trHeight w:hRule="exact" w:val="340"/>
      </w:trPr>
      <w:tc>
        <w:tcPr>
          <w:tcW w:w="7797" w:type="dxa"/>
        </w:tcPr>
        <w:p w14:paraId="082AF093" w14:textId="17C60829" w:rsidR="00FB5DDD" w:rsidRPr="008C56E1" w:rsidRDefault="00FB5DDD" w:rsidP="00F60EA1">
          <w:pPr>
            <w:pStyle w:val="HeaderEven"/>
          </w:pPr>
          <w:r w:rsidRPr="008C56E1">
            <w:rPr>
              <w:noProof/>
              <w:position w:val="-8"/>
            </w:rPr>
            <w:drawing>
              <wp:inline distT="0" distB="0" distL="0" distR="0" wp14:anchorId="7714FE5A" wp14:editId="6F448D61">
                <wp:extent cx="874979" cy="198000"/>
                <wp:effectExtent l="0" t="0" r="1905" b="0"/>
                <wp:docPr id="75" name="Pictur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4979" cy="198000"/>
                        </a:xfrm>
                        <a:prstGeom prst="rect">
                          <a:avLst/>
                        </a:prstGeom>
                      </pic:spPr>
                    </pic:pic>
                  </a:graphicData>
                </a:graphic>
              </wp:inline>
            </w:drawing>
          </w:r>
          <w:r w:rsidRPr="008C56E1">
            <w:t xml:space="preserve">  |  </w:t>
          </w:r>
          <w:r w:rsidR="00975B45">
            <w:fldChar w:fldCharType="begin"/>
          </w:r>
          <w:r w:rsidR="00975B45">
            <w:instrText xml:space="preserve"> TITLE   \* MERGEFORMAT </w:instrText>
          </w:r>
          <w:r w:rsidR="00975B45">
            <w:fldChar w:fldCharType="separate"/>
          </w:r>
          <w:r w:rsidR="00710D09">
            <w:t>Budget Paper No. 3</w:t>
          </w:r>
          <w:r w:rsidR="00975B45">
            <w:fldChar w:fldCharType="end"/>
          </w:r>
        </w:p>
      </w:tc>
    </w:tr>
  </w:tbl>
  <w:p w14:paraId="4B5A0AE4" w14:textId="77777777" w:rsidR="00FB5DDD" w:rsidRPr="00AA5439" w:rsidRDefault="00FB5DDD" w:rsidP="00AA5439">
    <w:pPr>
      <w:pStyle w:val="HeaderEven"/>
      <w:rPr>
        <w:sz w:val="2"/>
        <w:szCs w:val="4"/>
      </w:rPr>
    </w:pPr>
  </w:p>
  <w:p w14:paraId="5860BC3F" w14:textId="77777777" w:rsidR="00FB5DDD" w:rsidRPr="007703C7" w:rsidRDefault="00FB5DDD" w:rsidP="007703C7">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FC8A5" w14:textId="51FAEA8D" w:rsidR="00FB5DDD" w:rsidRPr="000635BE" w:rsidRDefault="00FB5DDD" w:rsidP="000635BE">
    <w:pPr>
      <w:pStyle w:val="HeaderOdd"/>
      <w:rPr>
        <w:sz w:val="2"/>
        <w:szCs w:val="4"/>
      </w:rPr>
    </w:pPr>
  </w:p>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E71148" w14:paraId="212A3D2B" w14:textId="77777777">
      <w:trPr>
        <w:trHeight w:hRule="exact" w:val="340"/>
      </w:trPr>
      <w:tc>
        <w:tcPr>
          <w:tcW w:w="7797" w:type="dxa"/>
          <w:tcMar>
            <w:left w:w="108" w:type="dxa"/>
            <w:right w:w="108" w:type="dxa"/>
          </w:tcMar>
        </w:tcPr>
        <w:p w14:paraId="09D73C20" w14:textId="172DA2BC" w:rsidR="00E71148" w:rsidRPr="00D13BF9" w:rsidRDefault="00975B45" w:rsidP="00D13BF9">
          <w:pPr>
            <w:pStyle w:val="HeaderOdd"/>
          </w:pPr>
          <w:r>
            <w:fldChar w:fldCharType="begin"/>
          </w:r>
          <w:r>
            <w:instrText xml:space="preserve"> TITLE   \* MERGEFORMAT </w:instrText>
          </w:r>
          <w:r>
            <w:fldChar w:fldCharType="separate"/>
          </w:r>
          <w:r w:rsidR="00710D09">
            <w:t>Budget Paper No. 3</w:t>
          </w:r>
          <w:r>
            <w:fldChar w:fldCharType="end"/>
          </w:r>
          <w:r w:rsidR="00E71148" w:rsidRPr="00D13BF9">
            <w:t xml:space="preserve">  |  </w:t>
          </w:r>
          <w:r w:rsidR="00E71148" w:rsidRPr="00C9389A">
            <w:rPr>
              <w:noProof/>
              <w:position w:val="-8"/>
            </w:rPr>
            <w:drawing>
              <wp:inline distT="0" distB="0" distL="0" distR="0" wp14:anchorId="6C794E2B" wp14:editId="33F0C1FE">
                <wp:extent cx="878400" cy="198000"/>
                <wp:effectExtent l="0" t="0" r="0" b="0"/>
                <wp:docPr id="71" name="Pictur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8400" cy="198000"/>
                        </a:xfrm>
                        <a:prstGeom prst="rect">
                          <a:avLst/>
                        </a:prstGeom>
                      </pic:spPr>
                    </pic:pic>
                  </a:graphicData>
                </a:graphic>
              </wp:inline>
            </w:drawing>
          </w:r>
        </w:p>
      </w:tc>
    </w:tr>
  </w:tbl>
  <w:p w14:paraId="4F811A5E" w14:textId="77777777" w:rsidR="00FB5DDD" w:rsidRPr="00AA5439" w:rsidRDefault="00FB5DDD" w:rsidP="00AA5439">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8C8DB" w14:textId="77777777" w:rsidR="00FB5DDD" w:rsidRPr="005B2F30" w:rsidRDefault="00FB5DDD">
    <w:pPr>
      <w:pStyle w:val="Header"/>
      <w:rPr>
        <w:sz w:val="2"/>
        <w:szCs w:val="2"/>
      </w:rPr>
    </w:pPr>
    <w:r w:rsidRPr="00692105">
      <w:rPr>
        <w:noProof/>
        <w:sz w:val="32"/>
        <w:szCs w:val="32"/>
      </w:rPr>
      <mc:AlternateContent>
        <mc:Choice Requires="wps">
          <w:drawing>
            <wp:anchor distT="0" distB="0" distL="114300" distR="114300" simplePos="0" relativeHeight="251658240" behindDoc="0" locked="0" layoutInCell="1" allowOverlap="1" wp14:anchorId="35C2ECCD" wp14:editId="12035163">
              <wp:simplePos x="0" y="0"/>
              <wp:positionH relativeFrom="column">
                <wp:posOffset>7560945</wp:posOffset>
              </wp:positionH>
              <wp:positionV relativeFrom="margin">
                <wp:align>bottom</wp:align>
              </wp:positionV>
              <wp:extent cx="399600" cy="4896000"/>
              <wp:effectExtent l="0" t="0" r="635" b="0"/>
              <wp:wrapNone/>
              <wp:docPr id="70" name="Text Box 70"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00" cy="489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5634A" w14:textId="5B6D0ACD" w:rsidR="00FB5DDD" w:rsidRPr="00137C7E" w:rsidRDefault="00975B45" w:rsidP="001D33D6">
                          <w:pPr>
                            <w:pStyle w:val="HeaderOdd"/>
                          </w:pPr>
                          <w:r>
                            <w:fldChar w:fldCharType="begin"/>
                          </w:r>
                          <w:r>
                            <w:instrText xml:space="preserve"> TITLE   \* MERGEFORMAT </w:instrText>
                          </w:r>
                          <w:r>
                            <w:fldChar w:fldCharType="separate"/>
                          </w:r>
                          <w:r w:rsidR="00710D09">
                            <w:t>Budget Paper No. 3</w:t>
                          </w:r>
                          <w:r>
                            <w:fldChar w:fldCharType="end"/>
                          </w:r>
                          <w:r w:rsidR="00FB5DDD">
                            <w:t xml:space="preserve">  |  </w:t>
                          </w:r>
                          <w:r w:rsidR="00FB5DDD" w:rsidRPr="000635BE">
                            <w:rPr>
                              <w:rFonts w:ascii="Arial Bold" w:hAnsi="Arial Bold"/>
                              <w:b/>
                              <w:bCs/>
                              <w:noProof/>
                              <w:position w:val="-10"/>
                            </w:rPr>
                            <w:drawing>
                              <wp:inline distT="0" distB="0" distL="0" distR="0" wp14:anchorId="7A3905F5" wp14:editId="364EFB93">
                                <wp:extent cx="1000760" cy="228609"/>
                                <wp:effectExtent l="5080" t="0" r="0" b="0"/>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5400000">
                                          <a:off x="0" y="0"/>
                                          <a:ext cx="1000760" cy="228609"/>
                                        </a:xfrm>
                                        <a:prstGeom prst="rect">
                                          <a:avLst/>
                                        </a:prstGeom>
                                        <a:noFill/>
                                      </pic:spPr>
                                    </pic:pic>
                                  </a:graphicData>
                                </a:graphic>
                              </wp:inline>
                            </w:drawing>
                          </w:r>
                        </w:p>
                      </w:txbxContent>
                    </wps:txbx>
                    <wps:bodyPr rot="0" vert="vert" wrap="square" lIns="0" tIns="0" rIns="0" bIns="720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5C2ECCD" id="_x0000_t202" coordsize="21600,21600" o:spt="202" path="m,l,21600r21600,l21600,xe">
              <v:stroke joinstyle="miter"/>
              <v:path gradientshapeok="t" o:connecttype="rect"/>
            </v:shapetype>
            <v:shape id="Text Box 70" o:spid="_x0000_s1026" type="#_x0000_t202" alt="Landscape Odd Header" style="position:absolute;margin-left:595.35pt;margin-top:0;width:31.45pt;height:385.5pt;z-index:25165824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" stroked="f">
              <v:textbox style="layout-flow:vertical" inset="0,0,0,.2mm">
                <w:txbxContent>
                  <w:p w14:paraId="6B85634A" w14:textId="5B6D0ACD" w:rsidR="00FB5DDD" w:rsidRPr="00137C7E" w:rsidRDefault="00000000" w:rsidP="001D33D6">
                    <w:pPr>
                      <w:pStyle w:val="HeaderOdd"/>
                    </w:pPr>
                    <w:fldSimple w:instr=" TITLE   \* MERGEFORMAT ">
                      <w:r w:rsidR="00710D09">
                        <w:t>Budget Paper No. 3</w:t>
                      </w:r>
                    </w:fldSimple>
                    <w:r w:rsidR="00FB5DDD">
                      <w:t xml:space="preserve">  |  </w:t>
                    </w:r>
                    <w:r w:rsidR="00FB5DDD" w:rsidRPr="000635BE">
                      <w:rPr>
                        <w:rFonts w:ascii="Arial Bold" w:hAnsi="Arial Bold"/>
                        <w:b/>
                        <w:bCs/>
                        <w:noProof/>
                        <w:position w:val="-10"/>
                      </w:rPr>
                      <w:drawing>
                        <wp:inline distT="0" distB="0" distL="0" distR="0" wp14:anchorId="7A3905F5" wp14:editId="364EFB93">
                          <wp:extent cx="1000760" cy="228609"/>
                          <wp:effectExtent l="5080" t="0" r="0" b="0"/>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rot="5400000">
                                    <a:off x="0" y="0"/>
                                    <a:ext cx="1000760" cy="228609"/>
                                  </a:xfrm>
                                  <a:prstGeom prst="rect">
                                    <a:avLst/>
                                  </a:prstGeom>
                                  <a:noFill/>
                                </pic:spPr>
                              </pic:pic>
                            </a:graphicData>
                          </a:graphic>
                        </wp:inline>
                      </w:drawing>
                    </w:r>
                  </w:p>
                </w:txbxContent>
              </v:textbox>
              <w10:wrap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670A9"/>
    <w:multiLevelType w:val="multilevel"/>
    <w:tmpl w:val="DFEAA002"/>
    <w:name w:val="StandardNumberedList"/>
    <w:lvl w:ilvl="0">
      <w:start w:val="1"/>
      <w:numFmt w:val="decimal"/>
      <w:pStyle w:val="OutlineNumbered1"/>
      <w:lvlText w:val="%1."/>
      <w:lvlJc w:val="left"/>
      <w:pPr>
        <w:tabs>
          <w:tab w:val="num" w:pos="449"/>
        </w:tabs>
        <w:ind w:left="449" w:hanging="449"/>
      </w:pPr>
    </w:lvl>
    <w:lvl w:ilvl="1">
      <w:start w:val="1"/>
      <w:numFmt w:val="decimal"/>
      <w:pStyle w:val="OutlineNumbered2"/>
      <w:lvlText w:val="%1.%2."/>
      <w:lvlJc w:val="left"/>
      <w:pPr>
        <w:tabs>
          <w:tab w:val="num" w:pos="898"/>
        </w:tabs>
        <w:ind w:left="898" w:hanging="449"/>
      </w:pPr>
    </w:lvl>
    <w:lvl w:ilvl="2">
      <w:start w:val="1"/>
      <w:numFmt w:val="decimal"/>
      <w:pStyle w:val="OutlineNumbered3"/>
      <w:lvlText w:val="%1.%2.%3."/>
      <w:lvlJc w:val="left"/>
      <w:pPr>
        <w:tabs>
          <w:tab w:val="num" w:pos="1347"/>
        </w:tabs>
        <w:ind w:left="1347" w:hanging="449"/>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3"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2B6443A9"/>
    <w:multiLevelType w:val="singleLevel"/>
    <w:tmpl w:val="C64E315A"/>
    <w:lvl w:ilvl="0">
      <w:start w:val="1"/>
      <w:numFmt w:val="lowerLetter"/>
      <w:lvlText w:val="%1)"/>
      <w:lvlJc w:val="left"/>
      <w:pPr>
        <w:ind w:left="360" w:hanging="360"/>
      </w:pPr>
      <w:rPr>
        <w:b w:val="0"/>
        <w:i w:val="0"/>
        <w:color w:val="000000"/>
        <w:sz w:val="16"/>
      </w:rPr>
    </w:lvl>
  </w:abstractNum>
  <w:abstractNum w:abstractNumId="15" w15:restartNumberingAfterBreak="0">
    <w:nsid w:val="3B2E19AC"/>
    <w:multiLevelType w:val="singleLevel"/>
    <w:tmpl w:val="C64E315A"/>
    <w:lvl w:ilvl="0">
      <w:start w:val="1"/>
      <w:numFmt w:val="lowerLetter"/>
      <w:lvlText w:val="%1)"/>
      <w:lvlJc w:val="left"/>
      <w:pPr>
        <w:ind w:left="360" w:hanging="360"/>
      </w:pPr>
      <w:rPr>
        <w:b w:val="0"/>
        <w:i w:val="0"/>
        <w:color w:val="000000"/>
        <w:sz w:val="16"/>
      </w:rPr>
    </w:lvl>
  </w:abstractNum>
  <w:abstractNum w:abstractNumId="16"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7" w15:restartNumberingAfterBreak="0">
    <w:nsid w:val="482B4F7F"/>
    <w:multiLevelType w:val="multilevel"/>
    <w:tmpl w:val="59F4600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8" w15:restartNumberingAfterBreak="0">
    <w:nsid w:val="57564795"/>
    <w:multiLevelType w:val="hybridMultilevel"/>
    <w:tmpl w:val="6EEA8FEA"/>
    <w:lvl w:ilvl="0" w:tplc="6D5E3562">
      <w:start w:val="225"/>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num w:numId="1">
    <w:abstractNumId w:val="16"/>
  </w:num>
  <w:num w:numId="2">
    <w:abstractNumId w:val="12"/>
  </w:num>
  <w:num w:numId="3">
    <w:abstractNumId w:val="11"/>
  </w:num>
  <w:num w:numId="4">
    <w:abstractNumId w:val="13"/>
  </w:num>
  <w:num w:numId="5">
    <w:abstractNumId w:val="19"/>
  </w:num>
  <w:num w:numId="6">
    <w:abstractNumId w:val="11"/>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5"/>
    <w:lvlOverride w:ilvl="0">
      <w:startOverride w:val="1"/>
    </w:lvlOverride>
  </w:num>
  <w:num w:numId="24">
    <w:abstractNumId w:val="14"/>
  </w:num>
  <w:num w:numId="25">
    <w:abstractNumId w:val="18"/>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SortMethod w:val="0000"/>
  <w:documentProtection w:edit="comments"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False"/>
  </w:docVars>
  <w:rsids>
    <w:rsidRoot w:val="00D555FF"/>
    <w:rsid w:val="000004EA"/>
    <w:rsid w:val="00001A91"/>
    <w:rsid w:val="00002B71"/>
    <w:rsid w:val="000039EC"/>
    <w:rsid w:val="00006057"/>
    <w:rsid w:val="00006653"/>
    <w:rsid w:val="00011DBB"/>
    <w:rsid w:val="00013EA8"/>
    <w:rsid w:val="00014CAA"/>
    <w:rsid w:val="00020C63"/>
    <w:rsid w:val="00024BA4"/>
    <w:rsid w:val="00026C7E"/>
    <w:rsid w:val="00027598"/>
    <w:rsid w:val="0003588C"/>
    <w:rsid w:val="00035D8D"/>
    <w:rsid w:val="00035F8E"/>
    <w:rsid w:val="000366ED"/>
    <w:rsid w:val="00037003"/>
    <w:rsid w:val="0004092B"/>
    <w:rsid w:val="0004721F"/>
    <w:rsid w:val="00047C39"/>
    <w:rsid w:val="000529A5"/>
    <w:rsid w:val="00053365"/>
    <w:rsid w:val="000539D2"/>
    <w:rsid w:val="000546EB"/>
    <w:rsid w:val="00055F20"/>
    <w:rsid w:val="000622DA"/>
    <w:rsid w:val="000635BE"/>
    <w:rsid w:val="00066862"/>
    <w:rsid w:val="000671D9"/>
    <w:rsid w:val="000676C7"/>
    <w:rsid w:val="00067F72"/>
    <w:rsid w:val="00074063"/>
    <w:rsid w:val="0007660F"/>
    <w:rsid w:val="00077971"/>
    <w:rsid w:val="00082C2E"/>
    <w:rsid w:val="0008399A"/>
    <w:rsid w:val="0008597F"/>
    <w:rsid w:val="00091C4E"/>
    <w:rsid w:val="00091DBA"/>
    <w:rsid w:val="000924EB"/>
    <w:rsid w:val="00092BC6"/>
    <w:rsid w:val="00096E9C"/>
    <w:rsid w:val="000975E8"/>
    <w:rsid w:val="000976A3"/>
    <w:rsid w:val="000A114B"/>
    <w:rsid w:val="000A4A85"/>
    <w:rsid w:val="000A6EBF"/>
    <w:rsid w:val="000B38A8"/>
    <w:rsid w:val="000B38FD"/>
    <w:rsid w:val="000B655F"/>
    <w:rsid w:val="000C0201"/>
    <w:rsid w:val="000C47AF"/>
    <w:rsid w:val="000C4A04"/>
    <w:rsid w:val="000C6197"/>
    <w:rsid w:val="000C7096"/>
    <w:rsid w:val="000C7C36"/>
    <w:rsid w:val="000C7D13"/>
    <w:rsid w:val="000D78F4"/>
    <w:rsid w:val="000D79AA"/>
    <w:rsid w:val="000E105B"/>
    <w:rsid w:val="000E149B"/>
    <w:rsid w:val="000E1C39"/>
    <w:rsid w:val="000E46A3"/>
    <w:rsid w:val="000E5302"/>
    <w:rsid w:val="000E5B2F"/>
    <w:rsid w:val="000E6805"/>
    <w:rsid w:val="000E7EDA"/>
    <w:rsid w:val="000F4E54"/>
    <w:rsid w:val="000F62BD"/>
    <w:rsid w:val="0010102D"/>
    <w:rsid w:val="001013FA"/>
    <w:rsid w:val="00102321"/>
    <w:rsid w:val="00103F65"/>
    <w:rsid w:val="0011175D"/>
    <w:rsid w:val="0011356D"/>
    <w:rsid w:val="001140DA"/>
    <w:rsid w:val="001162DD"/>
    <w:rsid w:val="0011634A"/>
    <w:rsid w:val="00116F9E"/>
    <w:rsid w:val="00120264"/>
    <w:rsid w:val="0012126F"/>
    <w:rsid w:val="001277B8"/>
    <w:rsid w:val="00131EE1"/>
    <w:rsid w:val="00136F6B"/>
    <w:rsid w:val="00144EDA"/>
    <w:rsid w:val="001461B4"/>
    <w:rsid w:val="00146BF1"/>
    <w:rsid w:val="001472CA"/>
    <w:rsid w:val="0015162B"/>
    <w:rsid w:val="001529D3"/>
    <w:rsid w:val="0015379C"/>
    <w:rsid w:val="00160928"/>
    <w:rsid w:val="0016287D"/>
    <w:rsid w:val="001637C3"/>
    <w:rsid w:val="0016609C"/>
    <w:rsid w:val="00172CFE"/>
    <w:rsid w:val="001730C9"/>
    <w:rsid w:val="00173DEA"/>
    <w:rsid w:val="00173EEC"/>
    <w:rsid w:val="00175ED9"/>
    <w:rsid w:val="00177086"/>
    <w:rsid w:val="00185884"/>
    <w:rsid w:val="00186A87"/>
    <w:rsid w:val="00186D95"/>
    <w:rsid w:val="0019115B"/>
    <w:rsid w:val="00196D78"/>
    <w:rsid w:val="001970E6"/>
    <w:rsid w:val="001A3E5E"/>
    <w:rsid w:val="001A4946"/>
    <w:rsid w:val="001A5A92"/>
    <w:rsid w:val="001A7712"/>
    <w:rsid w:val="001B406C"/>
    <w:rsid w:val="001B626D"/>
    <w:rsid w:val="001C29BA"/>
    <w:rsid w:val="001C2C4B"/>
    <w:rsid w:val="001C3E6D"/>
    <w:rsid w:val="001C56BB"/>
    <w:rsid w:val="001C5B43"/>
    <w:rsid w:val="001C5E21"/>
    <w:rsid w:val="001D0932"/>
    <w:rsid w:val="001D20C0"/>
    <w:rsid w:val="001D2222"/>
    <w:rsid w:val="001D24E9"/>
    <w:rsid w:val="001D33D6"/>
    <w:rsid w:val="001D6429"/>
    <w:rsid w:val="001D642B"/>
    <w:rsid w:val="001D6516"/>
    <w:rsid w:val="001D7C2A"/>
    <w:rsid w:val="001E067E"/>
    <w:rsid w:val="001E0AAF"/>
    <w:rsid w:val="001E37C0"/>
    <w:rsid w:val="001E4BBB"/>
    <w:rsid w:val="001E6034"/>
    <w:rsid w:val="001E6EC2"/>
    <w:rsid w:val="001E6FD3"/>
    <w:rsid w:val="001F08E1"/>
    <w:rsid w:val="001F3667"/>
    <w:rsid w:val="001F59D8"/>
    <w:rsid w:val="001F68F6"/>
    <w:rsid w:val="00206334"/>
    <w:rsid w:val="00206A05"/>
    <w:rsid w:val="002071F6"/>
    <w:rsid w:val="0021266F"/>
    <w:rsid w:val="00213159"/>
    <w:rsid w:val="00220C89"/>
    <w:rsid w:val="00223503"/>
    <w:rsid w:val="00225418"/>
    <w:rsid w:val="00232A2D"/>
    <w:rsid w:val="00233514"/>
    <w:rsid w:val="00237795"/>
    <w:rsid w:val="00237F04"/>
    <w:rsid w:val="002403FF"/>
    <w:rsid w:val="0024054F"/>
    <w:rsid w:val="00240BFC"/>
    <w:rsid w:val="0024117B"/>
    <w:rsid w:val="00242462"/>
    <w:rsid w:val="00242479"/>
    <w:rsid w:val="00242DFF"/>
    <w:rsid w:val="0024521A"/>
    <w:rsid w:val="002452C2"/>
    <w:rsid w:val="00245515"/>
    <w:rsid w:val="00250208"/>
    <w:rsid w:val="00252D3F"/>
    <w:rsid w:val="00261696"/>
    <w:rsid w:val="00261C85"/>
    <w:rsid w:val="00263D85"/>
    <w:rsid w:val="002642D8"/>
    <w:rsid w:val="00267200"/>
    <w:rsid w:val="00271393"/>
    <w:rsid w:val="00281716"/>
    <w:rsid w:val="00282405"/>
    <w:rsid w:val="0028264D"/>
    <w:rsid w:val="00291677"/>
    <w:rsid w:val="00292730"/>
    <w:rsid w:val="0029462F"/>
    <w:rsid w:val="00294784"/>
    <w:rsid w:val="0029593E"/>
    <w:rsid w:val="002A10D3"/>
    <w:rsid w:val="002A19D4"/>
    <w:rsid w:val="002A1E72"/>
    <w:rsid w:val="002A21ED"/>
    <w:rsid w:val="002A29F3"/>
    <w:rsid w:val="002A37D5"/>
    <w:rsid w:val="002A6A16"/>
    <w:rsid w:val="002B1689"/>
    <w:rsid w:val="002B458A"/>
    <w:rsid w:val="002B5F5D"/>
    <w:rsid w:val="002B6106"/>
    <w:rsid w:val="002B64CE"/>
    <w:rsid w:val="002B7B30"/>
    <w:rsid w:val="002C0B98"/>
    <w:rsid w:val="002C1C60"/>
    <w:rsid w:val="002C2097"/>
    <w:rsid w:val="002C3DEB"/>
    <w:rsid w:val="002C596C"/>
    <w:rsid w:val="002C5CDC"/>
    <w:rsid w:val="002C625D"/>
    <w:rsid w:val="002C6A3D"/>
    <w:rsid w:val="002D029C"/>
    <w:rsid w:val="002D0437"/>
    <w:rsid w:val="002D2429"/>
    <w:rsid w:val="002D4486"/>
    <w:rsid w:val="002D789E"/>
    <w:rsid w:val="002D7ABB"/>
    <w:rsid w:val="002E1E20"/>
    <w:rsid w:val="002E5F64"/>
    <w:rsid w:val="002E6343"/>
    <w:rsid w:val="002E638A"/>
    <w:rsid w:val="002E7B71"/>
    <w:rsid w:val="002F3A77"/>
    <w:rsid w:val="002F40F3"/>
    <w:rsid w:val="002F6DE6"/>
    <w:rsid w:val="00301013"/>
    <w:rsid w:val="00303134"/>
    <w:rsid w:val="00305105"/>
    <w:rsid w:val="0031198F"/>
    <w:rsid w:val="00312B71"/>
    <w:rsid w:val="00313855"/>
    <w:rsid w:val="00315B41"/>
    <w:rsid w:val="003209D4"/>
    <w:rsid w:val="00323B0D"/>
    <w:rsid w:val="00327336"/>
    <w:rsid w:val="003303B0"/>
    <w:rsid w:val="00330A40"/>
    <w:rsid w:val="003328E5"/>
    <w:rsid w:val="003374B2"/>
    <w:rsid w:val="003374DF"/>
    <w:rsid w:val="003406DE"/>
    <w:rsid w:val="003421CD"/>
    <w:rsid w:val="00343531"/>
    <w:rsid w:val="003451F5"/>
    <w:rsid w:val="00347866"/>
    <w:rsid w:val="003478ED"/>
    <w:rsid w:val="003506C0"/>
    <w:rsid w:val="00350D0D"/>
    <w:rsid w:val="0035126F"/>
    <w:rsid w:val="003528CA"/>
    <w:rsid w:val="00352AB6"/>
    <w:rsid w:val="00353145"/>
    <w:rsid w:val="0035543B"/>
    <w:rsid w:val="00356045"/>
    <w:rsid w:val="00356CD3"/>
    <w:rsid w:val="00360947"/>
    <w:rsid w:val="00362714"/>
    <w:rsid w:val="00363F3D"/>
    <w:rsid w:val="00374564"/>
    <w:rsid w:val="003748C0"/>
    <w:rsid w:val="00376330"/>
    <w:rsid w:val="00376594"/>
    <w:rsid w:val="00377927"/>
    <w:rsid w:val="00381A59"/>
    <w:rsid w:val="00381A8A"/>
    <w:rsid w:val="00381D29"/>
    <w:rsid w:val="00382E3D"/>
    <w:rsid w:val="00385876"/>
    <w:rsid w:val="00387172"/>
    <w:rsid w:val="00387483"/>
    <w:rsid w:val="00391DEB"/>
    <w:rsid w:val="0039248C"/>
    <w:rsid w:val="00394BE6"/>
    <w:rsid w:val="00395618"/>
    <w:rsid w:val="003956FD"/>
    <w:rsid w:val="00395905"/>
    <w:rsid w:val="003A3780"/>
    <w:rsid w:val="003A3AC2"/>
    <w:rsid w:val="003A4799"/>
    <w:rsid w:val="003A5103"/>
    <w:rsid w:val="003A5CD4"/>
    <w:rsid w:val="003B0017"/>
    <w:rsid w:val="003B192D"/>
    <w:rsid w:val="003B3670"/>
    <w:rsid w:val="003B56CC"/>
    <w:rsid w:val="003B62D7"/>
    <w:rsid w:val="003B7775"/>
    <w:rsid w:val="003C1580"/>
    <w:rsid w:val="003C1CA4"/>
    <w:rsid w:val="003C1DB5"/>
    <w:rsid w:val="003C2478"/>
    <w:rsid w:val="003C3E01"/>
    <w:rsid w:val="003C6321"/>
    <w:rsid w:val="003D690E"/>
    <w:rsid w:val="003E0B1D"/>
    <w:rsid w:val="003E26C8"/>
    <w:rsid w:val="003E5A2A"/>
    <w:rsid w:val="003F27AD"/>
    <w:rsid w:val="003F42F4"/>
    <w:rsid w:val="003F4464"/>
    <w:rsid w:val="003F6AA3"/>
    <w:rsid w:val="004003B9"/>
    <w:rsid w:val="00401F06"/>
    <w:rsid w:val="00402C04"/>
    <w:rsid w:val="00403E93"/>
    <w:rsid w:val="00404061"/>
    <w:rsid w:val="00404E78"/>
    <w:rsid w:val="00405FA4"/>
    <w:rsid w:val="004069EF"/>
    <w:rsid w:val="00410AC2"/>
    <w:rsid w:val="00414D61"/>
    <w:rsid w:val="0042014E"/>
    <w:rsid w:val="004221F2"/>
    <w:rsid w:val="004233DE"/>
    <w:rsid w:val="0042678B"/>
    <w:rsid w:val="004340A1"/>
    <w:rsid w:val="004364B0"/>
    <w:rsid w:val="00440BE0"/>
    <w:rsid w:val="00440DCB"/>
    <w:rsid w:val="004411D6"/>
    <w:rsid w:val="004472A7"/>
    <w:rsid w:val="00447B71"/>
    <w:rsid w:val="00447E2C"/>
    <w:rsid w:val="00455E49"/>
    <w:rsid w:val="00462C9B"/>
    <w:rsid w:val="0046391C"/>
    <w:rsid w:val="004653FB"/>
    <w:rsid w:val="00466DEB"/>
    <w:rsid w:val="00467292"/>
    <w:rsid w:val="0047000A"/>
    <w:rsid w:val="004708D6"/>
    <w:rsid w:val="00480F4A"/>
    <w:rsid w:val="0048563A"/>
    <w:rsid w:val="00485763"/>
    <w:rsid w:val="00493BF5"/>
    <w:rsid w:val="00495789"/>
    <w:rsid w:val="00496167"/>
    <w:rsid w:val="00496F92"/>
    <w:rsid w:val="004A00F9"/>
    <w:rsid w:val="004A7879"/>
    <w:rsid w:val="004B1383"/>
    <w:rsid w:val="004B17C3"/>
    <w:rsid w:val="004B297C"/>
    <w:rsid w:val="004B38DF"/>
    <w:rsid w:val="004B46CC"/>
    <w:rsid w:val="004C1C71"/>
    <w:rsid w:val="004C2896"/>
    <w:rsid w:val="004C3F27"/>
    <w:rsid w:val="004C70B5"/>
    <w:rsid w:val="004C7A14"/>
    <w:rsid w:val="004C7F3F"/>
    <w:rsid w:val="004D6786"/>
    <w:rsid w:val="004D681E"/>
    <w:rsid w:val="004D755E"/>
    <w:rsid w:val="004E506B"/>
    <w:rsid w:val="004E568F"/>
    <w:rsid w:val="004E6EF7"/>
    <w:rsid w:val="004F001A"/>
    <w:rsid w:val="004F3FD9"/>
    <w:rsid w:val="004F423E"/>
    <w:rsid w:val="004F42D9"/>
    <w:rsid w:val="004F46BA"/>
    <w:rsid w:val="004F60DD"/>
    <w:rsid w:val="00500F46"/>
    <w:rsid w:val="00504436"/>
    <w:rsid w:val="00510FA3"/>
    <w:rsid w:val="00511213"/>
    <w:rsid w:val="00511E12"/>
    <w:rsid w:val="00513558"/>
    <w:rsid w:val="00513FCE"/>
    <w:rsid w:val="00514CFC"/>
    <w:rsid w:val="005151D9"/>
    <w:rsid w:val="00515457"/>
    <w:rsid w:val="00516953"/>
    <w:rsid w:val="00520531"/>
    <w:rsid w:val="00521DB1"/>
    <w:rsid w:val="005222F3"/>
    <w:rsid w:val="00522CDF"/>
    <w:rsid w:val="005264D8"/>
    <w:rsid w:val="00526659"/>
    <w:rsid w:val="00526818"/>
    <w:rsid w:val="00531809"/>
    <w:rsid w:val="0053209C"/>
    <w:rsid w:val="00532259"/>
    <w:rsid w:val="00533013"/>
    <w:rsid w:val="005373B3"/>
    <w:rsid w:val="0054018E"/>
    <w:rsid w:val="005417E3"/>
    <w:rsid w:val="00541E6C"/>
    <w:rsid w:val="00541FC0"/>
    <w:rsid w:val="0054236B"/>
    <w:rsid w:val="00542A8A"/>
    <w:rsid w:val="00543CCD"/>
    <w:rsid w:val="00546DCD"/>
    <w:rsid w:val="00546FDD"/>
    <w:rsid w:val="005476BD"/>
    <w:rsid w:val="00550B79"/>
    <w:rsid w:val="00551E91"/>
    <w:rsid w:val="00554372"/>
    <w:rsid w:val="005548EC"/>
    <w:rsid w:val="005555F7"/>
    <w:rsid w:val="005561A0"/>
    <w:rsid w:val="005567D5"/>
    <w:rsid w:val="005577B2"/>
    <w:rsid w:val="005642C7"/>
    <w:rsid w:val="0057090C"/>
    <w:rsid w:val="0057695D"/>
    <w:rsid w:val="0057706F"/>
    <w:rsid w:val="0057720C"/>
    <w:rsid w:val="00580067"/>
    <w:rsid w:val="00580792"/>
    <w:rsid w:val="00584C4D"/>
    <w:rsid w:val="00593A21"/>
    <w:rsid w:val="00594F6E"/>
    <w:rsid w:val="0059541A"/>
    <w:rsid w:val="00595731"/>
    <w:rsid w:val="00595B5F"/>
    <w:rsid w:val="005961D3"/>
    <w:rsid w:val="00596DD3"/>
    <w:rsid w:val="00596ED8"/>
    <w:rsid w:val="005A0416"/>
    <w:rsid w:val="005A0AED"/>
    <w:rsid w:val="005A43A4"/>
    <w:rsid w:val="005A60AE"/>
    <w:rsid w:val="005A6F5F"/>
    <w:rsid w:val="005B02EF"/>
    <w:rsid w:val="005B2F30"/>
    <w:rsid w:val="005B3010"/>
    <w:rsid w:val="005B6534"/>
    <w:rsid w:val="005B7E8F"/>
    <w:rsid w:val="005C2FAF"/>
    <w:rsid w:val="005C63BA"/>
    <w:rsid w:val="005D23CB"/>
    <w:rsid w:val="005D6A77"/>
    <w:rsid w:val="005D6ADA"/>
    <w:rsid w:val="005D78DD"/>
    <w:rsid w:val="005E34A6"/>
    <w:rsid w:val="005E408C"/>
    <w:rsid w:val="005E4F85"/>
    <w:rsid w:val="005E552B"/>
    <w:rsid w:val="005E62CA"/>
    <w:rsid w:val="005E792C"/>
    <w:rsid w:val="005F08DC"/>
    <w:rsid w:val="005F0948"/>
    <w:rsid w:val="005F0C6F"/>
    <w:rsid w:val="006015DB"/>
    <w:rsid w:val="00602BA8"/>
    <w:rsid w:val="0060305C"/>
    <w:rsid w:val="00603D0D"/>
    <w:rsid w:val="006048FD"/>
    <w:rsid w:val="006074F5"/>
    <w:rsid w:val="0061027B"/>
    <w:rsid w:val="00610619"/>
    <w:rsid w:val="00612BAC"/>
    <w:rsid w:val="00613752"/>
    <w:rsid w:val="00614554"/>
    <w:rsid w:val="00614FC4"/>
    <w:rsid w:val="0061573C"/>
    <w:rsid w:val="00622CDB"/>
    <w:rsid w:val="0062400A"/>
    <w:rsid w:val="006265F3"/>
    <w:rsid w:val="0063092E"/>
    <w:rsid w:val="00630E47"/>
    <w:rsid w:val="0063255D"/>
    <w:rsid w:val="00633E25"/>
    <w:rsid w:val="00634D5B"/>
    <w:rsid w:val="006359C4"/>
    <w:rsid w:val="00637C34"/>
    <w:rsid w:val="0064054B"/>
    <w:rsid w:val="00640867"/>
    <w:rsid w:val="00640966"/>
    <w:rsid w:val="00643455"/>
    <w:rsid w:val="0064433C"/>
    <w:rsid w:val="00645028"/>
    <w:rsid w:val="006505F9"/>
    <w:rsid w:val="00652C3D"/>
    <w:rsid w:val="00653D2B"/>
    <w:rsid w:val="006568AA"/>
    <w:rsid w:val="006613FC"/>
    <w:rsid w:val="00662EB5"/>
    <w:rsid w:val="00664F1B"/>
    <w:rsid w:val="00666E7C"/>
    <w:rsid w:val="00672A15"/>
    <w:rsid w:val="00673A17"/>
    <w:rsid w:val="00677EBB"/>
    <w:rsid w:val="00680768"/>
    <w:rsid w:val="00682D05"/>
    <w:rsid w:val="00682D9E"/>
    <w:rsid w:val="00683B01"/>
    <w:rsid w:val="0068670C"/>
    <w:rsid w:val="0068675E"/>
    <w:rsid w:val="00691A2B"/>
    <w:rsid w:val="00692105"/>
    <w:rsid w:val="006928C1"/>
    <w:rsid w:val="00692BED"/>
    <w:rsid w:val="006A314B"/>
    <w:rsid w:val="006A4041"/>
    <w:rsid w:val="006A5899"/>
    <w:rsid w:val="006A78FA"/>
    <w:rsid w:val="006B0733"/>
    <w:rsid w:val="006B1861"/>
    <w:rsid w:val="006B1FD0"/>
    <w:rsid w:val="006B3885"/>
    <w:rsid w:val="006C0BFA"/>
    <w:rsid w:val="006C1494"/>
    <w:rsid w:val="006C1B45"/>
    <w:rsid w:val="006C2464"/>
    <w:rsid w:val="006C3E1F"/>
    <w:rsid w:val="006C4809"/>
    <w:rsid w:val="006C4A90"/>
    <w:rsid w:val="006C585D"/>
    <w:rsid w:val="006C59CC"/>
    <w:rsid w:val="006C77B3"/>
    <w:rsid w:val="006D0E12"/>
    <w:rsid w:val="006D2A5B"/>
    <w:rsid w:val="006D4A4D"/>
    <w:rsid w:val="006D4DE0"/>
    <w:rsid w:val="006D52D1"/>
    <w:rsid w:val="006E49AA"/>
    <w:rsid w:val="006E7DB1"/>
    <w:rsid w:val="006E7F46"/>
    <w:rsid w:val="006F06BE"/>
    <w:rsid w:val="006F1B38"/>
    <w:rsid w:val="006F2641"/>
    <w:rsid w:val="006F52F9"/>
    <w:rsid w:val="007016F2"/>
    <w:rsid w:val="00702304"/>
    <w:rsid w:val="00702A7E"/>
    <w:rsid w:val="00704B1D"/>
    <w:rsid w:val="00705104"/>
    <w:rsid w:val="007055B5"/>
    <w:rsid w:val="00705DCF"/>
    <w:rsid w:val="00707B73"/>
    <w:rsid w:val="007102EB"/>
    <w:rsid w:val="00710D09"/>
    <w:rsid w:val="007144E0"/>
    <w:rsid w:val="00720C10"/>
    <w:rsid w:val="00721764"/>
    <w:rsid w:val="0072436E"/>
    <w:rsid w:val="0072449F"/>
    <w:rsid w:val="00731088"/>
    <w:rsid w:val="00733527"/>
    <w:rsid w:val="00736972"/>
    <w:rsid w:val="00741AC9"/>
    <w:rsid w:val="0074477F"/>
    <w:rsid w:val="0074527D"/>
    <w:rsid w:val="00746077"/>
    <w:rsid w:val="00746560"/>
    <w:rsid w:val="0074669C"/>
    <w:rsid w:val="00750B52"/>
    <w:rsid w:val="00751349"/>
    <w:rsid w:val="00752ED8"/>
    <w:rsid w:val="00754CF2"/>
    <w:rsid w:val="00754DF4"/>
    <w:rsid w:val="00755F34"/>
    <w:rsid w:val="007652FD"/>
    <w:rsid w:val="007654EC"/>
    <w:rsid w:val="00765D16"/>
    <w:rsid w:val="007703C7"/>
    <w:rsid w:val="00773E24"/>
    <w:rsid w:val="00774813"/>
    <w:rsid w:val="0077514B"/>
    <w:rsid w:val="00776236"/>
    <w:rsid w:val="007840BA"/>
    <w:rsid w:val="007861D4"/>
    <w:rsid w:val="00787DEE"/>
    <w:rsid w:val="007911C9"/>
    <w:rsid w:val="00791275"/>
    <w:rsid w:val="007913DD"/>
    <w:rsid w:val="00792F0C"/>
    <w:rsid w:val="0079345E"/>
    <w:rsid w:val="00796DE6"/>
    <w:rsid w:val="007A0B46"/>
    <w:rsid w:val="007A0B9E"/>
    <w:rsid w:val="007A70DB"/>
    <w:rsid w:val="007B0266"/>
    <w:rsid w:val="007B4CCB"/>
    <w:rsid w:val="007B6C90"/>
    <w:rsid w:val="007B6F20"/>
    <w:rsid w:val="007C2C36"/>
    <w:rsid w:val="007C3DDB"/>
    <w:rsid w:val="007C51AE"/>
    <w:rsid w:val="007D05E8"/>
    <w:rsid w:val="007D0753"/>
    <w:rsid w:val="007D3E3B"/>
    <w:rsid w:val="007D455E"/>
    <w:rsid w:val="007D5AEF"/>
    <w:rsid w:val="007D6D68"/>
    <w:rsid w:val="007D74F0"/>
    <w:rsid w:val="007E0E64"/>
    <w:rsid w:val="007E5AC0"/>
    <w:rsid w:val="007E672A"/>
    <w:rsid w:val="007F0AF7"/>
    <w:rsid w:val="007F0C9F"/>
    <w:rsid w:val="007F2B9A"/>
    <w:rsid w:val="00800D99"/>
    <w:rsid w:val="008026C2"/>
    <w:rsid w:val="00803241"/>
    <w:rsid w:val="008049ED"/>
    <w:rsid w:val="00804FBD"/>
    <w:rsid w:val="00806B34"/>
    <w:rsid w:val="00811642"/>
    <w:rsid w:val="00815C36"/>
    <w:rsid w:val="008202DB"/>
    <w:rsid w:val="008203FF"/>
    <w:rsid w:val="008229BE"/>
    <w:rsid w:val="00823D7A"/>
    <w:rsid w:val="0082460B"/>
    <w:rsid w:val="00824E07"/>
    <w:rsid w:val="008253FB"/>
    <w:rsid w:val="0082798A"/>
    <w:rsid w:val="00831410"/>
    <w:rsid w:val="00831E5C"/>
    <w:rsid w:val="00836E80"/>
    <w:rsid w:val="00837EC5"/>
    <w:rsid w:val="00841D56"/>
    <w:rsid w:val="00842953"/>
    <w:rsid w:val="00852CCC"/>
    <w:rsid w:val="008560D5"/>
    <w:rsid w:val="00856406"/>
    <w:rsid w:val="0085739B"/>
    <w:rsid w:val="00857C4B"/>
    <w:rsid w:val="00860353"/>
    <w:rsid w:val="00862364"/>
    <w:rsid w:val="008633FC"/>
    <w:rsid w:val="008663CF"/>
    <w:rsid w:val="0087473A"/>
    <w:rsid w:val="008751D5"/>
    <w:rsid w:val="00875407"/>
    <w:rsid w:val="008758B9"/>
    <w:rsid w:val="00877130"/>
    <w:rsid w:val="00881D59"/>
    <w:rsid w:val="00884BD5"/>
    <w:rsid w:val="00885620"/>
    <w:rsid w:val="00887B36"/>
    <w:rsid w:val="00887FDC"/>
    <w:rsid w:val="00892753"/>
    <w:rsid w:val="00892E9F"/>
    <w:rsid w:val="008952F6"/>
    <w:rsid w:val="008A4B92"/>
    <w:rsid w:val="008B5B40"/>
    <w:rsid w:val="008B7607"/>
    <w:rsid w:val="008C128B"/>
    <w:rsid w:val="008C2AAD"/>
    <w:rsid w:val="008C56E1"/>
    <w:rsid w:val="008C5CDB"/>
    <w:rsid w:val="008C71E1"/>
    <w:rsid w:val="008D0C17"/>
    <w:rsid w:val="008D32CF"/>
    <w:rsid w:val="008D3CA1"/>
    <w:rsid w:val="008D3EF8"/>
    <w:rsid w:val="008D45DE"/>
    <w:rsid w:val="008D509E"/>
    <w:rsid w:val="008D57FE"/>
    <w:rsid w:val="008D6625"/>
    <w:rsid w:val="008D6926"/>
    <w:rsid w:val="008D6C45"/>
    <w:rsid w:val="008D71E5"/>
    <w:rsid w:val="008E36D4"/>
    <w:rsid w:val="008E7225"/>
    <w:rsid w:val="008F0926"/>
    <w:rsid w:val="008F2C78"/>
    <w:rsid w:val="008F55F8"/>
    <w:rsid w:val="008F648C"/>
    <w:rsid w:val="008F6A66"/>
    <w:rsid w:val="00904844"/>
    <w:rsid w:val="00906DB9"/>
    <w:rsid w:val="00910B5D"/>
    <w:rsid w:val="00911E2D"/>
    <w:rsid w:val="00915AEF"/>
    <w:rsid w:val="00915F63"/>
    <w:rsid w:val="00922D94"/>
    <w:rsid w:val="00924E17"/>
    <w:rsid w:val="00925EF5"/>
    <w:rsid w:val="00931B6A"/>
    <w:rsid w:val="0093363A"/>
    <w:rsid w:val="009345C5"/>
    <w:rsid w:val="00934CE1"/>
    <w:rsid w:val="00935EA3"/>
    <w:rsid w:val="00941700"/>
    <w:rsid w:val="0094345F"/>
    <w:rsid w:val="009438B6"/>
    <w:rsid w:val="00943C8B"/>
    <w:rsid w:val="00945C29"/>
    <w:rsid w:val="00947549"/>
    <w:rsid w:val="0095269D"/>
    <w:rsid w:val="009526DA"/>
    <w:rsid w:val="00952F07"/>
    <w:rsid w:val="00953A43"/>
    <w:rsid w:val="00955038"/>
    <w:rsid w:val="00957C35"/>
    <w:rsid w:val="009606A2"/>
    <w:rsid w:val="009613EB"/>
    <w:rsid w:val="00962C1F"/>
    <w:rsid w:val="00964B09"/>
    <w:rsid w:val="009659B6"/>
    <w:rsid w:val="00971191"/>
    <w:rsid w:val="00973A5B"/>
    <w:rsid w:val="00975B45"/>
    <w:rsid w:val="00976C43"/>
    <w:rsid w:val="0097762B"/>
    <w:rsid w:val="009804F5"/>
    <w:rsid w:val="00980F61"/>
    <w:rsid w:val="00985DA1"/>
    <w:rsid w:val="0098629D"/>
    <w:rsid w:val="009901AD"/>
    <w:rsid w:val="00997029"/>
    <w:rsid w:val="009A0599"/>
    <w:rsid w:val="009A553C"/>
    <w:rsid w:val="009A7563"/>
    <w:rsid w:val="009A7DCC"/>
    <w:rsid w:val="009B1ADA"/>
    <w:rsid w:val="009B2377"/>
    <w:rsid w:val="009B275D"/>
    <w:rsid w:val="009B2CFA"/>
    <w:rsid w:val="009B2D1D"/>
    <w:rsid w:val="009B3040"/>
    <w:rsid w:val="009B4AEB"/>
    <w:rsid w:val="009B535D"/>
    <w:rsid w:val="009C0327"/>
    <w:rsid w:val="009C37E9"/>
    <w:rsid w:val="009C3A40"/>
    <w:rsid w:val="009C4905"/>
    <w:rsid w:val="009C5FAD"/>
    <w:rsid w:val="009C7247"/>
    <w:rsid w:val="009D44CF"/>
    <w:rsid w:val="009D47D3"/>
    <w:rsid w:val="009D5E8C"/>
    <w:rsid w:val="009D7662"/>
    <w:rsid w:val="009E766A"/>
    <w:rsid w:val="009F3897"/>
    <w:rsid w:val="009F4D67"/>
    <w:rsid w:val="009F5BF3"/>
    <w:rsid w:val="00A00DAB"/>
    <w:rsid w:val="00A02533"/>
    <w:rsid w:val="00A0255F"/>
    <w:rsid w:val="00A0273D"/>
    <w:rsid w:val="00A04475"/>
    <w:rsid w:val="00A10233"/>
    <w:rsid w:val="00A1193F"/>
    <w:rsid w:val="00A11F5D"/>
    <w:rsid w:val="00A16BA0"/>
    <w:rsid w:val="00A228C8"/>
    <w:rsid w:val="00A22F92"/>
    <w:rsid w:val="00A25CC0"/>
    <w:rsid w:val="00A26245"/>
    <w:rsid w:val="00A267BA"/>
    <w:rsid w:val="00A268AC"/>
    <w:rsid w:val="00A27919"/>
    <w:rsid w:val="00A30313"/>
    <w:rsid w:val="00A31BD9"/>
    <w:rsid w:val="00A34E3A"/>
    <w:rsid w:val="00A3685C"/>
    <w:rsid w:val="00A36880"/>
    <w:rsid w:val="00A440FE"/>
    <w:rsid w:val="00A456E4"/>
    <w:rsid w:val="00A46F40"/>
    <w:rsid w:val="00A50ED8"/>
    <w:rsid w:val="00A52AFA"/>
    <w:rsid w:val="00A5312B"/>
    <w:rsid w:val="00A53A27"/>
    <w:rsid w:val="00A54DF1"/>
    <w:rsid w:val="00A56A0F"/>
    <w:rsid w:val="00A5710F"/>
    <w:rsid w:val="00A6000B"/>
    <w:rsid w:val="00A646C8"/>
    <w:rsid w:val="00A71842"/>
    <w:rsid w:val="00A729B0"/>
    <w:rsid w:val="00A73EE4"/>
    <w:rsid w:val="00A77947"/>
    <w:rsid w:val="00A819BF"/>
    <w:rsid w:val="00A833C7"/>
    <w:rsid w:val="00A8408A"/>
    <w:rsid w:val="00A85845"/>
    <w:rsid w:val="00A87063"/>
    <w:rsid w:val="00A93391"/>
    <w:rsid w:val="00A95143"/>
    <w:rsid w:val="00AA0401"/>
    <w:rsid w:val="00AA37CB"/>
    <w:rsid w:val="00AA46B9"/>
    <w:rsid w:val="00AA4881"/>
    <w:rsid w:val="00AA5439"/>
    <w:rsid w:val="00AA71F1"/>
    <w:rsid w:val="00AB0FED"/>
    <w:rsid w:val="00AB280C"/>
    <w:rsid w:val="00AB45CF"/>
    <w:rsid w:val="00AB5E51"/>
    <w:rsid w:val="00AB61F0"/>
    <w:rsid w:val="00AB63E5"/>
    <w:rsid w:val="00AC2FED"/>
    <w:rsid w:val="00AC4CC4"/>
    <w:rsid w:val="00AC4FDA"/>
    <w:rsid w:val="00AC6362"/>
    <w:rsid w:val="00AC6905"/>
    <w:rsid w:val="00AD124D"/>
    <w:rsid w:val="00AD13AD"/>
    <w:rsid w:val="00AD3469"/>
    <w:rsid w:val="00AD3768"/>
    <w:rsid w:val="00AD39EA"/>
    <w:rsid w:val="00AD6890"/>
    <w:rsid w:val="00AD68DA"/>
    <w:rsid w:val="00AE11B9"/>
    <w:rsid w:val="00AF1587"/>
    <w:rsid w:val="00AF2D8F"/>
    <w:rsid w:val="00AF4711"/>
    <w:rsid w:val="00B03022"/>
    <w:rsid w:val="00B0458A"/>
    <w:rsid w:val="00B051A6"/>
    <w:rsid w:val="00B073E8"/>
    <w:rsid w:val="00B1112B"/>
    <w:rsid w:val="00B11D55"/>
    <w:rsid w:val="00B13231"/>
    <w:rsid w:val="00B13AA5"/>
    <w:rsid w:val="00B142D5"/>
    <w:rsid w:val="00B17212"/>
    <w:rsid w:val="00B17332"/>
    <w:rsid w:val="00B17EAF"/>
    <w:rsid w:val="00B26C0C"/>
    <w:rsid w:val="00B26FB3"/>
    <w:rsid w:val="00B36B4F"/>
    <w:rsid w:val="00B401CA"/>
    <w:rsid w:val="00B41101"/>
    <w:rsid w:val="00B41F0A"/>
    <w:rsid w:val="00B423D8"/>
    <w:rsid w:val="00B42432"/>
    <w:rsid w:val="00B4547C"/>
    <w:rsid w:val="00B45C46"/>
    <w:rsid w:val="00B50BB1"/>
    <w:rsid w:val="00B516D4"/>
    <w:rsid w:val="00B62ED2"/>
    <w:rsid w:val="00B6479B"/>
    <w:rsid w:val="00B65ADB"/>
    <w:rsid w:val="00B66713"/>
    <w:rsid w:val="00B67C1C"/>
    <w:rsid w:val="00B72206"/>
    <w:rsid w:val="00B72E28"/>
    <w:rsid w:val="00B742E3"/>
    <w:rsid w:val="00B75873"/>
    <w:rsid w:val="00B75CF3"/>
    <w:rsid w:val="00B767A2"/>
    <w:rsid w:val="00B76A83"/>
    <w:rsid w:val="00B802C4"/>
    <w:rsid w:val="00B808D0"/>
    <w:rsid w:val="00B81170"/>
    <w:rsid w:val="00B82A0C"/>
    <w:rsid w:val="00B83CE6"/>
    <w:rsid w:val="00B84A63"/>
    <w:rsid w:val="00B877B3"/>
    <w:rsid w:val="00B902AA"/>
    <w:rsid w:val="00B91AED"/>
    <w:rsid w:val="00B94682"/>
    <w:rsid w:val="00B94EF5"/>
    <w:rsid w:val="00B95FDE"/>
    <w:rsid w:val="00B96A23"/>
    <w:rsid w:val="00B9779E"/>
    <w:rsid w:val="00B97AAF"/>
    <w:rsid w:val="00BA452D"/>
    <w:rsid w:val="00BA7246"/>
    <w:rsid w:val="00BB207D"/>
    <w:rsid w:val="00BB4B9E"/>
    <w:rsid w:val="00BB4CA6"/>
    <w:rsid w:val="00BB52EC"/>
    <w:rsid w:val="00BB5BBE"/>
    <w:rsid w:val="00BB6107"/>
    <w:rsid w:val="00BB7D99"/>
    <w:rsid w:val="00BC326B"/>
    <w:rsid w:val="00BC4E72"/>
    <w:rsid w:val="00BD1310"/>
    <w:rsid w:val="00BD6C75"/>
    <w:rsid w:val="00BD7CEA"/>
    <w:rsid w:val="00BE0367"/>
    <w:rsid w:val="00BE2420"/>
    <w:rsid w:val="00BE6331"/>
    <w:rsid w:val="00BE6605"/>
    <w:rsid w:val="00BE6EF0"/>
    <w:rsid w:val="00BE712B"/>
    <w:rsid w:val="00BE768E"/>
    <w:rsid w:val="00BE78C0"/>
    <w:rsid w:val="00BF44D3"/>
    <w:rsid w:val="00BF5E88"/>
    <w:rsid w:val="00BF6ACB"/>
    <w:rsid w:val="00C02D29"/>
    <w:rsid w:val="00C04F00"/>
    <w:rsid w:val="00C05741"/>
    <w:rsid w:val="00C060D7"/>
    <w:rsid w:val="00C07C2E"/>
    <w:rsid w:val="00C1205E"/>
    <w:rsid w:val="00C136A7"/>
    <w:rsid w:val="00C20C9D"/>
    <w:rsid w:val="00C21110"/>
    <w:rsid w:val="00C23BF3"/>
    <w:rsid w:val="00C25C99"/>
    <w:rsid w:val="00C30873"/>
    <w:rsid w:val="00C311C8"/>
    <w:rsid w:val="00C323CA"/>
    <w:rsid w:val="00C33129"/>
    <w:rsid w:val="00C3390A"/>
    <w:rsid w:val="00C33E0E"/>
    <w:rsid w:val="00C4293F"/>
    <w:rsid w:val="00C42CC3"/>
    <w:rsid w:val="00C44195"/>
    <w:rsid w:val="00C461BE"/>
    <w:rsid w:val="00C47CAC"/>
    <w:rsid w:val="00C50D00"/>
    <w:rsid w:val="00C50D32"/>
    <w:rsid w:val="00C542DB"/>
    <w:rsid w:val="00C54C58"/>
    <w:rsid w:val="00C601D0"/>
    <w:rsid w:val="00C64CC1"/>
    <w:rsid w:val="00C67E8E"/>
    <w:rsid w:val="00C70C64"/>
    <w:rsid w:val="00C71C3C"/>
    <w:rsid w:val="00C75ABC"/>
    <w:rsid w:val="00C807E4"/>
    <w:rsid w:val="00C813D0"/>
    <w:rsid w:val="00C8186D"/>
    <w:rsid w:val="00C8207B"/>
    <w:rsid w:val="00C86B0E"/>
    <w:rsid w:val="00C90CE4"/>
    <w:rsid w:val="00C93398"/>
    <w:rsid w:val="00C9389A"/>
    <w:rsid w:val="00C94AB7"/>
    <w:rsid w:val="00C959B2"/>
    <w:rsid w:val="00C97E77"/>
    <w:rsid w:val="00CA0DB3"/>
    <w:rsid w:val="00CA0F5C"/>
    <w:rsid w:val="00CA23A0"/>
    <w:rsid w:val="00CA485D"/>
    <w:rsid w:val="00CA67BB"/>
    <w:rsid w:val="00CB376A"/>
    <w:rsid w:val="00CB51A2"/>
    <w:rsid w:val="00CC17A1"/>
    <w:rsid w:val="00CC6004"/>
    <w:rsid w:val="00CD3993"/>
    <w:rsid w:val="00CE01F7"/>
    <w:rsid w:val="00CF3509"/>
    <w:rsid w:val="00CF461D"/>
    <w:rsid w:val="00CF7111"/>
    <w:rsid w:val="00D02C4A"/>
    <w:rsid w:val="00D034BA"/>
    <w:rsid w:val="00D0359E"/>
    <w:rsid w:val="00D04A3D"/>
    <w:rsid w:val="00D07215"/>
    <w:rsid w:val="00D072E2"/>
    <w:rsid w:val="00D10180"/>
    <w:rsid w:val="00D13BF9"/>
    <w:rsid w:val="00D1656D"/>
    <w:rsid w:val="00D16662"/>
    <w:rsid w:val="00D1685E"/>
    <w:rsid w:val="00D22F12"/>
    <w:rsid w:val="00D240B1"/>
    <w:rsid w:val="00D251FB"/>
    <w:rsid w:val="00D2565E"/>
    <w:rsid w:val="00D27078"/>
    <w:rsid w:val="00D270F4"/>
    <w:rsid w:val="00D30BCF"/>
    <w:rsid w:val="00D355F3"/>
    <w:rsid w:val="00D40E09"/>
    <w:rsid w:val="00D43999"/>
    <w:rsid w:val="00D43A1F"/>
    <w:rsid w:val="00D454B9"/>
    <w:rsid w:val="00D47C6E"/>
    <w:rsid w:val="00D547DA"/>
    <w:rsid w:val="00D555FF"/>
    <w:rsid w:val="00D5569F"/>
    <w:rsid w:val="00D62284"/>
    <w:rsid w:val="00D65C86"/>
    <w:rsid w:val="00D71BF6"/>
    <w:rsid w:val="00D81A31"/>
    <w:rsid w:val="00D82B0F"/>
    <w:rsid w:val="00D90606"/>
    <w:rsid w:val="00D9176D"/>
    <w:rsid w:val="00D92787"/>
    <w:rsid w:val="00D93796"/>
    <w:rsid w:val="00DA1DFB"/>
    <w:rsid w:val="00DA2671"/>
    <w:rsid w:val="00DA42A3"/>
    <w:rsid w:val="00DA4854"/>
    <w:rsid w:val="00DA4A6E"/>
    <w:rsid w:val="00DA5095"/>
    <w:rsid w:val="00DA58C6"/>
    <w:rsid w:val="00DB2387"/>
    <w:rsid w:val="00DB513A"/>
    <w:rsid w:val="00DB6678"/>
    <w:rsid w:val="00DB7A48"/>
    <w:rsid w:val="00DC1BDE"/>
    <w:rsid w:val="00DC78E4"/>
    <w:rsid w:val="00DD40A2"/>
    <w:rsid w:val="00DD472A"/>
    <w:rsid w:val="00DE4406"/>
    <w:rsid w:val="00DE4758"/>
    <w:rsid w:val="00DE504B"/>
    <w:rsid w:val="00DE71D2"/>
    <w:rsid w:val="00DF15D2"/>
    <w:rsid w:val="00DF5A91"/>
    <w:rsid w:val="00DF6181"/>
    <w:rsid w:val="00E033FA"/>
    <w:rsid w:val="00E0558F"/>
    <w:rsid w:val="00E074AD"/>
    <w:rsid w:val="00E07A52"/>
    <w:rsid w:val="00E11FAE"/>
    <w:rsid w:val="00E12374"/>
    <w:rsid w:val="00E1255B"/>
    <w:rsid w:val="00E14807"/>
    <w:rsid w:val="00E22033"/>
    <w:rsid w:val="00E27E0F"/>
    <w:rsid w:val="00E349C1"/>
    <w:rsid w:val="00E40261"/>
    <w:rsid w:val="00E404C5"/>
    <w:rsid w:val="00E426F7"/>
    <w:rsid w:val="00E4514F"/>
    <w:rsid w:val="00E45282"/>
    <w:rsid w:val="00E4603E"/>
    <w:rsid w:val="00E4685E"/>
    <w:rsid w:val="00E47746"/>
    <w:rsid w:val="00E51FBB"/>
    <w:rsid w:val="00E57B26"/>
    <w:rsid w:val="00E60398"/>
    <w:rsid w:val="00E610A1"/>
    <w:rsid w:val="00E61CDA"/>
    <w:rsid w:val="00E66821"/>
    <w:rsid w:val="00E67704"/>
    <w:rsid w:val="00E67FF9"/>
    <w:rsid w:val="00E70282"/>
    <w:rsid w:val="00E70C4B"/>
    <w:rsid w:val="00E71045"/>
    <w:rsid w:val="00E71148"/>
    <w:rsid w:val="00E74495"/>
    <w:rsid w:val="00E74DD5"/>
    <w:rsid w:val="00E7634C"/>
    <w:rsid w:val="00E80210"/>
    <w:rsid w:val="00E8264F"/>
    <w:rsid w:val="00E85029"/>
    <w:rsid w:val="00E9140E"/>
    <w:rsid w:val="00E9391D"/>
    <w:rsid w:val="00E94A96"/>
    <w:rsid w:val="00E96B5F"/>
    <w:rsid w:val="00EA0708"/>
    <w:rsid w:val="00EA34C1"/>
    <w:rsid w:val="00EA35FA"/>
    <w:rsid w:val="00EA3A52"/>
    <w:rsid w:val="00EA52E4"/>
    <w:rsid w:val="00EA6619"/>
    <w:rsid w:val="00EB2037"/>
    <w:rsid w:val="00EB2610"/>
    <w:rsid w:val="00EB6597"/>
    <w:rsid w:val="00EC103E"/>
    <w:rsid w:val="00EC60FF"/>
    <w:rsid w:val="00EC688B"/>
    <w:rsid w:val="00EC6B5A"/>
    <w:rsid w:val="00ED04EA"/>
    <w:rsid w:val="00ED5832"/>
    <w:rsid w:val="00ED706F"/>
    <w:rsid w:val="00ED723E"/>
    <w:rsid w:val="00EE2EC9"/>
    <w:rsid w:val="00EE314E"/>
    <w:rsid w:val="00EE4527"/>
    <w:rsid w:val="00EE4A9E"/>
    <w:rsid w:val="00EE6F09"/>
    <w:rsid w:val="00EF1B7E"/>
    <w:rsid w:val="00EF2B84"/>
    <w:rsid w:val="00EF338C"/>
    <w:rsid w:val="00EF3A56"/>
    <w:rsid w:val="00EF4C12"/>
    <w:rsid w:val="00EF4C8A"/>
    <w:rsid w:val="00EF7A19"/>
    <w:rsid w:val="00F00703"/>
    <w:rsid w:val="00F03F03"/>
    <w:rsid w:val="00F0593C"/>
    <w:rsid w:val="00F10D9E"/>
    <w:rsid w:val="00F11365"/>
    <w:rsid w:val="00F13600"/>
    <w:rsid w:val="00F15348"/>
    <w:rsid w:val="00F21609"/>
    <w:rsid w:val="00F217EC"/>
    <w:rsid w:val="00F22838"/>
    <w:rsid w:val="00F24734"/>
    <w:rsid w:val="00F3026E"/>
    <w:rsid w:val="00F30463"/>
    <w:rsid w:val="00F3401F"/>
    <w:rsid w:val="00F362DE"/>
    <w:rsid w:val="00F37521"/>
    <w:rsid w:val="00F40449"/>
    <w:rsid w:val="00F4324B"/>
    <w:rsid w:val="00F45EF6"/>
    <w:rsid w:val="00F4759E"/>
    <w:rsid w:val="00F47A33"/>
    <w:rsid w:val="00F50624"/>
    <w:rsid w:val="00F51DA2"/>
    <w:rsid w:val="00F5589E"/>
    <w:rsid w:val="00F60EA1"/>
    <w:rsid w:val="00F64CC0"/>
    <w:rsid w:val="00F66E8D"/>
    <w:rsid w:val="00F719FE"/>
    <w:rsid w:val="00F75E82"/>
    <w:rsid w:val="00F76A3F"/>
    <w:rsid w:val="00F76DB8"/>
    <w:rsid w:val="00F8007C"/>
    <w:rsid w:val="00F84F40"/>
    <w:rsid w:val="00F91ECF"/>
    <w:rsid w:val="00F91EF9"/>
    <w:rsid w:val="00F92778"/>
    <w:rsid w:val="00F97065"/>
    <w:rsid w:val="00F97347"/>
    <w:rsid w:val="00FA22F5"/>
    <w:rsid w:val="00FA2E45"/>
    <w:rsid w:val="00FA3552"/>
    <w:rsid w:val="00FA7D31"/>
    <w:rsid w:val="00FB0164"/>
    <w:rsid w:val="00FB25A5"/>
    <w:rsid w:val="00FB3FCE"/>
    <w:rsid w:val="00FB4A59"/>
    <w:rsid w:val="00FB53DB"/>
    <w:rsid w:val="00FB5DDD"/>
    <w:rsid w:val="00FC3901"/>
    <w:rsid w:val="00FC3EA7"/>
    <w:rsid w:val="00FC4764"/>
    <w:rsid w:val="00FC4E45"/>
    <w:rsid w:val="00FC4E72"/>
    <w:rsid w:val="00FC5EED"/>
    <w:rsid w:val="00FC6BE2"/>
    <w:rsid w:val="00FC7371"/>
    <w:rsid w:val="00FD3061"/>
    <w:rsid w:val="00FE3BB9"/>
    <w:rsid w:val="00FE48A3"/>
    <w:rsid w:val="00FE6D7A"/>
    <w:rsid w:val="00FF3A09"/>
    <w:rsid w:val="00FF51A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4B74F"/>
  <w15:chartTrackingRefBased/>
  <w15:docId w15:val="{273A3E12-DA91-4709-B72A-A4AC6F18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5FF"/>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242479"/>
    <w:pPr>
      <w:spacing w:after="240"/>
      <w:outlineLvl w:val="0"/>
    </w:pPr>
    <w:rPr>
      <w:rFonts w:ascii="Arial Bold" w:hAnsi="Arial Bold"/>
      <w:b/>
      <w:kern w:val="34"/>
      <w:sz w:val="36"/>
    </w:rPr>
  </w:style>
  <w:style w:type="paragraph" w:styleId="Heading2">
    <w:name w:val="heading 2"/>
    <w:basedOn w:val="HeadingBase"/>
    <w:next w:val="Normal"/>
    <w:link w:val="Heading2Char"/>
    <w:qFormat/>
    <w:rsid w:val="00242479"/>
    <w:pPr>
      <w:spacing w:before="240" w:after="240"/>
      <w:outlineLvl w:val="1"/>
    </w:pPr>
    <w:rPr>
      <w:rFonts w:ascii="Arial Bold" w:hAnsi="Arial Bold"/>
      <w:b/>
      <w:sz w:val="26"/>
    </w:rPr>
  </w:style>
  <w:style w:type="paragraph" w:styleId="Heading3">
    <w:name w:val="heading 3"/>
    <w:basedOn w:val="HeadingBase"/>
    <w:next w:val="Normal"/>
    <w:link w:val="Heading3Char"/>
    <w:qFormat/>
    <w:rsid w:val="00242479"/>
    <w:pPr>
      <w:spacing w:before="120" w:after="120"/>
      <w:outlineLvl w:val="2"/>
    </w:pPr>
    <w:rPr>
      <w:rFonts w:ascii="Arial Bold" w:hAnsi="Arial Bold"/>
      <w:b/>
      <w:sz w:val="22"/>
    </w:rPr>
  </w:style>
  <w:style w:type="paragraph" w:styleId="Heading4">
    <w:name w:val="heading 4"/>
    <w:basedOn w:val="HeadingBase"/>
    <w:next w:val="Normal"/>
    <w:link w:val="Heading4Char"/>
    <w:qFormat/>
    <w:rsid w:val="00242479"/>
    <w:pPr>
      <w:spacing w:after="120"/>
      <w:outlineLvl w:val="3"/>
    </w:pPr>
    <w:rPr>
      <w:rFonts w:ascii="Arial Bold" w:hAnsi="Arial Bold"/>
      <w:b/>
      <w:sz w:val="20"/>
    </w:rPr>
  </w:style>
  <w:style w:type="paragraph" w:styleId="Heading5">
    <w:name w:val="heading 5"/>
    <w:basedOn w:val="HeadingBase"/>
    <w:next w:val="Normal"/>
    <w:link w:val="Heading5Char"/>
    <w:qFormat/>
    <w:rsid w:val="00242479"/>
    <w:pPr>
      <w:spacing w:after="120"/>
      <w:outlineLvl w:val="4"/>
    </w:pPr>
    <w:rPr>
      <w:bCs/>
      <w:i/>
      <w:iCs/>
      <w:sz w:val="20"/>
      <w:szCs w:val="26"/>
    </w:rPr>
  </w:style>
  <w:style w:type="paragraph" w:styleId="Heading6">
    <w:name w:val="heading 6"/>
    <w:basedOn w:val="HeadingBase"/>
    <w:next w:val="Normal"/>
    <w:link w:val="Heading6Char"/>
    <w:rsid w:val="00242479"/>
    <w:pPr>
      <w:spacing w:after="120"/>
      <w:outlineLvl w:val="5"/>
    </w:pPr>
    <w:rPr>
      <w:bCs/>
      <w:sz w:val="20"/>
      <w:szCs w:val="22"/>
    </w:rPr>
  </w:style>
  <w:style w:type="paragraph" w:styleId="Heading7">
    <w:name w:val="heading 7"/>
    <w:basedOn w:val="HeadingBase"/>
    <w:next w:val="Normal"/>
    <w:link w:val="Heading7Char"/>
    <w:rsid w:val="00242479"/>
    <w:pPr>
      <w:spacing w:before="120"/>
      <w:outlineLvl w:val="6"/>
    </w:pPr>
    <w:rPr>
      <w:sz w:val="20"/>
      <w:szCs w:val="24"/>
    </w:rPr>
  </w:style>
  <w:style w:type="paragraph" w:styleId="Heading8">
    <w:name w:val="heading 8"/>
    <w:basedOn w:val="HeadingBase"/>
    <w:next w:val="Normal"/>
    <w:link w:val="Heading8Char"/>
    <w:rsid w:val="00242479"/>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242479"/>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Base"/>
    <w:link w:val="HeaderChar"/>
    <w:rsid w:val="00BB207D"/>
    <w:pPr>
      <w:tabs>
        <w:tab w:val="center" w:pos="4153"/>
        <w:tab w:val="right" w:pos="8306"/>
      </w:tabs>
    </w:pPr>
  </w:style>
  <w:style w:type="character" w:customStyle="1" w:styleId="HeaderChar">
    <w:name w:val="Header Char"/>
    <w:basedOn w:val="DefaultParagraphFont"/>
    <w:link w:val="Header"/>
    <w:rsid w:val="00BB207D"/>
    <w:rPr>
      <w:rFonts w:ascii="Book Antiqua" w:eastAsia="Times New Roman" w:hAnsi="Book Antiqua" w:cs="Times New Roman"/>
      <w:i/>
      <w:sz w:val="20"/>
      <w:szCs w:val="20"/>
      <w:lang w:eastAsia="en-AU"/>
    </w:rPr>
  </w:style>
  <w:style w:type="paragraph" w:styleId="Footer">
    <w:name w:val="footer"/>
    <w:basedOn w:val="FooterBase"/>
    <w:link w:val="FooterChar"/>
    <w:rsid w:val="00BB207D"/>
    <w:pPr>
      <w:tabs>
        <w:tab w:val="center" w:pos="4153"/>
        <w:tab w:val="right" w:pos="8306"/>
      </w:tabs>
    </w:pPr>
  </w:style>
  <w:style w:type="character" w:customStyle="1" w:styleId="FooterChar">
    <w:name w:val="Footer Char"/>
    <w:basedOn w:val="DefaultParagraphFont"/>
    <w:link w:val="Footer"/>
    <w:rsid w:val="00BB207D"/>
    <w:rPr>
      <w:rFonts w:ascii="Arial" w:eastAsia="Times New Roman" w:hAnsi="Arial" w:cs="Times New Roman"/>
      <w:sz w:val="20"/>
      <w:szCs w:val="20"/>
      <w:lang w:eastAsia="en-AU"/>
    </w:rPr>
  </w:style>
  <w:style w:type="paragraph" w:customStyle="1" w:styleId="SecurityClassificationHeader">
    <w:name w:val="Security Classification Header"/>
    <w:link w:val="SecurityClassificationHeaderChar"/>
    <w:rsid w:val="00E40261"/>
    <w:pPr>
      <w:spacing w:before="240" w:after="60"/>
      <w:jc w:val="center"/>
    </w:pPr>
    <w:rPr>
      <w:rFonts w:ascii="Calibri" w:hAnsi="Calibri" w:cs="Calibri"/>
      <w:b/>
      <w:caps/>
      <w:sz w:val="24"/>
    </w:rPr>
  </w:style>
  <w:style w:type="character" w:customStyle="1" w:styleId="SecurityClassificationHeaderChar">
    <w:name w:val="Security Classification Header Char"/>
    <w:basedOn w:val="HeaderChar"/>
    <w:link w:val="SecurityClassificationHeader"/>
    <w:rsid w:val="00E40261"/>
    <w:rPr>
      <w:rFonts w:ascii="Calibri" w:eastAsia="Times New Roman" w:hAnsi="Calibri" w:cs="Calibri"/>
      <w:b/>
      <w:i/>
      <w:caps/>
      <w:sz w:val="24"/>
      <w:szCs w:val="20"/>
      <w:lang w:eastAsia="en-AU"/>
    </w:rPr>
  </w:style>
  <w:style w:type="paragraph" w:customStyle="1" w:styleId="SecurityClassificationFooter">
    <w:name w:val="Security Classification Footer"/>
    <w:link w:val="SecurityClassificationFooterChar"/>
    <w:rsid w:val="00E40261"/>
    <w:pPr>
      <w:spacing w:before="60" w:after="240"/>
      <w:jc w:val="center"/>
    </w:pPr>
    <w:rPr>
      <w:rFonts w:ascii="Calibri" w:hAnsi="Calibri" w:cs="Calibri"/>
      <w:b/>
      <w:caps/>
      <w:sz w:val="24"/>
    </w:rPr>
  </w:style>
  <w:style w:type="character" w:customStyle="1" w:styleId="SecurityClassificationFooterChar">
    <w:name w:val="Security Classification Footer Char"/>
    <w:basedOn w:val="HeaderChar"/>
    <w:link w:val="SecurityClassificationFooter"/>
    <w:rsid w:val="00E40261"/>
    <w:rPr>
      <w:rFonts w:ascii="Calibri" w:eastAsia="Times New Roman" w:hAnsi="Calibri" w:cs="Calibri"/>
      <w:b/>
      <w:i/>
      <w:caps/>
      <w:sz w:val="24"/>
      <w:szCs w:val="20"/>
      <w:lang w:eastAsia="en-AU"/>
    </w:rPr>
  </w:style>
  <w:style w:type="paragraph" w:customStyle="1" w:styleId="DLMSecurityHeader">
    <w:name w:val="DLM Security Header"/>
    <w:link w:val="DLMSecurityHeaderChar"/>
    <w:rsid w:val="00E40261"/>
    <w:pPr>
      <w:spacing w:before="60" w:after="240"/>
      <w:jc w:val="center"/>
    </w:pPr>
    <w:rPr>
      <w:rFonts w:ascii="Calibri" w:hAnsi="Calibri" w:cs="Calibri"/>
      <w:b/>
      <w:caps/>
      <w:sz w:val="24"/>
    </w:rPr>
  </w:style>
  <w:style w:type="character" w:customStyle="1" w:styleId="DLMSecurityHeaderChar">
    <w:name w:val="DLM Security Header Char"/>
    <w:basedOn w:val="HeaderChar"/>
    <w:link w:val="DLMSecurityHeader"/>
    <w:rsid w:val="00E40261"/>
    <w:rPr>
      <w:rFonts w:ascii="Calibri" w:eastAsia="Times New Roman" w:hAnsi="Calibri" w:cs="Calibri"/>
      <w:b/>
      <w:i/>
      <w:caps/>
      <w:sz w:val="24"/>
      <w:szCs w:val="20"/>
      <w:lang w:eastAsia="en-AU"/>
    </w:rPr>
  </w:style>
  <w:style w:type="paragraph" w:customStyle="1" w:styleId="DLMSecurityFooter">
    <w:name w:val="DLM Security Footer"/>
    <w:link w:val="DLMSecurityFooterChar"/>
    <w:rsid w:val="00E40261"/>
    <w:pPr>
      <w:spacing w:before="240" w:after="60"/>
      <w:jc w:val="center"/>
    </w:pPr>
    <w:rPr>
      <w:rFonts w:ascii="Calibri" w:hAnsi="Calibri" w:cs="Calibri"/>
      <w:b/>
      <w:caps/>
      <w:sz w:val="24"/>
    </w:rPr>
  </w:style>
  <w:style w:type="character" w:customStyle="1" w:styleId="DLMSecurityFooterChar">
    <w:name w:val="DLM Security Footer Char"/>
    <w:basedOn w:val="HeaderChar"/>
    <w:link w:val="DLMSecurityFooter"/>
    <w:rsid w:val="00E40261"/>
    <w:rPr>
      <w:rFonts w:ascii="Calibri" w:eastAsia="Times New Roman" w:hAnsi="Calibri" w:cs="Calibri"/>
      <w:b/>
      <w:i/>
      <w:caps/>
      <w:sz w:val="24"/>
      <w:szCs w:val="20"/>
      <w:lang w:eastAsia="en-AU"/>
    </w:rPr>
  </w:style>
  <w:style w:type="paragraph" w:customStyle="1" w:styleId="Classification">
    <w:name w:val="Classification"/>
    <w:basedOn w:val="HeadingBase"/>
    <w:rsid w:val="00A819BF"/>
    <w:pPr>
      <w:jc w:val="center"/>
    </w:pPr>
    <w:rPr>
      <w:rFonts w:ascii="Arial Bold" w:hAnsi="Arial Bold"/>
      <w:b/>
      <w:caps/>
      <w:sz w:val="22"/>
    </w:rPr>
  </w:style>
  <w:style w:type="paragraph" w:customStyle="1" w:styleId="FileProperties">
    <w:name w:val="File Properties"/>
    <w:basedOn w:val="Normal"/>
    <w:rsid w:val="008D3CA1"/>
    <w:pPr>
      <w:spacing w:before="0"/>
    </w:pPr>
    <w:rPr>
      <w:i/>
    </w:rPr>
  </w:style>
  <w:style w:type="paragraph" w:customStyle="1" w:styleId="AlphaParagraph">
    <w:name w:val="Alpha Paragraph"/>
    <w:basedOn w:val="Normal"/>
    <w:rsid w:val="00BB207D"/>
    <w:pPr>
      <w:numPr>
        <w:numId w:val="1"/>
      </w:numPr>
      <w:tabs>
        <w:tab w:val="clear" w:pos="567"/>
        <w:tab w:val="num" w:pos="360"/>
      </w:tabs>
      <w:ind w:left="0" w:firstLine="0"/>
    </w:pPr>
  </w:style>
  <w:style w:type="paragraph" w:customStyle="1" w:styleId="HeadingBase">
    <w:name w:val="Heading Base"/>
    <w:rsid w:val="000B38A8"/>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08597F"/>
    <w:rPr>
      <w:bCs/>
      <w:color w:val="002A54" w:themeColor="text2"/>
      <w:szCs w:val="52"/>
    </w:rPr>
  </w:style>
  <w:style w:type="paragraph" w:customStyle="1" w:styleId="BoxText">
    <w:name w:val="Box Text"/>
    <w:basedOn w:val="Normal"/>
    <w:qFormat/>
    <w:rsid w:val="00BB207D"/>
    <w:pPr>
      <w:spacing w:before="120" w:after="120" w:line="240" w:lineRule="auto"/>
    </w:pPr>
  </w:style>
  <w:style w:type="paragraph" w:customStyle="1" w:styleId="BoxBullet">
    <w:name w:val="Box Bullet"/>
    <w:basedOn w:val="BoxText"/>
    <w:rsid w:val="00BB207D"/>
    <w:pPr>
      <w:numPr>
        <w:numId w:val="2"/>
      </w:numPr>
    </w:pPr>
  </w:style>
  <w:style w:type="paragraph" w:customStyle="1" w:styleId="BoxHeading">
    <w:name w:val="Box Heading"/>
    <w:basedOn w:val="HeadingBase"/>
    <w:next w:val="BoxText"/>
    <w:rsid w:val="00242479"/>
    <w:pPr>
      <w:spacing w:before="120" w:after="120"/>
    </w:pPr>
    <w:rPr>
      <w:b/>
      <w:sz w:val="20"/>
    </w:rPr>
  </w:style>
  <w:style w:type="character" w:customStyle="1" w:styleId="Heading6Char">
    <w:name w:val="Heading 6 Char"/>
    <w:basedOn w:val="DefaultParagraphFont"/>
    <w:link w:val="Heading6"/>
    <w:rsid w:val="00242479"/>
    <w:rPr>
      <w:rFonts w:ascii="Arial" w:eastAsia="Times New Roman" w:hAnsi="Arial" w:cs="Times New Roman"/>
      <w:bCs/>
      <w:sz w:val="20"/>
      <w:lang w:eastAsia="en-AU"/>
    </w:rPr>
  </w:style>
  <w:style w:type="paragraph" w:customStyle="1" w:styleId="Bullet">
    <w:name w:val="Bullet"/>
    <w:aliases w:val="b,b1,b + line,level 1,Body"/>
    <w:basedOn w:val="Normal"/>
    <w:link w:val="BulletChar"/>
    <w:qFormat/>
    <w:rsid w:val="00160928"/>
    <w:pPr>
      <w:numPr>
        <w:numId w:val="7"/>
      </w:numPr>
      <w:spacing w:after="160"/>
      <w:ind w:left="284" w:hanging="284"/>
    </w:pPr>
  </w:style>
  <w:style w:type="paragraph" w:styleId="Caption">
    <w:name w:val="caption"/>
    <w:basedOn w:val="Normal"/>
    <w:next w:val="Normal"/>
    <w:rsid w:val="00BB207D"/>
    <w:rPr>
      <w:b/>
      <w:bCs/>
    </w:rPr>
  </w:style>
  <w:style w:type="paragraph" w:customStyle="1" w:styleId="ChartandTableFootnote">
    <w:name w:val="Chart and Table Footnote"/>
    <w:basedOn w:val="HeadingBase"/>
    <w:next w:val="Normal"/>
    <w:rsid w:val="007913DD"/>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link w:val="ChartandTableFootnoteAlphaChar"/>
    <w:rsid w:val="007913DD"/>
    <w:pPr>
      <w:keepNext w:val="0"/>
      <w:numPr>
        <w:numId w:val="18"/>
      </w:numPr>
      <w:spacing w:before="30"/>
    </w:pPr>
    <w:rPr>
      <w:color w:val="000000"/>
      <w:sz w:val="16"/>
    </w:rPr>
  </w:style>
  <w:style w:type="paragraph" w:customStyle="1" w:styleId="ChartandTableFootnoteSmall">
    <w:name w:val="Chart and Table Footnote Small"/>
    <w:basedOn w:val="HeadingBase"/>
    <w:next w:val="Normal"/>
    <w:rsid w:val="00BB207D"/>
    <w:pPr>
      <w:keepNext w:val="0"/>
      <w:tabs>
        <w:tab w:val="left" w:pos="284"/>
      </w:tabs>
      <w:jc w:val="both"/>
    </w:pPr>
    <w:rPr>
      <w:color w:val="000000"/>
      <w:sz w:val="15"/>
    </w:rPr>
  </w:style>
  <w:style w:type="paragraph" w:customStyle="1" w:styleId="ChartGraphic">
    <w:name w:val="Chart Graphic"/>
    <w:basedOn w:val="HeadingBase"/>
    <w:rsid w:val="005A6F5F"/>
    <w:rPr>
      <w:sz w:val="20"/>
    </w:rPr>
  </w:style>
  <w:style w:type="paragraph" w:customStyle="1" w:styleId="TableLine">
    <w:name w:val="Table Line"/>
    <w:basedOn w:val="Normal"/>
    <w:next w:val="Normal"/>
    <w:autoRedefine/>
    <w:rsid w:val="00EB6597"/>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EB6597"/>
    <w:pPr>
      <w:spacing w:after="60"/>
    </w:pPr>
    <w:rPr>
      <w:sz w:val="19"/>
    </w:rPr>
  </w:style>
  <w:style w:type="character" w:styleId="CommentReference">
    <w:name w:val="annotation reference"/>
    <w:basedOn w:val="DefaultParagraphFont"/>
    <w:semiHidden/>
    <w:rsid w:val="00BB207D"/>
    <w:rPr>
      <w:sz w:val="16"/>
      <w:szCs w:val="16"/>
    </w:rPr>
  </w:style>
  <w:style w:type="paragraph" w:styleId="CommentText">
    <w:name w:val="annotation text"/>
    <w:basedOn w:val="Normal"/>
    <w:link w:val="CommentTextChar"/>
    <w:semiHidden/>
    <w:rsid w:val="00BB207D"/>
  </w:style>
  <w:style w:type="character" w:customStyle="1" w:styleId="CommentTextChar">
    <w:name w:val="Comment Text Char"/>
    <w:basedOn w:val="DefaultParagraphFont"/>
    <w:link w:val="CommentText"/>
    <w:semiHidden/>
    <w:rsid w:val="00BB207D"/>
    <w:rPr>
      <w:rFonts w:ascii="Book Antiqua" w:eastAsia="Times New Roman" w:hAnsi="Book Antiqua" w:cs="Times New Roman"/>
      <w:sz w:val="20"/>
      <w:szCs w:val="20"/>
      <w:lang w:eastAsia="en-AU"/>
    </w:rPr>
  </w:style>
  <w:style w:type="paragraph" w:styleId="CommentSubject">
    <w:name w:val="annotation subject"/>
    <w:basedOn w:val="CommentText"/>
    <w:next w:val="CommentText"/>
    <w:link w:val="CommentSubjectChar"/>
    <w:semiHidden/>
    <w:rsid w:val="00BB207D"/>
    <w:rPr>
      <w:b/>
      <w:bCs/>
    </w:rPr>
  </w:style>
  <w:style w:type="character" w:customStyle="1" w:styleId="CommentSubjectChar">
    <w:name w:val="Comment Subject Char"/>
    <w:basedOn w:val="CommentTextChar"/>
    <w:link w:val="CommentSubject"/>
    <w:semiHidden/>
    <w:rsid w:val="00BB207D"/>
    <w:rPr>
      <w:rFonts w:ascii="Book Antiqua" w:eastAsia="Times New Roman" w:hAnsi="Book Antiqua" w:cs="Times New Roman"/>
      <w:b/>
      <w:bCs/>
      <w:sz w:val="20"/>
      <w:szCs w:val="20"/>
      <w:lang w:eastAsia="en-AU"/>
    </w:rPr>
  </w:style>
  <w:style w:type="paragraph" w:customStyle="1" w:styleId="ContentsHeading">
    <w:name w:val="Contents Heading"/>
    <w:basedOn w:val="Heading1"/>
    <w:next w:val="Normal"/>
    <w:rsid w:val="00A04475"/>
    <w:pPr>
      <w:spacing w:after="720"/>
      <w:outlineLvl w:val="9"/>
    </w:pPr>
  </w:style>
  <w:style w:type="character" w:styleId="Strong">
    <w:name w:val="Strong"/>
    <w:basedOn w:val="DefaultParagraphFont"/>
    <w:uiPriority w:val="22"/>
    <w:qFormat/>
    <w:rsid w:val="0008597F"/>
    <w:rPr>
      <w:b/>
      <w:bCs/>
      <w:color w:val="002A54" w:themeColor="text2"/>
    </w:rPr>
  </w:style>
  <w:style w:type="paragraph" w:customStyle="1" w:styleId="Dash">
    <w:name w:val="Dash"/>
    <w:basedOn w:val="Normal"/>
    <w:qFormat/>
    <w:rsid w:val="00BB207D"/>
    <w:pPr>
      <w:numPr>
        <w:ilvl w:val="1"/>
        <w:numId w:val="7"/>
      </w:numPr>
      <w:tabs>
        <w:tab w:val="left" w:pos="567"/>
      </w:tabs>
    </w:pPr>
  </w:style>
  <w:style w:type="paragraph" w:styleId="DocumentMap">
    <w:name w:val="Document Map"/>
    <w:basedOn w:val="Normal"/>
    <w:link w:val="DocumentMapChar"/>
    <w:semiHidden/>
    <w:rsid w:val="00BB207D"/>
    <w:pPr>
      <w:shd w:val="clear" w:color="auto" w:fill="000080"/>
    </w:pPr>
    <w:rPr>
      <w:rFonts w:ascii="Tahoma" w:hAnsi="Tahoma" w:cs="Tahoma"/>
    </w:rPr>
  </w:style>
  <w:style w:type="character" w:customStyle="1" w:styleId="DocumentMapChar">
    <w:name w:val="Document Map Char"/>
    <w:basedOn w:val="DefaultParagraphFont"/>
    <w:link w:val="DocumentMap"/>
    <w:semiHidden/>
    <w:rsid w:val="00BB207D"/>
    <w:rPr>
      <w:rFonts w:ascii="Tahoma" w:eastAsia="Times New Roman" w:hAnsi="Tahoma" w:cs="Tahoma"/>
      <w:sz w:val="20"/>
      <w:szCs w:val="20"/>
      <w:shd w:val="clear" w:color="auto" w:fill="000080"/>
      <w:lang w:eastAsia="en-AU"/>
    </w:rPr>
  </w:style>
  <w:style w:type="paragraph" w:customStyle="1" w:styleId="DoubleDot">
    <w:name w:val="Double Dot"/>
    <w:basedOn w:val="Normal"/>
    <w:rsid w:val="00BB207D"/>
    <w:pPr>
      <w:numPr>
        <w:ilvl w:val="2"/>
        <w:numId w:val="7"/>
      </w:numPr>
      <w:tabs>
        <w:tab w:val="clear" w:pos="850"/>
        <w:tab w:val="num" w:pos="360"/>
        <w:tab w:val="left" w:pos="851"/>
      </w:tabs>
    </w:pPr>
  </w:style>
  <w:style w:type="paragraph" w:customStyle="1" w:styleId="FigureHeading">
    <w:name w:val="Figure Heading"/>
    <w:basedOn w:val="HeadingBase"/>
    <w:next w:val="ChartGraphic"/>
    <w:rsid w:val="00BB207D"/>
    <w:pPr>
      <w:spacing w:before="120" w:after="20"/>
    </w:pPr>
    <w:rPr>
      <w:b/>
      <w:sz w:val="20"/>
    </w:rPr>
  </w:style>
  <w:style w:type="paragraph" w:customStyle="1" w:styleId="FooterBase">
    <w:name w:val="Footer Base"/>
    <w:rsid w:val="00D47C6E"/>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D47C6E"/>
    <w:pPr>
      <w:pBdr>
        <w:top w:val="single" w:sz="4" w:space="10" w:color="002A54" w:themeColor="text2"/>
      </w:pBdr>
      <w:jc w:val="left"/>
    </w:pPr>
    <w:rPr>
      <w:sz w:val="18"/>
    </w:rPr>
  </w:style>
  <w:style w:type="paragraph" w:customStyle="1" w:styleId="FooterOdd">
    <w:name w:val="Footer Odd"/>
    <w:basedOn w:val="Footer"/>
    <w:qFormat/>
    <w:rsid w:val="00D47C6E"/>
    <w:pPr>
      <w:pBdr>
        <w:top w:val="single" w:sz="4" w:space="10" w:color="002A54" w:themeColor="text2"/>
      </w:pBdr>
      <w:jc w:val="right"/>
    </w:pPr>
    <w:rPr>
      <w:sz w:val="18"/>
    </w:rPr>
  </w:style>
  <w:style w:type="character" w:styleId="FootnoteReference">
    <w:name w:val="footnote reference"/>
    <w:basedOn w:val="DefaultParagraphFont"/>
    <w:rsid w:val="00BB207D"/>
    <w:rPr>
      <w:vertAlign w:val="superscript"/>
    </w:rPr>
  </w:style>
  <w:style w:type="paragraph" w:styleId="FootnoteText">
    <w:name w:val="footnote text"/>
    <w:basedOn w:val="Normal"/>
    <w:link w:val="FootnoteTextChar"/>
    <w:rsid w:val="003C1CA4"/>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3C1CA4"/>
    <w:rPr>
      <w:rFonts w:ascii="Book Antiqua" w:eastAsia="Times New Roman" w:hAnsi="Book Antiqua" w:cs="Times New Roman"/>
      <w:sz w:val="18"/>
      <w:szCs w:val="20"/>
      <w:lang w:eastAsia="en-AU"/>
    </w:rPr>
  </w:style>
  <w:style w:type="character" w:customStyle="1" w:styleId="FramedHeader">
    <w:name w:val="Framed Header"/>
    <w:basedOn w:val="DefaultParagraphFont"/>
    <w:rsid w:val="00BB207D"/>
    <w:rPr>
      <w:rFonts w:ascii="Book Antiqua" w:hAnsi="Book Antiqua"/>
      <w:i/>
      <w:dstrike w:val="0"/>
      <w:color w:val="auto"/>
      <w:sz w:val="20"/>
      <w:vertAlign w:val="baseline"/>
    </w:rPr>
  </w:style>
  <w:style w:type="paragraph" w:customStyle="1" w:styleId="HeaderBase">
    <w:name w:val="Header Base"/>
    <w:rsid w:val="009B2CFA"/>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242479"/>
  </w:style>
  <w:style w:type="paragraph" w:customStyle="1" w:styleId="HeaderOdd">
    <w:name w:val="Header Odd"/>
    <w:basedOn w:val="HeaderBase"/>
    <w:rsid w:val="00242479"/>
    <w:pPr>
      <w:jc w:val="right"/>
    </w:pPr>
  </w:style>
  <w:style w:type="character" w:customStyle="1" w:styleId="Heading1Char">
    <w:name w:val="Heading 1 Char"/>
    <w:basedOn w:val="DefaultParagraphFont"/>
    <w:link w:val="Heading1"/>
    <w:rsid w:val="00242479"/>
    <w:rPr>
      <w:rFonts w:ascii="Arial Bold" w:eastAsia="Times New Roman" w:hAnsi="Arial Bold" w:cs="Times New Roman"/>
      <w:b/>
      <w:kern w:val="34"/>
      <w:sz w:val="36"/>
      <w:szCs w:val="20"/>
      <w:lang w:eastAsia="en-AU"/>
    </w:rPr>
  </w:style>
  <w:style w:type="character" w:customStyle="1" w:styleId="Heading2Char">
    <w:name w:val="Heading 2 Char"/>
    <w:basedOn w:val="DefaultParagraphFont"/>
    <w:link w:val="Heading2"/>
    <w:rsid w:val="00242479"/>
    <w:rPr>
      <w:rFonts w:ascii="Arial Bold" w:eastAsia="Times New Roman" w:hAnsi="Arial Bold" w:cs="Times New Roman"/>
      <w:b/>
      <w:sz w:val="26"/>
      <w:szCs w:val="20"/>
      <w:lang w:eastAsia="en-AU"/>
    </w:rPr>
  </w:style>
  <w:style w:type="character" w:customStyle="1" w:styleId="Heading3Char">
    <w:name w:val="Heading 3 Char"/>
    <w:basedOn w:val="DefaultParagraphFont"/>
    <w:link w:val="Heading3"/>
    <w:rsid w:val="00242479"/>
    <w:rPr>
      <w:rFonts w:ascii="Arial Bold" w:eastAsia="Times New Roman" w:hAnsi="Arial Bold" w:cs="Times New Roman"/>
      <w:b/>
      <w:szCs w:val="20"/>
      <w:lang w:eastAsia="en-AU"/>
    </w:rPr>
  </w:style>
  <w:style w:type="paragraph" w:customStyle="1" w:styleId="Heading3noTOC">
    <w:name w:val="Heading 3 no TOC"/>
    <w:basedOn w:val="Heading3"/>
    <w:rsid w:val="00242479"/>
    <w:pPr>
      <w:outlineLvl w:val="9"/>
    </w:pPr>
  </w:style>
  <w:style w:type="character" w:customStyle="1" w:styleId="Heading4Char">
    <w:name w:val="Heading 4 Char"/>
    <w:basedOn w:val="DefaultParagraphFont"/>
    <w:link w:val="Heading4"/>
    <w:rsid w:val="00242479"/>
    <w:rPr>
      <w:rFonts w:ascii="Arial Bold" w:eastAsia="Times New Roman" w:hAnsi="Arial Bold" w:cs="Times New Roman"/>
      <w:b/>
      <w:sz w:val="20"/>
      <w:szCs w:val="20"/>
      <w:lang w:eastAsia="en-AU"/>
    </w:rPr>
  </w:style>
  <w:style w:type="character" w:customStyle="1" w:styleId="Heading5Char">
    <w:name w:val="Heading 5 Char"/>
    <w:basedOn w:val="DefaultParagraphFont"/>
    <w:link w:val="Heading5"/>
    <w:rsid w:val="00242479"/>
    <w:rPr>
      <w:rFonts w:ascii="Arial" w:eastAsia="Times New Roman" w:hAnsi="Arial" w:cs="Times New Roman"/>
      <w:bCs/>
      <w:i/>
      <w:iCs/>
      <w:sz w:val="20"/>
      <w:szCs w:val="26"/>
      <w:lang w:eastAsia="en-AU"/>
    </w:rPr>
  </w:style>
  <w:style w:type="character" w:customStyle="1" w:styleId="Heading7Char">
    <w:name w:val="Heading 7 Char"/>
    <w:basedOn w:val="DefaultParagraphFont"/>
    <w:link w:val="Heading7"/>
    <w:rsid w:val="00242479"/>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242479"/>
    <w:rPr>
      <w:rFonts w:ascii="Times New Roman" w:eastAsia="Times New Roman" w:hAnsi="Times New Roman" w:cs="Times New Roman"/>
      <w:i/>
      <w:iCs/>
      <w:sz w:val="16"/>
      <w:szCs w:val="24"/>
      <w:lang w:eastAsia="en-AU"/>
    </w:rPr>
  </w:style>
  <w:style w:type="character" w:styleId="Hyperlink">
    <w:name w:val="Hyperlink"/>
    <w:basedOn w:val="DefaultParagraphFont"/>
    <w:uiPriority w:val="99"/>
    <w:unhideWhenUsed/>
    <w:rsid w:val="005A6F5F"/>
    <w:rPr>
      <w:color w:val="auto"/>
      <w:u w:val="single"/>
    </w:rPr>
  </w:style>
  <w:style w:type="paragraph" w:styleId="Index4">
    <w:name w:val="index 4"/>
    <w:basedOn w:val="Normal"/>
    <w:next w:val="Normal"/>
    <w:autoRedefine/>
    <w:semiHidden/>
    <w:rsid w:val="00BB207D"/>
    <w:pPr>
      <w:ind w:left="800" w:hanging="200"/>
    </w:pPr>
  </w:style>
  <w:style w:type="paragraph" w:styleId="Index5">
    <w:name w:val="index 5"/>
    <w:basedOn w:val="Normal"/>
    <w:next w:val="Normal"/>
    <w:autoRedefine/>
    <w:semiHidden/>
    <w:rsid w:val="00BB207D"/>
    <w:pPr>
      <w:ind w:left="1000" w:hanging="200"/>
    </w:pPr>
  </w:style>
  <w:style w:type="paragraph" w:styleId="Index6">
    <w:name w:val="index 6"/>
    <w:basedOn w:val="Normal"/>
    <w:next w:val="Normal"/>
    <w:autoRedefine/>
    <w:semiHidden/>
    <w:rsid w:val="00BB207D"/>
    <w:pPr>
      <w:ind w:left="1200" w:hanging="200"/>
    </w:pPr>
  </w:style>
  <w:style w:type="paragraph" w:styleId="Index7">
    <w:name w:val="index 7"/>
    <w:basedOn w:val="Normal"/>
    <w:next w:val="Normal"/>
    <w:autoRedefine/>
    <w:semiHidden/>
    <w:rsid w:val="00BB207D"/>
    <w:pPr>
      <w:ind w:left="1400" w:hanging="200"/>
    </w:pPr>
  </w:style>
  <w:style w:type="paragraph" w:styleId="Index8">
    <w:name w:val="index 8"/>
    <w:basedOn w:val="Normal"/>
    <w:next w:val="Normal"/>
    <w:autoRedefine/>
    <w:semiHidden/>
    <w:rsid w:val="00BB207D"/>
    <w:pPr>
      <w:ind w:left="1600" w:hanging="200"/>
    </w:pPr>
  </w:style>
  <w:style w:type="paragraph" w:styleId="Index9">
    <w:name w:val="index 9"/>
    <w:basedOn w:val="Normal"/>
    <w:next w:val="Normal"/>
    <w:autoRedefine/>
    <w:semiHidden/>
    <w:rsid w:val="00BB207D"/>
    <w:pPr>
      <w:ind w:left="1800" w:hanging="200"/>
    </w:pPr>
  </w:style>
  <w:style w:type="paragraph" w:styleId="MacroText">
    <w:name w:val="macro"/>
    <w:link w:val="MacroTextChar"/>
    <w:unhideWhenUsed/>
    <w:rsid w:val="00BB207D"/>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BB207D"/>
    <w:rPr>
      <w:rFonts w:ascii="Courier New" w:eastAsia="Times New Roman" w:hAnsi="Courier New" w:cs="Courier New"/>
      <w:sz w:val="20"/>
      <w:szCs w:val="20"/>
      <w:lang w:eastAsia="en-AU"/>
    </w:rPr>
  </w:style>
  <w:style w:type="paragraph" w:styleId="NormalIndent">
    <w:name w:val="Normal Indent"/>
    <w:basedOn w:val="Normal"/>
    <w:rsid w:val="00BB207D"/>
    <w:pPr>
      <w:ind w:left="567"/>
    </w:pPr>
  </w:style>
  <w:style w:type="paragraph" w:customStyle="1" w:styleId="NoteTableHeading">
    <w:name w:val="Note Table Heading"/>
    <w:basedOn w:val="HeadingBase"/>
    <w:next w:val="Normal"/>
    <w:rsid w:val="00242479"/>
    <w:pPr>
      <w:spacing w:before="240"/>
    </w:pPr>
    <w:rPr>
      <w:b/>
      <w:sz w:val="20"/>
    </w:rPr>
  </w:style>
  <w:style w:type="paragraph" w:customStyle="1" w:styleId="OverviewParagraph">
    <w:name w:val="Overview Paragraph"/>
    <w:basedOn w:val="Normal"/>
    <w:rsid w:val="00BB207D"/>
    <w:pPr>
      <w:spacing w:before="120" w:after="120" w:line="240" w:lineRule="auto"/>
    </w:pPr>
  </w:style>
  <w:style w:type="character" w:styleId="PageNumber">
    <w:name w:val="page number"/>
    <w:basedOn w:val="DefaultParagraphFont"/>
    <w:rsid w:val="00BB207D"/>
    <w:rPr>
      <w:rFonts w:ascii="Arial" w:hAnsi="Arial" w:cs="Arial"/>
    </w:rPr>
  </w:style>
  <w:style w:type="paragraph" w:customStyle="1" w:styleId="SingleParagraph">
    <w:name w:val="Single Paragraph"/>
    <w:basedOn w:val="Normal"/>
    <w:rsid w:val="00E404C5"/>
    <w:pPr>
      <w:spacing w:before="0" w:after="0"/>
    </w:pPr>
  </w:style>
  <w:style w:type="paragraph" w:customStyle="1" w:styleId="Source">
    <w:name w:val="Source"/>
    <w:basedOn w:val="Normal"/>
    <w:rsid w:val="005642C7"/>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242479"/>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242479"/>
    <w:pPr>
      <w:jc w:val="center"/>
    </w:pPr>
  </w:style>
  <w:style w:type="paragraph" w:customStyle="1" w:styleId="TableColumnHeadingLeft">
    <w:name w:val="Table Column Heading Left"/>
    <w:basedOn w:val="TableColumnHeadingBase"/>
    <w:next w:val="Normal"/>
    <w:rsid w:val="00242479"/>
  </w:style>
  <w:style w:type="paragraph" w:customStyle="1" w:styleId="TableColumnHeadingRight">
    <w:name w:val="Table Column Heading Right"/>
    <w:basedOn w:val="TableColumnHeadingBase"/>
    <w:next w:val="Normal"/>
    <w:rsid w:val="00242479"/>
    <w:pPr>
      <w:jc w:val="right"/>
    </w:pPr>
  </w:style>
  <w:style w:type="paragraph" w:customStyle="1" w:styleId="TableGraphic">
    <w:name w:val="Table Graphic"/>
    <w:basedOn w:val="Normal"/>
    <w:next w:val="Normal"/>
    <w:rsid w:val="00BB207D"/>
    <w:pPr>
      <w:spacing w:after="0" w:line="240" w:lineRule="auto"/>
      <w:ind w:right="-113"/>
    </w:pPr>
  </w:style>
  <w:style w:type="table" w:styleId="TableGrid">
    <w:name w:val="Table Grid"/>
    <w:basedOn w:val="TableNormal"/>
    <w:rsid w:val="00FA7D31"/>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242479"/>
    <w:pPr>
      <w:spacing w:before="120" w:after="20"/>
    </w:pPr>
    <w:rPr>
      <w:b/>
      <w:sz w:val="20"/>
    </w:rPr>
  </w:style>
  <w:style w:type="paragraph" w:customStyle="1" w:styleId="TableHeadingcontinued">
    <w:name w:val="Table Heading continued"/>
    <w:basedOn w:val="HeadingBase"/>
    <w:next w:val="TableGraphic"/>
    <w:rsid w:val="00242479"/>
    <w:pPr>
      <w:spacing w:before="120" w:after="20"/>
    </w:pPr>
    <w:rPr>
      <w:rFonts w:ascii="Arial Bold" w:hAnsi="Arial Bold"/>
      <w:b/>
      <w:sz w:val="20"/>
    </w:rPr>
  </w:style>
  <w:style w:type="paragraph" w:styleId="TableofFigures">
    <w:name w:val="table of figures"/>
    <w:basedOn w:val="Normal"/>
    <w:next w:val="Normal"/>
    <w:rsid w:val="00BB207D"/>
  </w:style>
  <w:style w:type="paragraph" w:customStyle="1" w:styleId="TableTextBase">
    <w:name w:val="Table Text Base"/>
    <w:basedOn w:val="Normal"/>
    <w:rsid w:val="00BB207D"/>
    <w:pPr>
      <w:spacing w:before="20" w:after="20" w:line="240" w:lineRule="auto"/>
    </w:pPr>
    <w:rPr>
      <w:rFonts w:ascii="Arial" w:hAnsi="Arial"/>
      <w:sz w:val="16"/>
    </w:rPr>
  </w:style>
  <w:style w:type="paragraph" w:customStyle="1" w:styleId="TableTextCentred">
    <w:name w:val="Table Text Centred"/>
    <w:basedOn w:val="TableTextBase"/>
    <w:rsid w:val="00BB207D"/>
    <w:pPr>
      <w:jc w:val="center"/>
    </w:pPr>
  </w:style>
  <w:style w:type="paragraph" w:customStyle="1" w:styleId="TableTextIndented">
    <w:name w:val="Table Text Indented"/>
    <w:basedOn w:val="TableTextBase"/>
    <w:rsid w:val="00BB207D"/>
    <w:pPr>
      <w:ind w:left="284"/>
    </w:pPr>
  </w:style>
  <w:style w:type="paragraph" w:customStyle="1" w:styleId="TableTextLeft">
    <w:name w:val="Table Text Left"/>
    <w:basedOn w:val="TableTextBase"/>
    <w:rsid w:val="00BB207D"/>
  </w:style>
  <w:style w:type="paragraph" w:customStyle="1" w:styleId="TableTextRight">
    <w:name w:val="Table Text Right"/>
    <w:basedOn w:val="TableTextBase"/>
    <w:rsid w:val="00BB207D"/>
    <w:pPr>
      <w:jc w:val="right"/>
    </w:pPr>
  </w:style>
  <w:style w:type="paragraph" w:styleId="TOAHeading">
    <w:name w:val="toa heading"/>
    <w:basedOn w:val="Normal"/>
    <w:next w:val="Normal"/>
    <w:rsid w:val="00BB207D"/>
    <w:pPr>
      <w:spacing w:before="120"/>
    </w:pPr>
    <w:rPr>
      <w:rFonts w:ascii="Arial" w:hAnsi="Arial" w:cs="Arial"/>
      <w:b/>
      <w:bCs/>
      <w:sz w:val="24"/>
      <w:szCs w:val="24"/>
    </w:rPr>
  </w:style>
  <w:style w:type="paragraph" w:styleId="TOC1">
    <w:name w:val="toc 1"/>
    <w:basedOn w:val="HeaderBase"/>
    <w:next w:val="Normal"/>
    <w:uiPriority w:val="2"/>
    <w:rsid w:val="00BB52EC"/>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BB52EC"/>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BB207D"/>
    <w:pPr>
      <w:tabs>
        <w:tab w:val="right" w:leader="dot" w:pos="7700"/>
      </w:tabs>
      <w:spacing w:before="40"/>
      <w:ind w:right="851"/>
    </w:pPr>
    <w:rPr>
      <w:sz w:val="20"/>
    </w:rPr>
  </w:style>
  <w:style w:type="paragraph" w:styleId="TOC4">
    <w:name w:val="toc 4"/>
    <w:basedOn w:val="HeadingBase"/>
    <w:next w:val="Normal"/>
    <w:uiPriority w:val="2"/>
    <w:unhideWhenUsed/>
    <w:rsid w:val="00BB207D"/>
    <w:pPr>
      <w:tabs>
        <w:tab w:val="right" w:leader="dot" w:pos="7700"/>
      </w:tabs>
      <w:spacing w:before="40"/>
      <w:ind w:right="851"/>
    </w:pPr>
    <w:rPr>
      <w:sz w:val="20"/>
    </w:rPr>
  </w:style>
  <w:style w:type="paragraph" w:styleId="TOC5">
    <w:name w:val="toc 5"/>
    <w:basedOn w:val="Normal"/>
    <w:next w:val="Normal"/>
    <w:autoRedefine/>
    <w:uiPriority w:val="2"/>
    <w:semiHidden/>
    <w:rsid w:val="00BB207D"/>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BB207D"/>
    <w:pPr>
      <w:tabs>
        <w:tab w:val="left" w:pos="851"/>
      </w:tabs>
      <w:ind w:left="851" w:hanging="851"/>
    </w:pPr>
    <w:rPr>
      <w:color w:val="000000"/>
    </w:rPr>
  </w:style>
  <w:style w:type="paragraph" w:styleId="TOC7">
    <w:name w:val="toc 7"/>
    <w:basedOn w:val="Normal"/>
    <w:next w:val="Normal"/>
    <w:autoRedefine/>
    <w:uiPriority w:val="2"/>
    <w:semiHidden/>
    <w:rsid w:val="00BB207D"/>
    <w:pPr>
      <w:ind w:left="1200"/>
    </w:pPr>
  </w:style>
  <w:style w:type="paragraph" w:styleId="TOC8">
    <w:name w:val="toc 8"/>
    <w:basedOn w:val="Normal"/>
    <w:next w:val="Normal"/>
    <w:autoRedefine/>
    <w:uiPriority w:val="2"/>
    <w:semiHidden/>
    <w:rsid w:val="00BB207D"/>
    <w:pPr>
      <w:ind w:left="1400"/>
    </w:pPr>
  </w:style>
  <w:style w:type="paragraph" w:styleId="TOC9">
    <w:name w:val="toc 9"/>
    <w:basedOn w:val="Normal"/>
    <w:next w:val="Normal"/>
    <w:autoRedefine/>
    <w:uiPriority w:val="2"/>
    <w:semiHidden/>
    <w:rsid w:val="00BB207D"/>
    <w:pPr>
      <w:ind w:left="1600"/>
    </w:pPr>
  </w:style>
  <w:style w:type="paragraph" w:customStyle="1" w:styleId="TPHeading1">
    <w:name w:val="TP Heading 1"/>
    <w:basedOn w:val="HeadingBase"/>
    <w:semiHidden/>
    <w:rsid w:val="00242479"/>
    <w:pPr>
      <w:spacing w:before="60" w:after="60"/>
      <w:ind w:left="1134"/>
    </w:pPr>
    <w:rPr>
      <w:rFonts w:ascii="Arial Bold" w:hAnsi="Arial Bold"/>
      <w:b/>
      <w:caps/>
      <w:spacing w:val="-10"/>
      <w:sz w:val="28"/>
    </w:rPr>
  </w:style>
  <w:style w:type="paragraph" w:customStyle="1" w:styleId="TPHeading2">
    <w:name w:val="TP Heading 2"/>
    <w:basedOn w:val="HeadingBase"/>
    <w:semiHidden/>
    <w:rsid w:val="00242479"/>
    <w:pPr>
      <w:ind w:left="1134"/>
    </w:pPr>
    <w:rPr>
      <w:caps/>
      <w:spacing w:val="-10"/>
      <w:sz w:val="28"/>
    </w:rPr>
  </w:style>
  <w:style w:type="paragraph" w:customStyle="1" w:styleId="TPHeading3">
    <w:name w:val="TP Heading 3"/>
    <w:basedOn w:val="HeadingBase"/>
    <w:semiHidden/>
    <w:rsid w:val="00242479"/>
    <w:pPr>
      <w:ind w:left="1134"/>
    </w:pPr>
    <w:rPr>
      <w:caps/>
      <w:spacing w:val="-10"/>
    </w:rPr>
  </w:style>
  <w:style w:type="paragraph" w:customStyle="1" w:styleId="TPHeading3bold">
    <w:name w:val="TP Heading 3 bold"/>
    <w:basedOn w:val="TPHeading3"/>
    <w:semiHidden/>
    <w:rsid w:val="00242479"/>
    <w:rPr>
      <w:rFonts w:cs="Arial"/>
      <w:b/>
      <w:sz w:val="22"/>
      <w:szCs w:val="22"/>
    </w:rPr>
  </w:style>
  <w:style w:type="paragraph" w:customStyle="1" w:styleId="TPHEADING3boldspace">
    <w:name w:val="TP HEADING 3 bold space"/>
    <w:basedOn w:val="TPHeading3bold"/>
    <w:semiHidden/>
    <w:rsid w:val="00242479"/>
    <w:pPr>
      <w:spacing w:after="120"/>
    </w:pPr>
  </w:style>
  <w:style w:type="paragraph" w:customStyle="1" w:styleId="TPHEADING3space">
    <w:name w:val="TP HEADING 3 space"/>
    <w:basedOn w:val="TPHeading3"/>
    <w:semiHidden/>
    <w:rsid w:val="00242479"/>
    <w:pPr>
      <w:spacing w:before="120" w:after="120"/>
    </w:pPr>
    <w:rPr>
      <w:rFonts w:cs="Arial"/>
      <w:sz w:val="22"/>
      <w:szCs w:val="22"/>
    </w:rPr>
  </w:style>
  <w:style w:type="paragraph" w:customStyle="1" w:styleId="TPHeading4">
    <w:name w:val="TP Heading 4"/>
    <w:basedOn w:val="TPHeading3"/>
    <w:semiHidden/>
    <w:rsid w:val="00242479"/>
    <w:rPr>
      <w:sz w:val="20"/>
    </w:rPr>
  </w:style>
  <w:style w:type="paragraph" w:customStyle="1" w:styleId="TPHEADING4space">
    <w:name w:val="TP HEADING 4 space"/>
    <w:basedOn w:val="TPHEADING3space"/>
    <w:semiHidden/>
    <w:rsid w:val="00242479"/>
  </w:style>
  <w:style w:type="paragraph" w:customStyle="1" w:styleId="ChartLine">
    <w:name w:val="Chart Line"/>
    <w:basedOn w:val="Normal"/>
    <w:autoRedefine/>
    <w:qFormat/>
    <w:rsid w:val="00BC4E72"/>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E70282"/>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E404C5"/>
    <w:rPr>
      <w:sz w:val="16"/>
    </w:rPr>
  </w:style>
  <w:style w:type="paragraph" w:customStyle="1" w:styleId="Box-continuedon">
    <w:name w:val="Box - continued on"/>
    <w:basedOn w:val="Normal"/>
    <w:qFormat/>
    <w:rsid w:val="00E404C5"/>
    <w:pPr>
      <w:jc w:val="right"/>
    </w:pPr>
    <w:rPr>
      <w:rFonts w:asciiTheme="majorHAnsi" w:hAnsiTheme="majorHAnsi" w:cstheme="majorHAnsi"/>
      <w:i/>
      <w:iCs/>
      <w:sz w:val="18"/>
      <w:szCs w:val="24"/>
    </w:rPr>
  </w:style>
  <w:style w:type="paragraph" w:customStyle="1" w:styleId="BoxHeading2">
    <w:name w:val="Box Heading 2"/>
    <w:basedOn w:val="BoxHeading"/>
    <w:autoRedefine/>
    <w:rsid w:val="00242479"/>
    <w:pPr>
      <w:spacing w:after="0"/>
    </w:pPr>
    <w:rPr>
      <w:b w:val="0"/>
      <w:bCs/>
      <w:szCs w:val="14"/>
    </w:rPr>
  </w:style>
  <w:style w:type="character" w:customStyle="1" w:styleId="Heading9Char">
    <w:name w:val="Heading 9 Char"/>
    <w:basedOn w:val="DefaultParagraphFont"/>
    <w:link w:val="Heading9"/>
    <w:uiPriority w:val="9"/>
    <w:rsid w:val="00242479"/>
    <w:rPr>
      <w:rFonts w:ascii="Cambria" w:eastAsia="Times New Roman" w:hAnsi="Cambria" w:cs="Times New Roman"/>
      <w:lang w:eastAsia="en-AU"/>
    </w:rPr>
  </w:style>
  <w:style w:type="paragraph" w:customStyle="1" w:styleId="GhostLine">
    <w:name w:val="Ghost Line"/>
    <w:basedOn w:val="NoSpacing"/>
    <w:qFormat/>
    <w:rsid w:val="009D44CF"/>
    <w:pPr>
      <w:jc w:val="both"/>
    </w:pPr>
    <w:rPr>
      <w:rFonts w:ascii="Book Antiqua" w:hAnsi="Book Antiqua"/>
      <w:sz w:val="2"/>
    </w:rPr>
  </w:style>
  <w:style w:type="paragraph" w:styleId="NoSpacing">
    <w:name w:val="No Spacing"/>
    <w:uiPriority w:val="1"/>
    <w:qFormat/>
    <w:rsid w:val="009D44CF"/>
    <w:pPr>
      <w:spacing w:after="0" w:line="240" w:lineRule="auto"/>
    </w:pPr>
    <w:rPr>
      <w:rFonts w:eastAsia="Times New Roman" w:cs="Times New Roman"/>
      <w:sz w:val="19"/>
      <w:szCs w:val="20"/>
      <w:lang w:eastAsia="en-AU"/>
    </w:rPr>
  </w:style>
  <w:style w:type="character" w:customStyle="1" w:styleId="BulletChar">
    <w:name w:val="Bullet Char"/>
    <w:aliases w:val="b Char,b + line Char Char,b Char Char"/>
    <w:link w:val="Bullet"/>
    <w:locked/>
    <w:rsid w:val="00D555FF"/>
    <w:rPr>
      <w:rFonts w:ascii="Book Antiqua" w:eastAsia="Times New Roman" w:hAnsi="Book Antiqua" w:cs="Times New Roman"/>
      <w:sz w:val="19"/>
      <w:szCs w:val="20"/>
      <w:lang w:eastAsia="en-AU"/>
    </w:rPr>
  </w:style>
  <w:style w:type="character" w:customStyle="1" w:styleId="ChartandTableFootnoteAlphaChar">
    <w:name w:val="Chart and Table Footnote Alpha Char"/>
    <w:link w:val="ChartandTableFootnoteAlpha"/>
    <w:locked/>
    <w:rsid w:val="00D555FF"/>
    <w:rPr>
      <w:rFonts w:ascii="Arial" w:eastAsia="Times New Roman" w:hAnsi="Arial" w:cs="Times New Roman"/>
      <w:color w:val="000000"/>
      <w:sz w:val="16"/>
      <w:szCs w:val="20"/>
      <w:lang w:eastAsia="en-AU"/>
    </w:rPr>
  </w:style>
  <w:style w:type="paragraph" w:styleId="Revision">
    <w:name w:val="Revision"/>
    <w:hidden/>
    <w:uiPriority w:val="99"/>
    <w:semiHidden/>
    <w:rsid w:val="00D555FF"/>
    <w:pPr>
      <w:spacing w:after="0" w:line="240" w:lineRule="auto"/>
    </w:pPr>
    <w:rPr>
      <w:rFonts w:eastAsia="Times New Roman" w:cs="Times New Roman"/>
      <w:sz w:val="19"/>
      <w:szCs w:val="20"/>
      <w:lang w:eastAsia="en-AU"/>
    </w:rPr>
  </w:style>
  <w:style w:type="paragraph" w:styleId="NormalWeb">
    <w:name w:val="Normal (Web)"/>
    <w:basedOn w:val="Normal"/>
    <w:uiPriority w:val="99"/>
    <w:semiHidden/>
    <w:unhideWhenUsed/>
    <w:rsid w:val="00D555FF"/>
    <w:rPr>
      <w:rFonts w:ascii="Times New Roman" w:hAnsi="Times New Roman"/>
      <w:sz w:val="24"/>
      <w:szCs w:val="24"/>
    </w:rPr>
  </w:style>
  <w:style w:type="character" w:styleId="UnresolvedMention">
    <w:name w:val="Unresolved Mention"/>
    <w:basedOn w:val="DefaultParagraphFont"/>
    <w:uiPriority w:val="99"/>
    <w:unhideWhenUsed/>
    <w:rsid w:val="00D555FF"/>
    <w:rPr>
      <w:color w:val="605E5C"/>
      <w:shd w:val="clear" w:color="auto" w:fill="E1DFDD"/>
    </w:rPr>
  </w:style>
  <w:style w:type="character" w:styleId="FollowedHyperlink">
    <w:name w:val="FollowedHyperlink"/>
    <w:basedOn w:val="DefaultParagraphFont"/>
    <w:uiPriority w:val="99"/>
    <w:semiHidden/>
    <w:unhideWhenUsed/>
    <w:rsid w:val="00D555FF"/>
    <w:rPr>
      <w:color w:val="E61E26" w:themeColor="followedHyperlink"/>
      <w:u w:val="single"/>
    </w:rPr>
  </w:style>
  <w:style w:type="character" w:styleId="Mention">
    <w:name w:val="Mention"/>
    <w:basedOn w:val="DefaultParagraphFont"/>
    <w:uiPriority w:val="99"/>
    <w:unhideWhenUsed/>
    <w:rsid w:val="00504436"/>
    <w:rPr>
      <w:color w:val="2B579A"/>
      <w:shd w:val="clear" w:color="auto" w:fill="E1DFDD"/>
    </w:rPr>
  </w:style>
  <w:style w:type="paragraph" w:customStyle="1" w:styleId="OutlineNumbered1">
    <w:name w:val="Outline Numbered 1"/>
    <w:basedOn w:val="Normal"/>
    <w:link w:val="OutlineNumbered1Char"/>
    <w:rsid w:val="00B65ADB"/>
    <w:pPr>
      <w:numPr>
        <w:numId w:val="28"/>
      </w:numPr>
    </w:pPr>
  </w:style>
  <w:style w:type="character" w:customStyle="1" w:styleId="OutlineNumbered1Char">
    <w:name w:val="Outline Numbered 1 Char"/>
    <w:basedOn w:val="DefaultParagraphFont"/>
    <w:link w:val="OutlineNumbered1"/>
    <w:rsid w:val="00404061"/>
    <w:rPr>
      <w:rFonts w:ascii="Book Antiqua" w:eastAsia="Times New Roman" w:hAnsi="Book Antiqua" w:cs="Times New Roman"/>
      <w:sz w:val="19"/>
      <w:szCs w:val="20"/>
      <w:lang w:eastAsia="en-AU"/>
    </w:rPr>
  </w:style>
  <w:style w:type="paragraph" w:customStyle="1" w:styleId="OutlineNumbered2">
    <w:name w:val="Outline Numbered 2"/>
    <w:basedOn w:val="Normal"/>
    <w:link w:val="OutlineNumbered2Char"/>
    <w:rsid w:val="00404061"/>
    <w:pPr>
      <w:numPr>
        <w:ilvl w:val="1"/>
        <w:numId w:val="28"/>
      </w:numPr>
    </w:pPr>
  </w:style>
  <w:style w:type="character" w:customStyle="1" w:styleId="OutlineNumbered2Char">
    <w:name w:val="Outline Numbered 2 Char"/>
    <w:basedOn w:val="DefaultParagraphFont"/>
    <w:link w:val="OutlineNumbered2"/>
    <w:rsid w:val="00404061"/>
    <w:rPr>
      <w:rFonts w:ascii="Book Antiqua" w:eastAsia="Times New Roman" w:hAnsi="Book Antiqua" w:cs="Times New Roman"/>
      <w:sz w:val="19"/>
      <w:szCs w:val="20"/>
      <w:lang w:eastAsia="en-AU"/>
    </w:rPr>
  </w:style>
  <w:style w:type="paragraph" w:customStyle="1" w:styleId="OutlineNumbered3">
    <w:name w:val="Outline Numbered 3"/>
    <w:basedOn w:val="Normal"/>
    <w:link w:val="OutlineNumbered3Char"/>
    <w:rsid w:val="00404061"/>
    <w:pPr>
      <w:numPr>
        <w:ilvl w:val="2"/>
        <w:numId w:val="28"/>
      </w:numPr>
    </w:pPr>
  </w:style>
  <w:style w:type="character" w:customStyle="1" w:styleId="OutlineNumbered3Char">
    <w:name w:val="Outline Numbered 3 Char"/>
    <w:basedOn w:val="DefaultParagraphFont"/>
    <w:link w:val="OutlineNumbered3"/>
    <w:rsid w:val="00404061"/>
    <w:rPr>
      <w:rFonts w:ascii="Book Antiqua" w:eastAsia="Times New Roman" w:hAnsi="Book Antiqua" w:cs="Times New Roman"/>
      <w:sz w:val="19"/>
      <w:szCs w:val="20"/>
      <w:lang w:eastAsia="en-AU"/>
    </w:rPr>
  </w:style>
  <w:style w:type="character" w:customStyle="1" w:styleId="ui-provider">
    <w:name w:val="ui-provider"/>
    <w:basedOn w:val="DefaultParagraphFont"/>
    <w:rsid w:val="00EE2EC9"/>
  </w:style>
  <w:style w:type="character" w:styleId="Emphasis">
    <w:name w:val="Emphasis"/>
    <w:basedOn w:val="DefaultParagraphFont"/>
    <w:uiPriority w:val="20"/>
    <w:rsid w:val="002F3A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2983">
      <w:bodyDiv w:val="1"/>
      <w:marLeft w:val="0"/>
      <w:marRight w:val="0"/>
      <w:marTop w:val="0"/>
      <w:marBottom w:val="0"/>
      <w:divBdr>
        <w:top w:val="none" w:sz="0" w:space="0" w:color="auto"/>
        <w:left w:val="none" w:sz="0" w:space="0" w:color="auto"/>
        <w:bottom w:val="none" w:sz="0" w:space="0" w:color="auto"/>
        <w:right w:val="none" w:sz="0" w:space="0" w:color="auto"/>
      </w:divBdr>
    </w:div>
    <w:div w:id="110320958">
      <w:bodyDiv w:val="1"/>
      <w:marLeft w:val="0"/>
      <w:marRight w:val="0"/>
      <w:marTop w:val="0"/>
      <w:marBottom w:val="0"/>
      <w:divBdr>
        <w:top w:val="none" w:sz="0" w:space="0" w:color="auto"/>
        <w:left w:val="none" w:sz="0" w:space="0" w:color="auto"/>
        <w:bottom w:val="none" w:sz="0" w:space="0" w:color="auto"/>
        <w:right w:val="none" w:sz="0" w:space="0" w:color="auto"/>
      </w:divBdr>
    </w:div>
    <w:div w:id="126557982">
      <w:bodyDiv w:val="1"/>
      <w:marLeft w:val="0"/>
      <w:marRight w:val="0"/>
      <w:marTop w:val="0"/>
      <w:marBottom w:val="0"/>
      <w:divBdr>
        <w:top w:val="none" w:sz="0" w:space="0" w:color="auto"/>
        <w:left w:val="none" w:sz="0" w:space="0" w:color="auto"/>
        <w:bottom w:val="none" w:sz="0" w:space="0" w:color="auto"/>
        <w:right w:val="none" w:sz="0" w:space="0" w:color="auto"/>
      </w:divBdr>
    </w:div>
    <w:div w:id="150096898">
      <w:bodyDiv w:val="1"/>
      <w:marLeft w:val="0"/>
      <w:marRight w:val="0"/>
      <w:marTop w:val="0"/>
      <w:marBottom w:val="0"/>
      <w:divBdr>
        <w:top w:val="none" w:sz="0" w:space="0" w:color="auto"/>
        <w:left w:val="none" w:sz="0" w:space="0" w:color="auto"/>
        <w:bottom w:val="none" w:sz="0" w:space="0" w:color="auto"/>
        <w:right w:val="none" w:sz="0" w:space="0" w:color="auto"/>
      </w:divBdr>
    </w:div>
    <w:div w:id="239564417">
      <w:bodyDiv w:val="1"/>
      <w:marLeft w:val="0"/>
      <w:marRight w:val="0"/>
      <w:marTop w:val="0"/>
      <w:marBottom w:val="0"/>
      <w:divBdr>
        <w:top w:val="none" w:sz="0" w:space="0" w:color="auto"/>
        <w:left w:val="none" w:sz="0" w:space="0" w:color="auto"/>
        <w:bottom w:val="none" w:sz="0" w:space="0" w:color="auto"/>
        <w:right w:val="none" w:sz="0" w:space="0" w:color="auto"/>
      </w:divBdr>
    </w:div>
    <w:div w:id="315113382">
      <w:bodyDiv w:val="1"/>
      <w:marLeft w:val="0"/>
      <w:marRight w:val="0"/>
      <w:marTop w:val="0"/>
      <w:marBottom w:val="0"/>
      <w:divBdr>
        <w:top w:val="none" w:sz="0" w:space="0" w:color="auto"/>
        <w:left w:val="none" w:sz="0" w:space="0" w:color="auto"/>
        <w:bottom w:val="none" w:sz="0" w:space="0" w:color="auto"/>
        <w:right w:val="none" w:sz="0" w:space="0" w:color="auto"/>
      </w:divBdr>
    </w:div>
    <w:div w:id="319768737">
      <w:bodyDiv w:val="1"/>
      <w:marLeft w:val="0"/>
      <w:marRight w:val="0"/>
      <w:marTop w:val="0"/>
      <w:marBottom w:val="0"/>
      <w:divBdr>
        <w:top w:val="none" w:sz="0" w:space="0" w:color="auto"/>
        <w:left w:val="none" w:sz="0" w:space="0" w:color="auto"/>
        <w:bottom w:val="none" w:sz="0" w:space="0" w:color="auto"/>
        <w:right w:val="none" w:sz="0" w:space="0" w:color="auto"/>
      </w:divBdr>
    </w:div>
    <w:div w:id="337732760">
      <w:bodyDiv w:val="1"/>
      <w:marLeft w:val="0"/>
      <w:marRight w:val="0"/>
      <w:marTop w:val="0"/>
      <w:marBottom w:val="0"/>
      <w:divBdr>
        <w:top w:val="none" w:sz="0" w:space="0" w:color="auto"/>
        <w:left w:val="none" w:sz="0" w:space="0" w:color="auto"/>
        <w:bottom w:val="none" w:sz="0" w:space="0" w:color="auto"/>
        <w:right w:val="none" w:sz="0" w:space="0" w:color="auto"/>
      </w:divBdr>
    </w:div>
    <w:div w:id="369889348">
      <w:bodyDiv w:val="1"/>
      <w:marLeft w:val="0"/>
      <w:marRight w:val="0"/>
      <w:marTop w:val="0"/>
      <w:marBottom w:val="0"/>
      <w:divBdr>
        <w:top w:val="none" w:sz="0" w:space="0" w:color="auto"/>
        <w:left w:val="none" w:sz="0" w:space="0" w:color="auto"/>
        <w:bottom w:val="none" w:sz="0" w:space="0" w:color="auto"/>
        <w:right w:val="none" w:sz="0" w:space="0" w:color="auto"/>
      </w:divBdr>
    </w:div>
    <w:div w:id="476144552">
      <w:bodyDiv w:val="1"/>
      <w:marLeft w:val="0"/>
      <w:marRight w:val="0"/>
      <w:marTop w:val="0"/>
      <w:marBottom w:val="0"/>
      <w:divBdr>
        <w:top w:val="none" w:sz="0" w:space="0" w:color="auto"/>
        <w:left w:val="none" w:sz="0" w:space="0" w:color="auto"/>
        <w:bottom w:val="none" w:sz="0" w:space="0" w:color="auto"/>
        <w:right w:val="none" w:sz="0" w:space="0" w:color="auto"/>
      </w:divBdr>
    </w:div>
    <w:div w:id="573243597">
      <w:bodyDiv w:val="1"/>
      <w:marLeft w:val="0"/>
      <w:marRight w:val="0"/>
      <w:marTop w:val="0"/>
      <w:marBottom w:val="0"/>
      <w:divBdr>
        <w:top w:val="none" w:sz="0" w:space="0" w:color="auto"/>
        <w:left w:val="none" w:sz="0" w:space="0" w:color="auto"/>
        <w:bottom w:val="none" w:sz="0" w:space="0" w:color="auto"/>
        <w:right w:val="none" w:sz="0" w:space="0" w:color="auto"/>
      </w:divBdr>
    </w:div>
    <w:div w:id="584799838">
      <w:bodyDiv w:val="1"/>
      <w:marLeft w:val="0"/>
      <w:marRight w:val="0"/>
      <w:marTop w:val="0"/>
      <w:marBottom w:val="0"/>
      <w:divBdr>
        <w:top w:val="none" w:sz="0" w:space="0" w:color="auto"/>
        <w:left w:val="none" w:sz="0" w:space="0" w:color="auto"/>
        <w:bottom w:val="none" w:sz="0" w:space="0" w:color="auto"/>
        <w:right w:val="none" w:sz="0" w:space="0" w:color="auto"/>
      </w:divBdr>
    </w:div>
    <w:div w:id="590314020">
      <w:bodyDiv w:val="1"/>
      <w:marLeft w:val="0"/>
      <w:marRight w:val="0"/>
      <w:marTop w:val="0"/>
      <w:marBottom w:val="0"/>
      <w:divBdr>
        <w:top w:val="none" w:sz="0" w:space="0" w:color="auto"/>
        <w:left w:val="none" w:sz="0" w:space="0" w:color="auto"/>
        <w:bottom w:val="none" w:sz="0" w:space="0" w:color="auto"/>
        <w:right w:val="none" w:sz="0" w:space="0" w:color="auto"/>
      </w:divBdr>
    </w:div>
    <w:div w:id="631594952">
      <w:bodyDiv w:val="1"/>
      <w:marLeft w:val="0"/>
      <w:marRight w:val="0"/>
      <w:marTop w:val="0"/>
      <w:marBottom w:val="0"/>
      <w:divBdr>
        <w:top w:val="none" w:sz="0" w:space="0" w:color="auto"/>
        <w:left w:val="none" w:sz="0" w:space="0" w:color="auto"/>
        <w:bottom w:val="none" w:sz="0" w:space="0" w:color="auto"/>
        <w:right w:val="none" w:sz="0" w:space="0" w:color="auto"/>
      </w:divBdr>
    </w:div>
    <w:div w:id="635138848">
      <w:bodyDiv w:val="1"/>
      <w:marLeft w:val="0"/>
      <w:marRight w:val="0"/>
      <w:marTop w:val="0"/>
      <w:marBottom w:val="0"/>
      <w:divBdr>
        <w:top w:val="none" w:sz="0" w:space="0" w:color="auto"/>
        <w:left w:val="none" w:sz="0" w:space="0" w:color="auto"/>
        <w:bottom w:val="none" w:sz="0" w:space="0" w:color="auto"/>
        <w:right w:val="none" w:sz="0" w:space="0" w:color="auto"/>
      </w:divBdr>
    </w:div>
    <w:div w:id="646908000">
      <w:bodyDiv w:val="1"/>
      <w:marLeft w:val="0"/>
      <w:marRight w:val="0"/>
      <w:marTop w:val="0"/>
      <w:marBottom w:val="0"/>
      <w:divBdr>
        <w:top w:val="none" w:sz="0" w:space="0" w:color="auto"/>
        <w:left w:val="none" w:sz="0" w:space="0" w:color="auto"/>
        <w:bottom w:val="none" w:sz="0" w:space="0" w:color="auto"/>
        <w:right w:val="none" w:sz="0" w:space="0" w:color="auto"/>
      </w:divBdr>
    </w:div>
    <w:div w:id="686249556">
      <w:bodyDiv w:val="1"/>
      <w:marLeft w:val="0"/>
      <w:marRight w:val="0"/>
      <w:marTop w:val="0"/>
      <w:marBottom w:val="0"/>
      <w:divBdr>
        <w:top w:val="none" w:sz="0" w:space="0" w:color="auto"/>
        <w:left w:val="none" w:sz="0" w:space="0" w:color="auto"/>
        <w:bottom w:val="none" w:sz="0" w:space="0" w:color="auto"/>
        <w:right w:val="none" w:sz="0" w:space="0" w:color="auto"/>
      </w:divBdr>
    </w:div>
    <w:div w:id="726533655">
      <w:bodyDiv w:val="1"/>
      <w:marLeft w:val="0"/>
      <w:marRight w:val="0"/>
      <w:marTop w:val="0"/>
      <w:marBottom w:val="0"/>
      <w:divBdr>
        <w:top w:val="none" w:sz="0" w:space="0" w:color="auto"/>
        <w:left w:val="none" w:sz="0" w:space="0" w:color="auto"/>
        <w:bottom w:val="none" w:sz="0" w:space="0" w:color="auto"/>
        <w:right w:val="none" w:sz="0" w:space="0" w:color="auto"/>
      </w:divBdr>
    </w:div>
    <w:div w:id="738941850">
      <w:bodyDiv w:val="1"/>
      <w:marLeft w:val="0"/>
      <w:marRight w:val="0"/>
      <w:marTop w:val="0"/>
      <w:marBottom w:val="0"/>
      <w:divBdr>
        <w:top w:val="none" w:sz="0" w:space="0" w:color="auto"/>
        <w:left w:val="none" w:sz="0" w:space="0" w:color="auto"/>
        <w:bottom w:val="none" w:sz="0" w:space="0" w:color="auto"/>
        <w:right w:val="none" w:sz="0" w:space="0" w:color="auto"/>
      </w:divBdr>
    </w:div>
    <w:div w:id="755056217">
      <w:bodyDiv w:val="1"/>
      <w:marLeft w:val="0"/>
      <w:marRight w:val="0"/>
      <w:marTop w:val="0"/>
      <w:marBottom w:val="0"/>
      <w:divBdr>
        <w:top w:val="none" w:sz="0" w:space="0" w:color="auto"/>
        <w:left w:val="none" w:sz="0" w:space="0" w:color="auto"/>
        <w:bottom w:val="none" w:sz="0" w:space="0" w:color="auto"/>
        <w:right w:val="none" w:sz="0" w:space="0" w:color="auto"/>
      </w:divBdr>
    </w:div>
    <w:div w:id="789587021">
      <w:bodyDiv w:val="1"/>
      <w:marLeft w:val="0"/>
      <w:marRight w:val="0"/>
      <w:marTop w:val="0"/>
      <w:marBottom w:val="0"/>
      <w:divBdr>
        <w:top w:val="none" w:sz="0" w:space="0" w:color="auto"/>
        <w:left w:val="none" w:sz="0" w:space="0" w:color="auto"/>
        <w:bottom w:val="none" w:sz="0" w:space="0" w:color="auto"/>
        <w:right w:val="none" w:sz="0" w:space="0" w:color="auto"/>
      </w:divBdr>
    </w:div>
    <w:div w:id="822550429">
      <w:bodyDiv w:val="1"/>
      <w:marLeft w:val="0"/>
      <w:marRight w:val="0"/>
      <w:marTop w:val="0"/>
      <w:marBottom w:val="0"/>
      <w:divBdr>
        <w:top w:val="none" w:sz="0" w:space="0" w:color="auto"/>
        <w:left w:val="none" w:sz="0" w:space="0" w:color="auto"/>
        <w:bottom w:val="none" w:sz="0" w:space="0" w:color="auto"/>
        <w:right w:val="none" w:sz="0" w:space="0" w:color="auto"/>
      </w:divBdr>
    </w:div>
    <w:div w:id="870454938">
      <w:bodyDiv w:val="1"/>
      <w:marLeft w:val="0"/>
      <w:marRight w:val="0"/>
      <w:marTop w:val="0"/>
      <w:marBottom w:val="0"/>
      <w:divBdr>
        <w:top w:val="none" w:sz="0" w:space="0" w:color="auto"/>
        <w:left w:val="none" w:sz="0" w:space="0" w:color="auto"/>
        <w:bottom w:val="none" w:sz="0" w:space="0" w:color="auto"/>
        <w:right w:val="none" w:sz="0" w:space="0" w:color="auto"/>
      </w:divBdr>
    </w:div>
    <w:div w:id="922185779">
      <w:bodyDiv w:val="1"/>
      <w:marLeft w:val="0"/>
      <w:marRight w:val="0"/>
      <w:marTop w:val="0"/>
      <w:marBottom w:val="0"/>
      <w:divBdr>
        <w:top w:val="none" w:sz="0" w:space="0" w:color="auto"/>
        <w:left w:val="none" w:sz="0" w:space="0" w:color="auto"/>
        <w:bottom w:val="none" w:sz="0" w:space="0" w:color="auto"/>
        <w:right w:val="none" w:sz="0" w:space="0" w:color="auto"/>
      </w:divBdr>
    </w:div>
    <w:div w:id="1025904031">
      <w:bodyDiv w:val="1"/>
      <w:marLeft w:val="0"/>
      <w:marRight w:val="0"/>
      <w:marTop w:val="0"/>
      <w:marBottom w:val="0"/>
      <w:divBdr>
        <w:top w:val="none" w:sz="0" w:space="0" w:color="auto"/>
        <w:left w:val="none" w:sz="0" w:space="0" w:color="auto"/>
        <w:bottom w:val="none" w:sz="0" w:space="0" w:color="auto"/>
        <w:right w:val="none" w:sz="0" w:space="0" w:color="auto"/>
      </w:divBdr>
    </w:div>
    <w:div w:id="1036156135">
      <w:bodyDiv w:val="1"/>
      <w:marLeft w:val="0"/>
      <w:marRight w:val="0"/>
      <w:marTop w:val="0"/>
      <w:marBottom w:val="0"/>
      <w:divBdr>
        <w:top w:val="none" w:sz="0" w:space="0" w:color="auto"/>
        <w:left w:val="none" w:sz="0" w:space="0" w:color="auto"/>
        <w:bottom w:val="none" w:sz="0" w:space="0" w:color="auto"/>
        <w:right w:val="none" w:sz="0" w:space="0" w:color="auto"/>
      </w:divBdr>
    </w:div>
    <w:div w:id="1065488183">
      <w:bodyDiv w:val="1"/>
      <w:marLeft w:val="0"/>
      <w:marRight w:val="0"/>
      <w:marTop w:val="0"/>
      <w:marBottom w:val="0"/>
      <w:divBdr>
        <w:top w:val="none" w:sz="0" w:space="0" w:color="auto"/>
        <w:left w:val="none" w:sz="0" w:space="0" w:color="auto"/>
        <w:bottom w:val="none" w:sz="0" w:space="0" w:color="auto"/>
        <w:right w:val="none" w:sz="0" w:space="0" w:color="auto"/>
      </w:divBdr>
    </w:div>
    <w:div w:id="1128009446">
      <w:bodyDiv w:val="1"/>
      <w:marLeft w:val="0"/>
      <w:marRight w:val="0"/>
      <w:marTop w:val="0"/>
      <w:marBottom w:val="0"/>
      <w:divBdr>
        <w:top w:val="none" w:sz="0" w:space="0" w:color="auto"/>
        <w:left w:val="none" w:sz="0" w:space="0" w:color="auto"/>
        <w:bottom w:val="none" w:sz="0" w:space="0" w:color="auto"/>
        <w:right w:val="none" w:sz="0" w:space="0" w:color="auto"/>
      </w:divBdr>
    </w:div>
    <w:div w:id="1163937905">
      <w:bodyDiv w:val="1"/>
      <w:marLeft w:val="0"/>
      <w:marRight w:val="0"/>
      <w:marTop w:val="0"/>
      <w:marBottom w:val="0"/>
      <w:divBdr>
        <w:top w:val="none" w:sz="0" w:space="0" w:color="auto"/>
        <w:left w:val="none" w:sz="0" w:space="0" w:color="auto"/>
        <w:bottom w:val="none" w:sz="0" w:space="0" w:color="auto"/>
        <w:right w:val="none" w:sz="0" w:space="0" w:color="auto"/>
      </w:divBdr>
    </w:div>
    <w:div w:id="1264143914">
      <w:bodyDiv w:val="1"/>
      <w:marLeft w:val="0"/>
      <w:marRight w:val="0"/>
      <w:marTop w:val="0"/>
      <w:marBottom w:val="0"/>
      <w:divBdr>
        <w:top w:val="none" w:sz="0" w:space="0" w:color="auto"/>
        <w:left w:val="none" w:sz="0" w:space="0" w:color="auto"/>
        <w:bottom w:val="none" w:sz="0" w:space="0" w:color="auto"/>
        <w:right w:val="none" w:sz="0" w:space="0" w:color="auto"/>
      </w:divBdr>
    </w:div>
    <w:div w:id="1368798203">
      <w:bodyDiv w:val="1"/>
      <w:marLeft w:val="0"/>
      <w:marRight w:val="0"/>
      <w:marTop w:val="0"/>
      <w:marBottom w:val="0"/>
      <w:divBdr>
        <w:top w:val="none" w:sz="0" w:space="0" w:color="auto"/>
        <w:left w:val="none" w:sz="0" w:space="0" w:color="auto"/>
        <w:bottom w:val="none" w:sz="0" w:space="0" w:color="auto"/>
        <w:right w:val="none" w:sz="0" w:space="0" w:color="auto"/>
      </w:divBdr>
    </w:div>
    <w:div w:id="1398895455">
      <w:bodyDiv w:val="1"/>
      <w:marLeft w:val="0"/>
      <w:marRight w:val="0"/>
      <w:marTop w:val="0"/>
      <w:marBottom w:val="0"/>
      <w:divBdr>
        <w:top w:val="none" w:sz="0" w:space="0" w:color="auto"/>
        <w:left w:val="none" w:sz="0" w:space="0" w:color="auto"/>
        <w:bottom w:val="none" w:sz="0" w:space="0" w:color="auto"/>
        <w:right w:val="none" w:sz="0" w:space="0" w:color="auto"/>
      </w:divBdr>
    </w:div>
    <w:div w:id="1474328469">
      <w:bodyDiv w:val="1"/>
      <w:marLeft w:val="0"/>
      <w:marRight w:val="0"/>
      <w:marTop w:val="0"/>
      <w:marBottom w:val="0"/>
      <w:divBdr>
        <w:top w:val="none" w:sz="0" w:space="0" w:color="auto"/>
        <w:left w:val="none" w:sz="0" w:space="0" w:color="auto"/>
        <w:bottom w:val="none" w:sz="0" w:space="0" w:color="auto"/>
        <w:right w:val="none" w:sz="0" w:space="0" w:color="auto"/>
      </w:divBdr>
    </w:div>
    <w:div w:id="1590234856">
      <w:bodyDiv w:val="1"/>
      <w:marLeft w:val="0"/>
      <w:marRight w:val="0"/>
      <w:marTop w:val="0"/>
      <w:marBottom w:val="0"/>
      <w:divBdr>
        <w:top w:val="none" w:sz="0" w:space="0" w:color="auto"/>
        <w:left w:val="none" w:sz="0" w:space="0" w:color="auto"/>
        <w:bottom w:val="none" w:sz="0" w:space="0" w:color="auto"/>
        <w:right w:val="none" w:sz="0" w:space="0" w:color="auto"/>
      </w:divBdr>
    </w:div>
    <w:div w:id="1659728381">
      <w:bodyDiv w:val="1"/>
      <w:marLeft w:val="0"/>
      <w:marRight w:val="0"/>
      <w:marTop w:val="0"/>
      <w:marBottom w:val="0"/>
      <w:divBdr>
        <w:top w:val="none" w:sz="0" w:space="0" w:color="auto"/>
        <w:left w:val="none" w:sz="0" w:space="0" w:color="auto"/>
        <w:bottom w:val="none" w:sz="0" w:space="0" w:color="auto"/>
        <w:right w:val="none" w:sz="0" w:space="0" w:color="auto"/>
      </w:divBdr>
    </w:div>
    <w:div w:id="1666662697">
      <w:bodyDiv w:val="1"/>
      <w:marLeft w:val="0"/>
      <w:marRight w:val="0"/>
      <w:marTop w:val="0"/>
      <w:marBottom w:val="0"/>
      <w:divBdr>
        <w:top w:val="none" w:sz="0" w:space="0" w:color="auto"/>
        <w:left w:val="none" w:sz="0" w:space="0" w:color="auto"/>
        <w:bottom w:val="none" w:sz="0" w:space="0" w:color="auto"/>
        <w:right w:val="none" w:sz="0" w:space="0" w:color="auto"/>
      </w:divBdr>
    </w:div>
    <w:div w:id="1788348921">
      <w:bodyDiv w:val="1"/>
      <w:marLeft w:val="0"/>
      <w:marRight w:val="0"/>
      <w:marTop w:val="0"/>
      <w:marBottom w:val="0"/>
      <w:divBdr>
        <w:top w:val="none" w:sz="0" w:space="0" w:color="auto"/>
        <w:left w:val="none" w:sz="0" w:space="0" w:color="auto"/>
        <w:bottom w:val="none" w:sz="0" w:space="0" w:color="auto"/>
        <w:right w:val="none" w:sz="0" w:space="0" w:color="auto"/>
      </w:divBdr>
    </w:div>
    <w:div w:id="1842115616">
      <w:bodyDiv w:val="1"/>
      <w:marLeft w:val="0"/>
      <w:marRight w:val="0"/>
      <w:marTop w:val="0"/>
      <w:marBottom w:val="0"/>
      <w:divBdr>
        <w:top w:val="none" w:sz="0" w:space="0" w:color="auto"/>
        <w:left w:val="none" w:sz="0" w:space="0" w:color="auto"/>
        <w:bottom w:val="none" w:sz="0" w:space="0" w:color="auto"/>
        <w:right w:val="none" w:sz="0" w:space="0" w:color="auto"/>
      </w:divBdr>
    </w:div>
    <w:div w:id="1885365527">
      <w:bodyDiv w:val="1"/>
      <w:marLeft w:val="0"/>
      <w:marRight w:val="0"/>
      <w:marTop w:val="0"/>
      <w:marBottom w:val="0"/>
      <w:divBdr>
        <w:top w:val="none" w:sz="0" w:space="0" w:color="auto"/>
        <w:left w:val="none" w:sz="0" w:space="0" w:color="auto"/>
        <w:bottom w:val="none" w:sz="0" w:space="0" w:color="auto"/>
        <w:right w:val="none" w:sz="0" w:space="0" w:color="auto"/>
      </w:divBdr>
    </w:div>
    <w:div w:id="1897736695">
      <w:bodyDiv w:val="1"/>
      <w:marLeft w:val="0"/>
      <w:marRight w:val="0"/>
      <w:marTop w:val="0"/>
      <w:marBottom w:val="0"/>
      <w:divBdr>
        <w:top w:val="none" w:sz="0" w:space="0" w:color="auto"/>
        <w:left w:val="none" w:sz="0" w:space="0" w:color="auto"/>
        <w:bottom w:val="none" w:sz="0" w:space="0" w:color="auto"/>
        <w:right w:val="none" w:sz="0" w:space="0" w:color="auto"/>
      </w:divBdr>
    </w:div>
    <w:div w:id="1970166928">
      <w:bodyDiv w:val="1"/>
      <w:marLeft w:val="0"/>
      <w:marRight w:val="0"/>
      <w:marTop w:val="0"/>
      <w:marBottom w:val="0"/>
      <w:divBdr>
        <w:top w:val="none" w:sz="0" w:space="0" w:color="auto"/>
        <w:left w:val="none" w:sz="0" w:space="0" w:color="auto"/>
        <w:bottom w:val="none" w:sz="0" w:space="0" w:color="auto"/>
        <w:right w:val="none" w:sz="0" w:space="0" w:color="auto"/>
      </w:divBdr>
    </w:div>
    <w:div w:id="207731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Budget%20Template.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Budget">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8" ma:contentTypeDescription="Create a new document." ma:contentTypeScope="" ma:versionID="7571fde376dbe1ffea08831cec20a6be">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3b7f4dd7f9a17a6f45efef350b3b244b"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MediaServiceMetadata" minOccurs="0"/>
                <xsd:element ref="ns2:MediaServiceFastMetadata" minOccurs="0"/>
                <xsd:element ref="ns2:MediaServiceAutoKeyPoints" minOccurs="0"/>
                <xsd:element ref="ns2:MediaServiceKeyPoints" minOccurs="0"/>
                <xsd:element ref="ns2:Status" minOccurs="0"/>
                <xsd:element ref="ns2:Note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_Flow_SignoffStatus" minOccurs="0"/>
                <xsd:element ref="ns2:MediaLengthInSeconds" minOccurs="0"/>
                <xsd:element ref="ns2:lcf76f155ced4ddcb4097134ff3c332f" minOccurs="0"/>
                <xsd:element ref="ns3:TaxCatchAll" minOccurs="0"/>
                <xsd:element ref="ns3:Date_x005f_x0020_of_x005f_x0020_Creation" minOccurs="0"/>
                <xsd:element ref="ns2:MediaServiceObjectDetectorVersions" minOccurs="0"/>
                <xsd:element ref="ns2:MediaServiceSearchProperties" minOccurs="0"/>
                <xsd:element ref="ns2:MudmapEVID" minOccurs="0"/>
                <xsd:element ref="ns2:Lett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Status" ma:index="12" nillable="true" ma:displayName="Status" ma:format="Dropdown" ma:hidden="true"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13" nillable="true" ma:displayName="Notes" ma:format="Dropdown" ma:hidden="true" ma:internalName="Notes" ma:readOnly="fals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_Flow_SignoffStatus" ma:index="24" nillable="true" ma:displayName="Sign-off status" ma:format="Dropdown" ma:hidden="true" ma:internalName="Sign_x002d_off_x0020_status">
      <xsd:simpleType>
        <xsd:restriction base="dms:Text">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udmapEVID" ma:index="33" nillable="true" ma:displayName="Mudmap EV ID" ma:description="This is the ID in column A of the live Mudmap" ma:format="Dropdown" ma:internalName="MudmapEVID">
      <xsd:simpleType>
        <xsd:restriction base="dms:Text">
          <xsd:maxLength value="255"/>
        </xsd:restriction>
      </xsd:simpleType>
    </xsd:element>
    <xsd:element name="LetterID" ma:index="34" nillable="true" ma:displayName="Letter ID" ma:format="Dropdown" ma:internalName="Lett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element name="Date_x005f_x0020_of_x005f_x0020_Creation" ma:index="30" nillable="true" ma:displayName="Date of Creation" ma:format="DateOnly" ma:internalName="Date_x0020_of_x0020_Cre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9115ddca-c623-419f-a3c0-6a1c58c4dac8" xsi:nil="true"/>
    <_ip_UnifiedCompliancePolicyProperties xmlns="http://schemas.microsoft.com/sharepoint/v3" xsi:nil="true"/>
    <MudmapEVID xmlns="9115ddca-c623-419f-a3c0-6a1c58c4dac8" xsi:nil="true"/>
    <TaxCatchAll xmlns="244fe85f-b655-4145-9b20-543b75dc1c24" xsi:nil="true"/>
    <Status xmlns="9115ddca-c623-419f-a3c0-6a1c58c4dac8" xsi:nil="true"/>
    <lcf76f155ced4ddcb4097134ff3c332f xmlns="9115ddca-c623-419f-a3c0-6a1c58c4dac8">
      <Terms xmlns="http://schemas.microsoft.com/office/infopath/2007/PartnerControls"/>
    </lcf76f155ced4ddcb4097134ff3c332f>
    <Notes xmlns="9115ddca-c623-419f-a3c0-6a1c58c4dac8" xsi:nil="true"/>
    <Date_x005f_x0020_of_x005f_x0020_Creation xmlns="244fe85f-b655-4145-9b20-543b75dc1c24" xsi:nil="true"/>
    <Image xmlns="9115ddca-c623-419f-a3c0-6a1c58c4dac8" xsi:nil="true"/>
    <LetterID xmlns="9115ddca-c623-419f-a3c0-6a1c58c4dac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5E8FBF-1CAB-43B0-8DA6-79A98BA37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3B494-7205-4309-A58C-9FF2D971EF03}">
  <ds:schemaRefs>
    <ds:schemaRef ds:uri="http://schemas.openxmlformats.org/officeDocument/2006/bibliography"/>
  </ds:schemaRefs>
</ds:datastoreItem>
</file>

<file path=customXml/itemProps3.xml><?xml version="1.0" encoding="utf-8"?>
<ds:datastoreItem xmlns:ds="http://schemas.openxmlformats.org/officeDocument/2006/customXml" ds:itemID="{C55C709C-18C7-4E3D-AF79-65B5E9090778}">
  <ds:schemaRefs>
    <ds:schemaRef ds:uri="http://www.w3.org/XML/1998/namespace"/>
    <ds:schemaRef ds:uri="http://schemas.microsoft.com/sharepoint/v3"/>
    <ds:schemaRef ds:uri="http://purl.org/dc/elements/1.1/"/>
    <ds:schemaRef ds:uri="http://schemas.microsoft.com/office/infopath/2007/PartnerControls"/>
    <ds:schemaRef ds:uri="http://purl.org/dc/terms/"/>
    <ds:schemaRef ds:uri="9115ddca-c623-419f-a3c0-6a1c58c4dac8"/>
    <ds:schemaRef ds:uri="244fe85f-b655-4145-9b20-543b75dc1c24"/>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4D53CA8-B682-4F91-B095-95235ED372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Budget Template.dotm</Template>
  <TotalTime>350</TotalTime>
  <Pages>7</Pages>
  <Words>2590</Words>
  <Characters>13729</Characters>
  <Application>Microsoft Office Word</Application>
  <DocSecurity>0</DocSecurity>
  <Lines>625</Lines>
  <Paragraphs>432</Paragraphs>
  <ScaleCrop>false</ScaleCrop>
  <HeadingPairs>
    <vt:vector size="2" baseType="variant">
      <vt:variant>
        <vt:lpstr>Title</vt:lpstr>
      </vt:variant>
      <vt:variant>
        <vt:i4>1</vt:i4>
      </vt:variant>
    </vt:vector>
  </HeadingPairs>
  <TitlesOfParts>
    <vt:vector size="1" baseType="lpstr">
      <vt:lpstr>Budget Paper No. 3</vt:lpstr>
    </vt:vector>
  </TitlesOfParts>
  <Company/>
  <LinksUpToDate>false</LinksUpToDate>
  <CharactersWithSpaces>15921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Paper No. 3</dc:title>
  <dc:subject>Part 3: General revenue assistance</dc:subject>
  <dc:creator>Australian Government</dc:creator>
  <cp:keywords/>
  <dc:description/>
  <cp:lastModifiedBy>Hill, Christine</cp:lastModifiedBy>
  <cp:revision>215</cp:revision>
  <cp:lastPrinted>2024-05-11T13:55:00Z</cp:lastPrinted>
  <dcterms:created xsi:type="dcterms:W3CDTF">2024-03-03T03:36:00Z</dcterms:created>
  <dcterms:modified xsi:type="dcterms:W3CDTF">2024-05-13T02:00:00Z</dcterms:modified>
</cp:coreProperties>
</file>