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782F" w14:textId="65101BD5" w:rsidR="00E6789E" w:rsidRPr="009355BF" w:rsidRDefault="00E6789E" w:rsidP="00E6789E">
      <w:pPr>
        <w:pStyle w:val="Heading1"/>
      </w:pPr>
      <w:r w:rsidRPr="009355BF">
        <w:t>Appendix A: Parameters and further information</w:t>
      </w:r>
    </w:p>
    <w:p w14:paraId="001B9964" w14:textId="77777777" w:rsidR="00E6789E" w:rsidRPr="009355BF" w:rsidRDefault="00E6789E" w:rsidP="00E6789E">
      <w:pPr>
        <w:rPr>
          <w:b/>
        </w:rPr>
      </w:pPr>
      <w:bookmarkStart w:id="0" w:name="_Toc4765155"/>
      <w:bookmarkStart w:id="1" w:name="_Toc4764872"/>
      <w:r w:rsidRPr="009355BF">
        <w:t>This appendix provides information on the parameters used in producing this Budget Paper.</w:t>
      </w:r>
    </w:p>
    <w:p w14:paraId="3DD83D89" w14:textId="2EF04A84" w:rsidR="00E6789E" w:rsidRPr="009355BF" w:rsidRDefault="00E6789E" w:rsidP="00E6789E">
      <w:pPr>
        <w:rPr>
          <w:b/>
        </w:rPr>
      </w:pPr>
      <w:r w:rsidRPr="009355BF">
        <w:t xml:space="preserve">Budget Paper No. 1, </w:t>
      </w:r>
      <w:r w:rsidRPr="009355BF">
        <w:rPr>
          <w:rStyle w:val="Emphasis"/>
        </w:rPr>
        <w:t xml:space="preserve">Budget Strategy and Outlook </w:t>
      </w:r>
      <w:r w:rsidR="0034293A" w:rsidRPr="009355BF">
        <w:rPr>
          <w:rStyle w:val="Emphasis"/>
        </w:rPr>
        <w:t>2024</w:t>
      </w:r>
      <w:r w:rsidRPr="009355BF">
        <w:rPr>
          <w:rStyle w:val="Emphasis"/>
        </w:rPr>
        <w:t>–</w:t>
      </w:r>
      <w:r w:rsidR="0034293A" w:rsidRPr="009355BF">
        <w:rPr>
          <w:rStyle w:val="Emphasis"/>
        </w:rPr>
        <w:t>25</w:t>
      </w:r>
      <w:r w:rsidRPr="009355BF">
        <w:rPr>
          <w:rStyle w:val="Emphasis"/>
        </w:rPr>
        <w:t>, Statement 2: Economic Outlook</w:t>
      </w:r>
      <w:r w:rsidRPr="009355BF">
        <w:rPr>
          <w:i/>
        </w:rPr>
        <w:t xml:space="preserve"> </w:t>
      </w:r>
      <w:r w:rsidRPr="009355BF">
        <w:t xml:space="preserve">provides information on the forecasting approach used in the </w:t>
      </w:r>
      <w:r w:rsidR="0034293A" w:rsidRPr="009355BF">
        <w:t>2024</w:t>
      </w:r>
      <w:r w:rsidRPr="009355BF">
        <w:t>–</w:t>
      </w:r>
      <w:r w:rsidR="0034293A" w:rsidRPr="009355BF">
        <w:t xml:space="preserve">25 </w:t>
      </w:r>
      <w:r w:rsidRPr="009355BF">
        <w:t>Budget.</w:t>
      </w:r>
      <w:r w:rsidRPr="009355BF">
        <w:rPr>
          <w:b/>
        </w:rPr>
        <w:t xml:space="preserve"> </w:t>
      </w:r>
    </w:p>
    <w:p w14:paraId="2BBD910E" w14:textId="77777777" w:rsidR="00E6789E" w:rsidRPr="009355BF" w:rsidRDefault="00E6789E" w:rsidP="00E6789E">
      <w:pPr>
        <w:pStyle w:val="Heading2"/>
        <w:spacing w:after="120"/>
      </w:pPr>
      <w:r w:rsidRPr="009355BF">
        <w:t>Population</w:t>
      </w:r>
      <w:bookmarkEnd w:id="0"/>
    </w:p>
    <w:p w14:paraId="2272979C" w14:textId="49717298" w:rsidR="00E6789E" w:rsidRPr="009355BF" w:rsidRDefault="00E6789E" w:rsidP="00E6789E">
      <w:pPr>
        <w:rPr>
          <w:b/>
        </w:rPr>
      </w:pPr>
      <w:r w:rsidRPr="009355BF">
        <w:t xml:space="preserve">Population data are used to distribute funding between the state and territory governments (states) and in the calculation of annual growth factors. </w:t>
      </w:r>
    </w:p>
    <w:p w14:paraId="212F0720" w14:textId="77777777" w:rsidR="00E6789E" w:rsidRPr="009355BF" w:rsidRDefault="00E6789E" w:rsidP="00E6789E">
      <w:pPr>
        <w:pStyle w:val="Heading3"/>
      </w:pPr>
      <w:r w:rsidRPr="009355BF">
        <w:t>Estimates of state populations</w:t>
      </w:r>
    </w:p>
    <w:p w14:paraId="24312D18" w14:textId="2D7B8318" w:rsidR="00E6789E" w:rsidRPr="009355BF" w:rsidRDefault="003B45FC" w:rsidP="00E6789E">
      <w:pPr>
        <w:rPr>
          <w:b/>
        </w:rPr>
      </w:pPr>
      <w:r w:rsidRPr="009355BF">
        <w:t xml:space="preserve">The Centre for Population </w:t>
      </w:r>
      <w:r w:rsidR="00D87560" w:rsidRPr="009355BF">
        <w:t xml:space="preserve">in the Department of the Treasury </w:t>
      </w:r>
      <w:r w:rsidRPr="009355BF">
        <w:t>(the Centre) constructs s</w:t>
      </w:r>
      <w:r w:rsidR="00E6789E" w:rsidRPr="009355BF">
        <w:t>tate population projections</w:t>
      </w:r>
      <w:r w:rsidR="00E6789E" w:rsidRPr="009355BF" w:rsidDel="003B45FC">
        <w:t xml:space="preserve"> </w:t>
      </w:r>
      <w:r w:rsidR="00E6789E" w:rsidRPr="009355BF">
        <w:t xml:space="preserve">using the latest demographic data and </w:t>
      </w:r>
      <w:r w:rsidR="003E1E7F" w:rsidRPr="009355BF">
        <w:t>incorporating</w:t>
      </w:r>
      <w:r w:rsidR="00E6789E" w:rsidRPr="009355BF">
        <w:t xml:space="preserve"> assumptions regarding fertility, mortality, net overseas migration and net interstate migration.</w:t>
      </w:r>
    </w:p>
    <w:p w14:paraId="0D9BBCBA" w14:textId="54885D20" w:rsidR="00E6789E" w:rsidRPr="009355BF" w:rsidRDefault="00E6789E" w:rsidP="00E6789E">
      <w:pPr>
        <w:rPr>
          <w:b/>
        </w:rPr>
      </w:pPr>
      <w:r w:rsidRPr="009355BF">
        <w:t>The Centre estimates population and components of change on a financial year basis. Projected population for the mid</w:t>
      </w:r>
      <w:r w:rsidRPr="009355BF">
        <w:noBreakHyphen/>
        <w:t>point of the financial year (31 December, Table</w:t>
      </w:r>
      <w:r w:rsidR="00C042B5" w:rsidRPr="009355BF">
        <w:t> </w:t>
      </w:r>
      <w:r w:rsidRPr="009355BF">
        <w:t xml:space="preserve">A.1) is the simple average of the population at the beginning and end of the financial year (Table A.2). </w:t>
      </w:r>
    </w:p>
    <w:bookmarkEnd w:id="1"/>
    <w:p w14:paraId="6A7BD3A7" w14:textId="6CC9737D" w:rsidR="005D7014" w:rsidRPr="009355BF" w:rsidRDefault="00E6789E" w:rsidP="005D7014">
      <w:pPr>
        <w:pStyle w:val="TableHeading"/>
        <w:rPr>
          <w:rFonts w:asciiTheme="minorHAnsi" w:eastAsiaTheme="minorHAnsi" w:hAnsiTheme="minorHAnsi" w:cstheme="minorBidi"/>
          <w:b w:val="0"/>
          <w:sz w:val="22"/>
          <w:szCs w:val="22"/>
          <w:lang w:eastAsia="en-US"/>
        </w:rPr>
      </w:pPr>
      <w:r w:rsidRPr="009355BF">
        <w:rPr>
          <w:rFonts w:cs="Arial"/>
        </w:rPr>
        <w:t>Table A.1: Population by state, at 31 Decembe</w:t>
      </w:r>
      <w:r w:rsidR="00F141DA" w:rsidRPr="009355BF">
        <w:rPr>
          <w:rFonts w:cs="Arial"/>
        </w:rPr>
        <w:t>r</w:t>
      </w:r>
    </w:p>
    <w:tbl>
      <w:tblPr>
        <w:tblW w:w="5000" w:type="pct"/>
        <w:tblCellMar>
          <w:left w:w="0" w:type="dxa"/>
          <w:right w:w="28" w:type="dxa"/>
        </w:tblCellMar>
        <w:tblLook w:val="04A0" w:firstRow="1" w:lastRow="0" w:firstColumn="1" w:lastColumn="0" w:noHBand="0" w:noVBand="1"/>
      </w:tblPr>
      <w:tblGrid>
        <w:gridCol w:w="701"/>
        <w:gridCol w:w="701"/>
        <w:gridCol w:w="701"/>
        <w:gridCol w:w="701"/>
        <w:gridCol w:w="702"/>
        <w:gridCol w:w="702"/>
        <w:gridCol w:w="702"/>
        <w:gridCol w:w="702"/>
        <w:gridCol w:w="702"/>
        <w:gridCol w:w="702"/>
        <w:gridCol w:w="694"/>
      </w:tblGrid>
      <w:tr w:rsidR="005D7014" w:rsidRPr="009355BF" w14:paraId="4218E631" w14:textId="77777777" w:rsidTr="005D7014">
        <w:trPr>
          <w:divId w:val="688412991"/>
          <w:trHeight w:hRule="exact" w:val="225"/>
        </w:trPr>
        <w:tc>
          <w:tcPr>
            <w:tcW w:w="455" w:type="pct"/>
            <w:tcBorders>
              <w:top w:val="single" w:sz="4" w:space="0" w:color="293F5B"/>
              <w:left w:val="nil"/>
              <w:bottom w:val="nil"/>
              <w:right w:val="nil"/>
            </w:tcBorders>
            <w:shd w:val="clear" w:color="auto" w:fill="auto"/>
            <w:noWrap/>
            <w:vAlign w:val="bottom"/>
            <w:hideMark/>
          </w:tcPr>
          <w:p w14:paraId="672000E1" w14:textId="6FC81934" w:rsidR="005D7014" w:rsidRPr="009355BF" w:rsidRDefault="005D7014" w:rsidP="005D7014">
            <w:pPr>
              <w:spacing w:before="0" w:after="0" w:line="240" w:lineRule="auto"/>
              <w:rPr>
                <w:rFonts w:ascii="Arial" w:hAnsi="Arial" w:cs="Arial"/>
                <w:sz w:val="16"/>
                <w:szCs w:val="16"/>
              </w:rPr>
            </w:pPr>
            <w:r w:rsidRPr="009355BF">
              <w:rPr>
                <w:rFonts w:ascii="Arial" w:hAnsi="Arial" w:cs="Arial"/>
                <w:sz w:val="16"/>
                <w:szCs w:val="16"/>
              </w:rPr>
              <w:t>million</w:t>
            </w:r>
          </w:p>
        </w:tc>
        <w:tc>
          <w:tcPr>
            <w:tcW w:w="455" w:type="pct"/>
            <w:tcBorders>
              <w:top w:val="single" w:sz="4" w:space="0" w:color="293F5B"/>
              <w:left w:val="nil"/>
              <w:bottom w:val="nil"/>
              <w:right w:val="nil"/>
            </w:tcBorders>
            <w:shd w:val="clear" w:color="auto" w:fill="auto"/>
            <w:noWrap/>
            <w:vAlign w:val="center"/>
            <w:hideMark/>
          </w:tcPr>
          <w:p w14:paraId="51CEA163"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NSW</w:t>
            </w:r>
          </w:p>
        </w:tc>
        <w:tc>
          <w:tcPr>
            <w:tcW w:w="455" w:type="pct"/>
            <w:tcBorders>
              <w:top w:val="single" w:sz="4" w:space="0" w:color="293F5B"/>
              <w:left w:val="nil"/>
              <w:bottom w:val="nil"/>
              <w:right w:val="nil"/>
            </w:tcBorders>
            <w:shd w:val="clear" w:color="auto" w:fill="auto"/>
            <w:noWrap/>
            <w:vAlign w:val="center"/>
            <w:hideMark/>
          </w:tcPr>
          <w:p w14:paraId="7F123125"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VIC</w:t>
            </w:r>
          </w:p>
        </w:tc>
        <w:tc>
          <w:tcPr>
            <w:tcW w:w="455" w:type="pct"/>
            <w:tcBorders>
              <w:top w:val="single" w:sz="4" w:space="0" w:color="293F5B"/>
              <w:left w:val="nil"/>
              <w:bottom w:val="nil"/>
              <w:right w:val="nil"/>
            </w:tcBorders>
            <w:shd w:val="clear" w:color="auto" w:fill="auto"/>
            <w:noWrap/>
            <w:vAlign w:val="center"/>
            <w:hideMark/>
          </w:tcPr>
          <w:p w14:paraId="77F46501"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QLD</w:t>
            </w:r>
          </w:p>
        </w:tc>
        <w:tc>
          <w:tcPr>
            <w:tcW w:w="455" w:type="pct"/>
            <w:tcBorders>
              <w:top w:val="single" w:sz="4" w:space="0" w:color="293F5B"/>
              <w:left w:val="nil"/>
              <w:bottom w:val="nil"/>
              <w:right w:val="nil"/>
            </w:tcBorders>
            <w:shd w:val="clear" w:color="auto" w:fill="auto"/>
            <w:noWrap/>
            <w:vAlign w:val="center"/>
            <w:hideMark/>
          </w:tcPr>
          <w:p w14:paraId="75D3CE46"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WA</w:t>
            </w:r>
          </w:p>
        </w:tc>
        <w:tc>
          <w:tcPr>
            <w:tcW w:w="455" w:type="pct"/>
            <w:tcBorders>
              <w:top w:val="single" w:sz="4" w:space="0" w:color="293F5B"/>
              <w:left w:val="nil"/>
              <w:bottom w:val="nil"/>
              <w:right w:val="nil"/>
            </w:tcBorders>
            <w:shd w:val="clear" w:color="auto" w:fill="auto"/>
            <w:noWrap/>
            <w:vAlign w:val="center"/>
            <w:hideMark/>
          </w:tcPr>
          <w:p w14:paraId="599D3775"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SA</w:t>
            </w:r>
          </w:p>
        </w:tc>
        <w:tc>
          <w:tcPr>
            <w:tcW w:w="455" w:type="pct"/>
            <w:tcBorders>
              <w:top w:val="single" w:sz="4" w:space="0" w:color="293F5B"/>
              <w:left w:val="nil"/>
              <w:bottom w:val="nil"/>
              <w:right w:val="nil"/>
            </w:tcBorders>
            <w:shd w:val="clear" w:color="auto" w:fill="auto"/>
            <w:noWrap/>
            <w:vAlign w:val="center"/>
            <w:hideMark/>
          </w:tcPr>
          <w:p w14:paraId="7F657039"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TAS</w:t>
            </w:r>
          </w:p>
        </w:tc>
        <w:tc>
          <w:tcPr>
            <w:tcW w:w="455" w:type="pct"/>
            <w:tcBorders>
              <w:top w:val="single" w:sz="4" w:space="0" w:color="293F5B"/>
              <w:left w:val="nil"/>
              <w:bottom w:val="nil"/>
              <w:right w:val="nil"/>
            </w:tcBorders>
            <w:shd w:val="clear" w:color="auto" w:fill="auto"/>
            <w:noWrap/>
            <w:vAlign w:val="center"/>
            <w:hideMark/>
          </w:tcPr>
          <w:p w14:paraId="718F2A0C"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ACT</w:t>
            </w:r>
          </w:p>
        </w:tc>
        <w:tc>
          <w:tcPr>
            <w:tcW w:w="455" w:type="pct"/>
            <w:tcBorders>
              <w:top w:val="single" w:sz="4" w:space="0" w:color="293F5B"/>
              <w:left w:val="nil"/>
              <w:bottom w:val="nil"/>
              <w:right w:val="nil"/>
            </w:tcBorders>
            <w:shd w:val="clear" w:color="auto" w:fill="auto"/>
            <w:noWrap/>
            <w:vAlign w:val="center"/>
            <w:hideMark/>
          </w:tcPr>
          <w:p w14:paraId="1C4D0B91"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NT</w:t>
            </w:r>
          </w:p>
        </w:tc>
        <w:tc>
          <w:tcPr>
            <w:tcW w:w="455" w:type="pct"/>
            <w:tcBorders>
              <w:top w:val="single" w:sz="4" w:space="0" w:color="293F5B"/>
              <w:left w:val="nil"/>
              <w:bottom w:val="nil"/>
              <w:right w:val="nil"/>
            </w:tcBorders>
            <w:shd w:val="clear" w:color="auto" w:fill="auto"/>
            <w:noWrap/>
            <w:vAlign w:val="center"/>
            <w:hideMark/>
          </w:tcPr>
          <w:p w14:paraId="52C1813B"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Total(a)</w:t>
            </w:r>
          </w:p>
        </w:tc>
        <w:tc>
          <w:tcPr>
            <w:tcW w:w="455" w:type="pct"/>
            <w:tcBorders>
              <w:top w:val="single" w:sz="4" w:space="0" w:color="293F5B"/>
              <w:left w:val="nil"/>
              <w:bottom w:val="nil"/>
              <w:right w:val="nil"/>
            </w:tcBorders>
            <w:shd w:val="clear" w:color="auto" w:fill="auto"/>
            <w:noWrap/>
            <w:vAlign w:val="center"/>
            <w:hideMark/>
          </w:tcPr>
          <w:p w14:paraId="6487A02E"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Australia</w:t>
            </w:r>
          </w:p>
        </w:tc>
      </w:tr>
      <w:tr w:rsidR="005D7014" w:rsidRPr="009355BF" w14:paraId="63E4D622" w14:textId="77777777" w:rsidTr="005D7014">
        <w:trPr>
          <w:divId w:val="688412991"/>
          <w:trHeight w:hRule="exact" w:val="225"/>
        </w:trPr>
        <w:tc>
          <w:tcPr>
            <w:tcW w:w="455" w:type="pct"/>
            <w:tcBorders>
              <w:top w:val="nil"/>
              <w:left w:val="nil"/>
              <w:bottom w:val="nil"/>
              <w:right w:val="nil"/>
            </w:tcBorders>
            <w:shd w:val="clear" w:color="auto" w:fill="auto"/>
            <w:noWrap/>
            <w:vAlign w:val="bottom"/>
            <w:hideMark/>
          </w:tcPr>
          <w:p w14:paraId="5043CBB4" w14:textId="77777777" w:rsidR="005D7014" w:rsidRPr="009355BF" w:rsidRDefault="005D7014" w:rsidP="005D7014">
            <w:pPr>
              <w:spacing w:before="0" w:after="0" w:line="240" w:lineRule="auto"/>
              <w:rPr>
                <w:rFonts w:ascii="Arial" w:hAnsi="Arial" w:cs="Arial"/>
                <w:sz w:val="16"/>
                <w:szCs w:val="16"/>
              </w:rPr>
            </w:pPr>
            <w:r w:rsidRPr="009355BF">
              <w:rPr>
                <w:rFonts w:ascii="Arial" w:hAnsi="Arial" w:cs="Arial"/>
                <w:sz w:val="16"/>
                <w:szCs w:val="16"/>
              </w:rPr>
              <w:t>2023</w:t>
            </w:r>
          </w:p>
        </w:tc>
        <w:tc>
          <w:tcPr>
            <w:tcW w:w="455" w:type="pct"/>
            <w:tcBorders>
              <w:top w:val="single" w:sz="4" w:space="0" w:color="293F5B"/>
              <w:left w:val="nil"/>
              <w:bottom w:val="nil"/>
              <w:right w:val="nil"/>
            </w:tcBorders>
            <w:shd w:val="clear" w:color="auto" w:fill="auto"/>
            <w:noWrap/>
            <w:vAlign w:val="bottom"/>
            <w:hideMark/>
          </w:tcPr>
          <w:p w14:paraId="53EA936D"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8.419</w:t>
            </w:r>
          </w:p>
        </w:tc>
        <w:tc>
          <w:tcPr>
            <w:tcW w:w="455" w:type="pct"/>
            <w:tcBorders>
              <w:top w:val="single" w:sz="4" w:space="0" w:color="293F5B"/>
              <w:left w:val="nil"/>
              <w:bottom w:val="nil"/>
              <w:right w:val="nil"/>
            </w:tcBorders>
            <w:shd w:val="clear" w:color="auto" w:fill="auto"/>
            <w:noWrap/>
            <w:vAlign w:val="bottom"/>
            <w:hideMark/>
          </w:tcPr>
          <w:p w14:paraId="6926B109"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6.894</w:t>
            </w:r>
          </w:p>
        </w:tc>
        <w:tc>
          <w:tcPr>
            <w:tcW w:w="455" w:type="pct"/>
            <w:tcBorders>
              <w:top w:val="single" w:sz="4" w:space="0" w:color="293F5B"/>
              <w:left w:val="nil"/>
              <w:bottom w:val="nil"/>
              <w:right w:val="nil"/>
            </w:tcBorders>
            <w:shd w:val="clear" w:color="auto" w:fill="auto"/>
            <w:noWrap/>
            <w:vAlign w:val="bottom"/>
            <w:hideMark/>
          </w:tcPr>
          <w:p w14:paraId="0C628A74"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5.520</w:t>
            </w:r>
          </w:p>
        </w:tc>
        <w:tc>
          <w:tcPr>
            <w:tcW w:w="455" w:type="pct"/>
            <w:tcBorders>
              <w:top w:val="single" w:sz="4" w:space="0" w:color="293F5B"/>
              <w:left w:val="nil"/>
              <w:bottom w:val="nil"/>
              <w:right w:val="nil"/>
            </w:tcBorders>
            <w:shd w:val="clear" w:color="auto" w:fill="auto"/>
            <w:noWrap/>
            <w:vAlign w:val="bottom"/>
            <w:hideMark/>
          </w:tcPr>
          <w:p w14:paraId="3B6631FF"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2.917</w:t>
            </w:r>
          </w:p>
        </w:tc>
        <w:tc>
          <w:tcPr>
            <w:tcW w:w="455" w:type="pct"/>
            <w:tcBorders>
              <w:top w:val="single" w:sz="4" w:space="0" w:color="293F5B"/>
              <w:left w:val="nil"/>
              <w:bottom w:val="nil"/>
              <w:right w:val="nil"/>
            </w:tcBorders>
            <w:shd w:val="clear" w:color="auto" w:fill="auto"/>
            <w:noWrap/>
            <w:vAlign w:val="bottom"/>
            <w:hideMark/>
          </w:tcPr>
          <w:p w14:paraId="5A98E3C5"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1.864</w:t>
            </w:r>
          </w:p>
        </w:tc>
        <w:tc>
          <w:tcPr>
            <w:tcW w:w="455" w:type="pct"/>
            <w:tcBorders>
              <w:top w:val="single" w:sz="4" w:space="0" w:color="293F5B"/>
              <w:left w:val="nil"/>
              <w:bottom w:val="nil"/>
              <w:right w:val="nil"/>
            </w:tcBorders>
            <w:shd w:val="clear" w:color="auto" w:fill="auto"/>
            <w:noWrap/>
            <w:vAlign w:val="bottom"/>
            <w:hideMark/>
          </w:tcPr>
          <w:p w14:paraId="3666D821"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0.574</w:t>
            </w:r>
          </w:p>
        </w:tc>
        <w:tc>
          <w:tcPr>
            <w:tcW w:w="455" w:type="pct"/>
            <w:tcBorders>
              <w:top w:val="single" w:sz="4" w:space="0" w:color="293F5B"/>
              <w:left w:val="nil"/>
              <w:bottom w:val="nil"/>
              <w:right w:val="nil"/>
            </w:tcBorders>
            <w:shd w:val="clear" w:color="auto" w:fill="auto"/>
            <w:noWrap/>
            <w:vAlign w:val="bottom"/>
            <w:hideMark/>
          </w:tcPr>
          <w:p w14:paraId="227E427B"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0.471</w:t>
            </w:r>
          </w:p>
        </w:tc>
        <w:tc>
          <w:tcPr>
            <w:tcW w:w="455" w:type="pct"/>
            <w:tcBorders>
              <w:top w:val="single" w:sz="4" w:space="0" w:color="293F5B"/>
              <w:left w:val="nil"/>
              <w:bottom w:val="nil"/>
              <w:right w:val="nil"/>
            </w:tcBorders>
            <w:shd w:val="clear" w:color="auto" w:fill="auto"/>
            <w:noWrap/>
            <w:vAlign w:val="bottom"/>
            <w:hideMark/>
          </w:tcPr>
          <w:p w14:paraId="60C93003"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0.253</w:t>
            </w:r>
          </w:p>
        </w:tc>
        <w:tc>
          <w:tcPr>
            <w:tcW w:w="455" w:type="pct"/>
            <w:tcBorders>
              <w:top w:val="single" w:sz="4" w:space="0" w:color="293F5B"/>
              <w:left w:val="nil"/>
              <w:bottom w:val="nil"/>
              <w:right w:val="nil"/>
            </w:tcBorders>
            <w:shd w:val="clear" w:color="auto" w:fill="auto"/>
            <w:noWrap/>
            <w:vAlign w:val="bottom"/>
            <w:hideMark/>
          </w:tcPr>
          <w:p w14:paraId="2143E04C"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26.910</w:t>
            </w:r>
          </w:p>
        </w:tc>
        <w:tc>
          <w:tcPr>
            <w:tcW w:w="455" w:type="pct"/>
            <w:tcBorders>
              <w:top w:val="single" w:sz="4" w:space="0" w:color="293F5B"/>
              <w:left w:val="nil"/>
              <w:bottom w:val="nil"/>
              <w:right w:val="nil"/>
            </w:tcBorders>
            <w:shd w:val="clear" w:color="auto" w:fill="auto"/>
            <w:noWrap/>
            <w:vAlign w:val="bottom"/>
            <w:hideMark/>
          </w:tcPr>
          <w:p w14:paraId="44008B17"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26.915</w:t>
            </w:r>
          </w:p>
        </w:tc>
      </w:tr>
      <w:tr w:rsidR="005D7014" w:rsidRPr="009355BF" w14:paraId="2155F664" w14:textId="77777777" w:rsidTr="005D7014">
        <w:trPr>
          <w:divId w:val="688412991"/>
          <w:trHeight w:hRule="exact" w:val="225"/>
        </w:trPr>
        <w:tc>
          <w:tcPr>
            <w:tcW w:w="455" w:type="pct"/>
            <w:tcBorders>
              <w:top w:val="nil"/>
              <w:left w:val="nil"/>
              <w:bottom w:val="nil"/>
              <w:right w:val="nil"/>
            </w:tcBorders>
            <w:shd w:val="clear" w:color="000000" w:fill="E6F2FF"/>
            <w:noWrap/>
            <w:vAlign w:val="bottom"/>
            <w:hideMark/>
          </w:tcPr>
          <w:p w14:paraId="5CF7BBF4" w14:textId="77777777" w:rsidR="005D7014" w:rsidRPr="009355BF" w:rsidRDefault="005D7014" w:rsidP="005D7014">
            <w:pPr>
              <w:spacing w:before="0" w:after="0" w:line="240" w:lineRule="auto"/>
              <w:rPr>
                <w:rFonts w:ascii="Arial" w:hAnsi="Arial" w:cs="Arial"/>
                <w:sz w:val="16"/>
                <w:szCs w:val="16"/>
              </w:rPr>
            </w:pPr>
            <w:r w:rsidRPr="009355BF">
              <w:rPr>
                <w:rFonts w:ascii="Arial" w:hAnsi="Arial" w:cs="Arial"/>
                <w:sz w:val="16"/>
                <w:szCs w:val="16"/>
              </w:rPr>
              <w:t>2024</w:t>
            </w:r>
          </w:p>
        </w:tc>
        <w:tc>
          <w:tcPr>
            <w:tcW w:w="455" w:type="pct"/>
            <w:tcBorders>
              <w:top w:val="nil"/>
              <w:left w:val="nil"/>
              <w:bottom w:val="nil"/>
              <w:right w:val="nil"/>
            </w:tcBorders>
            <w:shd w:val="clear" w:color="000000" w:fill="E6F2FF"/>
            <w:noWrap/>
            <w:vAlign w:val="bottom"/>
            <w:hideMark/>
          </w:tcPr>
          <w:p w14:paraId="26F2652C"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8.554</w:t>
            </w:r>
          </w:p>
        </w:tc>
        <w:tc>
          <w:tcPr>
            <w:tcW w:w="455" w:type="pct"/>
            <w:tcBorders>
              <w:top w:val="nil"/>
              <w:left w:val="nil"/>
              <w:bottom w:val="nil"/>
              <w:right w:val="nil"/>
            </w:tcBorders>
            <w:shd w:val="clear" w:color="000000" w:fill="E6F2FF"/>
            <w:noWrap/>
            <w:vAlign w:val="bottom"/>
            <w:hideMark/>
          </w:tcPr>
          <w:p w14:paraId="3C20012E"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7.035</w:t>
            </w:r>
          </w:p>
        </w:tc>
        <w:tc>
          <w:tcPr>
            <w:tcW w:w="455" w:type="pct"/>
            <w:tcBorders>
              <w:top w:val="nil"/>
              <w:left w:val="nil"/>
              <w:bottom w:val="nil"/>
              <w:right w:val="nil"/>
            </w:tcBorders>
            <w:shd w:val="clear" w:color="000000" w:fill="E6F2FF"/>
            <w:noWrap/>
            <w:vAlign w:val="bottom"/>
            <w:hideMark/>
          </w:tcPr>
          <w:p w14:paraId="32DA2465"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5.624</w:t>
            </w:r>
          </w:p>
        </w:tc>
        <w:tc>
          <w:tcPr>
            <w:tcW w:w="455" w:type="pct"/>
            <w:tcBorders>
              <w:top w:val="nil"/>
              <w:left w:val="nil"/>
              <w:bottom w:val="nil"/>
              <w:right w:val="nil"/>
            </w:tcBorders>
            <w:shd w:val="clear" w:color="000000" w:fill="E6F2FF"/>
            <w:noWrap/>
            <w:vAlign w:val="bottom"/>
            <w:hideMark/>
          </w:tcPr>
          <w:p w14:paraId="75B2F2A2"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2.975</w:t>
            </w:r>
          </w:p>
        </w:tc>
        <w:tc>
          <w:tcPr>
            <w:tcW w:w="455" w:type="pct"/>
            <w:tcBorders>
              <w:top w:val="nil"/>
              <w:left w:val="nil"/>
              <w:bottom w:val="nil"/>
              <w:right w:val="nil"/>
            </w:tcBorders>
            <w:shd w:val="clear" w:color="000000" w:fill="E6F2FF"/>
            <w:noWrap/>
            <w:vAlign w:val="bottom"/>
            <w:hideMark/>
          </w:tcPr>
          <w:p w14:paraId="6D1316AD"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1.883</w:t>
            </w:r>
          </w:p>
        </w:tc>
        <w:tc>
          <w:tcPr>
            <w:tcW w:w="455" w:type="pct"/>
            <w:tcBorders>
              <w:top w:val="nil"/>
              <w:left w:val="nil"/>
              <w:bottom w:val="nil"/>
              <w:right w:val="nil"/>
            </w:tcBorders>
            <w:shd w:val="clear" w:color="000000" w:fill="E6F2FF"/>
            <w:noWrap/>
            <w:vAlign w:val="bottom"/>
            <w:hideMark/>
          </w:tcPr>
          <w:p w14:paraId="1059E55C"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0.575</w:t>
            </w:r>
          </w:p>
        </w:tc>
        <w:tc>
          <w:tcPr>
            <w:tcW w:w="455" w:type="pct"/>
            <w:tcBorders>
              <w:top w:val="nil"/>
              <w:left w:val="nil"/>
              <w:bottom w:val="nil"/>
              <w:right w:val="nil"/>
            </w:tcBorders>
            <w:shd w:val="clear" w:color="000000" w:fill="E6F2FF"/>
            <w:noWrap/>
            <w:vAlign w:val="bottom"/>
            <w:hideMark/>
          </w:tcPr>
          <w:p w14:paraId="63C0AD4C"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0.478</w:t>
            </w:r>
          </w:p>
        </w:tc>
        <w:tc>
          <w:tcPr>
            <w:tcW w:w="455" w:type="pct"/>
            <w:tcBorders>
              <w:top w:val="nil"/>
              <w:left w:val="nil"/>
              <w:bottom w:val="nil"/>
              <w:right w:val="nil"/>
            </w:tcBorders>
            <w:shd w:val="clear" w:color="000000" w:fill="E6F2FF"/>
            <w:noWrap/>
            <w:vAlign w:val="bottom"/>
            <w:hideMark/>
          </w:tcPr>
          <w:p w14:paraId="71C52342"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0.254</w:t>
            </w:r>
          </w:p>
        </w:tc>
        <w:tc>
          <w:tcPr>
            <w:tcW w:w="455" w:type="pct"/>
            <w:tcBorders>
              <w:top w:val="nil"/>
              <w:left w:val="nil"/>
              <w:bottom w:val="nil"/>
              <w:right w:val="nil"/>
            </w:tcBorders>
            <w:shd w:val="clear" w:color="000000" w:fill="E6F2FF"/>
            <w:noWrap/>
            <w:vAlign w:val="bottom"/>
            <w:hideMark/>
          </w:tcPr>
          <w:p w14:paraId="32E69556"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27.379</w:t>
            </w:r>
          </w:p>
        </w:tc>
        <w:tc>
          <w:tcPr>
            <w:tcW w:w="455" w:type="pct"/>
            <w:tcBorders>
              <w:top w:val="nil"/>
              <w:left w:val="nil"/>
              <w:bottom w:val="nil"/>
              <w:right w:val="nil"/>
            </w:tcBorders>
            <w:shd w:val="clear" w:color="000000" w:fill="E6F2FF"/>
            <w:noWrap/>
            <w:vAlign w:val="bottom"/>
            <w:hideMark/>
          </w:tcPr>
          <w:p w14:paraId="52FBCF8B"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27.384</w:t>
            </w:r>
          </w:p>
        </w:tc>
      </w:tr>
      <w:tr w:rsidR="005D7014" w:rsidRPr="009355BF" w14:paraId="0AD4B4F7" w14:textId="77777777" w:rsidTr="005D7014">
        <w:trPr>
          <w:divId w:val="688412991"/>
          <w:trHeight w:hRule="exact" w:val="225"/>
        </w:trPr>
        <w:tc>
          <w:tcPr>
            <w:tcW w:w="455" w:type="pct"/>
            <w:tcBorders>
              <w:top w:val="nil"/>
              <w:left w:val="nil"/>
              <w:bottom w:val="nil"/>
              <w:right w:val="nil"/>
            </w:tcBorders>
            <w:shd w:val="clear" w:color="auto" w:fill="auto"/>
            <w:noWrap/>
            <w:vAlign w:val="bottom"/>
            <w:hideMark/>
          </w:tcPr>
          <w:p w14:paraId="79DA2D92" w14:textId="77777777" w:rsidR="005D7014" w:rsidRPr="009355BF" w:rsidRDefault="005D7014" w:rsidP="005D7014">
            <w:pPr>
              <w:spacing w:before="0" w:after="0" w:line="240" w:lineRule="auto"/>
              <w:rPr>
                <w:rFonts w:ascii="Arial" w:hAnsi="Arial" w:cs="Arial"/>
                <w:sz w:val="16"/>
                <w:szCs w:val="16"/>
              </w:rPr>
            </w:pPr>
            <w:r w:rsidRPr="009355BF">
              <w:rPr>
                <w:rFonts w:ascii="Arial" w:hAnsi="Arial" w:cs="Arial"/>
                <w:sz w:val="16"/>
                <w:szCs w:val="16"/>
              </w:rPr>
              <w:t>2025</w:t>
            </w:r>
          </w:p>
        </w:tc>
        <w:tc>
          <w:tcPr>
            <w:tcW w:w="455" w:type="pct"/>
            <w:tcBorders>
              <w:top w:val="nil"/>
              <w:left w:val="nil"/>
              <w:bottom w:val="nil"/>
              <w:right w:val="nil"/>
            </w:tcBorders>
            <w:shd w:val="clear" w:color="auto" w:fill="auto"/>
            <w:noWrap/>
            <w:vAlign w:val="bottom"/>
            <w:hideMark/>
          </w:tcPr>
          <w:p w14:paraId="421332AC"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8.675</w:t>
            </w:r>
          </w:p>
        </w:tc>
        <w:tc>
          <w:tcPr>
            <w:tcW w:w="455" w:type="pct"/>
            <w:tcBorders>
              <w:top w:val="nil"/>
              <w:left w:val="nil"/>
              <w:bottom w:val="nil"/>
              <w:right w:val="nil"/>
            </w:tcBorders>
            <w:shd w:val="clear" w:color="auto" w:fill="auto"/>
            <w:noWrap/>
            <w:vAlign w:val="bottom"/>
            <w:hideMark/>
          </w:tcPr>
          <w:p w14:paraId="758BDB67"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7.164</w:t>
            </w:r>
          </w:p>
        </w:tc>
        <w:tc>
          <w:tcPr>
            <w:tcW w:w="455" w:type="pct"/>
            <w:tcBorders>
              <w:top w:val="nil"/>
              <w:left w:val="nil"/>
              <w:bottom w:val="nil"/>
              <w:right w:val="nil"/>
            </w:tcBorders>
            <w:shd w:val="clear" w:color="auto" w:fill="auto"/>
            <w:noWrap/>
            <w:vAlign w:val="bottom"/>
            <w:hideMark/>
          </w:tcPr>
          <w:p w14:paraId="116D0657"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5.710</w:t>
            </w:r>
          </w:p>
        </w:tc>
        <w:tc>
          <w:tcPr>
            <w:tcW w:w="455" w:type="pct"/>
            <w:tcBorders>
              <w:top w:val="nil"/>
              <w:left w:val="nil"/>
              <w:bottom w:val="nil"/>
              <w:right w:val="nil"/>
            </w:tcBorders>
            <w:shd w:val="clear" w:color="auto" w:fill="auto"/>
            <w:noWrap/>
            <w:vAlign w:val="bottom"/>
            <w:hideMark/>
          </w:tcPr>
          <w:p w14:paraId="1E98FE44"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3.016</w:t>
            </w:r>
          </w:p>
        </w:tc>
        <w:tc>
          <w:tcPr>
            <w:tcW w:w="455" w:type="pct"/>
            <w:tcBorders>
              <w:top w:val="nil"/>
              <w:left w:val="nil"/>
              <w:bottom w:val="nil"/>
              <w:right w:val="nil"/>
            </w:tcBorders>
            <w:shd w:val="clear" w:color="auto" w:fill="auto"/>
            <w:noWrap/>
            <w:vAlign w:val="bottom"/>
            <w:hideMark/>
          </w:tcPr>
          <w:p w14:paraId="6E5F3531"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1.898</w:t>
            </w:r>
          </w:p>
        </w:tc>
        <w:tc>
          <w:tcPr>
            <w:tcW w:w="455" w:type="pct"/>
            <w:tcBorders>
              <w:top w:val="nil"/>
              <w:left w:val="nil"/>
              <w:bottom w:val="nil"/>
              <w:right w:val="nil"/>
            </w:tcBorders>
            <w:shd w:val="clear" w:color="auto" w:fill="auto"/>
            <w:noWrap/>
            <w:vAlign w:val="bottom"/>
            <w:hideMark/>
          </w:tcPr>
          <w:p w14:paraId="5588855F"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0.578</w:t>
            </w:r>
          </w:p>
        </w:tc>
        <w:tc>
          <w:tcPr>
            <w:tcW w:w="455" w:type="pct"/>
            <w:tcBorders>
              <w:top w:val="nil"/>
              <w:left w:val="nil"/>
              <w:bottom w:val="nil"/>
              <w:right w:val="nil"/>
            </w:tcBorders>
            <w:shd w:val="clear" w:color="auto" w:fill="auto"/>
            <w:noWrap/>
            <w:vAlign w:val="bottom"/>
            <w:hideMark/>
          </w:tcPr>
          <w:p w14:paraId="71716EFE"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0.485</w:t>
            </w:r>
          </w:p>
        </w:tc>
        <w:tc>
          <w:tcPr>
            <w:tcW w:w="455" w:type="pct"/>
            <w:tcBorders>
              <w:top w:val="nil"/>
              <w:left w:val="nil"/>
              <w:bottom w:val="nil"/>
              <w:right w:val="nil"/>
            </w:tcBorders>
            <w:shd w:val="clear" w:color="auto" w:fill="auto"/>
            <w:noWrap/>
            <w:vAlign w:val="bottom"/>
            <w:hideMark/>
          </w:tcPr>
          <w:p w14:paraId="27BBEC2D"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0.256</w:t>
            </w:r>
          </w:p>
        </w:tc>
        <w:tc>
          <w:tcPr>
            <w:tcW w:w="455" w:type="pct"/>
            <w:tcBorders>
              <w:top w:val="nil"/>
              <w:left w:val="nil"/>
              <w:bottom w:val="nil"/>
              <w:right w:val="nil"/>
            </w:tcBorders>
            <w:shd w:val="clear" w:color="auto" w:fill="auto"/>
            <w:noWrap/>
            <w:vAlign w:val="bottom"/>
            <w:hideMark/>
          </w:tcPr>
          <w:p w14:paraId="6F605562"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27.782</w:t>
            </w:r>
          </w:p>
        </w:tc>
        <w:tc>
          <w:tcPr>
            <w:tcW w:w="455" w:type="pct"/>
            <w:tcBorders>
              <w:top w:val="nil"/>
              <w:left w:val="nil"/>
              <w:bottom w:val="nil"/>
              <w:right w:val="nil"/>
            </w:tcBorders>
            <w:shd w:val="clear" w:color="auto" w:fill="auto"/>
            <w:noWrap/>
            <w:vAlign w:val="bottom"/>
            <w:hideMark/>
          </w:tcPr>
          <w:p w14:paraId="5DB8850A"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27.787</w:t>
            </w:r>
          </w:p>
        </w:tc>
      </w:tr>
      <w:tr w:rsidR="005D7014" w:rsidRPr="009355BF" w14:paraId="6E1716E1" w14:textId="77777777" w:rsidTr="005D7014">
        <w:trPr>
          <w:divId w:val="688412991"/>
          <w:trHeight w:hRule="exact" w:val="225"/>
        </w:trPr>
        <w:tc>
          <w:tcPr>
            <w:tcW w:w="455" w:type="pct"/>
            <w:tcBorders>
              <w:top w:val="nil"/>
              <w:left w:val="nil"/>
              <w:bottom w:val="nil"/>
              <w:right w:val="nil"/>
            </w:tcBorders>
            <w:shd w:val="clear" w:color="auto" w:fill="auto"/>
            <w:noWrap/>
            <w:vAlign w:val="bottom"/>
            <w:hideMark/>
          </w:tcPr>
          <w:p w14:paraId="1D2F2387" w14:textId="77777777" w:rsidR="005D7014" w:rsidRPr="009355BF" w:rsidRDefault="005D7014" w:rsidP="005D7014">
            <w:pPr>
              <w:spacing w:before="0" w:after="0" w:line="240" w:lineRule="auto"/>
              <w:rPr>
                <w:rFonts w:ascii="Arial" w:hAnsi="Arial" w:cs="Arial"/>
                <w:sz w:val="16"/>
                <w:szCs w:val="16"/>
              </w:rPr>
            </w:pPr>
            <w:r w:rsidRPr="009355BF">
              <w:rPr>
                <w:rFonts w:ascii="Arial" w:hAnsi="Arial" w:cs="Arial"/>
                <w:sz w:val="16"/>
                <w:szCs w:val="16"/>
              </w:rPr>
              <w:t>2026</w:t>
            </w:r>
          </w:p>
        </w:tc>
        <w:tc>
          <w:tcPr>
            <w:tcW w:w="455" w:type="pct"/>
            <w:tcBorders>
              <w:top w:val="nil"/>
              <w:left w:val="nil"/>
              <w:bottom w:val="nil"/>
              <w:right w:val="nil"/>
            </w:tcBorders>
            <w:shd w:val="clear" w:color="auto" w:fill="auto"/>
            <w:noWrap/>
            <w:vAlign w:val="bottom"/>
            <w:hideMark/>
          </w:tcPr>
          <w:p w14:paraId="3472A392"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8.796</w:t>
            </w:r>
          </w:p>
        </w:tc>
        <w:tc>
          <w:tcPr>
            <w:tcW w:w="455" w:type="pct"/>
            <w:tcBorders>
              <w:top w:val="nil"/>
              <w:left w:val="nil"/>
              <w:bottom w:val="nil"/>
              <w:right w:val="nil"/>
            </w:tcBorders>
            <w:shd w:val="clear" w:color="auto" w:fill="auto"/>
            <w:noWrap/>
            <w:vAlign w:val="bottom"/>
            <w:hideMark/>
          </w:tcPr>
          <w:p w14:paraId="2CF9F45A"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7.291</w:t>
            </w:r>
          </w:p>
        </w:tc>
        <w:tc>
          <w:tcPr>
            <w:tcW w:w="455" w:type="pct"/>
            <w:tcBorders>
              <w:top w:val="nil"/>
              <w:left w:val="nil"/>
              <w:bottom w:val="nil"/>
              <w:right w:val="nil"/>
            </w:tcBorders>
            <w:shd w:val="clear" w:color="auto" w:fill="auto"/>
            <w:noWrap/>
            <w:vAlign w:val="bottom"/>
            <w:hideMark/>
          </w:tcPr>
          <w:p w14:paraId="0C1FF225"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5.790</w:t>
            </w:r>
          </w:p>
        </w:tc>
        <w:tc>
          <w:tcPr>
            <w:tcW w:w="455" w:type="pct"/>
            <w:tcBorders>
              <w:top w:val="nil"/>
              <w:left w:val="nil"/>
              <w:bottom w:val="nil"/>
              <w:right w:val="nil"/>
            </w:tcBorders>
            <w:shd w:val="clear" w:color="auto" w:fill="auto"/>
            <w:noWrap/>
            <w:vAlign w:val="bottom"/>
            <w:hideMark/>
          </w:tcPr>
          <w:p w14:paraId="409939ED"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3.050</w:t>
            </w:r>
          </w:p>
        </w:tc>
        <w:tc>
          <w:tcPr>
            <w:tcW w:w="455" w:type="pct"/>
            <w:tcBorders>
              <w:top w:val="nil"/>
              <w:left w:val="nil"/>
              <w:bottom w:val="nil"/>
              <w:right w:val="nil"/>
            </w:tcBorders>
            <w:shd w:val="clear" w:color="auto" w:fill="auto"/>
            <w:noWrap/>
            <w:vAlign w:val="bottom"/>
            <w:hideMark/>
          </w:tcPr>
          <w:p w14:paraId="515013AF"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1.912</w:t>
            </w:r>
          </w:p>
        </w:tc>
        <w:tc>
          <w:tcPr>
            <w:tcW w:w="455" w:type="pct"/>
            <w:tcBorders>
              <w:top w:val="nil"/>
              <w:left w:val="nil"/>
              <w:bottom w:val="nil"/>
              <w:right w:val="nil"/>
            </w:tcBorders>
            <w:shd w:val="clear" w:color="auto" w:fill="auto"/>
            <w:noWrap/>
            <w:vAlign w:val="bottom"/>
            <w:hideMark/>
          </w:tcPr>
          <w:p w14:paraId="08101192"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0.581</w:t>
            </w:r>
          </w:p>
        </w:tc>
        <w:tc>
          <w:tcPr>
            <w:tcW w:w="455" w:type="pct"/>
            <w:tcBorders>
              <w:top w:val="nil"/>
              <w:left w:val="nil"/>
              <w:bottom w:val="nil"/>
              <w:right w:val="nil"/>
            </w:tcBorders>
            <w:shd w:val="clear" w:color="auto" w:fill="auto"/>
            <w:noWrap/>
            <w:vAlign w:val="bottom"/>
            <w:hideMark/>
          </w:tcPr>
          <w:p w14:paraId="6B7EBE37"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0.493</w:t>
            </w:r>
          </w:p>
        </w:tc>
        <w:tc>
          <w:tcPr>
            <w:tcW w:w="455" w:type="pct"/>
            <w:tcBorders>
              <w:top w:val="nil"/>
              <w:left w:val="nil"/>
              <w:bottom w:val="nil"/>
              <w:right w:val="nil"/>
            </w:tcBorders>
            <w:shd w:val="clear" w:color="auto" w:fill="auto"/>
            <w:noWrap/>
            <w:vAlign w:val="bottom"/>
            <w:hideMark/>
          </w:tcPr>
          <w:p w14:paraId="78543C50"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0.258</w:t>
            </w:r>
          </w:p>
        </w:tc>
        <w:tc>
          <w:tcPr>
            <w:tcW w:w="455" w:type="pct"/>
            <w:tcBorders>
              <w:top w:val="nil"/>
              <w:left w:val="nil"/>
              <w:bottom w:val="nil"/>
              <w:right w:val="nil"/>
            </w:tcBorders>
            <w:shd w:val="clear" w:color="auto" w:fill="auto"/>
            <w:noWrap/>
            <w:vAlign w:val="bottom"/>
            <w:hideMark/>
          </w:tcPr>
          <w:p w14:paraId="529ABE79"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28.172</w:t>
            </w:r>
          </w:p>
        </w:tc>
        <w:tc>
          <w:tcPr>
            <w:tcW w:w="455" w:type="pct"/>
            <w:tcBorders>
              <w:top w:val="nil"/>
              <w:left w:val="nil"/>
              <w:bottom w:val="nil"/>
              <w:right w:val="nil"/>
            </w:tcBorders>
            <w:shd w:val="clear" w:color="auto" w:fill="auto"/>
            <w:noWrap/>
            <w:vAlign w:val="bottom"/>
            <w:hideMark/>
          </w:tcPr>
          <w:p w14:paraId="158A1A13"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28.177</w:t>
            </w:r>
          </w:p>
        </w:tc>
      </w:tr>
      <w:tr w:rsidR="005D7014" w:rsidRPr="009355BF" w14:paraId="0A80E472" w14:textId="77777777" w:rsidTr="005D7014">
        <w:trPr>
          <w:divId w:val="688412991"/>
          <w:trHeight w:hRule="exact" w:val="225"/>
        </w:trPr>
        <w:tc>
          <w:tcPr>
            <w:tcW w:w="455" w:type="pct"/>
            <w:tcBorders>
              <w:top w:val="nil"/>
              <w:left w:val="nil"/>
              <w:bottom w:val="single" w:sz="4" w:space="0" w:color="293F5B"/>
              <w:right w:val="nil"/>
            </w:tcBorders>
            <w:shd w:val="clear" w:color="auto" w:fill="auto"/>
            <w:noWrap/>
            <w:vAlign w:val="bottom"/>
            <w:hideMark/>
          </w:tcPr>
          <w:p w14:paraId="06D596A0" w14:textId="77777777" w:rsidR="005D7014" w:rsidRPr="009355BF" w:rsidRDefault="005D7014" w:rsidP="005D7014">
            <w:pPr>
              <w:spacing w:before="0" w:after="0" w:line="240" w:lineRule="auto"/>
              <w:rPr>
                <w:rFonts w:ascii="Arial" w:hAnsi="Arial" w:cs="Arial"/>
                <w:sz w:val="16"/>
                <w:szCs w:val="16"/>
              </w:rPr>
            </w:pPr>
            <w:r w:rsidRPr="009355BF">
              <w:rPr>
                <w:rFonts w:ascii="Arial" w:hAnsi="Arial" w:cs="Arial"/>
                <w:sz w:val="16"/>
                <w:szCs w:val="16"/>
              </w:rPr>
              <w:t>2027</w:t>
            </w:r>
          </w:p>
        </w:tc>
        <w:tc>
          <w:tcPr>
            <w:tcW w:w="455" w:type="pct"/>
            <w:tcBorders>
              <w:top w:val="nil"/>
              <w:left w:val="nil"/>
              <w:bottom w:val="single" w:sz="4" w:space="0" w:color="293F5B"/>
              <w:right w:val="nil"/>
            </w:tcBorders>
            <w:shd w:val="clear" w:color="auto" w:fill="auto"/>
            <w:noWrap/>
            <w:vAlign w:val="bottom"/>
            <w:hideMark/>
          </w:tcPr>
          <w:p w14:paraId="4B00265B"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8.913</w:t>
            </w:r>
          </w:p>
        </w:tc>
        <w:tc>
          <w:tcPr>
            <w:tcW w:w="455" w:type="pct"/>
            <w:tcBorders>
              <w:top w:val="nil"/>
              <w:left w:val="nil"/>
              <w:bottom w:val="single" w:sz="4" w:space="0" w:color="293F5B"/>
              <w:right w:val="nil"/>
            </w:tcBorders>
            <w:shd w:val="clear" w:color="auto" w:fill="auto"/>
            <w:noWrap/>
            <w:vAlign w:val="bottom"/>
            <w:hideMark/>
          </w:tcPr>
          <w:p w14:paraId="5FCC4DAB"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7.416</w:t>
            </w:r>
          </w:p>
        </w:tc>
        <w:tc>
          <w:tcPr>
            <w:tcW w:w="455" w:type="pct"/>
            <w:tcBorders>
              <w:top w:val="nil"/>
              <w:left w:val="nil"/>
              <w:bottom w:val="single" w:sz="4" w:space="0" w:color="293F5B"/>
              <w:right w:val="nil"/>
            </w:tcBorders>
            <w:shd w:val="clear" w:color="auto" w:fill="auto"/>
            <w:noWrap/>
            <w:vAlign w:val="bottom"/>
            <w:hideMark/>
          </w:tcPr>
          <w:p w14:paraId="3BCC8671"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5.867</w:t>
            </w:r>
          </w:p>
        </w:tc>
        <w:tc>
          <w:tcPr>
            <w:tcW w:w="455" w:type="pct"/>
            <w:tcBorders>
              <w:top w:val="nil"/>
              <w:left w:val="nil"/>
              <w:bottom w:val="single" w:sz="4" w:space="0" w:color="293F5B"/>
              <w:right w:val="nil"/>
            </w:tcBorders>
            <w:shd w:val="clear" w:color="auto" w:fill="auto"/>
            <w:noWrap/>
            <w:vAlign w:val="bottom"/>
            <w:hideMark/>
          </w:tcPr>
          <w:p w14:paraId="304E776A"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3.084</w:t>
            </w:r>
          </w:p>
        </w:tc>
        <w:tc>
          <w:tcPr>
            <w:tcW w:w="455" w:type="pct"/>
            <w:tcBorders>
              <w:top w:val="nil"/>
              <w:left w:val="nil"/>
              <w:bottom w:val="single" w:sz="4" w:space="0" w:color="293F5B"/>
              <w:right w:val="nil"/>
            </w:tcBorders>
            <w:shd w:val="clear" w:color="auto" w:fill="auto"/>
            <w:noWrap/>
            <w:vAlign w:val="bottom"/>
            <w:hideMark/>
          </w:tcPr>
          <w:p w14:paraId="4D47F998"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1.926</w:t>
            </w:r>
          </w:p>
        </w:tc>
        <w:tc>
          <w:tcPr>
            <w:tcW w:w="455" w:type="pct"/>
            <w:tcBorders>
              <w:top w:val="nil"/>
              <w:left w:val="nil"/>
              <w:bottom w:val="single" w:sz="4" w:space="0" w:color="293F5B"/>
              <w:right w:val="nil"/>
            </w:tcBorders>
            <w:shd w:val="clear" w:color="auto" w:fill="auto"/>
            <w:noWrap/>
            <w:vAlign w:val="bottom"/>
            <w:hideMark/>
          </w:tcPr>
          <w:p w14:paraId="5D3F1F1F"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0.585</w:t>
            </w:r>
          </w:p>
        </w:tc>
        <w:tc>
          <w:tcPr>
            <w:tcW w:w="455" w:type="pct"/>
            <w:tcBorders>
              <w:top w:val="nil"/>
              <w:left w:val="nil"/>
              <w:bottom w:val="single" w:sz="4" w:space="0" w:color="293F5B"/>
              <w:right w:val="nil"/>
            </w:tcBorders>
            <w:shd w:val="clear" w:color="auto" w:fill="auto"/>
            <w:noWrap/>
            <w:vAlign w:val="bottom"/>
            <w:hideMark/>
          </w:tcPr>
          <w:p w14:paraId="5999DF79"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0.501</w:t>
            </w:r>
          </w:p>
        </w:tc>
        <w:tc>
          <w:tcPr>
            <w:tcW w:w="455" w:type="pct"/>
            <w:tcBorders>
              <w:top w:val="nil"/>
              <w:left w:val="nil"/>
              <w:bottom w:val="single" w:sz="4" w:space="0" w:color="293F5B"/>
              <w:right w:val="nil"/>
            </w:tcBorders>
            <w:shd w:val="clear" w:color="auto" w:fill="auto"/>
            <w:noWrap/>
            <w:vAlign w:val="bottom"/>
            <w:hideMark/>
          </w:tcPr>
          <w:p w14:paraId="7F1EFE6B"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0.260</w:t>
            </w:r>
          </w:p>
        </w:tc>
        <w:tc>
          <w:tcPr>
            <w:tcW w:w="455" w:type="pct"/>
            <w:tcBorders>
              <w:top w:val="nil"/>
              <w:left w:val="nil"/>
              <w:bottom w:val="single" w:sz="4" w:space="0" w:color="293F5B"/>
              <w:right w:val="nil"/>
            </w:tcBorders>
            <w:shd w:val="clear" w:color="auto" w:fill="auto"/>
            <w:noWrap/>
            <w:vAlign w:val="bottom"/>
            <w:hideMark/>
          </w:tcPr>
          <w:p w14:paraId="63134A6D"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28.551</w:t>
            </w:r>
          </w:p>
        </w:tc>
        <w:tc>
          <w:tcPr>
            <w:tcW w:w="455" w:type="pct"/>
            <w:tcBorders>
              <w:top w:val="nil"/>
              <w:left w:val="nil"/>
              <w:bottom w:val="single" w:sz="4" w:space="0" w:color="293F5B"/>
              <w:right w:val="nil"/>
            </w:tcBorders>
            <w:shd w:val="clear" w:color="auto" w:fill="auto"/>
            <w:noWrap/>
            <w:vAlign w:val="bottom"/>
            <w:hideMark/>
          </w:tcPr>
          <w:p w14:paraId="761B25AA" w14:textId="77777777" w:rsidR="005D7014" w:rsidRPr="009355BF" w:rsidRDefault="005D7014" w:rsidP="005D7014">
            <w:pPr>
              <w:spacing w:before="0" w:after="0" w:line="240" w:lineRule="auto"/>
              <w:jc w:val="right"/>
              <w:rPr>
                <w:rFonts w:ascii="Arial" w:hAnsi="Arial" w:cs="Arial"/>
                <w:sz w:val="16"/>
                <w:szCs w:val="16"/>
              </w:rPr>
            </w:pPr>
            <w:r w:rsidRPr="009355BF">
              <w:rPr>
                <w:rFonts w:ascii="Arial" w:hAnsi="Arial" w:cs="Arial"/>
                <w:sz w:val="16"/>
                <w:szCs w:val="16"/>
              </w:rPr>
              <w:t>28.556</w:t>
            </w:r>
          </w:p>
        </w:tc>
      </w:tr>
    </w:tbl>
    <w:p w14:paraId="21D4B929" w14:textId="3F1391B4" w:rsidR="005D7014" w:rsidRPr="009355BF" w:rsidDel="008311DA" w:rsidRDefault="005D7014" w:rsidP="005D7014">
      <w:pPr>
        <w:pStyle w:val="ChartandTableFootnoteAlpha"/>
        <w:rPr>
          <w:rFonts w:eastAsiaTheme="minorEastAsia"/>
          <w:color w:val="auto"/>
        </w:rPr>
      </w:pPr>
      <w:r w:rsidRPr="009355BF">
        <w:rPr>
          <w:rFonts w:eastAsiaTheme="minorHAnsi"/>
          <w:color w:val="auto"/>
        </w:rPr>
        <w:t>‘Total’ is the sum of the states and territories shown, and excludes Jervis Bay Territory, Christmas Island, the Cocos (Keeling) Islands and Norfolk Island.</w:t>
      </w:r>
      <w:r w:rsidRPr="009355BF" w:rsidDel="00291A33">
        <w:rPr>
          <w:rFonts w:eastAsiaTheme="minorEastAsia"/>
          <w:color w:val="auto"/>
        </w:rPr>
        <w:t xml:space="preserve"> </w:t>
      </w:r>
    </w:p>
    <w:p w14:paraId="2AAA5699" w14:textId="77777777" w:rsidR="00E6789E" w:rsidRPr="009355BF" w:rsidDel="008311DA" w:rsidRDefault="00E6789E" w:rsidP="002C18F6">
      <w:pPr>
        <w:pStyle w:val="TableLine"/>
      </w:pPr>
    </w:p>
    <w:p w14:paraId="5A382CC4" w14:textId="26665690" w:rsidR="007F18EB" w:rsidRPr="009355BF" w:rsidRDefault="00E6789E" w:rsidP="00E6789E">
      <w:pPr>
        <w:pStyle w:val="TableHeading"/>
        <w:rPr>
          <w:rFonts w:asciiTheme="minorHAnsi" w:eastAsiaTheme="minorHAnsi" w:hAnsiTheme="minorHAnsi" w:cstheme="minorBidi"/>
          <w:b w:val="0"/>
          <w:sz w:val="22"/>
          <w:szCs w:val="22"/>
          <w:lang w:eastAsia="en-US"/>
        </w:rPr>
      </w:pPr>
      <w:r w:rsidRPr="009355BF">
        <w:rPr>
          <w:rFonts w:cs="Arial"/>
        </w:rPr>
        <w:t>Table A.2: Population by state, at 30 Jun</w:t>
      </w:r>
      <w:r w:rsidR="007F18EB" w:rsidRPr="009355BF">
        <w:rPr>
          <w:rFonts w:cs="Arial"/>
        </w:rPr>
        <w:t>e</w:t>
      </w:r>
    </w:p>
    <w:tbl>
      <w:tblPr>
        <w:tblW w:w="5000" w:type="pct"/>
        <w:tblCellMar>
          <w:left w:w="0" w:type="dxa"/>
          <w:right w:w="28" w:type="dxa"/>
        </w:tblCellMar>
        <w:tblLook w:val="04A0" w:firstRow="1" w:lastRow="0" w:firstColumn="1" w:lastColumn="0" w:noHBand="0" w:noVBand="1"/>
      </w:tblPr>
      <w:tblGrid>
        <w:gridCol w:w="811"/>
        <w:gridCol w:w="690"/>
        <w:gridCol w:w="690"/>
        <w:gridCol w:w="690"/>
        <w:gridCol w:w="691"/>
        <w:gridCol w:w="691"/>
        <w:gridCol w:w="691"/>
        <w:gridCol w:w="691"/>
        <w:gridCol w:w="691"/>
        <w:gridCol w:w="691"/>
        <w:gridCol w:w="683"/>
      </w:tblGrid>
      <w:tr w:rsidR="007F18EB" w:rsidRPr="009355BF" w14:paraId="56FB8E5C" w14:textId="77777777" w:rsidTr="007F18EB">
        <w:trPr>
          <w:trHeight w:hRule="exact" w:val="225"/>
        </w:trPr>
        <w:tc>
          <w:tcPr>
            <w:tcW w:w="455" w:type="pct"/>
            <w:tcBorders>
              <w:top w:val="single" w:sz="4" w:space="0" w:color="293F5B"/>
              <w:left w:val="nil"/>
              <w:bottom w:val="nil"/>
              <w:right w:val="nil"/>
            </w:tcBorders>
            <w:shd w:val="clear" w:color="auto" w:fill="auto"/>
            <w:noWrap/>
            <w:vAlign w:val="bottom"/>
            <w:hideMark/>
          </w:tcPr>
          <w:p w14:paraId="6A901F2A" w14:textId="5A7F2195" w:rsidR="007F18EB" w:rsidRPr="009355BF" w:rsidRDefault="007F18EB" w:rsidP="007F18EB">
            <w:pPr>
              <w:spacing w:before="0" w:after="0" w:line="240" w:lineRule="auto"/>
              <w:rPr>
                <w:rFonts w:ascii="Arial" w:hAnsi="Arial" w:cs="Arial"/>
                <w:sz w:val="16"/>
                <w:szCs w:val="16"/>
              </w:rPr>
            </w:pPr>
            <w:r w:rsidRPr="009355BF">
              <w:rPr>
                <w:rFonts w:ascii="Arial" w:hAnsi="Arial" w:cs="Arial"/>
                <w:sz w:val="16"/>
                <w:szCs w:val="16"/>
              </w:rPr>
              <w:t>million</w:t>
            </w:r>
          </w:p>
        </w:tc>
        <w:tc>
          <w:tcPr>
            <w:tcW w:w="455" w:type="pct"/>
            <w:tcBorders>
              <w:top w:val="single" w:sz="4" w:space="0" w:color="293F5B"/>
              <w:left w:val="nil"/>
              <w:bottom w:val="nil"/>
              <w:right w:val="nil"/>
            </w:tcBorders>
            <w:shd w:val="clear" w:color="auto" w:fill="auto"/>
            <w:noWrap/>
            <w:vAlign w:val="center"/>
            <w:hideMark/>
          </w:tcPr>
          <w:p w14:paraId="36086DA4"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NSW</w:t>
            </w:r>
          </w:p>
        </w:tc>
        <w:tc>
          <w:tcPr>
            <w:tcW w:w="455" w:type="pct"/>
            <w:tcBorders>
              <w:top w:val="single" w:sz="4" w:space="0" w:color="293F5B"/>
              <w:left w:val="nil"/>
              <w:bottom w:val="nil"/>
              <w:right w:val="nil"/>
            </w:tcBorders>
            <w:shd w:val="clear" w:color="auto" w:fill="auto"/>
            <w:noWrap/>
            <w:vAlign w:val="center"/>
            <w:hideMark/>
          </w:tcPr>
          <w:p w14:paraId="7C630F2E"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VIC</w:t>
            </w:r>
          </w:p>
        </w:tc>
        <w:tc>
          <w:tcPr>
            <w:tcW w:w="455" w:type="pct"/>
            <w:tcBorders>
              <w:top w:val="single" w:sz="4" w:space="0" w:color="293F5B"/>
              <w:left w:val="nil"/>
              <w:bottom w:val="nil"/>
              <w:right w:val="nil"/>
            </w:tcBorders>
            <w:shd w:val="clear" w:color="auto" w:fill="auto"/>
            <w:noWrap/>
            <w:vAlign w:val="center"/>
            <w:hideMark/>
          </w:tcPr>
          <w:p w14:paraId="7F4A5969"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QLD</w:t>
            </w:r>
          </w:p>
        </w:tc>
        <w:tc>
          <w:tcPr>
            <w:tcW w:w="455" w:type="pct"/>
            <w:tcBorders>
              <w:top w:val="single" w:sz="4" w:space="0" w:color="293F5B"/>
              <w:left w:val="nil"/>
              <w:bottom w:val="nil"/>
              <w:right w:val="nil"/>
            </w:tcBorders>
            <w:shd w:val="clear" w:color="auto" w:fill="auto"/>
            <w:noWrap/>
            <w:vAlign w:val="center"/>
            <w:hideMark/>
          </w:tcPr>
          <w:p w14:paraId="6254FB2B"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WA</w:t>
            </w:r>
          </w:p>
        </w:tc>
        <w:tc>
          <w:tcPr>
            <w:tcW w:w="455" w:type="pct"/>
            <w:tcBorders>
              <w:top w:val="single" w:sz="4" w:space="0" w:color="293F5B"/>
              <w:left w:val="nil"/>
              <w:bottom w:val="nil"/>
              <w:right w:val="nil"/>
            </w:tcBorders>
            <w:shd w:val="clear" w:color="auto" w:fill="auto"/>
            <w:noWrap/>
            <w:vAlign w:val="center"/>
            <w:hideMark/>
          </w:tcPr>
          <w:p w14:paraId="71347B5B"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SA</w:t>
            </w:r>
          </w:p>
        </w:tc>
        <w:tc>
          <w:tcPr>
            <w:tcW w:w="455" w:type="pct"/>
            <w:tcBorders>
              <w:top w:val="single" w:sz="4" w:space="0" w:color="293F5B"/>
              <w:left w:val="nil"/>
              <w:bottom w:val="nil"/>
              <w:right w:val="nil"/>
            </w:tcBorders>
            <w:shd w:val="clear" w:color="auto" w:fill="auto"/>
            <w:noWrap/>
            <w:vAlign w:val="center"/>
            <w:hideMark/>
          </w:tcPr>
          <w:p w14:paraId="056D50FE"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TAS</w:t>
            </w:r>
          </w:p>
        </w:tc>
        <w:tc>
          <w:tcPr>
            <w:tcW w:w="455" w:type="pct"/>
            <w:tcBorders>
              <w:top w:val="single" w:sz="4" w:space="0" w:color="293F5B"/>
              <w:left w:val="nil"/>
              <w:bottom w:val="nil"/>
              <w:right w:val="nil"/>
            </w:tcBorders>
            <w:shd w:val="clear" w:color="auto" w:fill="auto"/>
            <w:noWrap/>
            <w:vAlign w:val="center"/>
            <w:hideMark/>
          </w:tcPr>
          <w:p w14:paraId="4DC8C85C"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ACT</w:t>
            </w:r>
          </w:p>
        </w:tc>
        <w:tc>
          <w:tcPr>
            <w:tcW w:w="455" w:type="pct"/>
            <w:tcBorders>
              <w:top w:val="single" w:sz="4" w:space="0" w:color="293F5B"/>
              <w:left w:val="nil"/>
              <w:bottom w:val="nil"/>
              <w:right w:val="nil"/>
            </w:tcBorders>
            <w:shd w:val="clear" w:color="auto" w:fill="auto"/>
            <w:noWrap/>
            <w:vAlign w:val="center"/>
            <w:hideMark/>
          </w:tcPr>
          <w:p w14:paraId="2ABB5215"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NT</w:t>
            </w:r>
          </w:p>
        </w:tc>
        <w:tc>
          <w:tcPr>
            <w:tcW w:w="455" w:type="pct"/>
            <w:tcBorders>
              <w:top w:val="single" w:sz="4" w:space="0" w:color="293F5B"/>
              <w:left w:val="nil"/>
              <w:bottom w:val="nil"/>
              <w:right w:val="nil"/>
            </w:tcBorders>
            <w:shd w:val="clear" w:color="auto" w:fill="auto"/>
            <w:noWrap/>
            <w:vAlign w:val="center"/>
            <w:hideMark/>
          </w:tcPr>
          <w:p w14:paraId="6F48AF3E"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Total(a)</w:t>
            </w:r>
          </w:p>
        </w:tc>
        <w:tc>
          <w:tcPr>
            <w:tcW w:w="455" w:type="pct"/>
            <w:tcBorders>
              <w:top w:val="single" w:sz="4" w:space="0" w:color="293F5B"/>
              <w:left w:val="nil"/>
              <w:bottom w:val="nil"/>
              <w:right w:val="nil"/>
            </w:tcBorders>
            <w:shd w:val="clear" w:color="auto" w:fill="auto"/>
            <w:noWrap/>
            <w:vAlign w:val="center"/>
            <w:hideMark/>
          </w:tcPr>
          <w:p w14:paraId="5277BF87"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Australia</w:t>
            </w:r>
          </w:p>
        </w:tc>
      </w:tr>
      <w:tr w:rsidR="007F18EB" w:rsidRPr="009355BF" w14:paraId="417E0F67" w14:textId="77777777" w:rsidTr="007F18EB">
        <w:trPr>
          <w:trHeight w:hRule="exact" w:val="225"/>
        </w:trPr>
        <w:tc>
          <w:tcPr>
            <w:tcW w:w="455" w:type="pct"/>
            <w:tcBorders>
              <w:top w:val="nil"/>
              <w:left w:val="nil"/>
              <w:bottom w:val="nil"/>
              <w:right w:val="nil"/>
            </w:tcBorders>
            <w:shd w:val="clear" w:color="auto" w:fill="auto"/>
            <w:noWrap/>
            <w:vAlign w:val="bottom"/>
            <w:hideMark/>
          </w:tcPr>
          <w:p w14:paraId="0B9143FB" w14:textId="7DAF1A6E" w:rsidR="007F18EB" w:rsidRPr="009355BF" w:rsidRDefault="007F18EB" w:rsidP="007F18EB">
            <w:pPr>
              <w:spacing w:before="0" w:after="0" w:line="240" w:lineRule="auto"/>
              <w:rPr>
                <w:rFonts w:ascii="Arial" w:hAnsi="Arial" w:cs="Arial"/>
                <w:sz w:val="16"/>
                <w:szCs w:val="16"/>
              </w:rPr>
            </w:pPr>
            <w:r w:rsidRPr="009355BF">
              <w:rPr>
                <w:rFonts w:ascii="Arial" w:hAnsi="Arial" w:cs="Arial"/>
                <w:sz w:val="16"/>
                <w:szCs w:val="16"/>
              </w:rPr>
              <w:t>2022</w:t>
            </w:r>
            <w:r w:rsidR="00D16A11" w:rsidRPr="009355BF">
              <w:rPr>
                <w:rFonts w:ascii="Arial" w:hAnsi="Arial" w:cs="Arial"/>
                <w:sz w:val="16"/>
                <w:szCs w:val="16"/>
              </w:rPr>
              <w:noBreakHyphen/>
            </w:r>
            <w:r w:rsidRPr="009355BF">
              <w:rPr>
                <w:rFonts w:ascii="Arial" w:hAnsi="Arial" w:cs="Arial"/>
                <w:sz w:val="16"/>
                <w:szCs w:val="16"/>
              </w:rPr>
              <w:t>23(b)</w:t>
            </w:r>
          </w:p>
        </w:tc>
        <w:tc>
          <w:tcPr>
            <w:tcW w:w="455" w:type="pct"/>
            <w:tcBorders>
              <w:top w:val="single" w:sz="4" w:space="0" w:color="293F5B"/>
              <w:left w:val="nil"/>
              <w:bottom w:val="nil"/>
              <w:right w:val="nil"/>
            </w:tcBorders>
            <w:shd w:val="clear" w:color="auto" w:fill="auto"/>
            <w:noWrap/>
            <w:vAlign w:val="bottom"/>
            <w:hideMark/>
          </w:tcPr>
          <w:p w14:paraId="5EE99E84"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8.342</w:t>
            </w:r>
          </w:p>
        </w:tc>
        <w:tc>
          <w:tcPr>
            <w:tcW w:w="455" w:type="pct"/>
            <w:tcBorders>
              <w:top w:val="single" w:sz="4" w:space="0" w:color="293F5B"/>
              <w:left w:val="nil"/>
              <w:bottom w:val="nil"/>
              <w:right w:val="nil"/>
            </w:tcBorders>
            <w:shd w:val="clear" w:color="auto" w:fill="auto"/>
            <w:noWrap/>
            <w:vAlign w:val="bottom"/>
            <w:hideMark/>
          </w:tcPr>
          <w:p w14:paraId="43731FD8"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6.815</w:t>
            </w:r>
          </w:p>
        </w:tc>
        <w:tc>
          <w:tcPr>
            <w:tcW w:w="455" w:type="pct"/>
            <w:tcBorders>
              <w:top w:val="single" w:sz="4" w:space="0" w:color="293F5B"/>
              <w:left w:val="nil"/>
              <w:bottom w:val="nil"/>
              <w:right w:val="nil"/>
            </w:tcBorders>
            <w:shd w:val="clear" w:color="auto" w:fill="auto"/>
            <w:noWrap/>
            <w:vAlign w:val="bottom"/>
            <w:hideMark/>
          </w:tcPr>
          <w:p w14:paraId="32997EE8"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5.460</w:t>
            </w:r>
          </w:p>
        </w:tc>
        <w:tc>
          <w:tcPr>
            <w:tcW w:w="455" w:type="pct"/>
            <w:tcBorders>
              <w:top w:val="single" w:sz="4" w:space="0" w:color="293F5B"/>
              <w:left w:val="nil"/>
              <w:bottom w:val="nil"/>
              <w:right w:val="nil"/>
            </w:tcBorders>
            <w:shd w:val="clear" w:color="auto" w:fill="auto"/>
            <w:noWrap/>
            <w:vAlign w:val="bottom"/>
            <w:hideMark/>
          </w:tcPr>
          <w:p w14:paraId="45A6512A"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2.881</w:t>
            </w:r>
          </w:p>
        </w:tc>
        <w:tc>
          <w:tcPr>
            <w:tcW w:w="455" w:type="pct"/>
            <w:tcBorders>
              <w:top w:val="single" w:sz="4" w:space="0" w:color="293F5B"/>
              <w:left w:val="nil"/>
              <w:bottom w:val="nil"/>
              <w:right w:val="nil"/>
            </w:tcBorders>
            <w:shd w:val="clear" w:color="auto" w:fill="auto"/>
            <w:noWrap/>
            <w:vAlign w:val="bottom"/>
            <w:hideMark/>
          </w:tcPr>
          <w:p w14:paraId="18848BA8"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1.852</w:t>
            </w:r>
          </w:p>
        </w:tc>
        <w:tc>
          <w:tcPr>
            <w:tcW w:w="455" w:type="pct"/>
            <w:tcBorders>
              <w:top w:val="single" w:sz="4" w:space="0" w:color="293F5B"/>
              <w:left w:val="nil"/>
              <w:bottom w:val="nil"/>
              <w:right w:val="nil"/>
            </w:tcBorders>
            <w:shd w:val="clear" w:color="auto" w:fill="auto"/>
            <w:noWrap/>
            <w:vAlign w:val="bottom"/>
            <w:hideMark/>
          </w:tcPr>
          <w:p w14:paraId="2FEE65E1"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0.573</w:t>
            </w:r>
          </w:p>
        </w:tc>
        <w:tc>
          <w:tcPr>
            <w:tcW w:w="455" w:type="pct"/>
            <w:tcBorders>
              <w:top w:val="single" w:sz="4" w:space="0" w:color="293F5B"/>
              <w:left w:val="nil"/>
              <w:bottom w:val="nil"/>
              <w:right w:val="nil"/>
            </w:tcBorders>
            <w:shd w:val="clear" w:color="auto" w:fill="auto"/>
            <w:noWrap/>
            <w:vAlign w:val="bottom"/>
            <w:hideMark/>
          </w:tcPr>
          <w:p w14:paraId="67C724E7"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0.467</w:t>
            </w:r>
          </w:p>
        </w:tc>
        <w:tc>
          <w:tcPr>
            <w:tcW w:w="455" w:type="pct"/>
            <w:tcBorders>
              <w:top w:val="single" w:sz="4" w:space="0" w:color="293F5B"/>
              <w:left w:val="nil"/>
              <w:bottom w:val="nil"/>
              <w:right w:val="nil"/>
            </w:tcBorders>
            <w:shd w:val="clear" w:color="auto" w:fill="auto"/>
            <w:noWrap/>
            <w:vAlign w:val="bottom"/>
            <w:hideMark/>
          </w:tcPr>
          <w:p w14:paraId="5DDFACA6"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0.253</w:t>
            </w:r>
          </w:p>
        </w:tc>
        <w:tc>
          <w:tcPr>
            <w:tcW w:w="455" w:type="pct"/>
            <w:tcBorders>
              <w:top w:val="single" w:sz="4" w:space="0" w:color="293F5B"/>
              <w:left w:val="nil"/>
              <w:bottom w:val="nil"/>
              <w:right w:val="nil"/>
            </w:tcBorders>
            <w:shd w:val="clear" w:color="auto" w:fill="auto"/>
            <w:noWrap/>
            <w:vAlign w:val="bottom"/>
            <w:hideMark/>
          </w:tcPr>
          <w:p w14:paraId="68EF4A5F"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26.644</w:t>
            </w:r>
          </w:p>
        </w:tc>
        <w:tc>
          <w:tcPr>
            <w:tcW w:w="455" w:type="pct"/>
            <w:tcBorders>
              <w:top w:val="single" w:sz="4" w:space="0" w:color="293F5B"/>
              <w:left w:val="nil"/>
              <w:bottom w:val="nil"/>
              <w:right w:val="nil"/>
            </w:tcBorders>
            <w:shd w:val="clear" w:color="auto" w:fill="auto"/>
            <w:noWrap/>
            <w:vAlign w:val="bottom"/>
            <w:hideMark/>
          </w:tcPr>
          <w:p w14:paraId="3F051832"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26.649</w:t>
            </w:r>
          </w:p>
        </w:tc>
      </w:tr>
      <w:tr w:rsidR="007F18EB" w:rsidRPr="009355BF" w14:paraId="77DA230C" w14:textId="77777777" w:rsidTr="007F18EB">
        <w:trPr>
          <w:trHeight w:hRule="exact" w:val="225"/>
        </w:trPr>
        <w:tc>
          <w:tcPr>
            <w:tcW w:w="455" w:type="pct"/>
            <w:tcBorders>
              <w:top w:val="nil"/>
              <w:left w:val="nil"/>
              <w:bottom w:val="nil"/>
              <w:right w:val="nil"/>
            </w:tcBorders>
            <w:shd w:val="clear" w:color="auto" w:fill="auto"/>
            <w:noWrap/>
            <w:vAlign w:val="bottom"/>
            <w:hideMark/>
          </w:tcPr>
          <w:p w14:paraId="1C21C912" w14:textId="2FC4B43F" w:rsidR="007F18EB" w:rsidRPr="009355BF" w:rsidRDefault="007F18EB" w:rsidP="007F18EB">
            <w:pPr>
              <w:spacing w:before="0" w:after="0" w:line="240" w:lineRule="auto"/>
              <w:rPr>
                <w:rFonts w:ascii="Arial" w:hAnsi="Arial" w:cs="Arial"/>
                <w:sz w:val="16"/>
                <w:szCs w:val="16"/>
              </w:rPr>
            </w:pPr>
            <w:r w:rsidRPr="009355BF">
              <w:rPr>
                <w:rFonts w:ascii="Arial" w:hAnsi="Arial" w:cs="Arial"/>
                <w:sz w:val="16"/>
                <w:szCs w:val="16"/>
              </w:rPr>
              <w:t>2023</w:t>
            </w:r>
            <w:r w:rsidR="00D16A11" w:rsidRPr="009355BF">
              <w:rPr>
                <w:rFonts w:ascii="Arial" w:hAnsi="Arial" w:cs="Arial"/>
                <w:sz w:val="16"/>
                <w:szCs w:val="16"/>
              </w:rPr>
              <w:noBreakHyphen/>
            </w:r>
            <w:r w:rsidRPr="009355BF">
              <w:rPr>
                <w:rFonts w:ascii="Arial" w:hAnsi="Arial" w:cs="Arial"/>
                <w:sz w:val="16"/>
                <w:szCs w:val="16"/>
              </w:rPr>
              <w:t>24</w:t>
            </w:r>
          </w:p>
        </w:tc>
        <w:tc>
          <w:tcPr>
            <w:tcW w:w="455" w:type="pct"/>
            <w:tcBorders>
              <w:top w:val="nil"/>
              <w:left w:val="nil"/>
              <w:bottom w:val="nil"/>
              <w:right w:val="nil"/>
            </w:tcBorders>
            <w:shd w:val="clear" w:color="auto" w:fill="auto"/>
            <w:noWrap/>
            <w:vAlign w:val="bottom"/>
            <w:hideMark/>
          </w:tcPr>
          <w:p w14:paraId="572B8B88"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8.495</w:t>
            </w:r>
          </w:p>
        </w:tc>
        <w:tc>
          <w:tcPr>
            <w:tcW w:w="455" w:type="pct"/>
            <w:tcBorders>
              <w:top w:val="nil"/>
              <w:left w:val="nil"/>
              <w:bottom w:val="nil"/>
              <w:right w:val="nil"/>
            </w:tcBorders>
            <w:shd w:val="clear" w:color="auto" w:fill="auto"/>
            <w:noWrap/>
            <w:vAlign w:val="bottom"/>
            <w:hideMark/>
          </w:tcPr>
          <w:p w14:paraId="3C94D200"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6.972</w:t>
            </w:r>
          </w:p>
        </w:tc>
        <w:tc>
          <w:tcPr>
            <w:tcW w:w="455" w:type="pct"/>
            <w:tcBorders>
              <w:top w:val="nil"/>
              <w:left w:val="nil"/>
              <w:bottom w:val="nil"/>
              <w:right w:val="nil"/>
            </w:tcBorders>
            <w:shd w:val="clear" w:color="auto" w:fill="auto"/>
            <w:noWrap/>
            <w:vAlign w:val="bottom"/>
            <w:hideMark/>
          </w:tcPr>
          <w:p w14:paraId="34490B90"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5.579</w:t>
            </w:r>
          </w:p>
        </w:tc>
        <w:tc>
          <w:tcPr>
            <w:tcW w:w="455" w:type="pct"/>
            <w:tcBorders>
              <w:top w:val="nil"/>
              <w:left w:val="nil"/>
              <w:bottom w:val="nil"/>
              <w:right w:val="nil"/>
            </w:tcBorders>
            <w:shd w:val="clear" w:color="auto" w:fill="auto"/>
            <w:noWrap/>
            <w:vAlign w:val="bottom"/>
            <w:hideMark/>
          </w:tcPr>
          <w:p w14:paraId="714D6AAD"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2.953</w:t>
            </w:r>
          </w:p>
        </w:tc>
        <w:tc>
          <w:tcPr>
            <w:tcW w:w="455" w:type="pct"/>
            <w:tcBorders>
              <w:top w:val="nil"/>
              <w:left w:val="nil"/>
              <w:bottom w:val="nil"/>
              <w:right w:val="nil"/>
            </w:tcBorders>
            <w:shd w:val="clear" w:color="auto" w:fill="auto"/>
            <w:noWrap/>
            <w:vAlign w:val="bottom"/>
            <w:hideMark/>
          </w:tcPr>
          <w:p w14:paraId="4202671C"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1.875</w:t>
            </w:r>
          </w:p>
        </w:tc>
        <w:tc>
          <w:tcPr>
            <w:tcW w:w="455" w:type="pct"/>
            <w:tcBorders>
              <w:top w:val="nil"/>
              <w:left w:val="nil"/>
              <w:bottom w:val="nil"/>
              <w:right w:val="nil"/>
            </w:tcBorders>
            <w:shd w:val="clear" w:color="auto" w:fill="auto"/>
            <w:noWrap/>
            <w:vAlign w:val="bottom"/>
            <w:hideMark/>
          </w:tcPr>
          <w:p w14:paraId="713A652D"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0.574</w:t>
            </w:r>
          </w:p>
        </w:tc>
        <w:tc>
          <w:tcPr>
            <w:tcW w:w="455" w:type="pct"/>
            <w:tcBorders>
              <w:top w:val="nil"/>
              <w:left w:val="nil"/>
              <w:bottom w:val="nil"/>
              <w:right w:val="nil"/>
            </w:tcBorders>
            <w:shd w:val="clear" w:color="auto" w:fill="auto"/>
            <w:noWrap/>
            <w:vAlign w:val="bottom"/>
            <w:hideMark/>
          </w:tcPr>
          <w:p w14:paraId="68485E8A"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0.475</w:t>
            </w:r>
          </w:p>
        </w:tc>
        <w:tc>
          <w:tcPr>
            <w:tcW w:w="455" w:type="pct"/>
            <w:tcBorders>
              <w:top w:val="nil"/>
              <w:left w:val="nil"/>
              <w:bottom w:val="nil"/>
              <w:right w:val="nil"/>
            </w:tcBorders>
            <w:shd w:val="clear" w:color="auto" w:fill="auto"/>
            <w:noWrap/>
            <w:vAlign w:val="bottom"/>
            <w:hideMark/>
          </w:tcPr>
          <w:p w14:paraId="3B5FC341"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0.253</w:t>
            </w:r>
          </w:p>
        </w:tc>
        <w:tc>
          <w:tcPr>
            <w:tcW w:w="455" w:type="pct"/>
            <w:tcBorders>
              <w:top w:val="nil"/>
              <w:left w:val="nil"/>
              <w:bottom w:val="nil"/>
              <w:right w:val="nil"/>
            </w:tcBorders>
            <w:shd w:val="clear" w:color="auto" w:fill="auto"/>
            <w:noWrap/>
            <w:vAlign w:val="bottom"/>
            <w:hideMark/>
          </w:tcPr>
          <w:p w14:paraId="63D25666"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27.177</w:t>
            </w:r>
          </w:p>
        </w:tc>
        <w:tc>
          <w:tcPr>
            <w:tcW w:w="455" w:type="pct"/>
            <w:tcBorders>
              <w:top w:val="nil"/>
              <w:left w:val="nil"/>
              <w:bottom w:val="nil"/>
              <w:right w:val="nil"/>
            </w:tcBorders>
            <w:shd w:val="clear" w:color="auto" w:fill="auto"/>
            <w:noWrap/>
            <w:vAlign w:val="bottom"/>
            <w:hideMark/>
          </w:tcPr>
          <w:p w14:paraId="17497354"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27.182</w:t>
            </w:r>
          </w:p>
        </w:tc>
      </w:tr>
      <w:tr w:rsidR="007F18EB" w:rsidRPr="009355BF" w14:paraId="2DE7B91A" w14:textId="77777777" w:rsidTr="007F18EB">
        <w:trPr>
          <w:trHeight w:hRule="exact" w:val="225"/>
        </w:trPr>
        <w:tc>
          <w:tcPr>
            <w:tcW w:w="455" w:type="pct"/>
            <w:tcBorders>
              <w:top w:val="nil"/>
              <w:left w:val="nil"/>
              <w:bottom w:val="nil"/>
              <w:right w:val="nil"/>
            </w:tcBorders>
            <w:shd w:val="clear" w:color="000000" w:fill="E6F2FF"/>
            <w:noWrap/>
            <w:vAlign w:val="bottom"/>
            <w:hideMark/>
          </w:tcPr>
          <w:p w14:paraId="067F72C8" w14:textId="43A7B461" w:rsidR="007F18EB" w:rsidRPr="009355BF" w:rsidRDefault="007F18EB" w:rsidP="007F18EB">
            <w:pPr>
              <w:spacing w:before="0" w:after="0" w:line="240" w:lineRule="auto"/>
              <w:rPr>
                <w:rFonts w:ascii="Arial" w:hAnsi="Arial" w:cs="Arial"/>
                <w:sz w:val="16"/>
                <w:szCs w:val="16"/>
              </w:rPr>
            </w:pPr>
            <w:r w:rsidRPr="009355BF">
              <w:rPr>
                <w:rFonts w:ascii="Arial" w:hAnsi="Arial" w:cs="Arial"/>
                <w:sz w:val="16"/>
                <w:szCs w:val="16"/>
              </w:rPr>
              <w:t>2024</w:t>
            </w:r>
            <w:r w:rsidR="00D16A11" w:rsidRPr="009355BF">
              <w:rPr>
                <w:rFonts w:ascii="Arial" w:hAnsi="Arial" w:cs="Arial"/>
                <w:sz w:val="16"/>
                <w:szCs w:val="16"/>
              </w:rPr>
              <w:noBreakHyphen/>
            </w:r>
            <w:r w:rsidRPr="009355BF">
              <w:rPr>
                <w:rFonts w:ascii="Arial" w:hAnsi="Arial" w:cs="Arial"/>
                <w:sz w:val="16"/>
                <w:szCs w:val="16"/>
              </w:rPr>
              <w:t>25</w:t>
            </w:r>
          </w:p>
        </w:tc>
        <w:tc>
          <w:tcPr>
            <w:tcW w:w="455" w:type="pct"/>
            <w:tcBorders>
              <w:top w:val="nil"/>
              <w:left w:val="nil"/>
              <w:bottom w:val="nil"/>
              <w:right w:val="nil"/>
            </w:tcBorders>
            <w:shd w:val="clear" w:color="000000" w:fill="E6F2FF"/>
            <w:noWrap/>
            <w:vAlign w:val="bottom"/>
            <w:hideMark/>
          </w:tcPr>
          <w:p w14:paraId="62631A07"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8.613</w:t>
            </w:r>
          </w:p>
        </w:tc>
        <w:tc>
          <w:tcPr>
            <w:tcW w:w="455" w:type="pct"/>
            <w:tcBorders>
              <w:top w:val="nil"/>
              <w:left w:val="nil"/>
              <w:bottom w:val="nil"/>
              <w:right w:val="nil"/>
            </w:tcBorders>
            <w:shd w:val="clear" w:color="000000" w:fill="E6F2FF"/>
            <w:noWrap/>
            <w:vAlign w:val="bottom"/>
            <w:hideMark/>
          </w:tcPr>
          <w:p w14:paraId="0EEA614D"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7.098</w:t>
            </w:r>
          </w:p>
        </w:tc>
        <w:tc>
          <w:tcPr>
            <w:tcW w:w="455" w:type="pct"/>
            <w:tcBorders>
              <w:top w:val="nil"/>
              <w:left w:val="nil"/>
              <w:bottom w:val="nil"/>
              <w:right w:val="nil"/>
            </w:tcBorders>
            <w:shd w:val="clear" w:color="000000" w:fill="E6F2FF"/>
            <w:noWrap/>
            <w:vAlign w:val="bottom"/>
            <w:hideMark/>
          </w:tcPr>
          <w:p w14:paraId="50A389E2"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5.669</w:t>
            </w:r>
          </w:p>
        </w:tc>
        <w:tc>
          <w:tcPr>
            <w:tcW w:w="455" w:type="pct"/>
            <w:tcBorders>
              <w:top w:val="nil"/>
              <w:left w:val="nil"/>
              <w:bottom w:val="nil"/>
              <w:right w:val="nil"/>
            </w:tcBorders>
            <w:shd w:val="clear" w:color="000000" w:fill="E6F2FF"/>
            <w:noWrap/>
            <w:vAlign w:val="bottom"/>
            <w:hideMark/>
          </w:tcPr>
          <w:p w14:paraId="2CED84CF"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2.998</w:t>
            </w:r>
          </w:p>
        </w:tc>
        <w:tc>
          <w:tcPr>
            <w:tcW w:w="455" w:type="pct"/>
            <w:tcBorders>
              <w:top w:val="nil"/>
              <w:left w:val="nil"/>
              <w:bottom w:val="nil"/>
              <w:right w:val="nil"/>
            </w:tcBorders>
            <w:shd w:val="clear" w:color="000000" w:fill="E6F2FF"/>
            <w:noWrap/>
            <w:vAlign w:val="bottom"/>
            <w:hideMark/>
          </w:tcPr>
          <w:p w14:paraId="2F0CCDA5"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1.891</w:t>
            </w:r>
          </w:p>
        </w:tc>
        <w:tc>
          <w:tcPr>
            <w:tcW w:w="455" w:type="pct"/>
            <w:tcBorders>
              <w:top w:val="nil"/>
              <w:left w:val="nil"/>
              <w:bottom w:val="nil"/>
              <w:right w:val="nil"/>
            </w:tcBorders>
            <w:shd w:val="clear" w:color="000000" w:fill="E6F2FF"/>
            <w:noWrap/>
            <w:vAlign w:val="bottom"/>
            <w:hideMark/>
          </w:tcPr>
          <w:p w14:paraId="193A019E"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0.576</w:t>
            </w:r>
          </w:p>
        </w:tc>
        <w:tc>
          <w:tcPr>
            <w:tcW w:w="455" w:type="pct"/>
            <w:tcBorders>
              <w:top w:val="nil"/>
              <w:left w:val="nil"/>
              <w:bottom w:val="nil"/>
              <w:right w:val="nil"/>
            </w:tcBorders>
            <w:shd w:val="clear" w:color="000000" w:fill="E6F2FF"/>
            <w:noWrap/>
            <w:vAlign w:val="bottom"/>
            <w:hideMark/>
          </w:tcPr>
          <w:p w14:paraId="615CD999"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0.481</w:t>
            </w:r>
          </w:p>
        </w:tc>
        <w:tc>
          <w:tcPr>
            <w:tcW w:w="455" w:type="pct"/>
            <w:tcBorders>
              <w:top w:val="nil"/>
              <w:left w:val="nil"/>
              <w:bottom w:val="nil"/>
              <w:right w:val="nil"/>
            </w:tcBorders>
            <w:shd w:val="clear" w:color="000000" w:fill="E6F2FF"/>
            <w:noWrap/>
            <w:vAlign w:val="bottom"/>
            <w:hideMark/>
          </w:tcPr>
          <w:p w14:paraId="42149C32"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0.255</w:t>
            </w:r>
          </w:p>
        </w:tc>
        <w:tc>
          <w:tcPr>
            <w:tcW w:w="455" w:type="pct"/>
            <w:tcBorders>
              <w:top w:val="nil"/>
              <w:left w:val="nil"/>
              <w:bottom w:val="nil"/>
              <w:right w:val="nil"/>
            </w:tcBorders>
            <w:shd w:val="clear" w:color="000000" w:fill="E6F2FF"/>
            <w:noWrap/>
            <w:vAlign w:val="bottom"/>
            <w:hideMark/>
          </w:tcPr>
          <w:p w14:paraId="2BB90D4C"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27.581</w:t>
            </w:r>
          </w:p>
        </w:tc>
        <w:tc>
          <w:tcPr>
            <w:tcW w:w="455" w:type="pct"/>
            <w:tcBorders>
              <w:top w:val="nil"/>
              <w:left w:val="nil"/>
              <w:bottom w:val="nil"/>
              <w:right w:val="nil"/>
            </w:tcBorders>
            <w:shd w:val="clear" w:color="000000" w:fill="E6F2FF"/>
            <w:noWrap/>
            <w:vAlign w:val="bottom"/>
            <w:hideMark/>
          </w:tcPr>
          <w:p w14:paraId="753FDBFF"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27.586</w:t>
            </w:r>
          </w:p>
        </w:tc>
      </w:tr>
      <w:tr w:rsidR="007F18EB" w:rsidRPr="009355BF" w14:paraId="7A70E061" w14:textId="77777777" w:rsidTr="007F18EB">
        <w:trPr>
          <w:trHeight w:hRule="exact" w:val="225"/>
        </w:trPr>
        <w:tc>
          <w:tcPr>
            <w:tcW w:w="455" w:type="pct"/>
            <w:tcBorders>
              <w:top w:val="nil"/>
              <w:left w:val="nil"/>
              <w:bottom w:val="nil"/>
              <w:right w:val="nil"/>
            </w:tcBorders>
            <w:shd w:val="clear" w:color="auto" w:fill="auto"/>
            <w:noWrap/>
            <w:vAlign w:val="bottom"/>
            <w:hideMark/>
          </w:tcPr>
          <w:p w14:paraId="2DB4F0D7" w14:textId="3C459E78" w:rsidR="007F18EB" w:rsidRPr="009355BF" w:rsidRDefault="007F18EB" w:rsidP="007F18EB">
            <w:pPr>
              <w:spacing w:before="0" w:after="0" w:line="240" w:lineRule="auto"/>
              <w:rPr>
                <w:rFonts w:ascii="Arial" w:hAnsi="Arial" w:cs="Arial"/>
                <w:sz w:val="16"/>
                <w:szCs w:val="16"/>
              </w:rPr>
            </w:pPr>
            <w:r w:rsidRPr="009355BF">
              <w:rPr>
                <w:rFonts w:ascii="Arial" w:hAnsi="Arial" w:cs="Arial"/>
                <w:sz w:val="16"/>
                <w:szCs w:val="16"/>
              </w:rPr>
              <w:t>2025</w:t>
            </w:r>
            <w:r w:rsidR="00D16A11" w:rsidRPr="009355BF">
              <w:rPr>
                <w:rFonts w:ascii="Arial" w:hAnsi="Arial" w:cs="Arial"/>
                <w:sz w:val="16"/>
                <w:szCs w:val="16"/>
              </w:rPr>
              <w:noBreakHyphen/>
            </w:r>
            <w:r w:rsidRPr="009355BF">
              <w:rPr>
                <w:rFonts w:ascii="Arial" w:hAnsi="Arial" w:cs="Arial"/>
                <w:sz w:val="16"/>
                <w:szCs w:val="16"/>
              </w:rPr>
              <w:t>26</w:t>
            </w:r>
          </w:p>
        </w:tc>
        <w:tc>
          <w:tcPr>
            <w:tcW w:w="455" w:type="pct"/>
            <w:tcBorders>
              <w:top w:val="nil"/>
              <w:left w:val="nil"/>
              <w:bottom w:val="nil"/>
              <w:right w:val="nil"/>
            </w:tcBorders>
            <w:shd w:val="clear" w:color="auto" w:fill="auto"/>
            <w:noWrap/>
            <w:vAlign w:val="bottom"/>
            <w:hideMark/>
          </w:tcPr>
          <w:p w14:paraId="11882C25"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8.738</w:t>
            </w:r>
          </w:p>
        </w:tc>
        <w:tc>
          <w:tcPr>
            <w:tcW w:w="455" w:type="pct"/>
            <w:tcBorders>
              <w:top w:val="nil"/>
              <w:left w:val="nil"/>
              <w:bottom w:val="nil"/>
              <w:right w:val="nil"/>
            </w:tcBorders>
            <w:shd w:val="clear" w:color="auto" w:fill="auto"/>
            <w:noWrap/>
            <w:vAlign w:val="bottom"/>
            <w:hideMark/>
          </w:tcPr>
          <w:p w14:paraId="30123839"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7.229</w:t>
            </w:r>
          </w:p>
        </w:tc>
        <w:tc>
          <w:tcPr>
            <w:tcW w:w="455" w:type="pct"/>
            <w:tcBorders>
              <w:top w:val="nil"/>
              <w:left w:val="nil"/>
              <w:bottom w:val="nil"/>
              <w:right w:val="nil"/>
            </w:tcBorders>
            <w:shd w:val="clear" w:color="auto" w:fill="auto"/>
            <w:noWrap/>
            <w:vAlign w:val="bottom"/>
            <w:hideMark/>
          </w:tcPr>
          <w:p w14:paraId="46039FB3"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5.751</w:t>
            </w:r>
          </w:p>
        </w:tc>
        <w:tc>
          <w:tcPr>
            <w:tcW w:w="455" w:type="pct"/>
            <w:tcBorders>
              <w:top w:val="nil"/>
              <w:left w:val="nil"/>
              <w:bottom w:val="nil"/>
              <w:right w:val="nil"/>
            </w:tcBorders>
            <w:shd w:val="clear" w:color="auto" w:fill="auto"/>
            <w:noWrap/>
            <w:vAlign w:val="bottom"/>
            <w:hideMark/>
          </w:tcPr>
          <w:p w14:paraId="14126A53"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3.033</w:t>
            </w:r>
          </w:p>
        </w:tc>
        <w:tc>
          <w:tcPr>
            <w:tcW w:w="455" w:type="pct"/>
            <w:tcBorders>
              <w:top w:val="nil"/>
              <w:left w:val="nil"/>
              <w:bottom w:val="nil"/>
              <w:right w:val="nil"/>
            </w:tcBorders>
            <w:shd w:val="clear" w:color="auto" w:fill="auto"/>
            <w:noWrap/>
            <w:vAlign w:val="bottom"/>
            <w:hideMark/>
          </w:tcPr>
          <w:p w14:paraId="2185B2E4"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1.906</w:t>
            </w:r>
          </w:p>
        </w:tc>
        <w:tc>
          <w:tcPr>
            <w:tcW w:w="455" w:type="pct"/>
            <w:tcBorders>
              <w:top w:val="nil"/>
              <w:left w:val="nil"/>
              <w:bottom w:val="nil"/>
              <w:right w:val="nil"/>
            </w:tcBorders>
            <w:shd w:val="clear" w:color="auto" w:fill="auto"/>
            <w:noWrap/>
            <w:vAlign w:val="bottom"/>
            <w:hideMark/>
          </w:tcPr>
          <w:p w14:paraId="212CAC46"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0.580</w:t>
            </w:r>
          </w:p>
        </w:tc>
        <w:tc>
          <w:tcPr>
            <w:tcW w:w="455" w:type="pct"/>
            <w:tcBorders>
              <w:top w:val="nil"/>
              <w:left w:val="nil"/>
              <w:bottom w:val="nil"/>
              <w:right w:val="nil"/>
            </w:tcBorders>
            <w:shd w:val="clear" w:color="auto" w:fill="auto"/>
            <w:noWrap/>
            <w:vAlign w:val="bottom"/>
            <w:hideMark/>
          </w:tcPr>
          <w:p w14:paraId="49D9ABEE"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0.490</w:t>
            </w:r>
          </w:p>
        </w:tc>
        <w:tc>
          <w:tcPr>
            <w:tcW w:w="455" w:type="pct"/>
            <w:tcBorders>
              <w:top w:val="nil"/>
              <w:left w:val="nil"/>
              <w:bottom w:val="nil"/>
              <w:right w:val="nil"/>
            </w:tcBorders>
            <w:shd w:val="clear" w:color="auto" w:fill="auto"/>
            <w:noWrap/>
            <w:vAlign w:val="bottom"/>
            <w:hideMark/>
          </w:tcPr>
          <w:p w14:paraId="3EA5B3A2"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0.257</w:t>
            </w:r>
          </w:p>
        </w:tc>
        <w:tc>
          <w:tcPr>
            <w:tcW w:w="455" w:type="pct"/>
            <w:tcBorders>
              <w:top w:val="nil"/>
              <w:left w:val="nil"/>
              <w:bottom w:val="nil"/>
              <w:right w:val="nil"/>
            </w:tcBorders>
            <w:shd w:val="clear" w:color="auto" w:fill="auto"/>
            <w:noWrap/>
            <w:vAlign w:val="bottom"/>
            <w:hideMark/>
          </w:tcPr>
          <w:p w14:paraId="75E93673"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27.983</w:t>
            </w:r>
          </w:p>
        </w:tc>
        <w:tc>
          <w:tcPr>
            <w:tcW w:w="455" w:type="pct"/>
            <w:tcBorders>
              <w:top w:val="nil"/>
              <w:left w:val="nil"/>
              <w:bottom w:val="nil"/>
              <w:right w:val="nil"/>
            </w:tcBorders>
            <w:shd w:val="clear" w:color="auto" w:fill="auto"/>
            <w:noWrap/>
            <w:vAlign w:val="bottom"/>
            <w:hideMark/>
          </w:tcPr>
          <w:p w14:paraId="0EDAC980"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27.988</w:t>
            </w:r>
          </w:p>
        </w:tc>
      </w:tr>
      <w:tr w:rsidR="007F18EB" w:rsidRPr="009355BF" w14:paraId="383340A7" w14:textId="77777777" w:rsidTr="007F18EB">
        <w:trPr>
          <w:trHeight w:hRule="exact" w:val="225"/>
        </w:trPr>
        <w:tc>
          <w:tcPr>
            <w:tcW w:w="455" w:type="pct"/>
            <w:tcBorders>
              <w:top w:val="nil"/>
              <w:left w:val="nil"/>
              <w:bottom w:val="nil"/>
              <w:right w:val="nil"/>
            </w:tcBorders>
            <w:shd w:val="clear" w:color="auto" w:fill="auto"/>
            <w:noWrap/>
            <w:vAlign w:val="bottom"/>
            <w:hideMark/>
          </w:tcPr>
          <w:p w14:paraId="575CE1DF" w14:textId="215818DB" w:rsidR="007F18EB" w:rsidRPr="009355BF" w:rsidRDefault="007F18EB" w:rsidP="007F18EB">
            <w:pPr>
              <w:spacing w:before="0" w:after="0" w:line="240" w:lineRule="auto"/>
              <w:rPr>
                <w:rFonts w:ascii="Arial" w:hAnsi="Arial" w:cs="Arial"/>
                <w:sz w:val="16"/>
                <w:szCs w:val="16"/>
              </w:rPr>
            </w:pPr>
            <w:r w:rsidRPr="009355BF">
              <w:rPr>
                <w:rFonts w:ascii="Arial" w:hAnsi="Arial" w:cs="Arial"/>
                <w:sz w:val="16"/>
                <w:szCs w:val="16"/>
              </w:rPr>
              <w:t>2026</w:t>
            </w:r>
            <w:r w:rsidR="00D16A11" w:rsidRPr="009355BF">
              <w:rPr>
                <w:rFonts w:ascii="Arial" w:hAnsi="Arial" w:cs="Arial"/>
                <w:sz w:val="16"/>
                <w:szCs w:val="16"/>
              </w:rPr>
              <w:noBreakHyphen/>
            </w:r>
            <w:r w:rsidRPr="009355BF">
              <w:rPr>
                <w:rFonts w:ascii="Arial" w:hAnsi="Arial" w:cs="Arial"/>
                <w:sz w:val="16"/>
                <w:szCs w:val="16"/>
              </w:rPr>
              <w:t>27</w:t>
            </w:r>
          </w:p>
        </w:tc>
        <w:tc>
          <w:tcPr>
            <w:tcW w:w="455" w:type="pct"/>
            <w:tcBorders>
              <w:top w:val="nil"/>
              <w:left w:val="nil"/>
              <w:bottom w:val="nil"/>
              <w:right w:val="nil"/>
            </w:tcBorders>
            <w:shd w:val="clear" w:color="auto" w:fill="auto"/>
            <w:noWrap/>
            <w:vAlign w:val="bottom"/>
            <w:hideMark/>
          </w:tcPr>
          <w:p w14:paraId="215212F0"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8.855</w:t>
            </w:r>
          </w:p>
        </w:tc>
        <w:tc>
          <w:tcPr>
            <w:tcW w:w="455" w:type="pct"/>
            <w:tcBorders>
              <w:top w:val="nil"/>
              <w:left w:val="nil"/>
              <w:bottom w:val="nil"/>
              <w:right w:val="nil"/>
            </w:tcBorders>
            <w:shd w:val="clear" w:color="auto" w:fill="auto"/>
            <w:noWrap/>
            <w:vAlign w:val="bottom"/>
            <w:hideMark/>
          </w:tcPr>
          <w:p w14:paraId="64AD3C61"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7.354</w:t>
            </w:r>
          </w:p>
        </w:tc>
        <w:tc>
          <w:tcPr>
            <w:tcW w:w="455" w:type="pct"/>
            <w:tcBorders>
              <w:top w:val="nil"/>
              <w:left w:val="nil"/>
              <w:bottom w:val="nil"/>
              <w:right w:val="nil"/>
            </w:tcBorders>
            <w:shd w:val="clear" w:color="auto" w:fill="auto"/>
            <w:noWrap/>
            <w:vAlign w:val="bottom"/>
            <w:hideMark/>
          </w:tcPr>
          <w:p w14:paraId="64F2421B"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5.829</w:t>
            </w:r>
          </w:p>
        </w:tc>
        <w:tc>
          <w:tcPr>
            <w:tcW w:w="455" w:type="pct"/>
            <w:tcBorders>
              <w:top w:val="nil"/>
              <w:left w:val="nil"/>
              <w:bottom w:val="nil"/>
              <w:right w:val="nil"/>
            </w:tcBorders>
            <w:shd w:val="clear" w:color="auto" w:fill="auto"/>
            <w:noWrap/>
            <w:vAlign w:val="bottom"/>
            <w:hideMark/>
          </w:tcPr>
          <w:p w14:paraId="3CDF0317"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3.067</w:t>
            </w:r>
          </w:p>
        </w:tc>
        <w:tc>
          <w:tcPr>
            <w:tcW w:w="455" w:type="pct"/>
            <w:tcBorders>
              <w:top w:val="nil"/>
              <w:left w:val="nil"/>
              <w:bottom w:val="nil"/>
              <w:right w:val="nil"/>
            </w:tcBorders>
            <w:shd w:val="clear" w:color="auto" w:fill="auto"/>
            <w:noWrap/>
            <w:vAlign w:val="bottom"/>
            <w:hideMark/>
          </w:tcPr>
          <w:p w14:paraId="528657CE"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1.919</w:t>
            </w:r>
          </w:p>
        </w:tc>
        <w:tc>
          <w:tcPr>
            <w:tcW w:w="455" w:type="pct"/>
            <w:tcBorders>
              <w:top w:val="nil"/>
              <w:left w:val="nil"/>
              <w:bottom w:val="nil"/>
              <w:right w:val="nil"/>
            </w:tcBorders>
            <w:shd w:val="clear" w:color="auto" w:fill="auto"/>
            <w:noWrap/>
            <w:vAlign w:val="bottom"/>
            <w:hideMark/>
          </w:tcPr>
          <w:p w14:paraId="06E35A7F"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0.583</w:t>
            </w:r>
          </w:p>
        </w:tc>
        <w:tc>
          <w:tcPr>
            <w:tcW w:w="455" w:type="pct"/>
            <w:tcBorders>
              <w:top w:val="nil"/>
              <w:left w:val="nil"/>
              <w:bottom w:val="nil"/>
              <w:right w:val="nil"/>
            </w:tcBorders>
            <w:shd w:val="clear" w:color="auto" w:fill="auto"/>
            <w:noWrap/>
            <w:vAlign w:val="bottom"/>
            <w:hideMark/>
          </w:tcPr>
          <w:p w14:paraId="5B1379C0"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0.497</w:t>
            </w:r>
          </w:p>
        </w:tc>
        <w:tc>
          <w:tcPr>
            <w:tcW w:w="455" w:type="pct"/>
            <w:tcBorders>
              <w:top w:val="nil"/>
              <w:left w:val="nil"/>
              <w:bottom w:val="nil"/>
              <w:right w:val="nil"/>
            </w:tcBorders>
            <w:shd w:val="clear" w:color="auto" w:fill="auto"/>
            <w:noWrap/>
            <w:vAlign w:val="bottom"/>
            <w:hideMark/>
          </w:tcPr>
          <w:p w14:paraId="15329CC2"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0.259</w:t>
            </w:r>
          </w:p>
        </w:tc>
        <w:tc>
          <w:tcPr>
            <w:tcW w:w="455" w:type="pct"/>
            <w:tcBorders>
              <w:top w:val="nil"/>
              <w:left w:val="nil"/>
              <w:bottom w:val="nil"/>
              <w:right w:val="nil"/>
            </w:tcBorders>
            <w:shd w:val="clear" w:color="auto" w:fill="auto"/>
            <w:noWrap/>
            <w:vAlign w:val="bottom"/>
            <w:hideMark/>
          </w:tcPr>
          <w:p w14:paraId="51B4886E"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28.362</w:t>
            </w:r>
          </w:p>
        </w:tc>
        <w:tc>
          <w:tcPr>
            <w:tcW w:w="455" w:type="pct"/>
            <w:tcBorders>
              <w:top w:val="nil"/>
              <w:left w:val="nil"/>
              <w:bottom w:val="nil"/>
              <w:right w:val="nil"/>
            </w:tcBorders>
            <w:shd w:val="clear" w:color="auto" w:fill="auto"/>
            <w:noWrap/>
            <w:vAlign w:val="bottom"/>
            <w:hideMark/>
          </w:tcPr>
          <w:p w14:paraId="15E2C885"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28.367</w:t>
            </w:r>
          </w:p>
        </w:tc>
      </w:tr>
      <w:tr w:rsidR="007F18EB" w:rsidRPr="009355BF" w14:paraId="3B15F0BF" w14:textId="77777777" w:rsidTr="007F18EB">
        <w:trPr>
          <w:trHeight w:hRule="exact" w:val="225"/>
        </w:trPr>
        <w:tc>
          <w:tcPr>
            <w:tcW w:w="455" w:type="pct"/>
            <w:tcBorders>
              <w:top w:val="nil"/>
              <w:left w:val="nil"/>
              <w:bottom w:val="single" w:sz="4" w:space="0" w:color="293F5B"/>
              <w:right w:val="nil"/>
            </w:tcBorders>
            <w:shd w:val="clear" w:color="auto" w:fill="auto"/>
            <w:noWrap/>
            <w:vAlign w:val="bottom"/>
            <w:hideMark/>
          </w:tcPr>
          <w:p w14:paraId="21441233" w14:textId="5D0A2A80" w:rsidR="007F18EB" w:rsidRPr="009355BF" w:rsidRDefault="007F18EB" w:rsidP="007F18EB">
            <w:pPr>
              <w:spacing w:before="0" w:after="0" w:line="240" w:lineRule="auto"/>
              <w:rPr>
                <w:rFonts w:ascii="Arial" w:hAnsi="Arial" w:cs="Arial"/>
                <w:sz w:val="16"/>
                <w:szCs w:val="16"/>
              </w:rPr>
            </w:pPr>
            <w:r w:rsidRPr="009355BF">
              <w:rPr>
                <w:rFonts w:ascii="Arial" w:hAnsi="Arial" w:cs="Arial"/>
                <w:sz w:val="16"/>
                <w:szCs w:val="16"/>
              </w:rPr>
              <w:t>2027</w:t>
            </w:r>
            <w:r w:rsidR="00D16A11" w:rsidRPr="009355BF">
              <w:rPr>
                <w:rFonts w:ascii="Arial" w:hAnsi="Arial" w:cs="Arial"/>
                <w:sz w:val="16"/>
                <w:szCs w:val="16"/>
              </w:rPr>
              <w:noBreakHyphen/>
            </w:r>
            <w:r w:rsidRPr="009355BF">
              <w:rPr>
                <w:rFonts w:ascii="Arial" w:hAnsi="Arial" w:cs="Arial"/>
                <w:sz w:val="16"/>
                <w:szCs w:val="16"/>
              </w:rPr>
              <w:t>28</w:t>
            </w:r>
          </w:p>
        </w:tc>
        <w:tc>
          <w:tcPr>
            <w:tcW w:w="455" w:type="pct"/>
            <w:tcBorders>
              <w:top w:val="nil"/>
              <w:left w:val="nil"/>
              <w:bottom w:val="single" w:sz="4" w:space="0" w:color="293F5B"/>
              <w:right w:val="nil"/>
            </w:tcBorders>
            <w:shd w:val="clear" w:color="auto" w:fill="auto"/>
            <w:noWrap/>
            <w:vAlign w:val="bottom"/>
            <w:hideMark/>
          </w:tcPr>
          <w:p w14:paraId="4B7AE599"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8.971</w:t>
            </w:r>
          </w:p>
        </w:tc>
        <w:tc>
          <w:tcPr>
            <w:tcW w:w="455" w:type="pct"/>
            <w:tcBorders>
              <w:top w:val="nil"/>
              <w:left w:val="nil"/>
              <w:bottom w:val="single" w:sz="4" w:space="0" w:color="293F5B"/>
              <w:right w:val="nil"/>
            </w:tcBorders>
            <w:shd w:val="clear" w:color="auto" w:fill="auto"/>
            <w:noWrap/>
            <w:vAlign w:val="bottom"/>
            <w:hideMark/>
          </w:tcPr>
          <w:p w14:paraId="44C70BD4"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7.478</w:t>
            </w:r>
          </w:p>
        </w:tc>
        <w:tc>
          <w:tcPr>
            <w:tcW w:w="455" w:type="pct"/>
            <w:tcBorders>
              <w:top w:val="nil"/>
              <w:left w:val="nil"/>
              <w:bottom w:val="single" w:sz="4" w:space="0" w:color="293F5B"/>
              <w:right w:val="nil"/>
            </w:tcBorders>
            <w:shd w:val="clear" w:color="auto" w:fill="auto"/>
            <w:noWrap/>
            <w:vAlign w:val="bottom"/>
            <w:hideMark/>
          </w:tcPr>
          <w:p w14:paraId="231D976A"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5.906</w:t>
            </w:r>
          </w:p>
        </w:tc>
        <w:tc>
          <w:tcPr>
            <w:tcW w:w="455" w:type="pct"/>
            <w:tcBorders>
              <w:top w:val="nil"/>
              <w:left w:val="nil"/>
              <w:bottom w:val="single" w:sz="4" w:space="0" w:color="293F5B"/>
              <w:right w:val="nil"/>
            </w:tcBorders>
            <w:shd w:val="clear" w:color="auto" w:fill="auto"/>
            <w:noWrap/>
            <w:vAlign w:val="bottom"/>
            <w:hideMark/>
          </w:tcPr>
          <w:p w14:paraId="4146775A"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3.101</w:t>
            </w:r>
          </w:p>
        </w:tc>
        <w:tc>
          <w:tcPr>
            <w:tcW w:w="455" w:type="pct"/>
            <w:tcBorders>
              <w:top w:val="nil"/>
              <w:left w:val="nil"/>
              <w:bottom w:val="single" w:sz="4" w:space="0" w:color="293F5B"/>
              <w:right w:val="nil"/>
            </w:tcBorders>
            <w:shd w:val="clear" w:color="auto" w:fill="auto"/>
            <w:noWrap/>
            <w:vAlign w:val="bottom"/>
            <w:hideMark/>
          </w:tcPr>
          <w:p w14:paraId="475D9A3A"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1.933</w:t>
            </w:r>
          </w:p>
        </w:tc>
        <w:tc>
          <w:tcPr>
            <w:tcW w:w="455" w:type="pct"/>
            <w:tcBorders>
              <w:top w:val="nil"/>
              <w:left w:val="nil"/>
              <w:bottom w:val="single" w:sz="4" w:space="0" w:color="293F5B"/>
              <w:right w:val="nil"/>
            </w:tcBorders>
            <w:shd w:val="clear" w:color="auto" w:fill="auto"/>
            <w:noWrap/>
            <w:vAlign w:val="bottom"/>
            <w:hideMark/>
          </w:tcPr>
          <w:p w14:paraId="6CF27770"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0.586</w:t>
            </w:r>
          </w:p>
        </w:tc>
        <w:tc>
          <w:tcPr>
            <w:tcW w:w="455" w:type="pct"/>
            <w:tcBorders>
              <w:top w:val="nil"/>
              <w:left w:val="nil"/>
              <w:bottom w:val="single" w:sz="4" w:space="0" w:color="293F5B"/>
              <w:right w:val="nil"/>
            </w:tcBorders>
            <w:shd w:val="clear" w:color="auto" w:fill="auto"/>
            <w:noWrap/>
            <w:vAlign w:val="bottom"/>
            <w:hideMark/>
          </w:tcPr>
          <w:p w14:paraId="2CDCF1C2"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0.504</w:t>
            </w:r>
          </w:p>
        </w:tc>
        <w:tc>
          <w:tcPr>
            <w:tcW w:w="455" w:type="pct"/>
            <w:tcBorders>
              <w:top w:val="nil"/>
              <w:left w:val="nil"/>
              <w:bottom w:val="single" w:sz="4" w:space="0" w:color="293F5B"/>
              <w:right w:val="nil"/>
            </w:tcBorders>
            <w:shd w:val="clear" w:color="auto" w:fill="auto"/>
            <w:noWrap/>
            <w:vAlign w:val="bottom"/>
            <w:hideMark/>
          </w:tcPr>
          <w:p w14:paraId="333372DF"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0.261</w:t>
            </w:r>
          </w:p>
        </w:tc>
        <w:tc>
          <w:tcPr>
            <w:tcW w:w="455" w:type="pct"/>
            <w:tcBorders>
              <w:top w:val="nil"/>
              <w:left w:val="nil"/>
              <w:bottom w:val="single" w:sz="4" w:space="0" w:color="293F5B"/>
              <w:right w:val="nil"/>
            </w:tcBorders>
            <w:shd w:val="clear" w:color="auto" w:fill="auto"/>
            <w:noWrap/>
            <w:vAlign w:val="bottom"/>
            <w:hideMark/>
          </w:tcPr>
          <w:p w14:paraId="57CAB538"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28.740</w:t>
            </w:r>
          </w:p>
        </w:tc>
        <w:tc>
          <w:tcPr>
            <w:tcW w:w="455" w:type="pct"/>
            <w:tcBorders>
              <w:top w:val="nil"/>
              <w:left w:val="nil"/>
              <w:bottom w:val="single" w:sz="4" w:space="0" w:color="293F5B"/>
              <w:right w:val="nil"/>
            </w:tcBorders>
            <w:shd w:val="clear" w:color="auto" w:fill="auto"/>
            <w:noWrap/>
            <w:vAlign w:val="bottom"/>
            <w:hideMark/>
          </w:tcPr>
          <w:p w14:paraId="169707E1" w14:textId="77777777" w:rsidR="007F18EB" w:rsidRPr="009355BF" w:rsidRDefault="007F18EB" w:rsidP="007F18EB">
            <w:pPr>
              <w:spacing w:before="0" w:after="0" w:line="240" w:lineRule="auto"/>
              <w:jc w:val="right"/>
              <w:rPr>
                <w:rFonts w:ascii="Arial" w:hAnsi="Arial" w:cs="Arial"/>
                <w:sz w:val="16"/>
                <w:szCs w:val="16"/>
              </w:rPr>
            </w:pPr>
            <w:r w:rsidRPr="009355BF">
              <w:rPr>
                <w:rFonts w:ascii="Arial" w:hAnsi="Arial" w:cs="Arial"/>
                <w:sz w:val="16"/>
                <w:szCs w:val="16"/>
              </w:rPr>
              <w:t>28.745</w:t>
            </w:r>
          </w:p>
        </w:tc>
      </w:tr>
    </w:tbl>
    <w:p w14:paraId="07FD5FC0" w14:textId="32EF6E47" w:rsidR="007F18EB" w:rsidRPr="009355BF" w:rsidRDefault="007F18EB" w:rsidP="007F18EB">
      <w:pPr>
        <w:pStyle w:val="ChartandTableFootnoteAlpha"/>
        <w:numPr>
          <w:ilvl w:val="0"/>
          <w:numId w:val="19"/>
        </w:numPr>
        <w:rPr>
          <w:rFonts w:eastAsiaTheme="minorHAnsi"/>
          <w:color w:val="auto"/>
        </w:rPr>
      </w:pPr>
      <w:r w:rsidRPr="009355BF">
        <w:rPr>
          <w:rFonts w:eastAsiaTheme="minorEastAsia"/>
          <w:color w:val="auto"/>
        </w:rPr>
        <w:t>‘</w:t>
      </w:r>
      <w:r w:rsidRPr="009355BF">
        <w:rPr>
          <w:color w:val="auto"/>
        </w:rPr>
        <w:t>Total’ is the sum of the states and territories shown, and excludes Jervis Bay Territory, Christmas Island, the Cocos (Keeling) Islands and Norfolk Island.</w:t>
      </w:r>
    </w:p>
    <w:p w14:paraId="1E4F01EC" w14:textId="77777777" w:rsidR="007F18EB" w:rsidRPr="009355BF" w:rsidDel="008311DA" w:rsidRDefault="007F18EB" w:rsidP="007F18EB">
      <w:pPr>
        <w:pStyle w:val="ChartandTableFootnoteAlpha"/>
        <w:numPr>
          <w:ilvl w:val="0"/>
          <w:numId w:val="19"/>
        </w:numPr>
        <w:rPr>
          <w:rFonts w:eastAsiaTheme="minorHAnsi"/>
          <w:color w:val="auto"/>
        </w:rPr>
      </w:pPr>
      <w:r w:rsidRPr="009355BF">
        <w:rPr>
          <w:rFonts w:eastAsiaTheme="minorHAnsi"/>
          <w:color w:val="auto"/>
        </w:rPr>
        <w:t>Estimate for 2022–23, from ABS National, state and territory population, September 2023.</w:t>
      </w:r>
    </w:p>
    <w:p w14:paraId="67B92CBC" w14:textId="77777777" w:rsidR="00E6789E" w:rsidRPr="009355BF" w:rsidRDefault="00E6789E" w:rsidP="002C18F6">
      <w:pPr>
        <w:pStyle w:val="TableLine"/>
      </w:pPr>
    </w:p>
    <w:p w14:paraId="45F621AE" w14:textId="77777777" w:rsidR="00E6789E" w:rsidRPr="009355BF" w:rsidRDefault="00E6789E" w:rsidP="00E6789E">
      <w:pPr>
        <w:pStyle w:val="Heading4"/>
      </w:pPr>
      <w:r w:rsidRPr="009355BF">
        <w:lastRenderedPageBreak/>
        <w:t>Fertility</w:t>
      </w:r>
    </w:p>
    <w:p w14:paraId="0E76F3F2" w14:textId="484D7C86" w:rsidR="00E6789E" w:rsidRPr="009355BF" w:rsidRDefault="00E6789E" w:rsidP="00E6789E">
      <w:r w:rsidRPr="009355BF">
        <w:t>Assumptions about the fertility rate are based on analysis undertaken and commissioned by the Centre</w:t>
      </w:r>
      <w:r w:rsidRPr="009355BF">
        <w:rPr>
          <w:i/>
        </w:rPr>
        <w:t xml:space="preserve"> </w:t>
      </w:r>
      <w:r w:rsidRPr="009355BF">
        <w:t>(Table A.3). The total fertility rate is assumed to be 1.6</w:t>
      </w:r>
      <w:r w:rsidR="00F2074F" w:rsidRPr="009355BF">
        <w:t>4</w:t>
      </w:r>
      <w:r w:rsidRPr="009355BF">
        <w:t> babies per woman in 202</w:t>
      </w:r>
      <w:r w:rsidR="00F2074F" w:rsidRPr="009355BF">
        <w:t>3</w:t>
      </w:r>
      <w:r w:rsidRPr="009355BF">
        <w:t>–2</w:t>
      </w:r>
      <w:r w:rsidR="00F2074F" w:rsidRPr="009355BF">
        <w:t>4</w:t>
      </w:r>
      <w:r w:rsidRPr="009355BF">
        <w:t xml:space="preserve"> before falling to 1.6</w:t>
      </w:r>
      <w:r w:rsidR="00894268" w:rsidRPr="009355BF">
        <w:t>3</w:t>
      </w:r>
      <w:r w:rsidRPr="009355BF">
        <w:t xml:space="preserve"> by 202</w:t>
      </w:r>
      <w:r w:rsidR="00894268" w:rsidRPr="009355BF">
        <w:t>7</w:t>
      </w:r>
      <w:r w:rsidRPr="009355BF">
        <w:t>–2</w:t>
      </w:r>
      <w:r w:rsidR="00894268" w:rsidRPr="009355BF">
        <w:t>8</w:t>
      </w:r>
      <w:r w:rsidRPr="009355BF">
        <w:t xml:space="preserve">. Projected state fertility rates are assumed to move in line with the national fertility rate. </w:t>
      </w:r>
    </w:p>
    <w:p w14:paraId="353F7C6E" w14:textId="69B72ABC" w:rsidR="00D05063" w:rsidRPr="009355BF" w:rsidRDefault="00E6789E" w:rsidP="00E6789E">
      <w:pPr>
        <w:pStyle w:val="TableHeading"/>
        <w:rPr>
          <w:rFonts w:asciiTheme="minorHAnsi" w:eastAsiaTheme="minorHAnsi" w:hAnsiTheme="minorHAnsi" w:cstheme="minorBidi"/>
          <w:b w:val="0"/>
          <w:sz w:val="22"/>
          <w:szCs w:val="22"/>
          <w:lang w:eastAsia="en-US"/>
        </w:rPr>
      </w:pPr>
      <w:r w:rsidRPr="009355BF">
        <w:t xml:space="preserve">Table A.3: Total fertility rate, for years ending 30 </w:t>
      </w:r>
      <w:bookmarkStart w:id="2" w:name="_1709728930"/>
      <w:bookmarkStart w:id="3" w:name="_1727603080"/>
      <w:bookmarkStart w:id="4" w:name="_1726477107"/>
      <w:bookmarkStart w:id="5" w:name="_1726407984"/>
      <w:bookmarkEnd w:id="2"/>
      <w:bookmarkEnd w:id="3"/>
      <w:bookmarkEnd w:id="4"/>
      <w:bookmarkEnd w:id="5"/>
      <w:r w:rsidRPr="009355BF">
        <w:t>Jun</w:t>
      </w:r>
      <w:r w:rsidR="00CD323D" w:rsidRPr="009355BF">
        <w:t>e</w:t>
      </w:r>
    </w:p>
    <w:tbl>
      <w:tblPr>
        <w:tblW w:w="5000" w:type="pct"/>
        <w:tblCellMar>
          <w:left w:w="0" w:type="dxa"/>
          <w:right w:w="28" w:type="dxa"/>
        </w:tblCellMar>
        <w:tblLook w:val="04A0" w:firstRow="1" w:lastRow="0" w:firstColumn="1" w:lastColumn="0" w:noHBand="0" w:noVBand="1"/>
      </w:tblPr>
      <w:tblGrid>
        <w:gridCol w:w="2040"/>
        <w:gridCol w:w="945"/>
        <w:gridCol w:w="945"/>
        <w:gridCol w:w="945"/>
        <w:gridCol w:w="945"/>
        <w:gridCol w:w="945"/>
        <w:gridCol w:w="945"/>
      </w:tblGrid>
      <w:tr w:rsidR="00D05063" w:rsidRPr="009355BF" w14:paraId="52D08DA5" w14:textId="77777777" w:rsidTr="00CD323D">
        <w:trPr>
          <w:trHeight w:hRule="exact" w:val="225"/>
        </w:trPr>
        <w:tc>
          <w:tcPr>
            <w:tcW w:w="1322" w:type="pct"/>
            <w:tcBorders>
              <w:top w:val="single" w:sz="4" w:space="0" w:color="293F5B"/>
              <w:left w:val="nil"/>
              <w:bottom w:val="nil"/>
              <w:right w:val="nil"/>
            </w:tcBorders>
            <w:shd w:val="clear" w:color="auto" w:fill="auto"/>
            <w:noWrap/>
            <w:vAlign w:val="bottom"/>
            <w:hideMark/>
          </w:tcPr>
          <w:p w14:paraId="04C6E0C4" w14:textId="735C413B" w:rsidR="00D05063" w:rsidRPr="009355BF" w:rsidRDefault="00D05063" w:rsidP="00D05063">
            <w:pPr>
              <w:spacing w:before="0" w:after="0" w:line="240" w:lineRule="auto"/>
              <w:rPr>
                <w:rFonts w:ascii="Arial" w:hAnsi="Arial" w:cs="Arial"/>
                <w:sz w:val="16"/>
                <w:szCs w:val="16"/>
              </w:rPr>
            </w:pPr>
            <w:r w:rsidRPr="009355BF">
              <w:rPr>
                <w:rFonts w:ascii="Arial" w:hAnsi="Arial" w:cs="Arial"/>
                <w:sz w:val="16"/>
                <w:szCs w:val="16"/>
              </w:rPr>
              <w:t> </w:t>
            </w:r>
          </w:p>
        </w:tc>
        <w:tc>
          <w:tcPr>
            <w:tcW w:w="613" w:type="pct"/>
            <w:tcBorders>
              <w:top w:val="single" w:sz="4" w:space="0" w:color="293F5B"/>
              <w:left w:val="nil"/>
              <w:bottom w:val="nil"/>
              <w:right w:val="nil"/>
            </w:tcBorders>
            <w:shd w:val="clear" w:color="auto" w:fill="auto"/>
            <w:noWrap/>
            <w:vAlign w:val="center"/>
            <w:hideMark/>
          </w:tcPr>
          <w:p w14:paraId="5CA96C15" w14:textId="1BC15395"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2022</w:t>
            </w:r>
            <w:r w:rsidR="00D16A11" w:rsidRPr="009355BF">
              <w:rPr>
                <w:rFonts w:ascii="Arial" w:hAnsi="Arial" w:cs="Arial"/>
                <w:sz w:val="16"/>
                <w:szCs w:val="16"/>
              </w:rPr>
              <w:noBreakHyphen/>
            </w:r>
            <w:r w:rsidRPr="009355BF">
              <w:rPr>
                <w:rFonts w:ascii="Arial" w:hAnsi="Arial" w:cs="Arial"/>
                <w:sz w:val="16"/>
                <w:szCs w:val="16"/>
              </w:rPr>
              <w:t>23(a)</w:t>
            </w:r>
          </w:p>
        </w:tc>
        <w:tc>
          <w:tcPr>
            <w:tcW w:w="613" w:type="pct"/>
            <w:tcBorders>
              <w:top w:val="single" w:sz="4" w:space="0" w:color="293F5B"/>
              <w:left w:val="nil"/>
              <w:bottom w:val="nil"/>
              <w:right w:val="nil"/>
            </w:tcBorders>
            <w:shd w:val="clear" w:color="auto" w:fill="auto"/>
            <w:noWrap/>
            <w:vAlign w:val="center"/>
            <w:hideMark/>
          </w:tcPr>
          <w:p w14:paraId="6AA45A43" w14:textId="1B942682"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2023</w:t>
            </w:r>
            <w:r w:rsidR="00D16A11" w:rsidRPr="009355BF">
              <w:rPr>
                <w:rFonts w:ascii="Arial" w:hAnsi="Arial" w:cs="Arial"/>
                <w:sz w:val="16"/>
                <w:szCs w:val="16"/>
              </w:rPr>
              <w:noBreakHyphen/>
            </w:r>
            <w:r w:rsidRPr="009355BF">
              <w:rPr>
                <w:rFonts w:ascii="Arial" w:hAnsi="Arial" w:cs="Arial"/>
                <w:sz w:val="16"/>
                <w:szCs w:val="16"/>
              </w:rPr>
              <w:t>24</w:t>
            </w:r>
          </w:p>
        </w:tc>
        <w:tc>
          <w:tcPr>
            <w:tcW w:w="613" w:type="pct"/>
            <w:tcBorders>
              <w:top w:val="single" w:sz="4" w:space="0" w:color="293F5B"/>
              <w:left w:val="nil"/>
              <w:bottom w:val="nil"/>
              <w:right w:val="nil"/>
            </w:tcBorders>
            <w:shd w:val="clear" w:color="000000" w:fill="E6F2FF"/>
            <w:noWrap/>
            <w:vAlign w:val="center"/>
            <w:hideMark/>
          </w:tcPr>
          <w:p w14:paraId="3E27A71D" w14:textId="22594588"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2024</w:t>
            </w:r>
            <w:r w:rsidR="00D16A11" w:rsidRPr="009355BF">
              <w:rPr>
                <w:rFonts w:ascii="Arial" w:hAnsi="Arial" w:cs="Arial"/>
                <w:sz w:val="16"/>
                <w:szCs w:val="16"/>
              </w:rPr>
              <w:noBreakHyphen/>
            </w:r>
            <w:r w:rsidRPr="009355BF">
              <w:rPr>
                <w:rFonts w:ascii="Arial" w:hAnsi="Arial" w:cs="Arial"/>
                <w:sz w:val="16"/>
                <w:szCs w:val="16"/>
              </w:rPr>
              <w:t>25</w:t>
            </w:r>
          </w:p>
        </w:tc>
        <w:tc>
          <w:tcPr>
            <w:tcW w:w="613" w:type="pct"/>
            <w:tcBorders>
              <w:top w:val="single" w:sz="4" w:space="0" w:color="293F5B"/>
              <w:left w:val="nil"/>
              <w:bottom w:val="nil"/>
              <w:right w:val="nil"/>
            </w:tcBorders>
            <w:shd w:val="clear" w:color="auto" w:fill="auto"/>
            <w:noWrap/>
            <w:vAlign w:val="center"/>
            <w:hideMark/>
          </w:tcPr>
          <w:p w14:paraId="1242D729" w14:textId="3F0FC8C7"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2025</w:t>
            </w:r>
            <w:r w:rsidR="00D16A11" w:rsidRPr="009355BF">
              <w:rPr>
                <w:rFonts w:ascii="Arial" w:hAnsi="Arial" w:cs="Arial"/>
                <w:sz w:val="16"/>
                <w:szCs w:val="16"/>
              </w:rPr>
              <w:noBreakHyphen/>
            </w:r>
            <w:r w:rsidRPr="009355BF">
              <w:rPr>
                <w:rFonts w:ascii="Arial" w:hAnsi="Arial" w:cs="Arial"/>
                <w:sz w:val="16"/>
                <w:szCs w:val="16"/>
              </w:rPr>
              <w:t>26</w:t>
            </w:r>
          </w:p>
        </w:tc>
        <w:tc>
          <w:tcPr>
            <w:tcW w:w="613" w:type="pct"/>
            <w:tcBorders>
              <w:top w:val="single" w:sz="4" w:space="0" w:color="293F5B"/>
              <w:left w:val="nil"/>
              <w:bottom w:val="nil"/>
              <w:right w:val="nil"/>
            </w:tcBorders>
            <w:shd w:val="clear" w:color="auto" w:fill="auto"/>
            <w:noWrap/>
            <w:vAlign w:val="center"/>
            <w:hideMark/>
          </w:tcPr>
          <w:p w14:paraId="2944E848" w14:textId="2E2130D0"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2026</w:t>
            </w:r>
            <w:r w:rsidR="00D16A11" w:rsidRPr="009355BF">
              <w:rPr>
                <w:rFonts w:ascii="Arial" w:hAnsi="Arial" w:cs="Arial"/>
                <w:sz w:val="16"/>
                <w:szCs w:val="16"/>
              </w:rPr>
              <w:noBreakHyphen/>
            </w:r>
            <w:r w:rsidRPr="009355BF">
              <w:rPr>
                <w:rFonts w:ascii="Arial" w:hAnsi="Arial" w:cs="Arial"/>
                <w:sz w:val="16"/>
                <w:szCs w:val="16"/>
              </w:rPr>
              <w:t>27</w:t>
            </w:r>
          </w:p>
        </w:tc>
        <w:tc>
          <w:tcPr>
            <w:tcW w:w="613" w:type="pct"/>
            <w:tcBorders>
              <w:top w:val="single" w:sz="4" w:space="0" w:color="293F5B"/>
              <w:left w:val="nil"/>
              <w:bottom w:val="nil"/>
              <w:right w:val="nil"/>
            </w:tcBorders>
            <w:shd w:val="clear" w:color="auto" w:fill="auto"/>
            <w:noWrap/>
            <w:vAlign w:val="center"/>
            <w:hideMark/>
          </w:tcPr>
          <w:p w14:paraId="538FE853" w14:textId="0AAD29B9"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2027</w:t>
            </w:r>
            <w:r w:rsidR="00D16A11" w:rsidRPr="009355BF">
              <w:rPr>
                <w:rFonts w:ascii="Arial" w:hAnsi="Arial" w:cs="Arial"/>
                <w:sz w:val="16"/>
                <w:szCs w:val="16"/>
              </w:rPr>
              <w:noBreakHyphen/>
            </w:r>
            <w:r w:rsidRPr="009355BF">
              <w:rPr>
                <w:rFonts w:ascii="Arial" w:hAnsi="Arial" w:cs="Arial"/>
                <w:sz w:val="16"/>
                <w:szCs w:val="16"/>
              </w:rPr>
              <w:t>28</w:t>
            </w:r>
          </w:p>
        </w:tc>
      </w:tr>
      <w:tr w:rsidR="00D05063" w:rsidRPr="009355BF" w14:paraId="7CA6D4E4" w14:textId="77777777" w:rsidTr="00CD323D">
        <w:trPr>
          <w:trHeight w:hRule="exact" w:val="225"/>
        </w:trPr>
        <w:tc>
          <w:tcPr>
            <w:tcW w:w="1322" w:type="pct"/>
            <w:tcBorders>
              <w:top w:val="nil"/>
              <w:left w:val="nil"/>
              <w:bottom w:val="single" w:sz="4" w:space="0" w:color="293F5B"/>
              <w:right w:val="nil"/>
            </w:tcBorders>
            <w:shd w:val="clear" w:color="auto" w:fill="auto"/>
            <w:noWrap/>
            <w:vAlign w:val="bottom"/>
            <w:hideMark/>
          </w:tcPr>
          <w:p w14:paraId="25D6D673" w14:textId="77777777" w:rsidR="00D05063" w:rsidRPr="009355BF" w:rsidRDefault="00D05063" w:rsidP="00D05063">
            <w:pPr>
              <w:spacing w:before="0" w:after="0" w:line="240" w:lineRule="auto"/>
              <w:rPr>
                <w:rFonts w:ascii="Arial" w:hAnsi="Arial" w:cs="Arial"/>
                <w:sz w:val="16"/>
                <w:szCs w:val="16"/>
              </w:rPr>
            </w:pPr>
            <w:r w:rsidRPr="009355BF">
              <w:rPr>
                <w:rFonts w:ascii="Arial" w:hAnsi="Arial" w:cs="Arial"/>
                <w:sz w:val="16"/>
                <w:szCs w:val="16"/>
              </w:rPr>
              <w:t>Total fertility rate, Australia</w:t>
            </w:r>
          </w:p>
        </w:tc>
        <w:tc>
          <w:tcPr>
            <w:tcW w:w="613" w:type="pct"/>
            <w:tcBorders>
              <w:top w:val="single" w:sz="4" w:space="0" w:color="293F5B"/>
              <w:left w:val="nil"/>
              <w:bottom w:val="single" w:sz="4" w:space="0" w:color="293F5B"/>
              <w:right w:val="nil"/>
            </w:tcBorders>
            <w:shd w:val="clear" w:color="auto" w:fill="auto"/>
            <w:noWrap/>
            <w:vAlign w:val="bottom"/>
            <w:hideMark/>
          </w:tcPr>
          <w:p w14:paraId="3DEDB5A5" w14:textId="77777777"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1.58</w:t>
            </w:r>
          </w:p>
        </w:tc>
        <w:tc>
          <w:tcPr>
            <w:tcW w:w="613" w:type="pct"/>
            <w:tcBorders>
              <w:top w:val="single" w:sz="4" w:space="0" w:color="293F5B"/>
              <w:left w:val="nil"/>
              <w:bottom w:val="single" w:sz="4" w:space="0" w:color="293F5B"/>
              <w:right w:val="nil"/>
            </w:tcBorders>
            <w:shd w:val="clear" w:color="auto" w:fill="auto"/>
            <w:noWrap/>
            <w:vAlign w:val="bottom"/>
            <w:hideMark/>
          </w:tcPr>
          <w:p w14:paraId="635E59CC" w14:textId="77777777"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1.64</w:t>
            </w:r>
          </w:p>
        </w:tc>
        <w:tc>
          <w:tcPr>
            <w:tcW w:w="613" w:type="pct"/>
            <w:tcBorders>
              <w:top w:val="single" w:sz="4" w:space="0" w:color="293F5B"/>
              <w:left w:val="nil"/>
              <w:bottom w:val="single" w:sz="4" w:space="0" w:color="293F5B"/>
              <w:right w:val="nil"/>
            </w:tcBorders>
            <w:shd w:val="clear" w:color="000000" w:fill="E6F2FF"/>
            <w:noWrap/>
            <w:vAlign w:val="bottom"/>
            <w:hideMark/>
          </w:tcPr>
          <w:p w14:paraId="35A7E5AA" w14:textId="77777777"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1.64</w:t>
            </w:r>
          </w:p>
        </w:tc>
        <w:tc>
          <w:tcPr>
            <w:tcW w:w="613" w:type="pct"/>
            <w:tcBorders>
              <w:top w:val="single" w:sz="4" w:space="0" w:color="293F5B"/>
              <w:left w:val="nil"/>
              <w:bottom w:val="single" w:sz="4" w:space="0" w:color="293F5B"/>
              <w:right w:val="nil"/>
            </w:tcBorders>
            <w:shd w:val="clear" w:color="auto" w:fill="auto"/>
            <w:noWrap/>
            <w:vAlign w:val="bottom"/>
            <w:hideMark/>
          </w:tcPr>
          <w:p w14:paraId="05227C95" w14:textId="77777777"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1.64</w:t>
            </w:r>
          </w:p>
        </w:tc>
        <w:tc>
          <w:tcPr>
            <w:tcW w:w="613" w:type="pct"/>
            <w:tcBorders>
              <w:top w:val="single" w:sz="4" w:space="0" w:color="293F5B"/>
              <w:left w:val="nil"/>
              <w:bottom w:val="single" w:sz="4" w:space="0" w:color="293F5B"/>
              <w:right w:val="nil"/>
            </w:tcBorders>
            <w:shd w:val="clear" w:color="auto" w:fill="auto"/>
            <w:noWrap/>
            <w:vAlign w:val="bottom"/>
            <w:hideMark/>
          </w:tcPr>
          <w:p w14:paraId="17122118" w14:textId="77777777"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1.63</w:t>
            </w:r>
          </w:p>
        </w:tc>
        <w:tc>
          <w:tcPr>
            <w:tcW w:w="613" w:type="pct"/>
            <w:tcBorders>
              <w:top w:val="single" w:sz="4" w:space="0" w:color="293F5B"/>
              <w:left w:val="nil"/>
              <w:bottom w:val="single" w:sz="4" w:space="0" w:color="293F5B"/>
              <w:right w:val="nil"/>
            </w:tcBorders>
            <w:shd w:val="clear" w:color="auto" w:fill="auto"/>
            <w:noWrap/>
            <w:vAlign w:val="bottom"/>
            <w:hideMark/>
          </w:tcPr>
          <w:p w14:paraId="2D8C5BB4" w14:textId="77777777" w:rsidR="00D05063" w:rsidRPr="009355BF" w:rsidRDefault="00D05063" w:rsidP="00D05063">
            <w:pPr>
              <w:spacing w:before="0" w:after="0" w:line="240" w:lineRule="auto"/>
              <w:jc w:val="right"/>
              <w:rPr>
                <w:rFonts w:ascii="Arial" w:hAnsi="Arial" w:cs="Arial"/>
                <w:sz w:val="16"/>
                <w:szCs w:val="16"/>
              </w:rPr>
            </w:pPr>
            <w:r w:rsidRPr="009355BF">
              <w:rPr>
                <w:rFonts w:ascii="Arial" w:hAnsi="Arial" w:cs="Arial"/>
                <w:sz w:val="16"/>
                <w:szCs w:val="16"/>
              </w:rPr>
              <w:t>1.63</w:t>
            </w:r>
          </w:p>
        </w:tc>
      </w:tr>
    </w:tbl>
    <w:p w14:paraId="04793554" w14:textId="0C59BD13" w:rsidR="00E6789E" w:rsidRPr="009355BF" w:rsidRDefault="00D05063" w:rsidP="00D05063">
      <w:pPr>
        <w:pStyle w:val="ChartandTableFootnoteAlpha"/>
        <w:numPr>
          <w:ilvl w:val="0"/>
          <w:numId w:val="26"/>
        </w:numPr>
        <w:rPr>
          <w:color w:val="auto"/>
        </w:rPr>
      </w:pPr>
      <w:r w:rsidRPr="009355BF">
        <w:rPr>
          <w:color w:val="auto"/>
        </w:rPr>
        <w:t xml:space="preserve"> Outcome for 2022–23, from ABS National, state and territory population, September 2023.</w:t>
      </w:r>
    </w:p>
    <w:p w14:paraId="37485062" w14:textId="77777777" w:rsidR="00E6789E" w:rsidRPr="009355BF" w:rsidRDefault="00E6789E" w:rsidP="002C18F6">
      <w:pPr>
        <w:pStyle w:val="TableLine"/>
      </w:pPr>
    </w:p>
    <w:p w14:paraId="6C409FF5" w14:textId="77777777" w:rsidR="00E6789E" w:rsidRPr="009355BF" w:rsidRDefault="00E6789E" w:rsidP="00E6789E">
      <w:pPr>
        <w:pStyle w:val="Heading4"/>
      </w:pPr>
      <w:r w:rsidRPr="009355BF">
        <w:t>Mortality</w:t>
      </w:r>
    </w:p>
    <w:p w14:paraId="06456A7A" w14:textId="4AF882A6" w:rsidR="00E6789E" w:rsidRPr="009355BF" w:rsidRDefault="00E6789E" w:rsidP="00E6789E">
      <w:r w:rsidRPr="009355BF">
        <w:t xml:space="preserve">Assumptions about life expectancy at birth are based on the Australian Government Actuary mortality improvement factors and the 2019–21 Australian Bureau of Statistics life tables (Table A.4). Life expectancies have been adjusted </w:t>
      </w:r>
      <w:r w:rsidR="00613280" w:rsidRPr="009355BF">
        <w:t xml:space="preserve">until </w:t>
      </w:r>
      <w:r w:rsidRPr="009355BF">
        <w:t>202</w:t>
      </w:r>
      <w:r w:rsidR="002A5340" w:rsidRPr="009355BF">
        <w:t>5</w:t>
      </w:r>
      <w:r w:rsidRPr="009355BF">
        <w:t>–2</w:t>
      </w:r>
      <w:r w:rsidR="002A5340" w:rsidRPr="009355BF">
        <w:t>6</w:t>
      </w:r>
      <w:r w:rsidRPr="009355BF">
        <w:t xml:space="preserve"> to account for the impact of COVID</w:t>
      </w:r>
      <w:r w:rsidRPr="009355BF">
        <w:noBreakHyphen/>
        <w:t xml:space="preserve">19. Life expectancies are then assumed to improve at the same average annual rate that has been observed over the past </w:t>
      </w:r>
      <w:r w:rsidR="00853ABA" w:rsidRPr="009355BF">
        <w:t>three</w:t>
      </w:r>
      <w:r w:rsidRPr="009355BF">
        <w:t xml:space="preserve"> decades. Projected state mortality rates are assumed to move in line with the national mortality rate.</w:t>
      </w:r>
    </w:p>
    <w:p w14:paraId="7183E58E" w14:textId="1E3257A9" w:rsidR="00CD323D" w:rsidRPr="009355BF" w:rsidRDefault="00E6789E" w:rsidP="00E6789E">
      <w:pPr>
        <w:pStyle w:val="TableHeading"/>
        <w:rPr>
          <w:rFonts w:asciiTheme="minorHAnsi" w:eastAsiaTheme="minorHAnsi" w:hAnsiTheme="minorHAnsi" w:cstheme="minorBidi"/>
          <w:b w:val="0"/>
          <w:sz w:val="22"/>
          <w:szCs w:val="22"/>
          <w:lang w:eastAsia="en-US"/>
        </w:rPr>
      </w:pPr>
      <w:r w:rsidRPr="009355BF">
        <w:t>Table A.4: Projected life expectancy at birth, for years ending 30 Jun</w:t>
      </w:r>
      <w:r w:rsidR="00CD323D" w:rsidRPr="009355BF">
        <w:t>e</w:t>
      </w:r>
    </w:p>
    <w:tbl>
      <w:tblPr>
        <w:tblW w:w="5000" w:type="pct"/>
        <w:tblCellMar>
          <w:left w:w="0" w:type="dxa"/>
          <w:right w:w="28" w:type="dxa"/>
        </w:tblCellMar>
        <w:tblLook w:val="04A0" w:firstRow="1" w:lastRow="0" w:firstColumn="1" w:lastColumn="0" w:noHBand="0" w:noVBand="1"/>
      </w:tblPr>
      <w:tblGrid>
        <w:gridCol w:w="2910"/>
        <w:gridCol w:w="800"/>
        <w:gridCol w:w="800"/>
        <w:gridCol w:w="800"/>
        <w:gridCol w:w="801"/>
        <w:gridCol w:w="801"/>
        <w:gridCol w:w="798"/>
      </w:tblGrid>
      <w:tr w:rsidR="00CD323D" w:rsidRPr="009355BF" w14:paraId="2EE9027A" w14:textId="77777777" w:rsidTr="00CD323D">
        <w:trPr>
          <w:trHeight w:hRule="exact" w:val="225"/>
        </w:trPr>
        <w:tc>
          <w:tcPr>
            <w:tcW w:w="1720" w:type="pct"/>
            <w:tcBorders>
              <w:top w:val="single" w:sz="4" w:space="0" w:color="293F5B"/>
              <w:left w:val="nil"/>
              <w:bottom w:val="nil"/>
              <w:right w:val="nil"/>
            </w:tcBorders>
            <w:shd w:val="clear" w:color="auto" w:fill="auto"/>
            <w:noWrap/>
            <w:vAlign w:val="bottom"/>
            <w:hideMark/>
          </w:tcPr>
          <w:p w14:paraId="737E3CA9" w14:textId="39223CD1" w:rsidR="00CD323D" w:rsidRPr="009355BF" w:rsidRDefault="00CD323D" w:rsidP="00CD323D">
            <w:pPr>
              <w:spacing w:before="0" w:after="0" w:line="240" w:lineRule="auto"/>
              <w:rPr>
                <w:rFonts w:ascii="Arial" w:hAnsi="Arial" w:cs="Arial"/>
                <w:sz w:val="16"/>
                <w:szCs w:val="16"/>
              </w:rPr>
            </w:pPr>
            <w:r w:rsidRPr="009355BF">
              <w:rPr>
                <w:rFonts w:ascii="Arial" w:hAnsi="Arial" w:cs="Arial"/>
                <w:sz w:val="16"/>
                <w:szCs w:val="16"/>
              </w:rPr>
              <w:t> </w:t>
            </w:r>
          </w:p>
        </w:tc>
        <w:tc>
          <w:tcPr>
            <w:tcW w:w="547" w:type="pct"/>
            <w:tcBorders>
              <w:top w:val="single" w:sz="4" w:space="0" w:color="293F5B"/>
              <w:left w:val="nil"/>
              <w:bottom w:val="nil"/>
              <w:right w:val="nil"/>
            </w:tcBorders>
            <w:shd w:val="clear" w:color="auto" w:fill="auto"/>
            <w:noWrap/>
            <w:vAlign w:val="center"/>
            <w:hideMark/>
          </w:tcPr>
          <w:p w14:paraId="4CEA0A64" w14:textId="64C2DDE1"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2022</w:t>
            </w:r>
            <w:r w:rsidR="00D16A11" w:rsidRPr="009355BF">
              <w:rPr>
                <w:rFonts w:ascii="Arial" w:hAnsi="Arial" w:cs="Arial"/>
                <w:sz w:val="16"/>
                <w:szCs w:val="16"/>
              </w:rPr>
              <w:noBreakHyphen/>
            </w:r>
            <w:r w:rsidRPr="009355BF">
              <w:rPr>
                <w:rFonts w:ascii="Arial" w:hAnsi="Arial" w:cs="Arial"/>
                <w:sz w:val="16"/>
                <w:szCs w:val="16"/>
              </w:rPr>
              <w:t>23</w:t>
            </w:r>
          </w:p>
        </w:tc>
        <w:tc>
          <w:tcPr>
            <w:tcW w:w="547" w:type="pct"/>
            <w:tcBorders>
              <w:top w:val="single" w:sz="4" w:space="0" w:color="293F5B"/>
              <w:left w:val="nil"/>
              <w:bottom w:val="nil"/>
              <w:right w:val="nil"/>
            </w:tcBorders>
            <w:shd w:val="clear" w:color="auto" w:fill="auto"/>
            <w:noWrap/>
            <w:vAlign w:val="center"/>
            <w:hideMark/>
          </w:tcPr>
          <w:p w14:paraId="499D86DA" w14:textId="4379BD64"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2023</w:t>
            </w:r>
            <w:r w:rsidR="00D16A11" w:rsidRPr="009355BF">
              <w:rPr>
                <w:rFonts w:ascii="Arial" w:hAnsi="Arial" w:cs="Arial"/>
                <w:sz w:val="16"/>
                <w:szCs w:val="16"/>
              </w:rPr>
              <w:noBreakHyphen/>
            </w:r>
            <w:r w:rsidRPr="009355BF">
              <w:rPr>
                <w:rFonts w:ascii="Arial" w:hAnsi="Arial" w:cs="Arial"/>
                <w:sz w:val="16"/>
                <w:szCs w:val="16"/>
              </w:rPr>
              <w:t>24</w:t>
            </w:r>
          </w:p>
        </w:tc>
        <w:tc>
          <w:tcPr>
            <w:tcW w:w="547" w:type="pct"/>
            <w:tcBorders>
              <w:top w:val="single" w:sz="4" w:space="0" w:color="293F5B"/>
              <w:left w:val="nil"/>
              <w:bottom w:val="nil"/>
              <w:right w:val="nil"/>
            </w:tcBorders>
            <w:shd w:val="clear" w:color="000000" w:fill="E6F2FF"/>
            <w:noWrap/>
            <w:vAlign w:val="center"/>
            <w:hideMark/>
          </w:tcPr>
          <w:p w14:paraId="3B4B41F2" w14:textId="7603AFEB"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2024</w:t>
            </w:r>
            <w:r w:rsidR="00D16A11" w:rsidRPr="009355BF">
              <w:rPr>
                <w:rFonts w:ascii="Arial" w:hAnsi="Arial" w:cs="Arial"/>
                <w:sz w:val="16"/>
                <w:szCs w:val="16"/>
              </w:rPr>
              <w:noBreakHyphen/>
            </w:r>
            <w:r w:rsidRPr="009355BF">
              <w:rPr>
                <w:rFonts w:ascii="Arial" w:hAnsi="Arial" w:cs="Arial"/>
                <w:sz w:val="16"/>
                <w:szCs w:val="16"/>
              </w:rPr>
              <w:t>25</w:t>
            </w:r>
          </w:p>
        </w:tc>
        <w:tc>
          <w:tcPr>
            <w:tcW w:w="547" w:type="pct"/>
            <w:tcBorders>
              <w:top w:val="single" w:sz="4" w:space="0" w:color="293F5B"/>
              <w:left w:val="nil"/>
              <w:bottom w:val="nil"/>
              <w:right w:val="nil"/>
            </w:tcBorders>
            <w:shd w:val="clear" w:color="auto" w:fill="auto"/>
            <w:noWrap/>
            <w:vAlign w:val="center"/>
            <w:hideMark/>
          </w:tcPr>
          <w:p w14:paraId="512DB834" w14:textId="127B82AC"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2025</w:t>
            </w:r>
            <w:r w:rsidR="00D16A11" w:rsidRPr="009355BF">
              <w:rPr>
                <w:rFonts w:ascii="Arial" w:hAnsi="Arial" w:cs="Arial"/>
                <w:sz w:val="16"/>
                <w:szCs w:val="16"/>
              </w:rPr>
              <w:noBreakHyphen/>
            </w:r>
            <w:r w:rsidRPr="009355BF">
              <w:rPr>
                <w:rFonts w:ascii="Arial" w:hAnsi="Arial" w:cs="Arial"/>
                <w:sz w:val="16"/>
                <w:szCs w:val="16"/>
              </w:rPr>
              <w:t>26</w:t>
            </w:r>
          </w:p>
        </w:tc>
        <w:tc>
          <w:tcPr>
            <w:tcW w:w="547" w:type="pct"/>
            <w:tcBorders>
              <w:top w:val="single" w:sz="4" w:space="0" w:color="293F5B"/>
              <w:left w:val="nil"/>
              <w:bottom w:val="nil"/>
              <w:right w:val="nil"/>
            </w:tcBorders>
            <w:shd w:val="clear" w:color="auto" w:fill="auto"/>
            <w:noWrap/>
            <w:vAlign w:val="center"/>
            <w:hideMark/>
          </w:tcPr>
          <w:p w14:paraId="6200942E" w14:textId="5EBE4E68"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2026</w:t>
            </w:r>
            <w:r w:rsidR="00D16A11" w:rsidRPr="009355BF">
              <w:rPr>
                <w:rFonts w:ascii="Arial" w:hAnsi="Arial" w:cs="Arial"/>
                <w:sz w:val="16"/>
                <w:szCs w:val="16"/>
              </w:rPr>
              <w:noBreakHyphen/>
            </w:r>
            <w:r w:rsidRPr="009355BF">
              <w:rPr>
                <w:rFonts w:ascii="Arial" w:hAnsi="Arial" w:cs="Arial"/>
                <w:sz w:val="16"/>
                <w:szCs w:val="16"/>
              </w:rPr>
              <w:t>27</w:t>
            </w:r>
          </w:p>
        </w:tc>
        <w:tc>
          <w:tcPr>
            <w:tcW w:w="547" w:type="pct"/>
            <w:tcBorders>
              <w:top w:val="single" w:sz="4" w:space="0" w:color="293F5B"/>
              <w:left w:val="nil"/>
              <w:bottom w:val="nil"/>
              <w:right w:val="nil"/>
            </w:tcBorders>
            <w:shd w:val="clear" w:color="auto" w:fill="auto"/>
            <w:noWrap/>
            <w:vAlign w:val="center"/>
            <w:hideMark/>
          </w:tcPr>
          <w:p w14:paraId="4B419B20" w14:textId="45B16B5E"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2027</w:t>
            </w:r>
            <w:r w:rsidR="00D16A11" w:rsidRPr="009355BF">
              <w:rPr>
                <w:rFonts w:ascii="Arial" w:hAnsi="Arial" w:cs="Arial"/>
                <w:sz w:val="16"/>
                <w:szCs w:val="16"/>
              </w:rPr>
              <w:noBreakHyphen/>
            </w:r>
            <w:r w:rsidRPr="009355BF">
              <w:rPr>
                <w:rFonts w:ascii="Arial" w:hAnsi="Arial" w:cs="Arial"/>
                <w:sz w:val="16"/>
                <w:szCs w:val="16"/>
              </w:rPr>
              <w:t>28</w:t>
            </w:r>
          </w:p>
        </w:tc>
      </w:tr>
      <w:tr w:rsidR="00CD323D" w:rsidRPr="009355BF" w14:paraId="1239729D" w14:textId="77777777" w:rsidTr="00CD323D">
        <w:trPr>
          <w:trHeight w:hRule="exact" w:val="225"/>
        </w:trPr>
        <w:tc>
          <w:tcPr>
            <w:tcW w:w="1720" w:type="pct"/>
            <w:tcBorders>
              <w:top w:val="nil"/>
              <w:left w:val="nil"/>
              <w:bottom w:val="nil"/>
              <w:right w:val="nil"/>
            </w:tcBorders>
            <w:shd w:val="clear" w:color="auto" w:fill="auto"/>
            <w:noWrap/>
            <w:vAlign w:val="bottom"/>
            <w:hideMark/>
          </w:tcPr>
          <w:p w14:paraId="3C10D2B8" w14:textId="77777777" w:rsidR="00CD323D" w:rsidRPr="009355BF" w:rsidRDefault="00CD323D" w:rsidP="00CD323D">
            <w:pPr>
              <w:spacing w:before="0" w:after="0" w:line="240" w:lineRule="auto"/>
              <w:rPr>
                <w:rFonts w:ascii="Arial" w:hAnsi="Arial" w:cs="Arial"/>
                <w:sz w:val="16"/>
                <w:szCs w:val="16"/>
              </w:rPr>
            </w:pPr>
            <w:r w:rsidRPr="009355BF">
              <w:rPr>
                <w:rFonts w:ascii="Arial" w:hAnsi="Arial" w:cs="Arial"/>
                <w:sz w:val="16"/>
                <w:szCs w:val="16"/>
              </w:rPr>
              <w:t>Male life expectancy at birth, Australia</w:t>
            </w:r>
          </w:p>
        </w:tc>
        <w:tc>
          <w:tcPr>
            <w:tcW w:w="547" w:type="pct"/>
            <w:tcBorders>
              <w:top w:val="single" w:sz="4" w:space="0" w:color="293F5B"/>
              <w:left w:val="nil"/>
              <w:bottom w:val="nil"/>
              <w:right w:val="nil"/>
            </w:tcBorders>
            <w:shd w:val="clear" w:color="auto" w:fill="auto"/>
            <w:noWrap/>
            <w:vAlign w:val="bottom"/>
            <w:hideMark/>
          </w:tcPr>
          <w:p w14:paraId="6C70B2DC"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81.1</w:t>
            </w:r>
          </w:p>
        </w:tc>
        <w:tc>
          <w:tcPr>
            <w:tcW w:w="547" w:type="pct"/>
            <w:tcBorders>
              <w:top w:val="single" w:sz="4" w:space="0" w:color="293F5B"/>
              <w:left w:val="nil"/>
              <w:bottom w:val="nil"/>
              <w:right w:val="nil"/>
            </w:tcBorders>
            <w:shd w:val="clear" w:color="auto" w:fill="auto"/>
            <w:noWrap/>
            <w:vAlign w:val="bottom"/>
            <w:hideMark/>
          </w:tcPr>
          <w:p w14:paraId="3A8A8FD8"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81.6</w:t>
            </w:r>
          </w:p>
        </w:tc>
        <w:tc>
          <w:tcPr>
            <w:tcW w:w="547" w:type="pct"/>
            <w:tcBorders>
              <w:top w:val="single" w:sz="4" w:space="0" w:color="293F5B"/>
              <w:left w:val="nil"/>
              <w:bottom w:val="nil"/>
              <w:right w:val="nil"/>
            </w:tcBorders>
            <w:shd w:val="clear" w:color="000000" w:fill="E6F2FF"/>
            <w:noWrap/>
            <w:vAlign w:val="bottom"/>
            <w:hideMark/>
          </w:tcPr>
          <w:p w14:paraId="70BD16ED"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82.0</w:t>
            </w:r>
          </w:p>
        </w:tc>
        <w:tc>
          <w:tcPr>
            <w:tcW w:w="547" w:type="pct"/>
            <w:tcBorders>
              <w:top w:val="single" w:sz="4" w:space="0" w:color="293F5B"/>
              <w:left w:val="nil"/>
              <w:bottom w:val="nil"/>
              <w:right w:val="nil"/>
            </w:tcBorders>
            <w:shd w:val="clear" w:color="auto" w:fill="auto"/>
            <w:noWrap/>
            <w:vAlign w:val="bottom"/>
            <w:hideMark/>
          </w:tcPr>
          <w:p w14:paraId="21256A8D"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82.3</w:t>
            </w:r>
          </w:p>
        </w:tc>
        <w:tc>
          <w:tcPr>
            <w:tcW w:w="547" w:type="pct"/>
            <w:tcBorders>
              <w:top w:val="single" w:sz="4" w:space="0" w:color="293F5B"/>
              <w:left w:val="nil"/>
              <w:bottom w:val="nil"/>
              <w:right w:val="nil"/>
            </w:tcBorders>
            <w:shd w:val="clear" w:color="auto" w:fill="auto"/>
            <w:noWrap/>
            <w:vAlign w:val="bottom"/>
            <w:hideMark/>
          </w:tcPr>
          <w:p w14:paraId="33755ECB"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82.5</w:t>
            </w:r>
          </w:p>
        </w:tc>
        <w:tc>
          <w:tcPr>
            <w:tcW w:w="547" w:type="pct"/>
            <w:tcBorders>
              <w:top w:val="single" w:sz="4" w:space="0" w:color="293F5B"/>
              <w:left w:val="nil"/>
              <w:bottom w:val="nil"/>
              <w:right w:val="nil"/>
            </w:tcBorders>
            <w:shd w:val="clear" w:color="auto" w:fill="auto"/>
            <w:noWrap/>
            <w:vAlign w:val="bottom"/>
            <w:hideMark/>
          </w:tcPr>
          <w:p w14:paraId="38C254BC"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82.7</w:t>
            </w:r>
          </w:p>
        </w:tc>
      </w:tr>
      <w:tr w:rsidR="00CD323D" w:rsidRPr="009355BF" w14:paraId="52042FCA" w14:textId="77777777" w:rsidTr="00CD323D">
        <w:trPr>
          <w:trHeight w:hRule="exact" w:val="225"/>
        </w:trPr>
        <w:tc>
          <w:tcPr>
            <w:tcW w:w="1720" w:type="pct"/>
            <w:tcBorders>
              <w:top w:val="nil"/>
              <w:left w:val="nil"/>
              <w:bottom w:val="single" w:sz="4" w:space="0" w:color="293F5B"/>
              <w:right w:val="nil"/>
            </w:tcBorders>
            <w:shd w:val="clear" w:color="auto" w:fill="auto"/>
            <w:noWrap/>
            <w:vAlign w:val="bottom"/>
            <w:hideMark/>
          </w:tcPr>
          <w:p w14:paraId="40EE9AFF" w14:textId="77777777" w:rsidR="00CD323D" w:rsidRPr="009355BF" w:rsidRDefault="00CD323D" w:rsidP="00CD323D">
            <w:pPr>
              <w:spacing w:before="0" w:after="0" w:line="240" w:lineRule="auto"/>
              <w:rPr>
                <w:rFonts w:ascii="Arial" w:hAnsi="Arial" w:cs="Arial"/>
                <w:sz w:val="16"/>
                <w:szCs w:val="16"/>
              </w:rPr>
            </w:pPr>
            <w:r w:rsidRPr="009355BF">
              <w:rPr>
                <w:rFonts w:ascii="Arial" w:hAnsi="Arial" w:cs="Arial"/>
                <w:sz w:val="16"/>
                <w:szCs w:val="16"/>
              </w:rPr>
              <w:t>Female life expectancy at birth, Australia</w:t>
            </w:r>
          </w:p>
        </w:tc>
        <w:tc>
          <w:tcPr>
            <w:tcW w:w="547" w:type="pct"/>
            <w:tcBorders>
              <w:top w:val="nil"/>
              <w:left w:val="nil"/>
              <w:bottom w:val="single" w:sz="4" w:space="0" w:color="293F5B"/>
              <w:right w:val="nil"/>
            </w:tcBorders>
            <w:shd w:val="clear" w:color="auto" w:fill="auto"/>
            <w:noWrap/>
            <w:vAlign w:val="bottom"/>
            <w:hideMark/>
          </w:tcPr>
          <w:p w14:paraId="1CBCF7B0"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85.0</w:t>
            </w:r>
          </w:p>
        </w:tc>
        <w:tc>
          <w:tcPr>
            <w:tcW w:w="547" w:type="pct"/>
            <w:tcBorders>
              <w:top w:val="nil"/>
              <w:left w:val="nil"/>
              <w:bottom w:val="single" w:sz="4" w:space="0" w:color="293F5B"/>
              <w:right w:val="nil"/>
            </w:tcBorders>
            <w:shd w:val="clear" w:color="auto" w:fill="auto"/>
            <w:noWrap/>
            <w:vAlign w:val="bottom"/>
            <w:hideMark/>
          </w:tcPr>
          <w:p w14:paraId="1876E69E"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85.5</w:t>
            </w:r>
          </w:p>
        </w:tc>
        <w:tc>
          <w:tcPr>
            <w:tcW w:w="547" w:type="pct"/>
            <w:tcBorders>
              <w:top w:val="nil"/>
              <w:left w:val="nil"/>
              <w:bottom w:val="single" w:sz="4" w:space="0" w:color="293F5B"/>
              <w:right w:val="nil"/>
            </w:tcBorders>
            <w:shd w:val="clear" w:color="000000" w:fill="E6F2FF"/>
            <w:noWrap/>
            <w:vAlign w:val="bottom"/>
            <w:hideMark/>
          </w:tcPr>
          <w:p w14:paraId="247A0069"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85.9</w:t>
            </w:r>
          </w:p>
        </w:tc>
        <w:tc>
          <w:tcPr>
            <w:tcW w:w="547" w:type="pct"/>
            <w:tcBorders>
              <w:top w:val="nil"/>
              <w:left w:val="nil"/>
              <w:bottom w:val="single" w:sz="4" w:space="0" w:color="293F5B"/>
              <w:right w:val="nil"/>
            </w:tcBorders>
            <w:shd w:val="clear" w:color="auto" w:fill="auto"/>
            <w:noWrap/>
            <w:vAlign w:val="bottom"/>
            <w:hideMark/>
          </w:tcPr>
          <w:p w14:paraId="776E7AC8"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86.1</w:t>
            </w:r>
          </w:p>
        </w:tc>
        <w:tc>
          <w:tcPr>
            <w:tcW w:w="547" w:type="pct"/>
            <w:tcBorders>
              <w:top w:val="nil"/>
              <w:left w:val="nil"/>
              <w:bottom w:val="single" w:sz="4" w:space="0" w:color="293F5B"/>
              <w:right w:val="nil"/>
            </w:tcBorders>
            <w:shd w:val="clear" w:color="auto" w:fill="auto"/>
            <w:noWrap/>
            <w:vAlign w:val="bottom"/>
            <w:hideMark/>
          </w:tcPr>
          <w:p w14:paraId="6469452A"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86.3</w:t>
            </w:r>
          </w:p>
        </w:tc>
        <w:tc>
          <w:tcPr>
            <w:tcW w:w="547" w:type="pct"/>
            <w:tcBorders>
              <w:top w:val="nil"/>
              <w:left w:val="nil"/>
              <w:bottom w:val="single" w:sz="4" w:space="0" w:color="293F5B"/>
              <w:right w:val="nil"/>
            </w:tcBorders>
            <w:shd w:val="clear" w:color="auto" w:fill="auto"/>
            <w:noWrap/>
            <w:vAlign w:val="bottom"/>
            <w:hideMark/>
          </w:tcPr>
          <w:p w14:paraId="358F3580" w14:textId="77777777" w:rsidR="00CD323D" w:rsidRPr="009355BF" w:rsidRDefault="00CD323D" w:rsidP="00CD323D">
            <w:pPr>
              <w:spacing w:before="0" w:after="0" w:line="240" w:lineRule="auto"/>
              <w:jc w:val="right"/>
              <w:rPr>
                <w:rFonts w:ascii="Arial" w:hAnsi="Arial" w:cs="Arial"/>
                <w:sz w:val="16"/>
                <w:szCs w:val="16"/>
              </w:rPr>
            </w:pPr>
            <w:r w:rsidRPr="009355BF">
              <w:rPr>
                <w:rFonts w:ascii="Arial" w:hAnsi="Arial" w:cs="Arial"/>
                <w:sz w:val="16"/>
                <w:szCs w:val="16"/>
              </w:rPr>
              <w:t>86.4</w:t>
            </w:r>
          </w:p>
        </w:tc>
      </w:tr>
    </w:tbl>
    <w:p w14:paraId="5A15013F" w14:textId="0D840EA4" w:rsidR="00E6789E" w:rsidRPr="009355BF" w:rsidRDefault="00E6789E" w:rsidP="002C6649">
      <w:pPr>
        <w:pStyle w:val="SingleParagraph"/>
        <w:rPr>
          <w:rFonts w:eastAsiaTheme="minorHAnsi"/>
        </w:rPr>
      </w:pPr>
    </w:p>
    <w:p w14:paraId="45D103A1" w14:textId="6599D88A" w:rsidR="00E6789E" w:rsidRPr="009355BF" w:rsidRDefault="00E6789E" w:rsidP="00E6789E">
      <w:pPr>
        <w:pStyle w:val="Heading4"/>
      </w:pPr>
      <w:r w:rsidRPr="009355BF">
        <w:t>Net overseas migration</w:t>
      </w:r>
    </w:p>
    <w:p w14:paraId="7E85099B" w14:textId="4CCBA062" w:rsidR="00E6789E" w:rsidRPr="009355BF" w:rsidRDefault="008730A9" w:rsidP="00E6789E">
      <w:pPr>
        <w:rPr>
          <w:b/>
        </w:rPr>
      </w:pPr>
      <w:bookmarkStart w:id="6" w:name="_Toc4764873"/>
      <w:r w:rsidRPr="009355BF">
        <w:t xml:space="preserve">The Centre forecasts </w:t>
      </w:r>
      <w:r w:rsidR="00E6789E" w:rsidRPr="009355BF">
        <w:t xml:space="preserve">net overseas migration (Table A.5). The forecasts incorporate </w:t>
      </w:r>
      <w:r w:rsidR="0041109C" w:rsidRPr="009355BF">
        <w:t>official statistics prepared by the Australian Bureau of Statistics</w:t>
      </w:r>
      <w:r w:rsidR="00943FCB" w:rsidRPr="009355BF">
        <w:t xml:space="preserve">, as well as </w:t>
      </w:r>
      <w:r w:rsidR="00E6789E" w:rsidRPr="009355BF">
        <w:t>information provided by the Department of Home Affairs, including data on international arrivals and departures,</w:t>
      </w:r>
      <w:r w:rsidR="00E6789E" w:rsidRPr="009355BF" w:rsidDel="0001388E">
        <w:t xml:space="preserve"> </w:t>
      </w:r>
      <w:r w:rsidR="00E6789E" w:rsidRPr="009355BF">
        <w:t>offshore visa grants, and the number of temporary visa holders in Australia.</w:t>
      </w:r>
    </w:p>
    <w:bookmarkEnd w:id="6"/>
    <w:p w14:paraId="773010CE" w14:textId="71DB84D7" w:rsidR="002C18F6" w:rsidRPr="009355BF" w:rsidRDefault="00E6789E" w:rsidP="00E6789E">
      <w:pPr>
        <w:pStyle w:val="TableHeading"/>
        <w:rPr>
          <w:rFonts w:asciiTheme="minorHAnsi" w:eastAsiaTheme="minorHAnsi" w:hAnsiTheme="minorHAnsi" w:cstheme="minorBidi"/>
          <w:b w:val="0"/>
          <w:sz w:val="22"/>
          <w:szCs w:val="22"/>
          <w:lang w:eastAsia="en-US"/>
        </w:rPr>
      </w:pPr>
      <w:r w:rsidRPr="009355BF">
        <w:rPr>
          <w:rFonts w:cs="Arial"/>
        </w:rPr>
        <w:t>Table A.5: Net overseas migration, for years ending 30 Jun</w:t>
      </w:r>
      <w:r w:rsidR="002C18F6" w:rsidRPr="009355BF">
        <w:rPr>
          <w:rFonts w:cs="Arial"/>
        </w:rPr>
        <w:t>e</w:t>
      </w:r>
    </w:p>
    <w:tbl>
      <w:tblPr>
        <w:tblW w:w="5000" w:type="pct"/>
        <w:tblCellMar>
          <w:left w:w="0" w:type="dxa"/>
          <w:right w:w="28" w:type="dxa"/>
        </w:tblCellMar>
        <w:tblLook w:val="04A0" w:firstRow="1" w:lastRow="0" w:firstColumn="1" w:lastColumn="0" w:noHBand="0" w:noVBand="1"/>
      </w:tblPr>
      <w:tblGrid>
        <w:gridCol w:w="2385"/>
        <w:gridCol w:w="887"/>
        <w:gridCol w:w="887"/>
        <w:gridCol w:w="887"/>
        <w:gridCol w:w="888"/>
        <w:gridCol w:w="888"/>
        <w:gridCol w:w="888"/>
      </w:tblGrid>
      <w:tr w:rsidR="002C18F6" w:rsidRPr="009355BF" w14:paraId="4F7F56D7" w14:textId="77777777" w:rsidTr="002C18F6">
        <w:trPr>
          <w:trHeight w:hRule="exact" w:val="225"/>
        </w:trPr>
        <w:tc>
          <w:tcPr>
            <w:tcW w:w="1547" w:type="pct"/>
            <w:tcBorders>
              <w:top w:val="single" w:sz="4" w:space="0" w:color="293F5B"/>
              <w:left w:val="nil"/>
              <w:bottom w:val="nil"/>
              <w:right w:val="nil"/>
            </w:tcBorders>
            <w:shd w:val="clear" w:color="auto" w:fill="auto"/>
            <w:noWrap/>
            <w:vAlign w:val="bottom"/>
            <w:hideMark/>
          </w:tcPr>
          <w:p w14:paraId="0DD1843D" w14:textId="1AC448F8" w:rsidR="002C18F6" w:rsidRPr="009355BF" w:rsidRDefault="002C18F6" w:rsidP="002C18F6">
            <w:pPr>
              <w:spacing w:before="0" w:after="0" w:line="240" w:lineRule="auto"/>
              <w:rPr>
                <w:rFonts w:ascii="Arial" w:hAnsi="Arial" w:cs="Arial"/>
                <w:sz w:val="16"/>
                <w:szCs w:val="16"/>
              </w:rPr>
            </w:pPr>
            <w:r w:rsidRPr="009355BF">
              <w:rPr>
                <w:rFonts w:ascii="Arial" w:hAnsi="Arial" w:cs="Arial"/>
                <w:sz w:val="16"/>
                <w:szCs w:val="16"/>
              </w:rPr>
              <w:t> </w:t>
            </w:r>
          </w:p>
        </w:tc>
        <w:tc>
          <w:tcPr>
            <w:tcW w:w="575" w:type="pct"/>
            <w:tcBorders>
              <w:top w:val="single" w:sz="4" w:space="0" w:color="293F5B"/>
              <w:left w:val="nil"/>
              <w:bottom w:val="nil"/>
              <w:right w:val="nil"/>
            </w:tcBorders>
            <w:shd w:val="clear" w:color="auto" w:fill="auto"/>
            <w:noWrap/>
            <w:vAlign w:val="center"/>
            <w:hideMark/>
          </w:tcPr>
          <w:p w14:paraId="39CAC98A" w14:textId="7E00A339"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2022</w:t>
            </w:r>
            <w:r w:rsidR="00D16A11" w:rsidRPr="009355BF">
              <w:rPr>
                <w:rFonts w:ascii="Arial" w:hAnsi="Arial" w:cs="Arial"/>
                <w:sz w:val="16"/>
                <w:szCs w:val="16"/>
              </w:rPr>
              <w:noBreakHyphen/>
            </w:r>
            <w:r w:rsidRPr="009355BF">
              <w:rPr>
                <w:rFonts w:ascii="Arial" w:hAnsi="Arial" w:cs="Arial"/>
                <w:sz w:val="16"/>
                <w:szCs w:val="16"/>
              </w:rPr>
              <w:t>23(a)</w:t>
            </w:r>
          </w:p>
        </w:tc>
        <w:tc>
          <w:tcPr>
            <w:tcW w:w="575" w:type="pct"/>
            <w:tcBorders>
              <w:top w:val="single" w:sz="4" w:space="0" w:color="293F5B"/>
              <w:left w:val="nil"/>
              <w:bottom w:val="nil"/>
              <w:right w:val="nil"/>
            </w:tcBorders>
            <w:shd w:val="clear" w:color="auto" w:fill="auto"/>
            <w:noWrap/>
            <w:vAlign w:val="center"/>
            <w:hideMark/>
          </w:tcPr>
          <w:p w14:paraId="33A28182" w14:textId="28B4B50D"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2023</w:t>
            </w:r>
            <w:r w:rsidR="00D16A11" w:rsidRPr="009355BF">
              <w:rPr>
                <w:rFonts w:ascii="Arial" w:hAnsi="Arial" w:cs="Arial"/>
                <w:sz w:val="16"/>
                <w:szCs w:val="16"/>
              </w:rPr>
              <w:noBreakHyphen/>
            </w:r>
            <w:r w:rsidRPr="009355BF">
              <w:rPr>
                <w:rFonts w:ascii="Arial" w:hAnsi="Arial" w:cs="Arial"/>
                <w:sz w:val="16"/>
                <w:szCs w:val="16"/>
              </w:rPr>
              <w:t>24</w:t>
            </w:r>
          </w:p>
        </w:tc>
        <w:tc>
          <w:tcPr>
            <w:tcW w:w="575" w:type="pct"/>
            <w:tcBorders>
              <w:top w:val="single" w:sz="4" w:space="0" w:color="293F5B"/>
              <w:left w:val="nil"/>
              <w:bottom w:val="nil"/>
              <w:right w:val="nil"/>
            </w:tcBorders>
            <w:shd w:val="clear" w:color="000000" w:fill="E6F2FF"/>
            <w:noWrap/>
            <w:vAlign w:val="center"/>
            <w:hideMark/>
          </w:tcPr>
          <w:p w14:paraId="7C4F31EA" w14:textId="091D43B7"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2024</w:t>
            </w:r>
            <w:r w:rsidR="00D16A11" w:rsidRPr="009355BF">
              <w:rPr>
                <w:rFonts w:ascii="Arial" w:hAnsi="Arial" w:cs="Arial"/>
                <w:sz w:val="16"/>
                <w:szCs w:val="16"/>
              </w:rPr>
              <w:noBreakHyphen/>
            </w:r>
            <w:r w:rsidRPr="009355BF">
              <w:rPr>
                <w:rFonts w:ascii="Arial" w:hAnsi="Arial" w:cs="Arial"/>
                <w:sz w:val="16"/>
                <w:szCs w:val="16"/>
              </w:rPr>
              <w:t>25</w:t>
            </w:r>
          </w:p>
        </w:tc>
        <w:tc>
          <w:tcPr>
            <w:tcW w:w="576" w:type="pct"/>
            <w:tcBorders>
              <w:top w:val="single" w:sz="4" w:space="0" w:color="293F5B"/>
              <w:left w:val="nil"/>
              <w:bottom w:val="nil"/>
              <w:right w:val="nil"/>
            </w:tcBorders>
            <w:shd w:val="clear" w:color="auto" w:fill="auto"/>
            <w:noWrap/>
            <w:vAlign w:val="center"/>
            <w:hideMark/>
          </w:tcPr>
          <w:p w14:paraId="053AC81C" w14:textId="2FA985D4"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2025</w:t>
            </w:r>
            <w:r w:rsidR="00D16A11" w:rsidRPr="009355BF">
              <w:rPr>
                <w:rFonts w:ascii="Arial" w:hAnsi="Arial" w:cs="Arial"/>
                <w:sz w:val="16"/>
                <w:szCs w:val="16"/>
              </w:rPr>
              <w:noBreakHyphen/>
            </w:r>
            <w:r w:rsidRPr="009355BF">
              <w:rPr>
                <w:rFonts w:ascii="Arial" w:hAnsi="Arial" w:cs="Arial"/>
                <w:sz w:val="16"/>
                <w:szCs w:val="16"/>
              </w:rPr>
              <w:t>26</w:t>
            </w:r>
          </w:p>
        </w:tc>
        <w:tc>
          <w:tcPr>
            <w:tcW w:w="576" w:type="pct"/>
            <w:tcBorders>
              <w:top w:val="single" w:sz="4" w:space="0" w:color="293F5B"/>
              <w:left w:val="nil"/>
              <w:bottom w:val="nil"/>
              <w:right w:val="nil"/>
            </w:tcBorders>
            <w:shd w:val="clear" w:color="auto" w:fill="auto"/>
            <w:noWrap/>
            <w:vAlign w:val="center"/>
            <w:hideMark/>
          </w:tcPr>
          <w:p w14:paraId="3B1B9571" w14:textId="666C89E3"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2026</w:t>
            </w:r>
            <w:r w:rsidR="00D16A11" w:rsidRPr="009355BF">
              <w:rPr>
                <w:rFonts w:ascii="Arial" w:hAnsi="Arial" w:cs="Arial"/>
                <w:sz w:val="16"/>
                <w:szCs w:val="16"/>
              </w:rPr>
              <w:noBreakHyphen/>
            </w:r>
            <w:r w:rsidRPr="009355BF">
              <w:rPr>
                <w:rFonts w:ascii="Arial" w:hAnsi="Arial" w:cs="Arial"/>
                <w:sz w:val="16"/>
                <w:szCs w:val="16"/>
              </w:rPr>
              <w:t>27</w:t>
            </w:r>
          </w:p>
        </w:tc>
        <w:tc>
          <w:tcPr>
            <w:tcW w:w="576" w:type="pct"/>
            <w:tcBorders>
              <w:top w:val="single" w:sz="4" w:space="0" w:color="293F5B"/>
              <w:left w:val="nil"/>
              <w:bottom w:val="nil"/>
              <w:right w:val="nil"/>
            </w:tcBorders>
            <w:shd w:val="clear" w:color="auto" w:fill="auto"/>
            <w:noWrap/>
            <w:vAlign w:val="center"/>
            <w:hideMark/>
          </w:tcPr>
          <w:p w14:paraId="2C40DD87" w14:textId="3541640F"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2027</w:t>
            </w:r>
            <w:r w:rsidR="00D16A11" w:rsidRPr="009355BF">
              <w:rPr>
                <w:rFonts w:ascii="Arial" w:hAnsi="Arial" w:cs="Arial"/>
                <w:sz w:val="16"/>
                <w:szCs w:val="16"/>
              </w:rPr>
              <w:noBreakHyphen/>
            </w:r>
            <w:r w:rsidRPr="009355BF">
              <w:rPr>
                <w:rFonts w:ascii="Arial" w:hAnsi="Arial" w:cs="Arial"/>
                <w:sz w:val="16"/>
                <w:szCs w:val="16"/>
              </w:rPr>
              <w:t>28</w:t>
            </w:r>
          </w:p>
        </w:tc>
      </w:tr>
      <w:tr w:rsidR="002C18F6" w:rsidRPr="009355BF" w14:paraId="73D11E8F" w14:textId="77777777" w:rsidTr="002C18F6">
        <w:trPr>
          <w:trHeight w:hRule="exact" w:val="225"/>
        </w:trPr>
        <w:tc>
          <w:tcPr>
            <w:tcW w:w="1547" w:type="pct"/>
            <w:tcBorders>
              <w:top w:val="nil"/>
              <w:left w:val="nil"/>
              <w:bottom w:val="single" w:sz="4" w:space="0" w:color="293F5B"/>
              <w:right w:val="nil"/>
            </w:tcBorders>
            <w:shd w:val="clear" w:color="auto" w:fill="auto"/>
            <w:noWrap/>
            <w:vAlign w:val="bottom"/>
            <w:hideMark/>
          </w:tcPr>
          <w:p w14:paraId="633344EE" w14:textId="77777777" w:rsidR="002C18F6" w:rsidRPr="009355BF" w:rsidRDefault="002C18F6" w:rsidP="002C18F6">
            <w:pPr>
              <w:spacing w:before="0" w:after="0" w:line="240" w:lineRule="auto"/>
              <w:rPr>
                <w:rFonts w:ascii="Arial" w:hAnsi="Arial" w:cs="Arial"/>
                <w:sz w:val="16"/>
                <w:szCs w:val="16"/>
              </w:rPr>
            </w:pPr>
            <w:r w:rsidRPr="009355BF">
              <w:rPr>
                <w:rFonts w:ascii="Arial" w:hAnsi="Arial" w:cs="Arial"/>
                <w:sz w:val="16"/>
                <w:szCs w:val="16"/>
              </w:rPr>
              <w:t>Net overseas migration, Australia</w:t>
            </w:r>
          </w:p>
        </w:tc>
        <w:tc>
          <w:tcPr>
            <w:tcW w:w="575" w:type="pct"/>
            <w:tcBorders>
              <w:top w:val="single" w:sz="4" w:space="0" w:color="293F5B"/>
              <w:left w:val="nil"/>
              <w:bottom w:val="single" w:sz="4" w:space="0" w:color="293F5B"/>
              <w:right w:val="nil"/>
            </w:tcBorders>
            <w:shd w:val="clear" w:color="auto" w:fill="auto"/>
            <w:noWrap/>
            <w:vAlign w:val="bottom"/>
            <w:hideMark/>
          </w:tcPr>
          <w:p w14:paraId="40E83B99" w14:textId="77777777"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528,000</w:t>
            </w:r>
          </w:p>
        </w:tc>
        <w:tc>
          <w:tcPr>
            <w:tcW w:w="575" w:type="pct"/>
            <w:tcBorders>
              <w:top w:val="single" w:sz="4" w:space="0" w:color="293F5B"/>
              <w:left w:val="nil"/>
              <w:bottom w:val="single" w:sz="4" w:space="0" w:color="293F5B"/>
              <w:right w:val="nil"/>
            </w:tcBorders>
            <w:shd w:val="clear" w:color="auto" w:fill="auto"/>
            <w:noWrap/>
            <w:vAlign w:val="bottom"/>
            <w:hideMark/>
          </w:tcPr>
          <w:p w14:paraId="28432DF5" w14:textId="77777777"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395,000</w:t>
            </w:r>
          </w:p>
        </w:tc>
        <w:tc>
          <w:tcPr>
            <w:tcW w:w="575" w:type="pct"/>
            <w:tcBorders>
              <w:top w:val="single" w:sz="4" w:space="0" w:color="293F5B"/>
              <w:left w:val="nil"/>
              <w:bottom w:val="single" w:sz="4" w:space="0" w:color="293F5B"/>
              <w:right w:val="nil"/>
            </w:tcBorders>
            <w:shd w:val="clear" w:color="000000" w:fill="E6F2FF"/>
            <w:noWrap/>
            <w:vAlign w:val="bottom"/>
            <w:hideMark/>
          </w:tcPr>
          <w:p w14:paraId="3446CD85" w14:textId="77777777"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260,000</w:t>
            </w:r>
          </w:p>
        </w:tc>
        <w:tc>
          <w:tcPr>
            <w:tcW w:w="576" w:type="pct"/>
            <w:tcBorders>
              <w:top w:val="single" w:sz="4" w:space="0" w:color="293F5B"/>
              <w:left w:val="nil"/>
              <w:bottom w:val="single" w:sz="4" w:space="0" w:color="293F5B"/>
              <w:right w:val="nil"/>
            </w:tcBorders>
            <w:shd w:val="clear" w:color="auto" w:fill="auto"/>
            <w:noWrap/>
            <w:vAlign w:val="bottom"/>
            <w:hideMark/>
          </w:tcPr>
          <w:p w14:paraId="1B474607" w14:textId="77777777"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255,000</w:t>
            </w:r>
          </w:p>
        </w:tc>
        <w:tc>
          <w:tcPr>
            <w:tcW w:w="576" w:type="pct"/>
            <w:tcBorders>
              <w:top w:val="single" w:sz="4" w:space="0" w:color="293F5B"/>
              <w:left w:val="nil"/>
              <w:bottom w:val="single" w:sz="4" w:space="0" w:color="293F5B"/>
              <w:right w:val="nil"/>
            </w:tcBorders>
            <w:shd w:val="clear" w:color="auto" w:fill="auto"/>
            <w:noWrap/>
            <w:vAlign w:val="bottom"/>
            <w:hideMark/>
          </w:tcPr>
          <w:p w14:paraId="185644CD" w14:textId="77777777"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235,000</w:t>
            </w:r>
          </w:p>
        </w:tc>
        <w:tc>
          <w:tcPr>
            <w:tcW w:w="576" w:type="pct"/>
            <w:tcBorders>
              <w:top w:val="single" w:sz="4" w:space="0" w:color="293F5B"/>
              <w:left w:val="nil"/>
              <w:bottom w:val="single" w:sz="4" w:space="0" w:color="293F5B"/>
              <w:right w:val="nil"/>
            </w:tcBorders>
            <w:shd w:val="clear" w:color="auto" w:fill="auto"/>
            <w:noWrap/>
            <w:vAlign w:val="bottom"/>
            <w:hideMark/>
          </w:tcPr>
          <w:p w14:paraId="409A202C" w14:textId="77777777" w:rsidR="002C18F6" w:rsidRPr="009355BF" w:rsidRDefault="002C18F6" w:rsidP="002C18F6">
            <w:pPr>
              <w:spacing w:before="0" w:after="0" w:line="240" w:lineRule="auto"/>
              <w:jc w:val="right"/>
              <w:rPr>
                <w:rFonts w:ascii="Arial" w:hAnsi="Arial" w:cs="Arial"/>
                <w:sz w:val="16"/>
                <w:szCs w:val="16"/>
              </w:rPr>
            </w:pPr>
            <w:r w:rsidRPr="009355BF">
              <w:rPr>
                <w:rFonts w:ascii="Arial" w:hAnsi="Arial" w:cs="Arial"/>
                <w:sz w:val="16"/>
                <w:szCs w:val="16"/>
              </w:rPr>
              <w:t>235,000</w:t>
            </w:r>
          </w:p>
        </w:tc>
      </w:tr>
    </w:tbl>
    <w:p w14:paraId="5A5F6C29" w14:textId="3045690A" w:rsidR="002C18F6" w:rsidRPr="009355BF" w:rsidRDefault="002C18F6" w:rsidP="006258D8">
      <w:pPr>
        <w:pStyle w:val="ChartandTableFootnoteAlpha"/>
        <w:numPr>
          <w:ilvl w:val="0"/>
          <w:numId w:val="27"/>
        </w:numPr>
        <w:rPr>
          <w:rFonts w:eastAsiaTheme="minorHAnsi"/>
        </w:rPr>
      </w:pPr>
      <w:r w:rsidRPr="009355BF">
        <w:t>Outcome for 2022–23, from ABS National, state and territory population, September 2023.</w:t>
      </w:r>
    </w:p>
    <w:p w14:paraId="2D955196" w14:textId="77777777" w:rsidR="00E6789E" w:rsidRPr="009355BF" w:rsidRDefault="00E6789E" w:rsidP="002C18F6">
      <w:pPr>
        <w:pStyle w:val="TableLine"/>
        <w:rPr>
          <w:rFonts w:eastAsiaTheme="minorHAnsi"/>
        </w:rPr>
      </w:pPr>
    </w:p>
    <w:p w14:paraId="5467B172" w14:textId="77777777" w:rsidR="00E6789E" w:rsidRPr="009355BF" w:rsidRDefault="00E6789E" w:rsidP="00E6789E">
      <w:pPr>
        <w:pStyle w:val="Heading4"/>
      </w:pPr>
      <w:r w:rsidRPr="009355BF">
        <w:t>Interstate migration</w:t>
      </w:r>
    </w:p>
    <w:p w14:paraId="290F46F8" w14:textId="2DC0EDF7" w:rsidR="00E6789E" w:rsidRPr="009355BF" w:rsidRDefault="00943FCB" w:rsidP="00E6789E">
      <w:pPr>
        <w:keepLines/>
      </w:pPr>
      <w:r w:rsidRPr="009355BF">
        <w:t>The Centre produces assumptions</w:t>
      </w:r>
      <w:r w:rsidR="00E6789E" w:rsidRPr="009355BF">
        <w:t xml:space="preserve"> about future net interstate migration (Table</w:t>
      </w:r>
      <w:r w:rsidR="008F233B" w:rsidRPr="009355BF">
        <w:t> </w:t>
      </w:r>
      <w:r w:rsidR="00E6789E" w:rsidRPr="009355BF">
        <w:t xml:space="preserve">A.6). Assumptions are modelled using historical interstate movements data supplied by the Australian Bureau of Statistics. They are also informed by recent population revisions to account for data from the 2021 Census. </w:t>
      </w:r>
    </w:p>
    <w:p w14:paraId="79A44582" w14:textId="77777777" w:rsidR="00AE59A4" w:rsidRPr="009355BF" w:rsidRDefault="00AE59A4" w:rsidP="001B7B2E">
      <w:r w:rsidRPr="009355BF">
        <w:br w:type="page"/>
      </w:r>
    </w:p>
    <w:p w14:paraId="04392895" w14:textId="2D5BA7E9" w:rsidR="00FE673C" w:rsidRPr="009355BF" w:rsidRDefault="00E6789E" w:rsidP="00E6789E">
      <w:pPr>
        <w:pStyle w:val="TableHeading"/>
        <w:rPr>
          <w:rFonts w:asciiTheme="minorHAnsi" w:eastAsiaTheme="minorHAnsi" w:hAnsiTheme="minorHAnsi" w:cstheme="minorBidi"/>
          <w:b w:val="0"/>
          <w:sz w:val="22"/>
          <w:szCs w:val="22"/>
          <w:lang w:eastAsia="en-US"/>
        </w:rPr>
      </w:pPr>
      <w:r w:rsidRPr="009355BF">
        <w:lastRenderedPageBreak/>
        <w:t>Table A.6: Net interstate migration by state, for years ending 30 Jun</w:t>
      </w:r>
      <w:r w:rsidR="00FE673C" w:rsidRPr="009355BF">
        <w:t>e</w:t>
      </w:r>
    </w:p>
    <w:tbl>
      <w:tblPr>
        <w:tblW w:w="5000" w:type="pct"/>
        <w:tblCellMar>
          <w:left w:w="0" w:type="dxa"/>
          <w:right w:w="28" w:type="dxa"/>
        </w:tblCellMar>
        <w:tblLook w:val="04A0" w:firstRow="1" w:lastRow="0" w:firstColumn="1" w:lastColumn="0" w:noHBand="0" w:noVBand="1"/>
      </w:tblPr>
      <w:tblGrid>
        <w:gridCol w:w="1017"/>
        <w:gridCol w:w="838"/>
        <w:gridCol w:w="837"/>
        <w:gridCol w:w="837"/>
        <w:gridCol w:w="837"/>
        <w:gridCol w:w="837"/>
        <w:gridCol w:w="837"/>
        <w:gridCol w:w="837"/>
        <w:gridCol w:w="833"/>
      </w:tblGrid>
      <w:tr w:rsidR="00FE673C" w:rsidRPr="009355BF" w14:paraId="43A75BDC" w14:textId="77777777" w:rsidTr="00A91515">
        <w:trPr>
          <w:trHeight w:hRule="exact" w:val="225"/>
        </w:trPr>
        <w:tc>
          <w:tcPr>
            <w:tcW w:w="659" w:type="pct"/>
            <w:tcBorders>
              <w:top w:val="single" w:sz="4" w:space="0" w:color="293F5B"/>
              <w:left w:val="nil"/>
              <w:bottom w:val="nil"/>
              <w:right w:val="nil"/>
            </w:tcBorders>
            <w:shd w:val="clear" w:color="auto" w:fill="auto"/>
            <w:noWrap/>
            <w:vAlign w:val="bottom"/>
            <w:hideMark/>
          </w:tcPr>
          <w:p w14:paraId="1A6F7724" w14:textId="22F0A00F" w:rsidR="00FE673C" w:rsidRPr="009355BF" w:rsidRDefault="00FE673C" w:rsidP="00FE673C">
            <w:pPr>
              <w:spacing w:before="0" w:after="0" w:line="240" w:lineRule="auto"/>
              <w:rPr>
                <w:rFonts w:ascii="Arial" w:hAnsi="Arial" w:cs="Arial"/>
                <w:sz w:val="16"/>
                <w:szCs w:val="16"/>
              </w:rPr>
            </w:pPr>
            <w:r w:rsidRPr="009355BF">
              <w:rPr>
                <w:rFonts w:ascii="Arial" w:hAnsi="Arial" w:cs="Arial"/>
                <w:sz w:val="16"/>
                <w:szCs w:val="16"/>
              </w:rPr>
              <w:t> </w:t>
            </w:r>
          </w:p>
        </w:tc>
        <w:tc>
          <w:tcPr>
            <w:tcW w:w="543" w:type="pct"/>
            <w:tcBorders>
              <w:top w:val="single" w:sz="4" w:space="0" w:color="293F5B"/>
              <w:left w:val="nil"/>
              <w:bottom w:val="nil"/>
              <w:right w:val="nil"/>
            </w:tcBorders>
            <w:shd w:val="clear" w:color="auto" w:fill="auto"/>
            <w:noWrap/>
            <w:vAlign w:val="center"/>
            <w:hideMark/>
          </w:tcPr>
          <w:p w14:paraId="413A708D"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NSW</w:t>
            </w:r>
          </w:p>
        </w:tc>
        <w:tc>
          <w:tcPr>
            <w:tcW w:w="543" w:type="pct"/>
            <w:tcBorders>
              <w:top w:val="single" w:sz="4" w:space="0" w:color="293F5B"/>
              <w:left w:val="nil"/>
              <w:bottom w:val="nil"/>
              <w:right w:val="nil"/>
            </w:tcBorders>
            <w:shd w:val="clear" w:color="auto" w:fill="auto"/>
            <w:noWrap/>
            <w:vAlign w:val="center"/>
            <w:hideMark/>
          </w:tcPr>
          <w:p w14:paraId="79FCAE35"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VIC</w:t>
            </w:r>
          </w:p>
        </w:tc>
        <w:tc>
          <w:tcPr>
            <w:tcW w:w="543" w:type="pct"/>
            <w:tcBorders>
              <w:top w:val="single" w:sz="4" w:space="0" w:color="293F5B"/>
              <w:left w:val="nil"/>
              <w:bottom w:val="nil"/>
              <w:right w:val="nil"/>
            </w:tcBorders>
            <w:shd w:val="clear" w:color="auto" w:fill="auto"/>
            <w:noWrap/>
            <w:vAlign w:val="center"/>
            <w:hideMark/>
          </w:tcPr>
          <w:p w14:paraId="6DB4110D"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QLD</w:t>
            </w:r>
          </w:p>
        </w:tc>
        <w:tc>
          <w:tcPr>
            <w:tcW w:w="543" w:type="pct"/>
            <w:tcBorders>
              <w:top w:val="single" w:sz="4" w:space="0" w:color="293F5B"/>
              <w:left w:val="nil"/>
              <w:bottom w:val="nil"/>
              <w:right w:val="nil"/>
            </w:tcBorders>
            <w:shd w:val="clear" w:color="auto" w:fill="auto"/>
            <w:noWrap/>
            <w:vAlign w:val="center"/>
            <w:hideMark/>
          </w:tcPr>
          <w:p w14:paraId="2FFF0BD8"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WA</w:t>
            </w:r>
          </w:p>
        </w:tc>
        <w:tc>
          <w:tcPr>
            <w:tcW w:w="543" w:type="pct"/>
            <w:tcBorders>
              <w:top w:val="single" w:sz="4" w:space="0" w:color="293F5B"/>
              <w:left w:val="nil"/>
              <w:bottom w:val="nil"/>
              <w:right w:val="nil"/>
            </w:tcBorders>
            <w:shd w:val="clear" w:color="auto" w:fill="auto"/>
            <w:noWrap/>
            <w:vAlign w:val="center"/>
            <w:hideMark/>
          </w:tcPr>
          <w:p w14:paraId="66763B80"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SA</w:t>
            </w:r>
          </w:p>
        </w:tc>
        <w:tc>
          <w:tcPr>
            <w:tcW w:w="543" w:type="pct"/>
            <w:tcBorders>
              <w:top w:val="single" w:sz="4" w:space="0" w:color="293F5B"/>
              <w:left w:val="nil"/>
              <w:bottom w:val="nil"/>
              <w:right w:val="nil"/>
            </w:tcBorders>
            <w:shd w:val="clear" w:color="auto" w:fill="auto"/>
            <w:noWrap/>
            <w:vAlign w:val="center"/>
            <w:hideMark/>
          </w:tcPr>
          <w:p w14:paraId="60D59C21"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TAS</w:t>
            </w:r>
          </w:p>
        </w:tc>
        <w:tc>
          <w:tcPr>
            <w:tcW w:w="543" w:type="pct"/>
            <w:tcBorders>
              <w:top w:val="single" w:sz="4" w:space="0" w:color="293F5B"/>
              <w:left w:val="nil"/>
              <w:bottom w:val="nil"/>
              <w:right w:val="nil"/>
            </w:tcBorders>
            <w:shd w:val="clear" w:color="auto" w:fill="auto"/>
            <w:noWrap/>
            <w:vAlign w:val="center"/>
            <w:hideMark/>
          </w:tcPr>
          <w:p w14:paraId="7DD376C6"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ACT</w:t>
            </w:r>
          </w:p>
        </w:tc>
        <w:tc>
          <w:tcPr>
            <w:tcW w:w="541" w:type="pct"/>
            <w:tcBorders>
              <w:top w:val="single" w:sz="4" w:space="0" w:color="293F5B"/>
              <w:left w:val="nil"/>
              <w:bottom w:val="nil"/>
              <w:right w:val="nil"/>
            </w:tcBorders>
            <w:shd w:val="clear" w:color="auto" w:fill="auto"/>
            <w:noWrap/>
            <w:vAlign w:val="center"/>
            <w:hideMark/>
          </w:tcPr>
          <w:p w14:paraId="34809380"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NT</w:t>
            </w:r>
          </w:p>
        </w:tc>
      </w:tr>
      <w:tr w:rsidR="00FE673C" w:rsidRPr="009355BF" w14:paraId="3E2DD1B9" w14:textId="77777777" w:rsidTr="00A91515">
        <w:trPr>
          <w:trHeight w:hRule="exact" w:val="225"/>
        </w:trPr>
        <w:tc>
          <w:tcPr>
            <w:tcW w:w="659" w:type="pct"/>
            <w:tcBorders>
              <w:top w:val="nil"/>
              <w:left w:val="nil"/>
              <w:bottom w:val="nil"/>
              <w:right w:val="nil"/>
            </w:tcBorders>
            <w:shd w:val="clear" w:color="auto" w:fill="auto"/>
            <w:noWrap/>
            <w:vAlign w:val="bottom"/>
            <w:hideMark/>
          </w:tcPr>
          <w:p w14:paraId="067BCFE8" w14:textId="5E141CF8" w:rsidR="00FE673C" w:rsidRPr="009355BF" w:rsidRDefault="00FE673C" w:rsidP="00FE673C">
            <w:pPr>
              <w:spacing w:before="0" w:after="0" w:line="240" w:lineRule="auto"/>
              <w:rPr>
                <w:rFonts w:ascii="Arial" w:hAnsi="Arial" w:cs="Arial"/>
                <w:sz w:val="16"/>
                <w:szCs w:val="16"/>
              </w:rPr>
            </w:pPr>
            <w:r w:rsidRPr="009355BF">
              <w:rPr>
                <w:rFonts w:ascii="Arial" w:hAnsi="Arial" w:cs="Arial"/>
                <w:sz w:val="16"/>
                <w:szCs w:val="16"/>
              </w:rPr>
              <w:t>2022</w:t>
            </w:r>
            <w:r w:rsidR="00D16A11" w:rsidRPr="009355BF">
              <w:rPr>
                <w:rFonts w:ascii="Arial" w:hAnsi="Arial" w:cs="Arial"/>
                <w:sz w:val="18"/>
                <w:szCs w:val="18"/>
              </w:rPr>
              <w:noBreakHyphen/>
            </w:r>
            <w:r w:rsidRPr="009355BF">
              <w:rPr>
                <w:rFonts w:ascii="Arial" w:hAnsi="Arial" w:cs="Arial"/>
                <w:sz w:val="16"/>
                <w:szCs w:val="16"/>
              </w:rPr>
              <w:t>23(a)</w:t>
            </w:r>
          </w:p>
        </w:tc>
        <w:tc>
          <w:tcPr>
            <w:tcW w:w="543" w:type="pct"/>
            <w:tcBorders>
              <w:top w:val="single" w:sz="4" w:space="0" w:color="293F5B"/>
              <w:left w:val="nil"/>
              <w:bottom w:val="nil"/>
              <w:right w:val="nil"/>
            </w:tcBorders>
            <w:shd w:val="clear" w:color="auto" w:fill="auto"/>
            <w:noWrap/>
            <w:vAlign w:val="bottom"/>
            <w:hideMark/>
          </w:tcPr>
          <w:p w14:paraId="56E3A79C" w14:textId="07A4C310"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34,200</w:t>
            </w:r>
          </w:p>
        </w:tc>
        <w:tc>
          <w:tcPr>
            <w:tcW w:w="543" w:type="pct"/>
            <w:tcBorders>
              <w:top w:val="single" w:sz="4" w:space="0" w:color="293F5B"/>
              <w:left w:val="nil"/>
              <w:bottom w:val="nil"/>
              <w:right w:val="nil"/>
            </w:tcBorders>
            <w:shd w:val="clear" w:color="auto" w:fill="auto"/>
            <w:noWrap/>
            <w:vAlign w:val="bottom"/>
            <w:hideMark/>
          </w:tcPr>
          <w:p w14:paraId="76A1EB94" w14:textId="4F281259"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1,900</w:t>
            </w:r>
          </w:p>
        </w:tc>
        <w:tc>
          <w:tcPr>
            <w:tcW w:w="543" w:type="pct"/>
            <w:tcBorders>
              <w:top w:val="single" w:sz="4" w:space="0" w:color="293F5B"/>
              <w:left w:val="nil"/>
              <w:bottom w:val="nil"/>
              <w:right w:val="nil"/>
            </w:tcBorders>
            <w:shd w:val="clear" w:color="auto" w:fill="auto"/>
            <w:noWrap/>
            <w:vAlign w:val="bottom"/>
            <w:hideMark/>
          </w:tcPr>
          <w:p w14:paraId="3CD779C9"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32,300</w:t>
            </w:r>
          </w:p>
        </w:tc>
        <w:tc>
          <w:tcPr>
            <w:tcW w:w="543" w:type="pct"/>
            <w:tcBorders>
              <w:top w:val="single" w:sz="4" w:space="0" w:color="293F5B"/>
              <w:left w:val="nil"/>
              <w:bottom w:val="nil"/>
              <w:right w:val="nil"/>
            </w:tcBorders>
            <w:shd w:val="clear" w:color="auto" w:fill="auto"/>
            <w:noWrap/>
            <w:vAlign w:val="bottom"/>
            <w:hideMark/>
          </w:tcPr>
          <w:p w14:paraId="3167F8F3"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11,600</w:t>
            </w:r>
          </w:p>
        </w:tc>
        <w:tc>
          <w:tcPr>
            <w:tcW w:w="543" w:type="pct"/>
            <w:tcBorders>
              <w:top w:val="single" w:sz="4" w:space="0" w:color="293F5B"/>
              <w:left w:val="nil"/>
              <w:bottom w:val="nil"/>
              <w:right w:val="nil"/>
            </w:tcBorders>
            <w:shd w:val="clear" w:color="auto" w:fill="auto"/>
            <w:noWrap/>
            <w:vAlign w:val="bottom"/>
            <w:hideMark/>
          </w:tcPr>
          <w:p w14:paraId="7CC64F73" w14:textId="7F7FC6C6"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400</w:t>
            </w:r>
          </w:p>
        </w:tc>
        <w:tc>
          <w:tcPr>
            <w:tcW w:w="543" w:type="pct"/>
            <w:tcBorders>
              <w:top w:val="single" w:sz="4" w:space="0" w:color="293F5B"/>
              <w:left w:val="nil"/>
              <w:bottom w:val="nil"/>
              <w:right w:val="nil"/>
            </w:tcBorders>
            <w:shd w:val="clear" w:color="auto" w:fill="auto"/>
            <w:noWrap/>
            <w:vAlign w:val="bottom"/>
            <w:hideMark/>
          </w:tcPr>
          <w:p w14:paraId="5EE2F26D" w14:textId="7AE84D18"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2,600</w:t>
            </w:r>
          </w:p>
        </w:tc>
        <w:tc>
          <w:tcPr>
            <w:tcW w:w="543" w:type="pct"/>
            <w:tcBorders>
              <w:top w:val="single" w:sz="4" w:space="0" w:color="293F5B"/>
              <w:left w:val="nil"/>
              <w:bottom w:val="nil"/>
              <w:right w:val="nil"/>
            </w:tcBorders>
            <w:shd w:val="clear" w:color="auto" w:fill="auto"/>
            <w:noWrap/>
            <w:vAlign w:val="bottom"/>
            <w:hideMark/>
          </w:tcPr>
          <w:p w14:paraId="437B1EFB" w14:textId="59588FD3"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1,600</w:t>
            </w:r>
          </w:p>
        </w:tc>
        <w:tc>
          <w:tcPr>
            <w:tcW w:w="541" w:type="pct"/>
            <w:tcBorders>
              <w:top w:val="single" w:sz="4" w:space="0" w:color="293F5B"/>
              <w:left w:val="nil"/>
              <w:bottom w:val="nil"/>
              <w:right w:val="nil"/>
            </w:tcBorders>
            <w:shd w:val="clear" w:color="auto" w:fill="auto"/>
            <w:noWrap/>
            <w:vAlign w:val="bottom"/>
            <w:hideMark/>
          </w:tcPr>
          <w:p w14:paraId="656065CA" w14:textId="4F409AC7"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3,300</w:t>
            </w:r>
          </w:p>
        </w:tc>
      </w:tr>
      <w:tr w:rsidR="00FE673C" w:rsidRPr="009355BF" w14:paraId="15FE6E44" w14:textId="77777777" w:rsidTr="00A91515">
        <w:trPr>
          <w:trHeight w:hRule="exact" w:val="225"/>
        </w:trPr>
        <w:tc>
          <w:tcPr>
            <w:tcW w:w="659" w:type="pct"/>
            <w:tcBorders>
              <w:top w:val="nil"/>
              <w:left w:val="nil"/>
              <w:bottom w:val="nil"/>
              <w:right w:val="nil"/>
            </w:tcBorders>
            <w:shd w:val="clear" w:color="auto" w:fill="auto"/>
            <w:noWrap/>
            <w:vAlign w:val="bottom"/>
            <w:hideMark/>
          </w:tcPr>
          <w:p w14:paraId="7ED369CA" w14:textId="226B1A2B" w:rsidR="00FE673C" w:rsidRPr="009355BF" w:rsidRDefault="00FE673C" w:rsidP="00FE673C">
            <w:pPr>
              <w:spacing w:before="0" w:after="0" w:line="240" w:lineRule="auto"/>
              <w:rPr>
                <w:rFonts w:ascii="Arial" w:hAnsi="Arial" w:cs="Arial"/>
                <w:sz w:val="16"/>
                <w:szCs w:val="16"/>
              </w:rPr>
            </w:pPr>
            <w:r w:rsidRPr="009355BF">
              <w:rPr>
                <w:rFonts w:ascii="Arial" w:hAnsi="Arial" w:cs="Arial"/>
                <w:sz w:val="16"/>
                <w:szCs w:val="16"/>
              </w:rPr>
              <w:t>2023</w:t>
            </w:r>
            <w:r w:rsidR="00D16A11" w:rsidRPr="009355BF">
              <w:rPr>
                <w:rFonts w:ascii="Arial" w:hAnsi="Arial" w:cs="Arial"/>
                <w:sz w:val="16"/>
                <w:szCs w:val="16"/>
              </w:rPr>
              <w:noBreakHyphen/>
            </w:r>
            <w:r w:rsidRPr="009355BF">
              <w:rPr>
                <w:rFonts w:ascii="Arial" w:hAnsi="Arial" w:cs="Arial"/>
                <w:sz w:val="16"/>
                <w:szCs w:val="16"/>
              </w:rPr>
              <w:t>24</w:t>
            </w:r>
          </w:p>
        </w:tc>
        <w:tc>
          <w:tcPr>
            <w:tcW w:w="543" w:type="pct"/>
            <w:tcBorders>
              <w:top w:val="nil"/>
              <w:left w:val="nil"/>
              <w:bottom w:val="nil"/>
              <w:right w:val="nil"/>
            </w:tcBorders>
            <w:shd w:val="clear" w:color="auto" w:fill="auto"/>
            <w:noWrap/>
            <w:vAlign w:val="bottom"/>
            <w:hideMark/>
          </w:tcPr>
          <w:p w14:paraId="0F8E6472" w14:textId="4B9AB467"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28,200</w:t>
            </w:r>
          </w:p>
        </w:tc>
        <w:tc>
          <w:tcPr>
            <w:tcW w:w="543" w:type="pct"/>
            <w:tcBorders>
              <w:top w:val="nil"/>
              <w:left w:val="nil"/>
              <w:bottom w:val="nil"/>
              <w:right w:val="nil"/>
            </w:tcBorders>
            <w:shd w:val="clear" w:color="auto" w:fill="auto"/>
            <w:noWrap/>
            <w:vAlign w:val="bottom"/>
            <w:hideMark/>
          </w:tcPr>
          <w:p w14:paraId="64B018D7"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1,500</w:t>
            </w:r>
          </w:p>
        </w:tc>
        <w:tc>
          <w:tcPr>
            <w:tcW w:w="543" w:type="pct"/>
            <w:tcBorders>
              <w:top w:val="nil"/>
              <w:left w:val="nil"/>
              <w:bottom w:val="nil"/>
              <w:right w:val="nil"/>
            </w:tcBorders>
            <w:shd w:val="clear" w:color="auto" w:fill="auto"/>
            <w:noWrap/>
            <w:vAlign w:val="bottom"/>
            <w:hideMark/>
          </w:tcPr>
          <w:p w14:paraId="52B5EF7C"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28,500</w:t>
            </w:r>
          </w:p>
        </w:tc>
        <w:tc>
          <w:tcPr>
            <w:tcW w:w="543" w:type="pct"/>
            <w:tcBorders>
              <w:top w:val="nil"/>
              <w:left w:val="nil"/>
              <w:bottom w:val="nil"/>
              <w:right w:val="nil"/>
            </w:tcBorders>
            <w:shd w:val="clear" w:color="auto" w:fill="auto"/>
            <w:noWrap/>
            <w:vAlign w:val="bottom"/>
            <w:hideMark/>
          </w:tcPr>
          <w:p w14:paraId="28B139CC"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7,000</w:t>
            </w:r>
          </w:p>
        </w:tc>
        <w:tc>
          <w:tcPr>
            <w:tcW w:w="543" w:type="pct"/>
            <w:tcBorders>
              <w:top w:val="nil"/>
              <w:left w:val="nil"/>
              <w:bottom w:val="nil"/>
              <w:right w:val="nil"/>
            </w:tcBorders>
            <w:shd w:val="clear" w:color="auto" w:fill="auto"/>
            <w:noWrap/>
            <w:vAlign w:val="bottom"/>
            <w:hideMark/>
          </w:tcPr>
          <w:p w14:paraId="3203011B" w14:textId="069FE4E1"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2,000</w:t>
            </w:r>
          </w:p>
        </w:tc>
        <w:tc>
          <w:tcPr>
            <w:tcW w:w="543" w:type="pct"/>
            <w:tcBorders>
              <w:top w:val="nil"/>
              <w:left w:val="nil"/>
              <w:bottom w:val="nil"/>
              <w:right w:val="nil"/>
            </w:tcBorders>
            <w:shd w:val="clear" w:color="auto" w:fill="auto"/>
            <w:noWrap/>
            <w:vAlign w:val="bottom"/>
            <w:hideMark/>
          </w:tcPr>
          <w:p w14:paraId="384E32EA" w14:textId="3A500B8A"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2,200</w:t>
            </w:r>
          </w:p>
        </w:tc>
        <w:tc>
          <w:tcPr>
            <w:tcW w:w="543" w:type="pct"/>
            <w:tcBorders>
              <w:top w:val="nil"/>
              <w:left w:val="nil"/>
              <w:bottom w:val="nil"/>
              <w:right w:val="nil"/>
            </w:tcBorders>
            <w:shd w:val="clear" w:color="auto" w:fill="auto"/>
            <w:noWrap/>
            <w:vAlign w:val="bottom"/>
            <w:hideMark/>
          </w:tcPr>
          <w:p w14:paraId="2B040723" w14:textId="06D7AAD5"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1,300</w:t>
            </w:r>
          </w:p>
        </w:tc>
        <w:tc>
          <w:tcPr>
            <w:tcW w:w="541" w:type="pct"/>
            <w:tcBorders>
              <w:top w:val="nil"/>
              <w:left w:val="nil"/>
              <w:bottom w:val="nil"/>
              <w:right w:val="nil"/>
            </w:tcBorders>
            <w:shd w:val="clear" w:color="auto" w:fill="auto"/>
            <w:noWrap/>
            <w:vAlign w:val="bottom"/>
            <w:hideMark/>
          </w:tcPr>
          <w:p w14:paraId="5492922B" w14:textId="05493EC8"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3,200</w:t>
            </w:r>
          </w:p>
        </w:tc>
      </w:tr>
      <w:tr w:rsidR="00FE673C" w:rsidRPr="009355BF" w14:paraId="1B2846A4" w14:textId="77777777" w:rsidTr="00A91515">
        <w:trPr>
          <w:trHeight w:hRule="exact" w:val="225"/>
        </w:trPr>
        <w:tc>
          <w:tcPr>
            <w:tcW w:w="659" w:type="pct"/>
            <w:tcBorders>
              <w:top w:val="nil"/>
              <w:left w:val="nil"/>
              <w:bottom w:val="nil"/>
              <w:right w:val="nil"/>
            </w:tcBorders>
            <w:shd w:val="clear" w:color="000000" w:fill="E6F2FF"/>
            <w:noWrap/>
            <w:vAlign w:val="bottom"/>
            <w:hideMark/>
          </w:tcPr>
          <w:p w14:paraId="5CD8D6BB" w14:textId="49A17CB0" w:rsidR="00FE673C" w:rsidRPr="009355BF" w:rsidRDefault="00FE673C" w:rsidP="00FE673C">
            <w:pPr>
              <w:spacing w:before="0" w:after="0" w:line="240" w:lineRule="auto"/>
              <w:rPr>
                <w:rFonts w:ascii="Arial" w:hAnsi="Arial" w:cs="Arial"/>
                <w:sz w:val="16"/>
                <w:szCs w:val="16"/>
              </w:rPr>
            </w:pPr>
            <w:r w:rsidRPr="009355BF">
              <w:rPr>
                <w:rFonts w:ascii="Arial" w:hAnsi="Arial" w:cs="Arial"/>
                <w:sz w:val="16"/>
                <w:szCs w:val="16"/>
              </w:rPr>
              <w:t>2024</w:t>
            </w:r>
            <w:r w:rsidR="00D16A11" w:rsidRPr="009355BF">
              <w:rPr>
                <w:rFonts w:ascii="Arial" w:hAnsi="Arial" w:cs="Arial"/>
                <w:sz w:val="16"/>
                <w:szCs w:val="16"/>
              </w:rPr>
              <w:noBreakHyphen/>
            </w:r>
            <w:r w:rsidRPr="009355BF">
              <w:rPr>
                <w:rFonts w:ascii="Arial" w:hAnsi="Arial" w:cs="Arial"/>
                <w:sz w:val="16"/>
                <w:szCs w:val="16"/>
              </w:rPr>
              <w:t>25</w:t>
            </w:r>
          </w:p>
        </w:tc>
        <w:tc>
          <w:tcPr>
            <w:tcW w:w="543" w:type="pct"/>
            <w:tcBorders>
              <w:top w:val="nil"/>
              <w:left w:val="nil"/>
              <w:bottom w:val="nil"/>
              <w:right w:val="nil"/>
            </w:tcBorders>
            <w:shd w:val="clear" w:color="000000" w:fill="E6F2FF"/>
            <w:noWrap/>
            <w:vAlign w:val="bottom"/>
            <w:hideMark/>
          </w:tcPr>
          <w:p w14:paraId="05B2AE56" w14:textId="5847C8AD"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23,100</w:t>
            </w:r>
          </w:p>
        </w:tc>
        <w:tc>
          <w:tcPr>
            <w:tcW w:w="543" w:type="pct"/>
            <w:tcBorders>
              <w:top w:val="nil"/>
              <w:left w:val="nil"/>
              <w:bottom w:val="nil"/>
              <w:right w:val="nil"/>
            </w:tcBorders>
            <w:shd w:val="clear" w:color="000000" w:fill="E6F2FF"/>
            <w:noWrap/>
            <w:vAlign w:val="bottom"/>
            <w:hideMark/>
          </w:tcPr>
          <w:p w14:paraId="32D6CA06"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3,100</w:t>
            </w:r>
          </w:p>
        </w:tc>
        <w:tc>
          <w:tcPr>
            <w:tcW w:w="543" w:type="pct"/>
            <w:tcBorders>
              <w:top w:val="nil"/>
              <w:left w:val="nil"/>
              <w:bottom w:val="nil"/>
              <w:right w:val="nil"/>
            </w:tcBorders>
            <w:shd w:val="clear" w:color="000000" w:fill="E6F2FF"/>
            <w:noWrap/>
            <w:vAlign w:val="bottom"/>
            <w:hideMark/>
          </w:tcPr>
          <w:p w14:paraId="7511052B"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23,000</w:t>
            </w:r>
          </w:p>
        </w:tc>
        <w:tc>
          <w:tcPr>
            <w:tcW w:w="543" w:type="pct"/>
            <w:tcBorders>
              <w:top w:val="nil"/>
              <w:left w:val="nil"/>
              <w:bottom w:val="nil"/>
              <w:right w:val="nil"/>
            </w:tcBorders>
            <w:shd w:val="clear" w:color="000000" w:fill="E6F2FF"/>
            <w:noWrap/>
            <w:vAlign w:val="bottom"/>
            <w:hideMark/>
          </w:tcPr>
          <w:p w14:paraId="29003D48"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3,000</w:t>
            </w:r>
          </w:p>
        </w:tc>
        <w:tc>
          <w:tcPr>
            <w:tcW w:w="543" w:type="pct"/>
            <w:tcBorders>
              <w:top w:val="nil"/>
              <w:left w:val="nil"/>
              <w:bottom w:val="nil"/>
              <w:right w:val="nil"/>
            </w:tcBorders>
            <w:shd w:val="clear" w:color="000000" w:fill="E6F2FF"/>
            <w:noWrap/>
            <w:vAlign w:val="bottom"/>
            <w:hideMark/>
          </w:tcPr>
          <w:p w14:paraId="093BB3F9" w14:textId="4525D3C0"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2,900</w:t>
            </w:r>
          </w:p>
        </w:tc>
        <w:tc>
          <w:tcPr>
            <w:tcW w:w="543" w:type="pct"/>
            <w:tcBorders>
              <w:top w:val="nil"/>
              <w:left w:val="nil"/>
              <w:bottom w:val="nil"/>
              <w:right w:val="nil"/>
            </w:tcBorders>
            <w:shd w:val="clear" w:color="000000" w:fill="E6F2FF"/>
            <w:noWrap/>
            <w:vAlign w:val="bottom"/>
            <w:hideMark/>
          </w:tcPr>
          <w:p w14:paraId="52740F81" w14:textId="4AD48659"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700</w:t>
            </w:r>
          </w:p>
        </w:tc>
        <w:tc>
          <w:tcPr>
            <w:tcW w:w="543" w:type="pct"/>
            <w:tcBorders>
              <w:top w:val="nil"/>
              <w:left w:val="nil"/>
              <w:bottom w:val="nil"/>
              <w:right w:val="nil"/>
            </w:tcBorders>
            <w:shd w:val="clear" w:color="000000" w:fill="E6F2FF"/>
            <w:noWrap/>
            <w:vAlign w:val="bottom"/>
            <w:hideMark/>
          </w:tcPr>
          <w:p w14:paraId="49839C9B" w14:textId="777C7B6C"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300</w:t>
            </w:r>
          </w:p>
        </w:tc>
        <w:tc>
          <w:tcPr>
            <w:tcW w:w="541" w:type="pct"/>
            <w:tcBorders>
              <w:top w:val="nil"/>
              <w:left w:val="nil"/>
              <w:bottom w:val="nil"/>
              <w:right w:val="nil"/>
            </w:tcBorders>
            <w:shd w:val="clear" w:color="000000" w:fill="E6F2FF"/>
            <w:noWrap/>
            <w:vAlign w:val="bottom"/>
            <w:hideMark/>
          </w:tcPr>
          <w:p w14:paraId="591BD0DB" w14:textId="44E17028"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2,100</w:t>
            </w:r>
          </w:p>
        </w:tc>
      </w:tr>
      <w:tr w:rsidR="00FE673C" w:rsidRPr="009355BF" w14:paraId="3307D355" w14:textId="77777777" w:rsidTr="00A91515">
        <w:trPr>
          <w:trHeight w:hRule="exact" w:val="225"/>
        </w:trPr>
        <w:tc>
          <w:tcPr>
            <w:tcW w:w="659" w:type="pct"/>
            <w:tcBorders>
              <w:top w:val="nil"/>
              <w:left w:val="nil"/>
              <w:bottom w:val="nil"/>
              <w:right w:val="nil"/>
            </w:tcBorders>
            <w:shd w:val="clear" w:color="auto" w:fill="auto"/>
            <w:noWrap/>
            <w:vAlign w:val="bottom"/>
            <w:hideMark/>
          </w:tcPr>
          <w:p w14:paraId="732AB653" w14:textId="53B9DEE7" w:rsidR="00FE673C" w:rsidRPr="009355BF" w:rsidRDefault="00FE673C" w:rsidP="00FE673C">
            <w:pPr>
              <w:spacing w:before="0" w:after="0" w:line="240" w:lineRule="auto"/>
              <w:rPr>
                <w:rFonts w:ascii="Arial" w:hAnsi="Arial" w:cs="Arial"/>
                <w:sz w:val="16"/>
                <w:szCs w:val="16"/>
              </w:rPr>
            </w:pPr>
            <w:r w:rsidRPr="009355BF">
              <w:rPr>
                <w:rFonts w:ascii="Arial" w:hAnsi="Arial" w:cs="Arial"/>
                <w:sz w:val="16"/>
                <w:szCs w:val="16"/>
              </w:rPr>
              <w:t>2025</w:t>
            </w:r>
            <w:r w:rsidR="00D16A11" w:rsidRPr="009355BF">
              <w:rPr>
                <w:rFonts w:ascii="Arial" w:hAnsi="Arial" w:cs="Arial"/>
                <w:sz w:val="16"/>
                <w:szCs w:val="16"/>
              </w:rPr>
              <w:noBreakHyphen/>
            </w:r>
            <w:r w:rsidRPr="009355BF">
              <w:rPr>
                <w:rFonts w:ascii="Arial" w:hAnsi="Arial" w:cs="Arial"/>
                <w:sz w:val="16"/>
                <w:szCs w:val="16"/>
              </w:rPr>
              <w:t>26</w:t>
            </w:r>
          </w:p>
        </w:tc>
        <w:tc>
          <w:tcPr>
            <w:tcW w:w="543" w:type="pct"/>
            <w:tcBorders>
              <w:top w:val="nil"/>
              <w:left w:val="nil"/>
              <w:bottom w:val="nil"/>
              <w:right w:val="nil"/>
            </w:tcBorders>
            <w:shd w:val="clear" w:color="auto" w:fill="auto"/>
            <w:noWrap/>
            <w:vAlign w:val="bottom"/>
            <w:hideMark/>
          </w:tcPr>
          <w:p w14:paraId="48A1898F" w14:textId="22A781F5"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20,000</w:t>
            </w:r>
          </w:p>
        </w:tc>
        <w:tc>
          <w:tcPr>
            <w:tcW w:w="543" w:type="pct"/>
            <w:tcBorders>
              <w:top w:val="nil"/>
              <w:left w:val="nil"/>
              <w:bottom w:val="nil"/>
              <w:right w:val="nil"/>
            </w:tcBorders>
            <w:shd w:val="clear" w:color="auto" w:fill="auto"/>
            <w:noWrap/>
            <w:vAlign w:val="bottom"/>
            <w:hideMark/>
          </w:tcPr>
          <w:p w14:paraId="78271314"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4,000</w:t>
            </w:r>
          </w:p>
        </w:tc>
        <w:tc>
          <w:tcPr>
            <w:tcW w:w="543" w:type="pct"/>
            <w:tcBorders>
              <w:top w:val="nil"/>
              <w:left w:val="nil"/>
              <w:bottom w:val="nil"/>
              <w:right w:val="nil"/>
            </w:tcBorders>
            <w:shd w:val="clear" w:color="auto" w:fill="auto"/>
            <w:noWrap/>
            <w:vAlign w:val="bottom"/>
            <w:hideMark/>
          </w:tcPr>
          <w:p w14:paraId="0E13E832"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19,700</w:t>
            </w:r>
          </w:p>
        </w:tc>
        <w:tc>
          <w:tcPr>
            <w:tcW w:w="543" w:type="pct"/>
            <w:tcBorders>
              <w:top w:val="nil"/>
              <w:left w:val="nil"/>
              <w:bottom w:val="nil"/>
              <w:right w:val="nil"/>
            </w:tcBorders>
            <w:shd w:val="clear" w:color="auto" w:fill="auto"/>
            <w:noWrap/>
            <w:vAlign w:val="bottom"/>
            <w:hideMark/>
          </w:tcPr>
          <w:p w14:paraId="2CBF7871"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500</w:t>
            </w:r>
          </w:p>
        </w:tc>
        <w:tc>
          <w:tcPr>
            <w:tcW w:w="543" w:type="pct"/>
            <w:tcBorders>
              <w:top w:val="nil"/>
              <w:left w:val="nil"/>
              <w:bottom w:val="nil"/>
              <w:right w:val="nil"/>
            </w:tcBorders>
            <w:shd w:val="clear" w:color="auto" w:fill="auto"/>
            <w:noWrap/>
            <w:vAlign w:val="bottom"/>
            <w:hideMark/>
          </w:tcPr>
          <w:p w14:paraId="487C5C52" w14:textId="7131041C"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3,500</w:t>
            </w:r>
          </w:p>
        </w:tc>
        <w:tc>
          <w:tcPr>
            <w:tcW w:w="543" w:type="pct"/>
            <w:tcBorders>
              <w:top w:val="nil"/>
              <w:left w:val="nil"/>
              <w:bottom w:val="nil"/>
              <w:right w:val="nil"/>
            </w:tcBorders>
            <w:shd w:val="clear" w:color="auto" w:fill="auto"/>
            <w:noWrap/>
            <w:vAlign w:val="bottom"/>
            <w:hideMark/>
          </w:tcPr>
          <w:p w14:paraId="65EE8463"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200</w:t>
            </w:r>
          </w:p>
        </w:tc>
        <w:tc>
          <w:tcPr>
            <w:tcW w:w="543" w:type="pct"/>
            <w:tcBorders>
              <w:top w:val="nil"/>
              <w:left w:val="nil"/>
              <w:bottom w:val="nil"/>
              <w:right w:val="nil"/>
            </w:tcBorders>
            <w:shd w:val="clear" w:color="auto" w:fill="auto"/>
            <w:noWrap/>
            <w:vAlign w:val="bottom"/>
            <w:hideMark/>
          </w:tcPr>
          <w:p w14:paraId="0A59B890"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400</w:t>
            </w:r>
          </w:p>
        </w:tc>
        <w:tc>
          <w:tcPr>
            <w:tcW w:w="541" w:type="pct"/>
            <w:tcBorders>
              <w:top w:val="nil"/>
              <w:left w:val="nil"/>
              <w:bottom w:val="nil"/>
              <w:right w:val="nil"/>
            </w:tcBorders>
            <w:shd w:val="clear" w:color="auto" w:fill="auto"/>
            <w:noWrap/>
            <w:vAlign w:val="bottom"/>
            <w:hideMark/>
          </w:tcPr>
          <w:p w14:paraId="2F0A23B0" w14:textId="090E4470"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1,400</w:t>
            </w:r>
          </w:p>
        </w:tc>
      </w:tr>
      <w:tr w:rsidR="00FE673C" w:rsidRPr="009355BF" w14:paraId="3378097D" w14:textId="77777777" w:rsidTr="00A91515">
        <w:trPr>
          <w:trHeight w:hRule="exact" w:val="225"/>
        </w:trPr>
        <w:tc>
          <w:tcPr>
            <w:tcW w:w="659" w:type="pct"/>
            <w:tcBorders>
              <w:top w:val="nil"/>
              <w:left w:val="nil"/>
              <w:bottom w:val="nil"/>
              <w:right w:val="nil"/>
            </w:tcBorders>
            <w:shd w:val="clear" w:color="auto" w:fill="auto"/>
            <w:noWrap/>
            <w:vAlign w:val="bottom"/>
            <w:hideMark/>
          </w:tcPr>
          <w:p w14:paraId="4E4326CA" w14:textId="33B88E08" w:rsidR="00FE673C" w:rsidRPr="009355BF" w:rsidRDefault="00FE673C" w:rsidP="00FE673C">
            <w:pPr>
              <w:spacing w:before="0" w:after="0" w:line="240" w:lineRule="auto"/>
              <w:rPr>
                <w:rFonts w:ascii="Arial" w:hAnsi="Arial" w:cs="Arial"/>
                <w:sz w:val="16"/>
                <w:szCs w:val="16"/>
              </w:rPr>
            </w:pPr>
            <w:r w:rsidRPr="009355BF">
              <w:rPr>
                <w:rFonts w:ascii="Arial" w:hAnsi="Arial" w:cs="Arial"/>
                <w:sz w:val="16"/>
                <w:szCs w:val="16"/>
              </w:rPr>
              <w:t>2026</w:t>
            </w:r>
            <w:r w:rsidR="00D16A11" w:rsidRPr="009355BF">
              <w:rPr>
                <w:rFonts w:ascii="Arial" w:hAnsi="Arial" w:cs="Arial"/>
                <w:sz w:val="16"/>
                <w:szCs w:val="16"/>
              </w:rPr>
              <w:noBreakHyphen/>
            </w:r>
            <w:r w:rsidRPr="009355BF">
              <w:rPr>
                <w:rFonts w:ascii="Arial" w:hAnsi="Arial" w:cs="Arial"/>
                <w:sz w:val="16"/>
                <w:szCs w:val="16"/>
              </w:rPr>
              <w:t>27</w:t>
            </w:r>
          </w:p>
        </w:tc>
        <w:tc>
          <w:tcPr>
            <w:tcW w:w="543" w:type="pct"/>
            <w:tcBorders>
              <w:top w:val="nil"/>
              <w:left w:val="nil"/>
              <w:bottom w:val="nil"/>
              <w:right w:val="nil"/>
            </w:tcBorders>
            <w:shd w:val="clear" w:color="auto" w:fill="auto"/>
            <w:noWrap/>
            <w:vAlign w:val="bottom"/>
            <w:hideMark/>
          </w:tcPr>
          <w:p w14:paraId="0133F518" w14:textId="4FD128C6"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20,100</w:t>
            </w:r>
          </w:p>
        </w:tc>
        <w:tc>
          <w:tcPr>
            <w:tcW w:w="543" w:type="pct"/>
            <w:tcBorders>
              <w:top w:val="nil"/>
              <w:left w:val="nil"/>
              <w:bottom w:val="nil"/>
              <w:right w:val="nil"/>
            </w:tcBorders>
            <w:shd w:val="clear" w:color="auto" w:fill="auto"/>
            <w:noWrap/>
            <w:vAlign w:val="bottom"/>
            <w:hideMark/>
          </w:tcPr>
          <w:p w14:paraId="414E47CD"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3,800</w:t>
            </w:r>
          </w:p>
        </w:tc>
        <w:tc>
          <w:tcPr>
            <w:tcW w:w="543" w:type="pct"/>
            <w:tcBorders>
              <w:top w:val="nil"/>
              <w:left w:val="nil"/>
              <w:bottom w:val="nil"/>
              <w:right w:val="nil"/>
            </w:tcBorders>
            <w:shd w:val="clear" w:color="auto" w:fill="auto"/>
            <w:noWrap/>
            <w:vAlign w:val="bottom"/>
            <w:hideMark/>
          </w:tcPr>
          <w:p w14:paraId="73255225"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19,800</w:t>
            </w:r>
          </w:p>
        </w:tc>
        <w:tc>
          <w:tcPr>
            <w:tcW w:w="543" w:type="pct"/>
            <w:tcBorders>
              <w:top w:val="nil"/>
              <w:left w:val="nil"/>
              <w:bottom w:val="nil"/>
              <w:right w:val="nil"/>
            </w:tcBorders>
            <w:shd w:val="clear" w:color="auto" w:fill="auto"/>
            <w:noWrap/>
            <w:vAlign w:val="bottom"/>
            <w:hideMark/>
          </w:tcPr>
          <w:p w14:paraId="79CD5677"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600</w:t>
            </w:r>
          </w:p>
        </w:tc>
        <w:tc>
          <w:tcPr>
            <w:tcW w:w="543" w:type="pct"/>
            <w:tcBorders>
              <w:top w:val="nil"/>
              <w:left w:val="nil"/>
              <w:bottom w:val="nil"/>
              <w:right w:val="nil"/>
            </w:tcBorders>
            <w:shd w:val="clear" w:color="auto" w:fill="auto"/>
            <w:noWrap/>
            <w:vAlign w:val="bottom"/>
            <w:hideMark/>
          </w:tcPr>
          <w:p w14:paraId="557B0B57" w14:textId="39C45197"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3,400</w:t>
            </w:r>
          </w:p>
        </w:tc>
        <w:tc>
          <w:tcPr>
            <w:tcW w:w="543" w:type="pct"/>
            <w:tcBorders>
              <w:top w:val="nil"/>
              <w:left w:val="nil"/>
              <w:bottom w:val="nil"/>
              <w:right w:val="nil"/>
            </w:tcBorders>
            <w:shd w:val="clear" w:color="auto" w:fill="auto"/>
            <w:noWrap/>
            <w:vAlign w:val="bottom"/>
            <w:hideMark/>
          </w:tcPr>
          <w:p w14:paraId="6C6EE909"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300</w:t>
            </w:r>
          </w:p>
        </w:tc>
        <w:tc>
          <w:tcPr>
            <w:tcW w:w="543" w:type="pct"/>
            <w:tcBorders>
              <w:top w:val="nil"/>
              <w:left w:val="nil"/>
              <w:bottom w:val="nil"/>
              <w:right w:val="nil"/>
            </w:tcBorders>
            <w:shd w:val="clear" w:color="auto" w:fill="auto"/>
            <w:noWrap/>
            <w:vAlign w:val="bottom"/>
            <w:hideMark/>
          </w:tcPr>
          <w:p w14:paraId="75EEF5B4"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400</w:t>
            </w:r>
          </w:p>
        </w:tc>
        <w:tc>
          <w:tcPr>
            <w:tcW w:w="541" w:type="pct"/>
            <w:tcBorders>
              <w:top w:val="nil"/>
              <w:left w:val="nil"/>
              <w:bottom w:val="nil"/>
              <w:right w:val="nil"/>
            </w:tcBorders>
            <w:shd w:val="clear" w:color="auto" w:fill="auto"/>
            <w:noWrap/>
            <w:vAlign w:val="bottom"/>
            <w:hideMark/>
          </w:tcPr>
          <w:p w14:paraId="6B54E8E8" w14:textId="7262A880"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1,300</w:t>
            </w:r>
          </w:p>
        </w:tc>
      </w:tr>
      <w:tr w:rsidR="00FE673C" w:rsidRPr="009355BF" w14:paraId="7E3001FF" w14:textId="77777777" w:rsidTr="00A91515">
        <w:trPr>
          <w:trHeight w:hRule="exact" w:val="225"/>
        </w:trPr>
        <w:tc>
          <w:tcPr>
            <w:tcW w:w="659" w:type="pct"/>
            <w:tcBorders>
              <w:top w:val="nil"/>
              <w:left w:val="nil"/>
              <w:bottom w:val="single" w:sz="4" w:space="0" w:color="293F5B"/>
              <w:right w:val="nil"/>
            </w:tcBorders>
            <w:shd w:val="clear" w:color="auto" w:fill="auto"/>
            <w:noWrap/>
            <w:vAlign w:val="bottom"/>
            <w:hideMark/>
          </w:tcPr>
          <w:p w14:paraId="1F10C7F8" w14:textId="39755136" w:rsidR="00FE673C" w:rsidRPr="009355BF" w:rsidRDefault="00FE673C" w:rsidP="00FE673C">
            <w:pPr>
              <w:spacing w:before="0" w:after="0" w:line="240" w:lineRule="auto"/>
              <w:rPr>
                <w:rFonts w:ascii="Arial" w:hAnsi="Arial" w:cs="Arial"/>
                <w:sz w:val="16"/>
                <w:szCs w:val="16"/>
              </w:rPr>
            </w:pPr>
            <w:r w:rsidRPr="009355BF">
              <w:rPr>
                <w:rFonts w:ascii="Arial" w:hAnsi="Arial" w:cs="Arial"/>
                <w:sz w:val="16"/>
                <w:szCs w:val="16"/>
              </w:rPr>
              <w:t>2027</w:t>
            </w:r>
            <w:r w:rsidR="00D16A11" w:rsidRPr="009355BF">
              <w:rPr>
                <w:rFonts w:ascii="Arial" w:hAnsi="Arial" w:cs="Arial"/>
                <w:sz w:val="16"/>
                <w:szCs w:val="16"/>
              </w:rPr>
              <w:noBreakHyphen/>
            </w:r>
            <w:r w:rsidRPr="009355BF">
              <w:rPr>
                <w:rFonts w:ascii="Arial" w:hAnsi="Arial" w:cs="Arial"/>
                <w:sz w:val="16"/>
                <w:szCs w:val="16"/>
              </w:rPr>
              <w:t>28</w:t>
            </w:r>
          </w:p>
        </w:tc>
        <w:tc>
          <w:tcPr>
            <w:tcW w:w="543" w:type="pct"/>
            <w:tcBorders>
              <w:top w:val="nil"/>
              <w:left w:val="nil"/>
              <w:bottom w:val="single" w:sz="4" w:space="0" w:color="293F5B"/>
              <w:right w:val="nil"/>
            </w:tcBorders>
            <w:shd w:val="clear" w:color="auto" w:fill="auto"/>
            <w:noWrap/>
            <w:vAlign w:val="bottom"/>
            <w:hideMark/>
          </w:tcPr>
          <w:p w14:paraId="61D43A7A" w14:textId="35023058"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20,300</w:t>
            </w:r>
          </w:p>
        </w:tc>
        <w:tc>
          <w:tcPr>
            <w:tcW w:w="543" w:type="pct"/>
            <w:tcBorders>
              <w:top w:val="nil"/>
              <w:left w:val="nil"/>
              <w:bottom w:val="single" w:sz="4" w:space="0" w:color="293F5B"/>
              <w:right w:val="nil"/>
            </w:tcBorders>
            <w:shd w:val="clear" w:color="auto" w:fill="auto"/>
            <w:noWrap/>
            <w:vAlign w:val="bottom"/>
            <w:hideMark/>
          </w:tcPr>
          <w:p w14:paraId="25D43BCE"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3,500</w:t>
            </w:r>
          </w:p>
        </w:tc>
        <w:tc>
          <w:tcPr>
            <w:tcW w:w="543" w:type="pct"/>
            <w:tcBorders>
              <w:top w:val="nil"/>
              <w:left w:val="nil"/>
              <w:bottom w:val="single" w:sz="4" w:space="0" w:color="293F5B"/>
              <w:right w:val="nil"/>
            </w:tcBorders>
            <w:shd w:val="clear" w:color="auto" w:fill="auto"/>
            <w:noWrap/>
            <w:vAlign w:val="bottom"/>
            <w:hideMark/>
          </w:tcPr>
          <w:p w14:paraId="5A070D60"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19,900</w:t>
            </w:r>
          </w:p>
        </w:tc>
        <w:tc>
          <w:tcPr>
            <w:tcW w:w="543" w:type="pct"/>
            <w:tcBorders>
              <w:top w:val="nil"/>
              <w:left w:val="nil"/>
              <w:bottom w:val="single" w:sz="4" w:space="0" w:color="293F5B"/>
              <w:right w:val="nil"/>
            </w:tcBorders>
            <w:shd w:val="clear" w:color="auto" w:fill="auto"/>
            <w:noWrap/>
            <w:vAlign w:val="bottom"/>
            <w:hideMark/>
          </w:tcPr>
          <w:p w14:paraId="5B98F6E9"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700</w:t>
            </w:r>
          </w:p>
        </w:tc>
        <w:tc>
          <w:tcPr>
            <w:tcW w:w="543" w:type="pct"/>
            <w:tcBorders>
              <w:top w:val="nil"/>
              <w:left w:val="nil"/>
              <w:bottom w:val="single" w:sz="4" w:space="0" w:color="293F5B"/>
              <w:right w:val="nil"/>
            </w:tcBorders>
            <w:shd w:val="clear" w:color="auto" w:fill="auto"/>
            <w:noWrap/>
            <w:vAlign w:val="bottom"/>
            <w:hideMark/>
          </w:tcPr>
          <w:p w14:paraId="16453D16" w14:textId="59C3528A"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3,300</w:t>
            </w:r>
          </w:p>
        </w:tc>
        <w:tc>
          <w:tcPr>
            <w:tcW w:w="543" w:type="pct"/>
            <w:tcBorders>
              <w:top w:val="nil"/>
              <w:left w:val="nil"/>
              <w:bottom w:val="single" w:sz="4" w:space="0" w:color="293F5B"/>
              <w:right w:val="nil"/>
            </w:tcBorders>
            <w:shd w:val="clear" w:color="auto" w:fill="auto"/>
            <w:noWrap/>
            <w:vAlign w:val="bottom"/>
            <w:hideMark/>
          </w:tcPr>
          <w:p w14:paraId="794532CE"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400</w:t>
            </w:r>
          </w:p>
        </w:tc>
        <w:tc>
          <w:tcPr>
            <w:tcW w:w="543" w:type="pct"/>
            <w:tcBorders>
              <w:top w:val="nil"/>
              <w:left w:val="nil"/>
              <w:bottom w:val="single" w:sz="4" w:space="0" w:color="293F5B"/>
              <w:right w:val="nil"/>
            </w:tcBorders>
            <w:shd w:val="clear" w:color="auto" w:fill="auto"/>
            <w:noWrap/>
            <w:vAlign w:val="bottom"/>
            <w:hideMark/>
          </w:tcPr>
          <w:p w14:paraId="6EBB036B" w14:textId="77777777" w:rsidR="00FE673C" w:rsidRPr="009355BF" w:rsidRDefault="00FE673C" w:rsidP="00FE673C">
            <w:pPr>
              <w:spacing w:before="0" w:after="0" w:line="240" w:lineRule="auto"/>
              <w:jc w:val="right"/>
              <w:rPr>
                <w:rFonts w:ascii="Arial" w:hAnsi="Arial" w:cs="Arial"/>
                <w:sz w:val="16"/>
                <w:szCs w:val="16"/>
              </w:rPr>
            </w:pPr>
            <w:r w:rsidRPr="009355BF">
              <w:rPr>
                <w:rFonts w:ascii="Arial" w:hAnsi="Arial" w:cs="Arial"/>
                <w:sz w:val="16"/>
                <w:szCs w:val="16"/>
              </w:rPr>
              <w:t>400</w:t>
            </w:r>
          </w:p>
        </w:tc>
        <w:tc>
          <w:tcPr>
            <w:tcW w:w="541" w:type="pct"/>
            <w:tcBorders>
              <w:top w:val="nil"/>
              <w:left w:val="nil"/>
              <w:bottom w:val="single" w:sz="4" w:space="0" w:color="293F5B"/>
              <w:right w:val="nil"/>
            </w:tcBorders>
            <w:shd w:val="clear" w:color="auto" w:fill="auto"/>
            <w:noWrap/>
            <w:vAlign w:val="bottom"/>
            <w:hideMark/>
          </w:tcPr>
          <w:p w14:paraId="177F0002" w14:textId="4CEDA804" w:rsidR="00FE673C" w:rsidRPr="009355BF" w:rsidRDefault="00D16A11" w:rsidP="00FE673C">
            <w:pPr>
              <w:spacing w:before="0" w:after="0" w:line="240" w:lineRule="auto"/>
              <w:jc w:val="right"/>
              <w:rPr>
                <w:rFonts w:ascii="Arial" w:hAnsi="Arial" w:cs="Arial"/>
                <w:sz w:val="16"/>
                <w:szCs w:val="16"/>
              </w:rPr>
            </w:pPr>
            <w:r w:rsidRPr="009355BF">
              <w:rPr>
                <w:rFonts w:ascii="Arial" w:hAnsi="Arial" w:cs="Arial"/>
                <w:sz w:val="16"/>
                <w:szCs w:val="16"/>
              </w:rPr>
              <w:noBreakHyphen/>
            </w:r>
            <w:r w:rsidR="00FE673C" w:rsidRPr="009355BF">
              <w:rPr>
                <w:rFonts w:ascii="Arial" w:hAnsi="Arial" w:cs="Arial"/>
                <w:sz w:val="16"/>
                <w:szCs w:val="16"/>
              </w:rPr>
              <w:t>1,300</w:t>
            </w:r>
          </w:p>
        </w:tc>
      </w:tr>
    </w:tbl>
    <w:p w14:paraId="528B9DDA" w14:textId="29E766B3" w:rsidR="00FE673C" w:rsidRPr="009355BF" w:rsidRDefault="00FE673C" w:rsidP="006258D8">
      <w:pPr>
        <w:pStyle w:val="ChartandTableFootnoteAlpha"/>
        <w:numPr>
          <w:ilvl w:val="0"/>
          <w:numId w:val="28"/>
        </w:numPr>
        <w:rPr>
          <w:rFonts w:eastAsiaTheme="minorHAnsi"/>
        </w:rPr>
      </w:pPr>
      <w:r w:rsidRPr="009355BF">
        <w:t xml:space="preserve"> Outcome for 2022–23, from ABS National, state and territory population, September 2023.</w:t>
      </w:r>
    </w:p>
    <w:p w14:paraId="56B2BE8D" w14:textId="77777777" w:rsidR="00E6789E" w:rsidRPr="009355BF" w:rsidRDefault="00E6789E" w:rsidP="002C18F6">
      <w:pPr>
        <w:pStyle w:val="TableLine"/>
        <w:rPr>
          <w:rFonts w:eastAsiaTheme="minorHAnsi"/>
        </w:rPr>
      </w:pPr>
    </w:p>
    <w:p w14:paraId="2245173E" w14:textId="29C3C6C5" w:rsidR="00E6789E" w:rsidRPr="009355BF" w:rsidRDefault="00E6789E" w:rsidP="00F82A5C">
      <w:pPr>
        <w:pStyle w:val="Heading4"/>
        <w:rPr>
          <w:rFonts w:ascii="Arial" w:hAnsi="Arial" w:cs="Arial"/>
          <w:sz w:val="16"/>
          <w:szCs w:val="16"/>
        </w:rPr>
      </w:pPr>
      <w:r w:rsidRPr="009355BF">
        <w:t>Wage cost indices</w:t>
      </w:r>
    </w:p>
    <w:p w14:paraId="4F996E34" w14:textId="0FB24589" w:rsidR="00E6789E" w:rsidRPr="009355BF" w:rsidRDefault="00E6789E" w:rsidP="00E6789E">
      <w:r w:rsidRPr="009355BF">
        <w:t>Table</w:t>
      </w:r>
      <w:r w:rsidR="008F233B" w:rsidRPr="009355BF">
        <w:t> </w:t>
      </w:r>
      <w:r w:rsidRPr="009355BF">
        <w:t>A.7 shows estimated growth in the wage cost indices used in this Budget Paper, rounded to the nearest quarter of a per cent.</w:t>
      </w:r>
    </w:p>
    <w:p w14:paraId="181394AC" w14:textId="3C87341F" w:rsidR="00C72597" w:rsidRPr="009355BF" w:rsidRDefault="00E6789E" w:rsidP="00C72597">
      <w:pPr>
        <w:pStyle w:val="TableHeading"/>
        <w:rPr>
          <w:rFonts w:asciiTheme="minorHAnsi" w:eastAsiaTheme="minorHAnsi" w:hAnsiTheme="minorHAnsi" w:cstheme="minorBidi"/>
          <w:sz w:val="22"/>
          <w:szCs w:val="22"/>
          <w:lang w:eastAsia="en-US"/>
        </w:rPr>
      </w:pPr>
      <w:bookmarkStart w:id="7" w:name="_Toc4764875"/>
      <w:r w:rsidRPr="009355BF">
        <w:t>Table A.7: Wage cost indices</w:t>
      </w:r>
      <w:bookmarkStart w:id="8" w:name="_1708410668"/>
      <w:bookmarkStart w:id="9" w:name="_1709732130"/>
      <w:bookmarkEnd w:id="7"/>
      <w:bookmarkEnd w:id="8"/>
      <w:bookmarkEnd w:id="9"/>
    </w:p>
    <w:tbl>
      <w:tblPr>
        <w:tblW w:w="5000" w:type="pct"/>
        <w:tblCellMar>
          <w:left w:w="0" w:type="dxa"/>
          <w:right w:w="28" w:type="dxa"/>
        </w:tblCellMar>
        <w:tblLook w:val="04A0" w:firstRow="1" w:lastRow="0" w:firstColumn="1" w:lastColumn="0" w:noHBand="0" w:noVBand="1"/>
      </w:tblPr>
      <w:tblGrid>
        <w:gridCol w:w="3188"/>
        <w:gridCol w:w="905"/>
        <w:gridCol w:w="905"/>
        <w:gridCol w:w="905"/>
        <w:gridCol w:w="905"/>
        <w:gridCol w:w="902"/>
      </w:tblGrid>
      <w:tr w:rsidR="00C72597" w:rsidRPr="009355BF" w14:paraId="1669AA9A" w14:textId="77777777" w:rsidTr="00C72597">
        <w:trPr>
          <w:trHeight w:hRule="exact" w:val="225"/>
        </w:trPr>
        <w:tc>
          <w:tcPr>
            <w:tcW w:w="2067" w:type="pct"/>
            <w:tcBorders>
              <w:top w:val="single" w:sz="4" w:space="0" w:color="293F5B"/>
              <w:left w:val="nil"/>
              <w:bottom w:val="nil"/>
              <w:right w:val="nil"/>
            </w:tcBorders>
            <w:shd w:val="clear" w:color="auto" w:fill="auto"/>
            <w:noWrap/>
            <w:vAlign w:val="bottom"/>
            <w:hideMark/>
          </w:tcPr>
          <w:p w14:paraId="2031D3DE" w14:textId="10D009C5" w:rsidR="00C72597" w:rsidRPr="009355BF" w:rsidRDefault="00C72597" w:rsidP="00C72597">
            <w:pPr>
              <w:spacing w:before="0" w:after="0" w:line="240" w:lineRule="auto"/>
              <w:rPr>
                <w:rFonts w:ascii="Arial" w:hAnsi="Arial" w:cs="Arial"/>
                <w:sz w:val="16"/>
                <w:szCs w:val="16"/>
              </w:rPr>
            </w:pPr>
            <w:r w:rsidRPr="009355BF">
              <w:rPr>
                <w:rFonts w:ascii="Arial" w:hAnsi="Arial" w:cs="Arial"/>
                <w:sz w:val="16"/>
                <w:szCs w:val="16"/>
              </w:rPr>
              <w:t>Per cent</w:t>
            </w:r>
          </w:p>
        </w:tc>
        <w:tc>
          <w:tcPr>
            <w:tcW w:w="587" w:type="pct"/>
            <w:tcBorders>
              <w:top w:val="single" w:sz="4" w:space="0" w:color="293F5B"/>
              <w:left w:val="nil"/>
              <w:bottom w:val="nil"/>
              <w:right w:val="nil"/>
            </w:tcBorders>
            <w:shd w:val="clear" w:color="auto" w:fill="auto"/>
            <w:noWrap/>
            <w:vAlign w:val="bottom"/>
            <w:hideMark/>
          </w:tcPr>
          <w:p w14:paraId="3299B72D" w14:textId="2223989E"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2023</w:t>
            </w:r>
            <w:r w:rsidR="00D16A11" w:rsidRPr="009355BF">
              <w:rPr>
                <w:rFonts w:ascii="Arial" w:hAnsi="Arial" w:cs="Arial"/>
                <w:sz w:val="16"/>
                <w:szCs w:val="16"/>
              </w:rPr>
              <w:noBreakHyphen/>
            </w:r>
            <w:r w:rsidRPr="009355BF">
              <w:rPr>
                <w:rFonts w:ascii="Arial" w:hAnsi="Arial" w:cs="Arial"/>
                <w:sz w:val="16"/>
                <w:szCs w:val="16"/>
              </w:rPr>
              <w:t>24</w:t>
            </w:r>
          </w:p>
        </w:tc>
        <w:tc>
          <w:tcPr>
            <w:tcW w:w="587" w:type="pct"/>
            <w:tcBorders>
              <w:top w:val="single" w:sz="4" w:space="0" w:color="293F5B"/>
              <w:left w:val="nil"/>
              <w:bottom w:val="nil"/>
              <w:right w:val="nil"/>
            </w:tcBorders>
            <w:shd w:val="clear" w:color="000000" w:fill="E6F2FF"/>
            <w:noWrap/>
            <w:vAlign w:val="bottom"/>
            <w:hideMark/>
          </w:tcPr>
          <w:p w14:paraId="4E1516C8" w14:textId="5E2B1460"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2024</w:t>
            </w:r>
            <w:r w:rsidR="00D16A11" w:rsidRPr="009355BF">
              <w:rPr>
                <w:rFonts w:ascii="Arial" w:hAnsi="Arial" w:cs="Arial"/>
                <w:sz w:val="16"/>
                <w:szCs w:val="16"/>
              </w:rPr>
              <w:noBreakHyphen/>
            </w:r>
            <w:r w:rsidRPr="009355BF">
              <w:rPr>
                <w:rFonts w:ascii="Arial" w:hAnsi="Arial" w:cs="Arial"/>
                <w:sz w:val="16"/>
                <w:szCs w:val="16"/>
              </w:rPr>
              <w:t>25</w:t>
            </w:r>
          </w:p>
        </w:tc>
        <w:tc>
          <w:tcPr>
            <w:tcW w:w="587" w:type="pct"/>
            <w:tcBorders>
              <w:top w:val="single" w:sz="4" w:space="0" w:color="293F5B"/>
              <w:left w:val="nil"/>
              <w:bottom w:val="nil"/>
              <w:right w:val="nil"/>
            </w:tcBorders>
            <w:shd w:val="clear" w:color="auto" w:fill="auto"/>
            <w:noWrap/>
            <w:vAlign w:val="bottom"/>
            <w:hideMark/>
          </w:tcPr>
          <w:p w14:paraId="1A17E3E8" w14:textId="2D8AE49B"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2025</w:t>
            </w:r>
            <w:r w:rsidR="00D16A11" w:rsidRPr="009355BF">
              <w:rPr>
                <w:rFonts w:ascii="Arial" w:hAnsi="Arial" w:cs="Arial"/>
                <w:sz w:val="16"/>
                <w:szCs w:val="16"/>
              </w:rPr>
              <w:noBreakHyphen/>
            </w:r>
            <w:r w:rsidRPr="009355BF">
              <w:rPr>
                <w:rFonts w:ascii="Arial" w:hAnsi="Arial" w:cs="Arial"/>
                <w:sz w:val="16"/>
                <w:szCs w:val="16"/>
              </w:rPr>
              <w:t>26</w:t>
            </w:r>
          </w:p>
        </w:tc>
        <w:tc>
          <w:tcPr>
            <w:tcW w:w="587" w:type="pct"/>
            <w:tcBorders>
              <w:top w:val="single" w:sz="4" w:space="0" w:color="293F5B"/>
              <w:left w:val="nil"/>
              <w:bottom w:val="nil"/>
              <w:right w:val="nil"/>
            </w:tcBorders>
            <w:shd w:val="clear" w:color="auto" w:fill="auto"/>
            <w:noWrap/>
            <w:vAlign w:val="bottom"/>
            <w:hideMark/>
          </w:tcPr>
          <w:p w14:paraId="218EE851" w14:textId="35D82168"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2026</w:t>
            </w:r>
            <w:r w:rsidR="00D16A11" w:rsidRPr="009355BF">
              <w:rPr>
                <w:rFonts w:ascii="Arial" w:hAnsi="Arial" w:cs="Arial"/>
                <w:sz w:val="16"/>
                <w:szCs w:val="16"/>
              </w:rPr>
              <w:noBreakHyphen/>
            </w:r>
            <w:r w:rsidRPr="009355BF">
              <w:rPr>
                <w:rFonts w:ascii="Arial" w:hAnsi="Arial" w:cs="Arial"/>
                <w:sz w:val="16"/>
                <w:szCs w:val="16"/>
              </w:rPr>
              <w:t>27</w:t>
            </w:r>
          </w:p>
        </w:tc>
        <w:tc>
          <w:tcPr>
            <w:tcW w:w="587" w:type="pct"/>
            <w:tcBorders>
              <w:top w:val="single" w:sz="4" w:space="0" w:color="293F5B"/>
              <w:left w:val="nil"/>
              <w:bottom w:val="nil"/>
              <w:right w:val="nil"/>
            </w:tcBorders>
            <w:shd w:val="clear" w:color="auto" w:fill="auto"/>
            <w:noWrap/>
            <w:vAlign w:val="bottom"/>
            <w:hideMark/>
          </w:tcPr>
          <w:p w14:paraId="02732546" w14:textId="21C2CFCA"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2027</w:t>
            </w:r>
            <w:r w:rsidR="00D16A11" w:rsidRPr="009355BF">
              <w:rPr>
                <w:rFonts w:ascii="Arial" w:hAnsi="Arial" w:cs="Arial"/>
                <w:sz w:val="16"/>
                <w:szCs w:val="16"/>
              </w:rPr>
              <w:noBreakHyphen/>
            </w:r>
            <w:r w:rsidRPr="009355BF">
              <w:rPr>
                <w:rFonts w:ascii="Arial" w:hAnsi="Arial" w:cs="Arial"/>
                <w:sz w:val="16"/>
                <w:szCs w:val="16"/>
              </w:rPr>
              <w:t>28</w:t>
            </w:r>
          </w:p>
        </w:tc>
      </w:tr>
      <w:tr w:rsidR="00C72597" w:rsidRPr="009355BF" w14:paraId="3B4DA4CC" w14:textId="77777777" w:rsidTr="00C72597">
        <w:trPr>
          <w:trHeight w:hRule="exact" w:val="225"/>
        </w:trPr>
        <w:tc>
          <w:tcPr>
            <w:tcW w:w="2067" w:type="pct"/>
            <w:tcBorders>
              <w:top w:val="nil"/>
              <w:left w:val="nil"/>
              <w:bottom w:val="nil"/>
              <w:right w:val="nil"/>
            </w:tcBorders>
            <w:shd w:val="clear" w:color="auto" w:fill="auto"/>
            <w:noWrap/>
            <w:vAlign w:val="bottom"/>
            <w:hideMark/>
          </w:tcPr>
          <w:p w14:paraId="6EC283F3" w14:textId="77777777" w:rsidR="00C72597" w:rsidRPr="009355BF" w:rsidRDefault="00C72597" w:rsidP="00C72597">
            <w:pPr>
              <w:spacing w:before="0" w:after="0" w:line="240" w:lineRule="auto"/>
              <w:rPr>
                <w:rFonts w:ascii="Arial" w:hAnsi="Arial" w:cs="Arial"/>
                <w:sz w:val="16"/>
                <w:szCs w:val="16"/>
              </w:rPr>
            </w:pPr>
            <w:r w:rsidRPr="009355BF">
              <w:rPr>
                <w:rFonts w:ascii="Arial" w:hAnsi="Arial" w:cs="Arial"/>
                <w:sz w:val="16"/>
                <w:szCs w:val="16"/>
              </w:rPr>
              <w:t>Wage cost index – 1</w:t>
            </w:r>
          </w:p>
        </w:tc>
        <w:tc>
          <w:tcPr>
            <w:tcW w:w="587" w:type="pct"/>
            <w:tcBorders>
              <w:top w:val="single" w:sz="4" w:space="0" w:color="293F5B"/>
              <w:left w:val="nil"/>
              <w:bottom w:val="nil"/>
              <w:right w:val="nil"/>
            </w:tcBorders>
            <w:shd w:val="clear" w:color="000000" w:fill="FFFFFF"/>
            <w:noWrap/>
            <w:vAlign w:val="bottom"/>
            <w:hideMark/>
          </w:tcPr>
          <w:p w14:paraId="374D065A"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3 1/2</w:t>
            </w:r>
          </w:p>
        </w:tc>
        <w:tc>
          <w:tcPr>
            <w:tcW w:w="587" w:type="pct"/>
            <w:tcBorders>
              <w:top w:val="single" w:sz="4" w:space="0" w:color="293F5B"/>
              <w:left w:val="nil"/>
              <w:bottom w:val="nil"/>
              <w:right w:val="nil"/>
            </w:tcBorders>
            <w:shd w:val="clear" w:color="000000" w:fill="E6F2FF"/>
            <w:noWrap/>
            <w:vAlign w:val="bottom"/>
            <w:hideMark/>
          </w:tcPr>
          <w:p w14:paraId="20F974F4"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3 1/4</w:t>
            </w:r>
          </w:p>
        </w:tc>
        <w:tc>
          <w:tcPr>
            <w:tcW w:w="587" w:type="pct"/>
            <w:tcBorders>
              <w:top w:val="single" w:sz="4" w:space="0" w:color="293F5B"/>
              <w:left w:val="nil"/>
              <w:bottom w:val="nil"/>
              <w:right w:val="nil"/>
            </w:tcBorders>
            <w:shd w:val="clear" w:color="000000" w:fill="FFFFFF"/>
            <w:noWrap/>
            <w:vAlign w:val="bottom"/>
            <w:hideMark/>
          </w:tcPr>
          <w:p w14:paraId="1D086858"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 1/4</w:t>
            </w:r>
          </w:p>
        </w:tc>
        <w:tc>
          <w:tcPr>
            <w:tcW w:w="587" w:type="pct"/>
            <w:tcBorders>
              <w:top w:val="single" w:sz="4" w:space="0" w:color="293F5B"/>
              <w:left w:val="nil"/>
              <w:bottom w:val="nil"/>
              <w:right w:val="nil"/>
            </w:tcBorders>
            <w:shd w:val="clear" w:color="000000" w:fill="FFFFFF"/>
            <w:noWrap/>
            <w:vAlign w:val="bottom"/>
            <w:hideMark/>
          </w:tcPr>
          <w:p w14:paraId="6697B82E"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 1/4</w:t>
            </w:r>
          </w:p>
        </w:tc>
        <w:tc>
          <w:tcPr>
            <w:tcW w:w="587" w:type="pct"/>
            <w:tcBorders>
              <w:top w:val="single" w:sz="4" w:space="0" w:color="293F5B"/>
              <w:left w:val="nil"/>
              <w:bottom w:val="nil"/>
              <w:right w:val="nil"/>
            </w:tcBorders>
            <w:shd w:val="clear" w:color="000000" w:fill="FFFFFF"/>
            <w:noWrap/>
            <w:vAlign w:val="bottom"/>
            <w:hideMark/>
          </w:tcPr>
          <w:p w14:paraId="6581B019"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 xml:space="preserve">2    </w:t>
            </w:r>
          </w:p>
        </w:tc>
      </w:tr>
      <w:tr w:rsidR="00C72597" w:rsidRPr="009355BF" w14:paraId="79548428" w14:textId="77777777" w:rsidTr="00C72597">
        <w:trPr>
          <w:trHeight w:hRule="exact" w:val="225"/>
        </w:trPr>
        <w:tc>
          <w:tcPr>
            <w:tcW w:w="2067" w:type="pct"/>
            <w:tcBorders>
              <w:top w:val="nil"/>
              <w:left w:val="nil"/>
              <w:bottom w:val="nil"/>
              <w:right w:val="nil"/>
            </w:tcBorders>
            <w:shd w:val="clear" w:color="auto" w:fill="auto"/>
            <w:noWrap/>
            <w:vAlign w:val="bottom"/>
            <w:hideMark/>
          </w:tcPr>
          <w:p w14:paraId="2CB7E74C" w14:textId="77777777" w:rsidR="00C72597" w:rsidRPr="009355BF" w:rsidRDefault="00C72597" w:rsidP="00C72597">
            <w:pPr>
              <w:spacing w:before="0" w:after="0" w:line="240" w:lineRule="auto"/>
              <w:rPr>
                <w:rFonts w:ascii="Arial" w:hAnsi="Arial" w:cs="Arial"/>
                <w:sz w:val="16"/>
                <w:szCs w:val="16"/>
              </w:rPr>
            </w:pPr>
            <w:r w:rsidRPr="009355BF">
              <w:rPr>
                <w:rFonts w:ascii="Arial" w:hAnsi="Arial" w:cs="Arial"/>
                <w:sz w:val="16"/>
                <w:szCs w:val="16"/>
              </w:rPr>
              <w:t>Wage cost index – 3</w:t>
            </w:r>
          </w:p>
        </w:tc>
        <w:tc>
          <w:tcPr>
            <w:tcW w:w="587" w:type="pct"/>
            <w:tcBorders>
              <w:top w:val="nil"/>
              <w:left w:val="nil"/>
              <w:bottom w:val="nil"/>
              <w:right w:val="nil"/>
            </w:tcBorders>
            <w:shd w:val="clear" w:color="000000" w:fill="FFFFFF"/>
            <w:noWrap/>
            <w:vAlign w:val="bottom"/>
            <w:hideMark/>
          </w:tcPr>
          <w:p w14:paraId="26312980"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4 1/2</w:t>
            </w:r>
          </w:p>
        </w:tc>
        <w:tc>
          <w:tcPr>
            <w:tcW w:w="587" w:type="pct"/>
            <w:tcBorders>
              <w:top w:val="nil"/>
              <w:left w:val="nil"/>
              <w:bottom w:val="nil"/>
              <w:right w:val="nil"/>
            </w:tcBorders>
            <w:shd w:val="clear" w:color="000000" w:fill="E6F2FF"/>
            <w:noWrap/>
            <w:vAlign w:val="bottom"/>
            <w:hideMark/>
          </w:tcPr>
          <w:p w14:paraId="4711D3A3"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3 1/2</w:t>
            </w:r>
          </w:p>
        </w:tc>
        <w:tc>
          <w:tcPr>
            <w:tcW w:w="587" w:type="pct"/>
            <w:tcBorders>
              <w:top w:val="nil"/>
              <w:left w:val="nil"/>
              <w:bottom w:val="nil"/>
              <w:right w:val="nil"/>
            </w:tcBorders>
            <w:shd w:val="clear" w:color="000000" w:fill="FFFFFF"/>
            <w:noWrap/>
            <w:vAlign w:val="bottom"/>
            <w:hideMark/>
          </w:tcPr>
          <w:p w14:paraId="11F100A4"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 1/2</w:t>
            </w:r>
          </w:p>
        </w:tc>
        <w:tc>
          <w:tcPr>
            <w:tcW w:w="587" w:type="pct"/>
            <w:tcBorders>
              <w:top w:val="nil"/>
              <w:left w:val="nil"/>
              <w:bottom w:val="nil"/>
              <w:right w:val="nil"/>
            </w:tcBorders>
            <w:shd w:val="clear" w:color="000000" w:fill="FFFFFF"/>
            <w:noWrap/>
            <w:vAlign w:val="bottom"/>
            <w:hideMark/>
          </w:tcPr>
          <w:p w14:paraId="65B240AF"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 1/4</w:t>
            </w:r>
          </w:p>
        </w:tc>
        <w:tc>
          <w:tcPr>
            <w:tcW w:w="587" w:type="pct"/>
            <w:tcBorders>
              <w:top w:val="nil"/>
              <w:left w:val="nil"/>
              <w:bottom w:val="nil"/>
              <w:right w:val="nil"/>
            </w:tcBorders>
            <w:shd w:val="clear" w:color="000000" w:fill="FFFFFF"/>
            <w:noWrap/>
            <w:vAlign w:val="bottom"/>
            <w:hideMark/>
          </w:tcPr>
          <w:p w14:paraId="026860C1"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 xml:space="preserve">2    </w:t>
            </w:r>
          </w:p>
        </w:tc>
      </w:tr>
      <w:tr w:rsidR="00C72597" w:rsidRPr="009355BF" w14:paraId="111CAE62" w14:textId="77777777" w:rsidTr="00C72597">
        <w:trPr>
          <w:trHeight w:hRule="exact" w:val="225"/>
        </w:trPr>
        <w:tc>
          <w:tcPr>
            <w:tcW w:w="2067" w:type="pct"/>
            <w:tcBorders>
              <w:top w:val="nil"/>
              <w:left w:val="nil"/>
              <w:bottom w:val="single" w:sz="4" w:space="0" w:color="293F5B"/>
              <w:right w:val="nil"/>
            </w:tcBorders>
            <w:shd w:val="clear" w:color="auto" w:fill="auto"/>
            <w:noWrap/>
            <w:vAlign w:val="bottom"/>
            <w:hideMark/>
          </w:tcPr>
          <w:p w14:paraId="3A5EEDA4" w14:textId="77777777" w:rsidR="00C72597" w:rsidRPr="009355BF" w:rsidRDefault="00C72597" w:rsidP="00C72597">
            <w:pPr>
              <w:spacing w:before="0" w:after="0" w:line="240" w:lineRule="auto"/>
              <w:rPr>
                <w:rFonts w:ascii="Arial" w:hAnsi="Arial" w:cs="Arial"/>
                <w:sz w:val="16"/>
                <w:szCs w:val="16"/>
              </w:rPr>
            </w:pPr>
            <w:r w:rsidRPr="009355BF">
              <w:rPr>
                <w:rFonts w:ascii="Arial" w:hAnsi="Arial" w:cs="Arial"/>
                <w:sz w:val="16"/>
                <w:szCs w:val="16"/>
              </w:rPr>
              <w:t>Wage cost index – 6</w:t>
            </w:r>
          </w:p>
        </w:tc>
        <w:tc>
          <w:tcPr>
            <w:tcW w:w="587" w:type="pct"/>
            <w:tcBorders>
              <w:top w:val="nil"/>
              <w:left w:val="nil"/>
              <w:bottom w:val="single" w:sz="4" w:space="0" w:color="293F5B"/>
              <w:right w:val="nil"/>
            </w:tcBorders>
            <w:shd w:val="clear" w:color="000000" w:fill="FFFFFF"/>
            <w:noWrap/>
            <w:vAlign w:val="bottom"/>
            <w:hideMark/>
          </w:tcPr>
          <w:p w14:paraId="66CF87C4"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5 1/2</w:t>
            </w:r>
          </w:p>
        </w:tc>
        <w:tc>
          <w:tcPr>
            <w:tcW w:w="587" w:type="pct"/>
            <w:tcBorders>
              <w:top w:val="nil"/>
              <w:left w:val="nil"/>
              <w:bottom w:val="single" w:sz="4" w:space="0" w:color="293F5B"/>
              <w:right w:val="nil"/>
            </w:tcBorders>
            <w:shd w:val="clear" w:color="000000" w:fill="E6F2FF"/>
            <w:noWrap/>
            <w:vAlign w:val="bottom"/>
            <w:hideMark/>
          </w:tcPr>
          <w:p w14:paraId="42984637"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3 1/2</w:t>
            </w:r>
          </w:p>
        </w:tc>
        <w:tc>
          <w:tcPr>
            <w:tcW w:w="587" w:type="pct"/>
            <w:tcBorders>
              <w:top w:val="nil"/>
              <w:left w:val="nil"/>
              <w:bottom w:val="single" w:sz="4" w:space="0" w:color="293F5B"/>
              <w:right w:val="nil"/>
            </w:tcBorders>
            <w:shd w:val="clear" w:color="000000" w:fill="FFFFFF"/>
            <w:noWrap/>
            <w:vAlign w:val="bottom"/>
            <w:hideMark/>
          </w:tcPr>
          <w:p w14:paraId="66CA87EA"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 1/2</w:t>
            </w:r>
          </w:p>
        </w:tc>
        <w:tc>
          <w:tcPr>
            <w:tcW w:w="587" w:type="pct"/>
            <w:tcBorders>
              <w:top w:val="nil"/>
              <w:left w:val="nil"/>
              <w:bottom w:val="single" w:sz="4" w:space="0" w:color="293F5B"/>
              <w:right w:val="nil"/>
            </w:tcBorders>
            <w:shd w:val="clear" w:color="000000" w:fill="FFFFFF"/>
            <w:noWrap/>
            <w:vAlign w:val="bottom"/>
            <w:hideMark/>
          </w:tcPr>
          <w:p w14:paraId="02CD1758"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 1/2</w:t>
            </w:r>
          </w:p>
        </w:tc>
        <w:tc>
          <w:tcPr>
            <w:tcW w:w="587" w:type="pct"/>
            <w:tcBorders>
              <w:top w:val="nil"/>
              <w:left w:val="nil"/>
              <w:bottom w:val="single" w:sz="4" w:space="0" w:color="293F5B"/>
              <w:right w:val="nil"/>
            </w:tcBorders>
            <w:shd w:val="clear" w:color="000000" w:fill="FFFFFF"/>
            <w:noWrap/>
            <w:vAlign w:val="bottom"/>
            <w:hideMark/>
          </w:tcPr>
          <w:p w14:paraId="11053DB3" w14:textId="77777777" w:rsidR="00C72597" w:rsidRPr="009355BF" w:rsidRDefault="00C72597" w:rsidP="00C72597">
            <w:pPr>
              <w:spacing w:before="0" w:after="0" w:line="240" w:lineRule="auto"/>
              <w:jc w:val="right"/>
              <w:rPr>
                <w:rFonts w:ascii="Arial" w:hAnsi="Arial" w:cs="Arial"/>
                <w:sz w:val="16"/>
                <w:szCs w:val="16"/>
              </w:rPr>
            </w:pPr>
            <w:r w:rsidRPr="009355BF">
              <w:rPr>
                <w:rFonts w:ascii="Arial" w:hAnsi="Arial" w:cs="Arial"/>
                <w:sz w:val="16"/>
                <w:szCs w:val="16"/>
              </w:rPr>
              <w:t>2 1/4</w:t>
            </w:r>
          </w:p>
        </w:tc>
      </w:tr>
    </w:tbl>
    <w:p w14:paraId="16B51FC6" w14:textId="500900C1" w:rsidR="00E6789E" w:rsidRPr="009355BF" w:rsidRDefault="00E6789E" w:rsidP="00E6789E">
      <w:pPr>
        <w:pStyle w:val="Heading2"/>
        <w:rPr>
          <w:rFonts w:eastAsiaTheme="minorHAnsi"/>
        </w:rPr>
      </w:pPr>
      <w:r w:rsidRPr="009355BF">
        <w:t>Data sources</w:t>
      </w:r>
    </w:p>
    <w:p w14:paraId="3D90B344" w14:textId="77777777" w:rsidR="00E6789E" w:rsidRPr="009355BF" w:rsidRDefault="00E6789E" w:rsidP="00E6789E">
      <w:r w:rsidRPr="009355BF">
        <w:t>The information in Appendix B and Appendix C of this Budget Paper is consistent with the ABS Government Finance Statistics reporting framework for the public sector.</w:t>
      </w:r>
    </w:p>
    <w:p w14:paraId="733A045A" w14:textId="405A77FB" w:rsidR="00E6789E" w:rsidRPr="009355BF" w:rsidRDefault="00E6789E" w:rsidP="00E6789E">
      <w:r w:rsidRPr="009355BF">
        <w:t xml:space="preserve">Australian Government data are sourced from the Australian Government Consolidated Financial Statements, Australian Government Final Budget Outcomes, and ABS Government Finance Statistics. See Budget Paper No. 1, </w:t>
      </w:r>
      <w:r w:rsidRPr="009355BF">
        <w:rPr>
          <w:rStyle w:val="Emphasis"/>
        </w:rPr>
        <w:t>Budget Strategy and Outlook 202</w:t>
      </w:r>
      <w:r w:rsidR="00427BF7" w:rsidRPr="009355BF">
        <w:rPr>
          <w:rStyle w:val="Emphasis"/>
        </w:rPr>
        <w:t>4</w:t>
      </w:r>
      <w:r w:rsidRPr="009355BF">
        <w:rPr>
          <w:rStyle w:val="Emphasis"/>
        </w:rPr>
        <w:t>–2</w:t>
      </w:r>
      <w:r w:rsidR="00427BF7" w:rsidRPr="009355BF">
        <w:rPr>
          <w:rStyle w:val="Emphasis"/>
        </w:rPr>
        <w:t>5</w:t>
      </w:r>
      <w:r w:rsidRPr="009355BF">
        <w:rPr>
          <w:rStyle w:val="Emphasis"/>
        </w:rPr>
        <w:t xml:space="preserve"> Statement 10: Australian Government Budget Financial Statements</w:t>
      </w:r>
      <w:r w:rsidRPr="009355BF">
        <w:rPr>
          <w:i/>
        </w:rPr>
        <w:t xml:space="preserve">, </w:t>
      </w:r>
      <w:r w:rsidRPr="009355BF">
        <w:rPr>
          <w:iCs/>
        </w:rPr>
        <w:t>and</w:t>
      </w:r>
      <w:r w:rsidRPr="009355BF">
        <w:rPr>
          <w:i/>
        </w:rPr>
        <w:t xml:space="preserve"> </w:t>
      </w:r>
      <w:r w:rsidRPr="009355BF">
        <w:rPr>
          <w:rStyle w:val="Emphasis"/>
        </w:rPr>
        <w:t>Statement 11: Historical Australian Government Data</w:t>
      </w:r>
      <w:r w:rsidRPr="009355BF">
        <w:t xml:space="preserve">, for more information. </w:t>
      </w:r>
    </w:p>
    <w:p w14:paraId="2C04043A" w14:textId="226132F2" w:rsidR="005805A9" w:rsidRPr="009355BF" w:rsidRDefault="00E6789E" w:rsidP="00676DE4">
      <w:r w:rsidRPr="009355BF">
        <w:br w:type="page"/>
      </w:r>
    </w:p>
    <w:p w14:paraId="13C5E9EF" w14:textId="4B7771BC" w:rsidR="00E6789E" w:rsidRPr="009355BF" w:rsidRDefault="00E6789E" w:rsidP="00E6789E">
      <w:pPr>
        <w:pStyle w:val="Heading2"/>
      </w:pPr>
      <w:r w:rsidRPr="009355BF">
        <w:lastRenderedPageBreak/>
        <w:t>Further information</w:t>
      </w:r>
    </w:p>
    <w:p w14:paraId="2AAC2568" w14:textId="4EEC6947" w:rsidR="00E6789E" w:rsidRPr="009355BF" w:rsidRDefault="00145E8D" w:rsidP="00E6789E">
      <w:pPr>
        <w:rPr>
          <w:rFonts w:eastAsiaTheme="minorHAnsi"/>
        </w:rPr>
      </w:pPr>
      <w:r w:rsidRPr="009355BF">
        <w:t>A range of</w:t>
      </w:r>
      <w:r w:rsidR="00E6789E" w:rsidRPr="009355BF">
        <w:t xml:space="preserve"> publications provide information that is relevant to analysing federal financial relations data, including:</w:t>
      </w:r>
    </w:p>
    <w:p w14:paraId="2923C75F" w14:textId="77777777" w:rsidR="00E6789E" w:rsidRPr="009355BF" w:rsidRDefault="00E6789E" w:rsidP="00E6789E">
      <w:pPr>
        <w:pStyle w:val="Bullet"/>
        <w:numPr>
          <w:ilvl w:val="0"/>
          <w:numId w:val="21"/>
        </w:numPr>
      </w:pPr>
      <w:r w:rsidRPr="009355BF">
        <w:rPr>
          <w:rStyle w:val="Emphasis"/>
        </w:rPr>
        <w:t>National, state and territory population</w:t>
      </w:r>
    </w:p>
    <w:p w14:paraId="5CA45104" w14:textId="77777777" w:rsidR="00E6789E" w:rsidRPr="009355BF" w:rsidRDefault="00E6789E" w:rsidP="00E6789E">
      <w:pPr>
        <w:pStyle w:val="Bullet"/>
        <w:numPr>
          <w:ilvl w:val="0"/>
          <w:numId w:val="21"/>
        </w:numPr>
      </w:pPr>
      <w:r w:rsidRPr="009355BF">
        <w:rPr>
          <w:rStyle w:val="Emphasis"/>
        </w:rPr>
        <w:t>Overseas Arrivals and Departures, Australia</w:t>
      </w:r>
    </w:p>
    <w:p w14:paraId="26C4E790" w14:textId="77777777" w:rsidR="00E6789E" w:rsidRPr="009355BF" w:rsidRDefault="00E6789E" w:rsidP="00E6789E">
      <w:pPr>
        <w:pStyle w:val="Bullet"/>
        <w:numPr>
          <w:ilvl w:val="0"/>
          <w:numId w:val="21"/>
        </w:numPr>
      </w:pPr>
      <w:r w:rsidRPr="009355BF">
        <w:rPr>
          <w:rStyle w:val="Emphasis"/>
        </w:rPr>
        <w:t>Migration, Australia</w:t>
      </w:r>
    </w:p>
    <w:p w14:paraId="6AF4425F" w14:textId="77777777" w:rsidR="00E6789E" w:rsidRPr="009355BF" w:rsidRDefault="00E6789E" w:rsidP="00E6789E">
      <w:pPr>
        <w:pStyle w:val="Bullet"/>
        <w:numPr>
          <w:ilvl w:val="0"/>
          <w:numId w:val="21"/>
        </w:numPr>
      </w:pPr>
      <w:r w:rsidRPr="009355BF">
        <w:rPr>
          <w:rStyle w:val="Emphasis"/>
        </w:rPr>
        <w:t>Births, Australia</w:t>
      </w:r>
    </w:p>
    <w:p w14:paraId="37A32628" w14:textId="77777777" w:rsidR="00E6789E" w:rsidRPr="009355BF" w:rsidRDefault="00E6789E" w:rsidP="00E6789E">
      <w:pPr>
        <w:pStyle w:val="Bullet"/>
        <w:numPr>
          <w:ilvl w:val="0"/>
          <w:numId w:val="21"/>
        </w:numPr>
      </w:pPr>
      <w:r w:rsidRPr="009355BF">
        <w:rPr>
          <w:rStyle w:val="Emphasis"/>
        </w:rPr>
        <w:t>Life tables</w:t>
      </w:r>
    </w:p>
    <w:p w14:paraId="08FB98E3" w14:textId="77777777" w:rsidR="00E6789E" w:rsidRPr="009355BF" w:rsidRDefault="00E6789E" w:rsidP="00E6789E">
      <w:pPr>
        <w:pStyle w:val="Bullet"/>
        <w:numPr>
          <w:ilvl w:val="0"/>
          <w:numId w:val="3"/>
        </w:numPr>
        <w:ind w:left="284" w:hanging="284"/>
      </w:pPr>
      <w:r w:rsidRPr="009355BF">
        <w:rPr>
          <w:rStyle w:val="Emphasis"/>
        </w:rPr>
        <w:t>Deaths, Australia</w:t>
      </w:r>
    </w:p>
    <w:p w14:paraId="3724F377" w14:textId="77777777" w:rsidR="00E6789E" w:rsidRPr="009355BF" w:rsidRDefault="00E6789E" w:rsidP="00E6789E">
      <w:pPr>
        <w:pStyle w:val="Bullet"/>
        <w:numPr>
          <w:ilvl w:val="0"/>
          <w:numId w:val="3"/>
        </w:numPr>
        <w:ind w:left="284" w:hanging="284"/>
      </w:pPr>
      <w:r w:rsidRPr="009355BF">
        <w:rPr>
          <w:rStyle w:val="Emphasis"/>
        </w:rPr>
        <w:t>Taxation Revenue, Australia</w:t>
      </w:r>
    </w:p>
    <w:p w14:paraId="1F9CDC26" w14:textId="77777777" w:rsidR="00E6789E" w:rsidRPr="009355BF" w:rsidRDefault="00E6789E" w:rsidP="00E6789E">
      <w:pPr>
        <w:pStyle w:val="Bullet"/>
        <w:numPr>
          <w:ilvl w:val="0"/>
          <w:numId w:val="3"/>
        </w:numPr>
        <w:ind w:left="284" w:hanging="284"/>
      </w:pPr>
      <w:r w:rsidRPr="009355BF">
        <w:rPr>
          <w:rStyle w:val="Emphasis"/>
        </w:rPr>
        <w:t>Government Finance Statistics, Australia</w:t>
      </w:r>
    </w:p>
    <w:p w14:paraId="5FB64EF5" w14:textId="77777777" w:rsidR="00E6789E" w:rsidRPr="009355BF" w:rsidRDefault="00E6789E" w:rsidP="00E6789E">
      <w:pPr>
        <w:pStyle w:val="Bullet"/>
        <w:numPr>
          <w:ilvl w:val="0"/>
          <w:numId w:val="3"/>
        </w:numPr>
        <w:ind w:left="284" w:hanging="284"/>
      </w:pPr>
      <w:r w:rsidRPr="009355BF">
        <w:rPr>
          <w:rStyle w:val="Emphasis"/>
        </w:rPr>
        <w:t>Australian System of Government Finance Statistics – Concepts, Sources and Methods</w:t>
      </w:r>
    </w:p>
    <w:p w14:paraId="6FFFECD6" w14:textId="77777777" w:rsidR="00E6789E" w:rsidRPr="009355BF" w:rsidRDefault="00E6789E" w:rsidP="00E6789E">
      <w:pPr>
        <w:pStyle w:val="Bullet"/>
        <w:numPr>
          <w:ilvl w:val="0"/>
          <w:numId w:val="21"/>
        </w:numPr>
      </w:pPr>
      <w:r w:rsidRPr="009355BF">
        <w:t xml:space="preserve">Information Paper: </w:t>
      </w:r>
      <w:r w:rsidRPr="009355BF">
        <w:rPr>
          <w:rStyle w:val="Emphasis"/>
        </w:rPr>
        <w:t>Developments in Government Finance Statistics</w:t>
      </w:r>
    </w:p>
    <w:p w14:paraId="482DB3CB" w14:textId="77777777" w:rsidR="00E6789E" w:rsidRPr="009355BF" w:rsidRDefault="00E6789E" w:rsidP="00E6789E">
      <w:pPr>
        <w:pStyle w:val="Bullet"/>
        <w:numPr>
          <w:ilvl w:val="0"/>
          <w:numId w:val="21"/>
        </w:numPr>
      </w:pPr>
      <w:r w:rsidRPr="009355BF">
        <w:t xml:space="preserve">Information Paper: </w:t>
      </w:r>
      <w:r w:rsidRPr="009355BF">
        <w:rPr>
          <w:rStyle w:val="Emphasis"/>
        </w:rPr>
        <w:t>Accruals Based Government Finance Statistics</w:t>
      </w:r>
    </w:p>
    <w:p w14:paraId="1C575BDF" w14:textId="2610A406" w:rsidR="00E6789E" w:rsidRPr="009355BF" w:rsidRDefault="00E6789E" w:rsidP="00E6789E">
      <w:pPr>
        <w:pStyle w:val="Bullet"/>
        <w:numPr>
          <w:ilvl w:val="0"/>
          <w:numId w:val="21"/>
        </w:numPr>
      </w:pPr>
      <w:r w:rsidRPr="009355BF">
        <w:t xml:space="preserve">McDonald, P (2020), </w:t>
      </w:r>
      <w:r w:rsidRPr="009355BF">
        <w:rPr>
          <w:rStyle w:val="Emphasis"/>
        </w:rPr>
        <w:t>A Projection of Australia’s Future Fertility Rates</w:t>
      </w:r>
      <w:r w:rsidRPr="009355BF">
        <w:t xml:space="preserve">, Centre for Population Research Paper, Australian Government, Canberra. </w:t>
      </w:r>
    </w:p>
    <w:p w14:paraId="11EAC93F" w14:textId="77A55665" w:rsidR="00A11F5D" w:rsidRPr="00E6789E" w:rsidRDefault="00E6789E" w:rsidP="00E6789E">
      <w:r w:rsidRPr="009355BF">
        <w:t>Commonwealth Grants Commission publications provide information about the distribution of GST revenue. In relation to the 202</w:t>
      </w:r>
      <w:r w:rsidR="002E15FD" w:rsidRPr="009355BF">
        <w:t>4</w:t>
      </w:r>
      <w:r w:rsidRPr="009355BF">
        <w:t>–2</w:t>
      </w:r>
      <w:r w:rsidR="002E15FD" w:rsidRPr="009355BF">
        <w:t>5</w:t>
      </w:r>
      <w:r w:rsidRPr="009355BF">
        <w:t xml:space="preserve"> financial year, the most relevant publication is the report </w:t>
      </w:r>
      <w:r w:rsidRPr="009355BF">
        <w:rPr>
          <w:rStyle w:val="Emphasis"/>
        </w:rPr>
        <w:t>GST Revenue Sharing Relativities – 202</w:t>
      </w:r>
      <w:r w:rsidR="002E15FD" w:rsidRPr="009355BF">
        <w:rPr>
          <w:rStyle w:val="Emphasis"/>
        </w:rPr>
        <w:t>4</w:t>
      </w:r>
      <w:r w:rsidRPr="009355BF">
        <w:rPr>
          <w:rStyle w:val="Emphasis"/>
        </w:rPr>
        <w:t xml:space="preserve"> Update</w:t>
      </w:r>
      <w:r w:rsidRPr="009355BF">
        <w:t>.</w:t>
      </w:r>
    </w:p>
    <w:sectPr w:rsidR="00A11F5D" w:rsidRPr="00E6789E" w:rsidSect="00D66772">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C319" w14:textId="77777777" w:rsidR="00AA576B" w:rsidRDefault="00AA576B" w:rsidP="00E40261">
      <w:pPr>
        <w:spacing w:after="0" w:line="240" w:lineRule="auto"/>
      </w:pPr>
      <w:r>
        <w:separator/>
      </w:r>
    </w:p>
  </w:endnote>
  <w:endnote w:type="continuationSeparator" w:id="0">
    <w:p w14:paraId="2F82F54E" w14:textId="77777777" w:rsidR="00AA576B" w:rsidRDefault="00AA576B" w:rsidP="00E40261">
      <w:pPr>
        <w:spacing w:after="0" w:line="240" w:lineRule="auto"/>
      </w:pPr>
      <w:r>
        <w:continuationSeparator/>
      </w:r>
    </w:p>
  </w:endnote>
  <w:endnote w:type="continuationNotice" w:id="1">
    <w:p w14:paraId="5E49F93C" w14:textId="77777777" w:rsidR="00AA576B" w:rsidRDefault="00AA57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5BEB" w14:textId="5428DABC"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B25A5C">
        <w:t>Appendix A: Parameters and further information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C598" w14:textId="7224B0EB" w:rsidR="00FB5DDD" w:rsidRDefault="00B25A5C" w:rsidP="002A6A16">
    <w:pPr>
      <w:pStyle w:val="FooterOdd"/>
    </w:pPr>
    <w:fldSimple w:instr=" SUBJECT   \* MERGEFORMAT ">
      <w:r>
        <w:t>Appendix A: Parameters and further information</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EE23" w14:textId="2901FEFA" w:rsidR="00FB5DDD" w:rsidRDefault="00B25A5C" w:rsidP="00360947">
    <w:pPr>
      <w:pStyle w:val="FooterOdd"/>
    </w:pPr>
    <w:fldSimple w:instr=" SUBJECT   \* MERGEFORMAT ">
      <w:r>
        <w:t>Appendix A: Parameters and further information</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43F0" w14:textId="77777777" w:rsidR="00AA576B" w:rsidRPr="003C1CA4" w:rsidRDefault="00AA576B"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682F9936" w14:textId="77777777" w:rsidR="00AA576B" w:rsidRDefault="00AA576B" w:rsidP="00E40261">
      <w:pPr>
        <w:spacing w:after="0" w:line="240" w:lineRule="auto"/>
      </w:pPr>
      <w:r>
        <w:continuationSeparator/>
      </w:r>
    </w:p>
  </w:footnote>
  <w:footnote w:type="continuationNotice" w:id="1">
    <w:p w14:paraId="26AB9E7A" w14:textId="77777777" w:rsidR="00AA576B" w:rsidRDefault="00AA57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4842" w14:textId="37B21B6C"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D19AA95" w14:textId="77777777">
      <w:trPr>
        <w:trHeight w:hRule="exact" w:val="340"/>
      </w:trPr>
      <w:tc>
        <w:tcPr>
          <w:tcW w:w="7797" w:type="dxa"/>
        </w:tcPr>
        <w:p w14:paraId="1549D915" w14:textId="48D4EC18" w:rsidR="00FB5DDD" w:rsidRPr="008C56E1" w:rsidRDefault="00FB5DDD" w:rsidP="00F60EA1">
          <w:pPr>
            <w:pStyle w:val="HeaderEven"/>
          </w:pPr>
          <w:r w:rsidRPr="008C56E1">
            <w:rPr>
              <w:noProof/>
              <w:position w:val="-8"/>
            </w:rPr>
            <w:drawing>
              <wp:inline distT="0" distB="0" distL="0" distR="0" wp14:anchorId="1A417EA2" wp14:editId="10966B2C">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B25A5C">
              <w:t>Budget Paper No. 3</w:t>
            </w:r>
          </w:fldSimple>
        </w:p>
      </w:tc>
    </w:tr>
  </w:tbl>
  <w:p w14:paraId="6CB1F98E" w14:textId="77777777" w:rsidR="00FB5DDD" w:rsidRPr="00AA5439" w:rsidRDefault="00FB5DDD" w:rsidP="00AA5439">
    <w:pPr>
      <w:pStyle w:val="HeaderEven"/>
      <w:rPr>
        <w:sz w:val="2"/>
        <w:szCs w:val="4"/>
      </w:rPr>
    </w:pPr>
  </w:p>
  <w:p w14:paraId="02BFBE37"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8525" w14:textId="67651B65"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4C4318" w14:paraId="63305610" w14:textId="77777777">
      <w:trPr>
        <w:trHeight w:hRule="exact" w:val="340"/>
      </w:trPr>
      <w:tc>
        <w:tcPr>
          <w:tcW w:w="7797" w:type="dxa"/>
          <w:tcMar>
            <w:left w:w="108" w:type="dxa"/>
            <w:right w:w="108" w:type="dxa"/>
          </w:tcMar>
        </w:tcPr>
        <w:p w14:paraId="72668CB1" w14:textId="5493CB17" w:rsidR="004C4318" w:rsidRPr="00D13BF9" w:rsidRDefault="00B25A5C" w:rsidP="00D13BF9">
          <w:pPr>
            <w:pStyle w:val="HeaderOdd"/>
          </w:pPr>
          <w:fldSimple w:instr=" TITLE   \* MERGEFORMAT ">
            <w:r>
              <w:t>Budget Paper No. 3</w:t>
            </w:r>
          </w:fldSimple>
          <w:r w:rsidR="004C4318" w:rsidRPr="00D13BF9">
            <w:t xml:space="preserve">  |  </w:t>
          </w:r>
          <w:r w:rsidR="004C4318" w:rsidRPr="00C9389A">
            <w:rPr>
              <w:noProof/>
              <w:position w:val="-8"/>
            </w:rPr>
            <w:drawing>
              <wp:inline distT="0" distB="0" distL="0" distR="0" wp14:anchorId="50629614" wp14:editId="759A4402">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7E17B667"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A0F2" w14:textId="62BBB3A4" w:rsidR="00FB5DDD" w:rsidRDefault="00FB5DDD">
    <w:pPr>
      <w:pStyle w:val="Header"/>
      <w:rPr>
        <w:sz w:val="2"/>
        <w:szCs w:val="2"/>
      </w:rPr>
    </w:pPr>
  </w:p>
  <w:p w14:paraId="36FA3A15" w14:textId="77777777" w:rsidR="00FB5DDD" w:rsidRDefault="00FB5DDD">
    <w:pPr>
      <w:pStyle w:val="Header"/>
      <w:rPr>
        <w:sz w:val="2"/>
        <w:szCs w:val="2"/>
      </w:rPr>
    </w:pPr>
  </w:p>
  <w:p w14:paraId="39C6DE6F"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3DDCB741" wp14:editId="576F0198">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24DF6" w14:textId="20A8CB7A" w:rsidR="00FB5DDD" w:rsidRPr="00137C7E" w:rsidRDefault="00B25A5C" w:rsidP="001D33D6">
                          <w:pPr>
                            <w:pStyle w:val="HeaderOdd"/>
                          </w:pPr>
                          <w:fldSimple w:instr=" TITLE   \* MERGEFORMAT ">
                            <w:r>
                              <w:t>Budget Paper No. 3</w:t>
                            </w:r>
                          </w:fldSimple>
                          <w:r w:rsidR="00FB5DDD">
                            <w:t xml:space="preserve">  |  </w:t>
                          </w:r>
                          <w:r w:rsidR="00FB5DDD" w:rsidRPr="000635BE">
                            <w:rPr>
                              <w:rFonts w:ascii="Arial Bold" w:hAnsi="Arial Bold"/>
                              <w:b/>
                              <w:bCs/>
                              <w:noProof/>
                              <w:position w:val="-10"/>
                            </w:rPr>
                            <w:drawing>
                              <wp:inline distT="0" distB="0" distL="0" distR="0" wp14:anchorId="63ACC36D" wp14:editId="3A2FF671">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DDCB741" id="_x0000_t202" coordsize="21600,21600" o:spt="202" path="m,l,21600r21600,l21600,xe">
              <v:stroke joinstyle="miter"/>
              <v:path gradientshapeok="t" o:connecttype="rect"/>
            </v:shapetype>
            <v:shape id="Text Box 70"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2CF24DF6" w14:textId="20A8CB7A" w:rsidR="00FB5DDD" w:rsidRPr="00137C7E" w:rsidRDefault="00B25A5C" w:rsidP="001D33D6">
                    <w:pPr>
                      <w:pStyle w:val="HeaderOdd"/>
                    </w:pPr>
                    <w:r>
                      <w:fldChar w:fldCharType="begin"/>
                    </w:r>
                    <w:r>
                      <w:instrText xml:space="preserve"> TITLE   \* MERGEFORMAT </w:instrText>
                    </w:r>
                    <w:r>
                      <w:fldChar w:fldCharType="separate"/>
                    </w:r>
                    <w:r>
                      <w:t>Budget Paper No. 3</w:t>
                    </w:r>
                    <w:r>
                      <w:fldChar w:fldCharType="end"/>
                    </w:r>
                    <w:r w:rsidR="00FB5DDD">
                      <w:t xml:space="preserve">  |  </w:t>
                    </w:r>
                    <w:r w:rsidR="00FB5DDD" w:rsidRPr="000635BE">
                      <w:rPr>
                        <w:rFonts w:ascii="Arial Bold" w:hAnsi="Arial Bold"/>
                        <w:b/>
                        <w:bCs/>
                        <w:noProof/>
                        <w:position w:val="-10"/>
                      </w:rPr>
                      <w:drawing>
                        <wp:inline distT="0" distB="0" distL="0" distR="0" wp14:anchorId="63ACC36D" wp14:editId="3A2FF671">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3"/>
  </w:num>
  <w:num w:numId="2">
    <w:abstractNumId w:val="11"/>
  </w:num>
  <w:num w:numId="3">
    <w:abstractNumId w:val="10"/>
  </w:num>
  <w:num w:numId="4">
    <w:abstractNumId w:val="12"/>
  </w:num>
  <w:num w:numId="5">
    <w:abstractNumId w:val="14"/>
  </w:num>
  <w:num w:numId="6">
    <w:abstractNumId w:val="10"/>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6789E"/>
    <w:rsid w:val="000004EA"/>
    <w:rsid w:val="0000235C"/>
    <w:rsid w:val="00002D8A"/>
    <w:rsid w:val="000078B8"/>
    <w:rsid w:val="00011DBB"/>
    <w:rsid w:val="00013EA8"/>
    <w:rsid w:val="0002072B"/>
    <w:rsid w:val="00022340"/>
    <w:rsid w:val="00023ADC"/>
    <w:rsid w:val="00024BA4"/>
    <w:rsid w:val="000265E6"/>
    <w:rsid w:val="000303E5"/>
    <w:rsid w:val="000314E4"/>
    <w:rsid w:val="00035D8D"/>
    <w:rsid w:val="00050A83"/>
    <w:rsid w:val="000526E1"/>
    <w:rsid w:val="000546EB"/>
    <w:rsid w:val="00054E31"/>
    <w:rsid w:val="000560D4"/>
    <w:rsid w:val="0006074F"/>
    <w:rsid w:val="00061CBB"/>
    <w:rsid w:val="000622DA"/>
    <w:rsid w:val="00062438"/>
    <w:rsid w:val="000635BE"/>
    <w:rsid w:val="00076B31"/>
    <w:rsid w:val="00080C00"/>
    <w:rsid w:val="0008399A"/>
    <w:rsid w:val="0008597F"/>
    <w:rsid w:val="00095C91"/>
    <w:rsid w:val="000A69DC"/>
    <w:rsid w:val="000B066F"/>
    <w:rsid w:val="000B38A8"/>
    <w:rsid w:val="000B5E3E"/>
    <w:rsid w:val="000C6D1D"/>
    <w:rsid w:val="000D154F"/>
    <w:rsid w:val="000D3519"/>
    <w:rsid w:val="000D73F1"/>
    <w:rsid w:val="000D78F4"/>
    <w:rsid w:val="000E105B"/>
    <w:rsid w:val="000E149B"/>
    <w:rsid w:val="000E3D33"/>
    <w:rsid w:val="000E74E1"/>
    <w:rsid w:val="000F10E2"/>
    <w:rsid w:val="000F27AD"/>
    <w:rsid w:val="000F3AA5"/>
    <w:rsid w:val="000F4288"/>
    <w:rsid w:val="00103016"/>
    <w:rsid w:val="00103F65"/>
    <w:rsid w:val="0011175D"/>
    <w:rsid w:val="001142BB"/>
    <w:rsid w:val="00120BBC"/>
    <w:rsid w:val="00127488"/>
    <w:rsid w:val="00145E8D"/>
    <w:rsid w:val="001472CA"/>
    <w:rsid w:val="001546BA"/>
    <w:rsid w:val="00160928"/>
    <w:rsid w:val="00167868"/>
    <w:rsid w:val="00172CFE"/>
    <w:rsid w:val="001801F5"/>
    <w:rsid w:val="00185388"/>
    <w:rsid w:val="00185CB3"/>
    <w:rsid w:val="0019115B"/>
    <w:rsid w:val="001970E6"/>
    <w:rsid w:val="001A4530"/>
    <w:rsid w:val="001A5A92"/>
    <w:rsid w:val="001A7712"/>
    <w:rsid w:val="001B0380"/>
    <w:rsid w:val="001B20A2"/>
    <w:rsid w:val="001B2342"/>
    <w:rsid w:val="001B7B2E"/>
    <w:rsid w:val="001B7C45"/>
    <w:rsid w:val="001C29BA"/>
    <w:rsid w:val="001C5E21"/>
    <w:rsid w:val="001C6736"/>
    <w:rsid w:val="001D143B"/>
    <w:rsid w:val="001D1EA6"/>
    <w:rsid w:val="001D33D6"/>
    <w:rsid w:val="001D478B"/>
    <w:rsid w:val="001E19C5"/>
    <w:rsid w:val="001E6FD3"/>
    <w:rsid w:val="001E746D"/>
    <w:rsid w:val="001F08E1"/>
    <w:rsid w:val="001F3241"/>
    <w:rsid w:val="002006D6"/>
    <w:rsid w:val="00206A05"/>
    <w:rsid w:val="00207227"/>
    <w:rsid w:val="002113C4"/>
    <w:rsid w:val="0021737A"/>
    <w:rsid w:val="002240B0"/>
    <w:rsid w:val="0022719E"/>
    <w:rsid w:val="0022751E"/>
    <w:rsid w:val="00230F12"/>
    <w:rsid w:val="00237F04"/>
    <w:rsid w:val="00241CAF"/>
    <w:rsid w:val="00242462"/>
    <w:rsid w:val="00242479"/>
    <w:rsid w:val="0024521A"/>
    <w:rsid w:val="00247FCA"/>
    <w:rsid w:val="00250208"/>
    <w:rsid w:val="00252FFB"/>
    <w:rsid w:val="002548E8"/>
    <w:rsid w:val="00255B7B"/>
    <w:rsid w:val="00265ADF"/>
    <w:rsid w:val="00267200"/>
    <w:rsid w:val="00275030"/>
    <w:rsid w:val="00281716"/>
    <w:rsid w:val="002837D7"/>
    <w:rsid w:val="00285711"/>
    <w:rsid w:val="00287024"/>
    <w:rsid w:val="00290C2F"/>
    <w:rsid w:val="00295B47"/>
    <w:rsid w:val="002A1803"/>
    <w:rsid w:val="002A284B"/>
    <w:rsid w:val="002A5340"/>
    <w:rsid w:val="002A6A16"/>
    <w:rsid w:val="002B6106"/>
    <w:rsid w:val="002B63FE"/>
    <w:rsid w:val="002C18F6"/>
    <w:rsid w:val="002C2097"/>
    <w:rsid w:val="002C3DEB"/>
    <w:rsid w:val="002C596C"/>
    <w:rsid w:val="002C6649"/>
    <w:rsid w:val="002D4864"/>
    <w:rsid w:val="002D789E"/>
    <w:rsid w:val="002E15FD"/>
    <w:rsid w:val="002E587C"/>
    <w:rsid w:val="002E638A"/>
    <w:rsid w:val="002E7B71"/>
    <w:rsid w:val="002F3D0D"/>
    <w:rsid w:val="002F40F3"/>
    <w:rsid w:val="002F763C"/>
    <w:rsid w:val="003005C4"/>
    <w:rsid w:val="00305105"/>
    <w:rsid w:val="00316ABE"/>
    <w:rsid w:val="00320A30"/>
    <w:rsid w:val="00324111"/>
    <w:rsid w:val="003303B0"/>
    <w:rsid w:val="003308B5"/>
    <w:rsid w:val="00336DB9"/>
    <w:rsid w:val="003421CD"/>
    <w:rsid w:val="0034293A"/>
    <w:rsid w:val="003451F5"/>
    <w:rsid w:val="00345F53"/>
    <w:rsid w:val="003478ED"/>
    <w:rsid w:val="003506C0"/>
    <w:rsid w:val="003541B9"/>
    <w:rsid w:val="00356284"/>
    <w:rsid w:val="00360947"/>
    <w:rsid w:val="00361919"/>
    <w:rsid w:val="00361D23"/>
    <w:rsid w:val="00376330"/>
    <w:rsid w:val="00376365"/>
    <w:rsid w:val="00377927"/>
    <w:rsid w:val="00381D29"/>
    <w:rsid w:val="00382E3D"/>
    <w:rsid w:val="00390F56"/>
    <w:rsid w:val="003A2943"/>
    <w:rsid w:val="003A3AC2"/>
    <w:rsid w:val="003A3DDA"/>
    <w:rsid w:val="003A3FF5"/>
    <w:rsid w:val="003A5FD4"/>
    <w:rsid w:val="003B3670"/>
    <w:rsid w:val="003B45FC"/>
    <w:rsid w:val="003B59A0"/>
    <w:rsid w:val="003C1580"/>
    <w:rsid w:val="003C1CA4"/>
    <w:rsid w:val="003D0F01"/>
    <w:rsid w:val="003D4650"/>
    <w:rsid w:val="003E1E7F"/>
    <w:rsid w:val="003F31DD"/>
    <w:rsid w:val="003F42F4"/>
    <w:rsid w:val="00403A03"/>
    <w:rsid w:val="0040494A"/>
    <w:rsid w:val="00406F87"/>
    <w:rsid w:val="00410AC2"/>
    <w:rsid w:val="0041109C"/>
    <w:rsid w:val="00414D61"/>
    <w:rsid w:val="00415F19"/>
    <w:rsid w:val="00421F81"/>
    <w:rsid w:val="004233DE"/>
    <w:rsid w:val="00427BF7"/>
    <w:rsid w:val="004306A4"/>
    <w:rsid w:val="004332DD"/>
    <w:rsid w:val="00434754"/>
    <w:rsid w:val="00447E2C"/>
    <w:rsid w:val="00455F5A"/>
    <w:rsid w:val="0046391C"/>
    <w:rsid w:val="004717A0"/>
    <w:rsid w:val="00476828"/>
    <w:rsid w:val="0047773C"/>
    <w:rsid w:val="00480545"/>
    <w:rsid w:val="0048077B"/>
    <w:rsid w:val="00481CAD"/>
    <w:rsid w:val="0048563A"/>
    <w:rsid w:val="004A6574"/>
    <w:rsid w:val="004A6991"/>
    <w:rsid w:val="004A76FF"/>
    <w:rsid w:val="004B1CBE"/>
    <w:rsid w:val="004B2A1B"/>
    <w:rsid w:val="004B559D"/>
    <w:rsid w:val="004C07ED"/>
    <w:rsid w:val="004C3F27"/>
    <w:rsid w:val="004C4318"/>
    <w:rsid w:val="004D24AB"/>
    <w:rsid w:val="004D25B8"/>
    <w:rsid w:val="004D63A0"/>
    <w:rsid w:val="004E3CA9"/>
    <w:rsid w:val="004E50CC"/>
    <w:rsid w:val="004F3FD9"/>
    <w:rsid w:val="004F60DD"/>
    <w:rsid w:val="004F7890"/>
    <w:rsid w:val="00500D61"/>
    <w:rsid w:val="0050419B"/>
    <w:rsid w:val="00506D3A"/>
    <w:rsid w:val="005108CF"/>
    <w:rsid w:val="00513FCE"/>
    <w:rsid w:val="00514C8B"/>
    <w:rsid w:val="005151D9"/>
    <w:rsid w:val="00532259"/>
    <w:rsid w:val="00532298"/>
    <w:rsid w:val="005466C2"/>
    <w:rsid w:val="005475E1"/>
    <w:rsid w:val="005476BD"/>
    <w:rsid w:val="0055052B"/>
    <w:rsid w:val="00550B90"/>
    <w:rsid w:val="00551E91"/>
    <w:rsid w:val="00554C50"/>
    <w:rsid w:val="005625D0"/>
    <w:rsid w:val="005642C7"/>
    <w:rsid w:val="00567FD2"/>
    <w:rsid w:val="00572399"/>
    <w:rsid w:val="005754A6"/>
    <w:rsid w:val="00580067"/>
    <w:rsid w:val="005805A9"/>
    <w:rsid w:val="005A43A4"/>
    <w:rsid w:val="005A6B1B"/>
    <w:rsid w:val="005A6F5F"/>
    <w:rsid w:val="005B2F30"/>
    <w:rsid w:val="005B3010"/>
    <w:rsid w:val="005B3390"/>
    <w:rsid w:val="005B6E8B"/>
    <w:rsid w:val="005B7B54"/>
    <w:rsid w:val="005C4911"/>
    <w:rsid w:val="005C5A5B"/>
    <w:rsid w:val="005D23CB"/>
    <w:rsid w:val="005D243B"/>
    <w:rsid w:val="005D3FDA"/>
    <w:rsid w:val="005D5B68"/>
    <w:rsid w:val="005D6ADA"/>
    <w:rsid w:val="005D7014"/>
    <w:rsid w:val="005D71EB"/>
    <w:rsid w:val="005D7701"/>
    <w:rsid w:val="005E155F"/>
    <w:rsid w:val="005E4F85"/>
    <w:rsid w:val="005E792C"/>
    <w:rsid w:val="005F16DE"/>
    <w:rsid w:val="005F3832"/>
    <w:rsid w:val="006008BF"/>
    <w:rsid w:val="006014B3"/>
    <w:rsid w:val="00601C42"/>
    <w:rsid w:val="0060305C"/>
    <w:rsid w:val="00605FD0"/>
    <w:rsid w:val="006101C2"/>
    <w:rsid w:val="00613280"/>
    <w:rsid w:val="00614554"/>
    <w:rsid w:val="00614FC4"/>
    <w:rsid w:val="00622CDB"/>
    <w:rsid w:val="006258D8"/>
    <w:rsid w:val="00626421"/>
    <w:rsid w:val="00643BDC"/>
    <w:rsid w:val="006443B9"/>
    <w:rsid w:val="00647FDD"/>
    <w:rsid w:val="00653D2B"/>
    <w:rsid w:val="00656104"/>
    <w:rsid w:val="006568AA"/>
    <w:rsid w:val="00664F1B"/>
    <w:rsid w:val="006651F7"/>
    <w:rsid w:val="00670318"/>
    <w:rsid w:val="00675AAF"/>
    <w:rsid w:val="00676DE4"/>
    <w:rsid w:val="00677EBB"/>
    <w:rsid w:val="00680768"/>
    <w:rsid w:val="00682D05"/>
    <w:rsid w:val="00682EAD"/>
    <w:rsid w:val="0068472A"/>
    <w:rsid w:val="0068681C"/>
    <w:rsid w:val="006905F6"/>
    <w:rsid w:val="00692105"/>
    <w:rsid w:val="00692BED"/>
    <w:rsid w:val="006A0CED"/>
    <w:rsid w:val="006B75E0"/>
    <w:rsid w:val="006C1494"/>
    <w:rsid w:val="006C3E1F"/>
    <w:rsid w:val="006C4809"/>
    <w:rsid w:val="006C4A90"/>
    <w:rsid w:val="006D4A4D"/>
    <w:rsid w:val="006E6796"/>
    <w:rsid w:val="006E7F46"/>
    <w:rsid w:val="006F2862"/>
    <w:rsid w:val="006F579D"/>
    <w:rsid w:val="00702304"/>
    <w:rsid w:val="00717AED"/>
    <w:rsid w:val="0072022D"/>
    <w:rsid w:val="0072449F"/>
    <w:rsid w:val="007321C6"/>
    <w:rsid w:val="0073552F"/>
    <w:rsid w:val="0074527D"/>
    <w:rsid w:val="00745832"/>
    <w:rsid w:val="00746458"/>
    <w:rsid w:val="0075056E"/>
    <w:rsid w:val="00751785"/>
    <w:rsid w:val="00754CF2"/>
    <w:rsid w:val="00755254"/>
    <w:rsid w:val="00755F34"/>
    <w:rsid w:val="00757FC7"/>
    <w:rsid w:val="00763F9C"/>
    <w:rsid w:val="007646EB"/>
    <w:rsid w:val="007654EF"/>
    <w:rsid w:val="0076552C"/>
    <w:rsid w:val="007703C7"/>
    <w:rsid w:val="007721CF"/>
    <w:rsid w:val="00787DEE"/>
    <w:rsid w:val="00790204"/>
    <w:rsid w:val="00791275"/>
    <w:rsid w:val="007913DD"/>
    <w:rsid w:val="00792F0C"/>
    <w:rsid w:val="00796386"/>
    <w:rsid w:val="007975B7"/>
    <w:rsid w:val="007A36B1"/>
    <w:rsid w:val="007B15FC"/>
    <w:rsid w:val="007D3421"/>
    <w:rsid w:val="007D5AEF"/>
    <w:rsid w:val="007F18EB"/>
    <w:rsid w:val="007F3BF9"/>
    <w:rsid w:val="00806FB3"/>
    <w:rsid w:val="0082059E"/>
    <w:rsid w:val="00820AEF"/>
    <w:rsid w:val="00821088"/>
    <w:rsid w:val="00824E07"/>
    <w:rsid w:val="008253FB"/>
    <w:rsid w:val="00832EA4"/>
    <w:rsid w:val="008332D8"/>
    <w:rsid w:val="0084190B"/>
    <w:rsid w:val="00850DC2"/>
    <w:rsid w:val="00853ABA"/>
    <w:rsid w:val="008574F3"/>
    <w:rsid w:val="00862632"/>
    <w:rsid w:val="0086468C"/>
    <w:rsid w:val="00864801"/>
    <w:rsid w:val="008730A9"/>
    <w:rsid w:val="00873E22"/>
    <w:rsid w:val="00881D59"/>
    <w:rsid w:val="00885620"/>
    <w:rsid w:val="00887DE5"/>
    <w:rsid w:val="00894268"/>
    <w:rsid w:val="008A6DDB"/>
    <w:rsid w:val="008B35EB"/>
    <w:rsid w:val="008B4EB0"/>
    <w:rsid w:val="008C2AAD"/>
    <w:rsid w:val="008C56E1"/>
    <w:rsid w:val="008C616C"/>
    <w:rsid w:val="008D2A57"/>
    <w:rsid w:val="008D2D4E"/>
    <w:rsid w:val="008D3CA1"/>
    <w:rsid w:val="008D3EF8"/>
    <w:rsid w:val="008D431B"/>
    <w:rsid w:val="008D45DE"/>
    <w:rsid w:val="008D4665"/>
    <w:rsid w:val="008D4F13"/>
    <w:rsid w:val="008D71E5"/>
    <w:rsid w:val="008E12C7"/>
    <w:rsid w:val="008E1539"/>
    <w:rsid w:val="008E4AEE"/>
    <w:rsid w:val="008E7225"/>
    <w:rsid w:val="008F233B"/>
    <w:rsid w:val="008F55F8"/>
    <w:rsid w:val="00904B62"/>
    <w:rsid w:val="00907968"/>
    <w:rsid w:val="00907BD9"/>
    <w:rsid w:val="009104E2"/>
    <w:rsid w:val="00911BD1"/>
    <w:rsid w:val="0091620E"/>
    <w:rsid w:val="009201D5"/>
    <w:rsid w:val="00925347"/>
    <w:rsid w:val="00926873"/>
    <w:rsid w:val="0093363A"/>
    <w:rsid w:val="009345C5"/>
    <w:rsid w:val="009355BF"/>
    <w:rsid w:val="0094144C"/>
    <w:rsid w:val="0094345F"/>
    <w:rsid w:val="00943C8B"/>
    <w:rsid w:val="00943FCB"/>
    <w:rsid w:val="00944370"/>
    <w:rsid w:val="00945C29"/>
    <w:rsid w:val="0095269D"/>
    <w:rsid w:val="009526DA"/>
    <w:rsid w:val="00955349"/>
    <w:rsid w:val="00955D0E"/>
    <w:rsid w:val="00965A52"/>
    <w:rsid w:val="00966158"/>
    <w:rsid w:val="00967FBD"/>
    <w:rsid w:val="009804F5"/>
    <w:rsid w:val="0098629D"/>
    <w:rsid w:val="009874D4"/>
    <w:rsid w:val="00995403"/>
    <w:rsid w:val="00997029"/>
    <w:rsid w:val="00997F91"/>
    <w:rsid w:val="009A3C23"/>
    <w:rsid w:val="009A553C"/>
    <w:rsid w:val="009A7DCC"/>
    <w:rsid w:val="009B1C25"/>
    <w:rsid w:val="009B2CFA"/>
    <w:rsid w:val="009C37E9"/>
    <w:rsid w:val="009C3A40"/>
    <w:rsid w:val="009C4905"/>
    <w:rsid w:val="009C5E80"/>
    <w:rsid w:val="009D0009"/>
    <w:rsid w:val="009D1E42"/>
    <w:rsid w:val="009D44CF"/>
    <w:rsid w:val="009D7662"/>
    <w:rsid w:val="009E1631"/>
    <w:rsid w:val="009E398A"/>
    <w:rsid w:val="009E766A"/>
    <w:rsid w:val="009F4D67"/>
    <w:rsid w:val="009F69AC"/>
    <w:rsid w:val="00A04475"/>
    <w:rsid w:val="00A04F33"/>
    <w:rsid w:val="00A11F5D"/>
    <w:rsid w:val="00A166FB"/>
    <w:rsid w:val="00A2586D"/>
    <w:rsid w:val="00A25AEC"/>
    <w:rsid w:val="00A26245"/>
    <w:rsid w:val="00A267BA"/>
    <w:rsid w:val="00A268AC"/>
    <w:rsid w:val="00A27919"/>
    <w:rsid w:val="00A27FBC"/>
    <w:rsid w:val="00A32766"/>
    <w:rsid w:val="00A35E29"/>
    <w:rsid w:val="00A35F08"/>
    <w:rsid w:val="00A362EF"/>
    <w:rsid w:val="00A36880"/>
    <w:rsid w:val="00A52AFA"/>
    <w:rsid w:val="00A53038"/>
    <w:rsid w:val="00A65474"/>
    <w:rsid w:val="00A70F5B"/>
    <w:rsid w:val="00A743FF"/>
    <w:rsid w:val="00A76205"/>
    <w:rsid w:val="00A76548"/>
    <w:rsid w:val="00A819BF"/>
    <w:rsid w:val="00A85845"/>
    <w:rsid w:val="00A86358"/>
    <w:rsid w:val="00A87063"/>
    <w:rsid w:val="00A91515"/>
    <w:rsid w:val="00A93FDC"/>
    <w:rsid w:val="00A941E6"/>
    <w:rsid w:val="00A94EEE"/>
    <w:rsid w:val="00AA5439"/>
    <w:rsid w:val="00AA576B"/>
    <w:rsid w:val="00AA71F1"/>
    <w:rsid w:val="00AB2D8D"/>
    <w:rsid w:val="00AB46E3"/>
    <w:rsid w:val="00AB5E51"/>
    <w:rsid w:val="00AB63E5"/>
    <w:rsid w:val="00AC1F78"/>
    <w:rsid w:val="00AC2FED"/>
    <w:rsid w:val="00AD2EB4"/>
    <w:rsid w:val="00AD68DA"/>
    <w:rsid w:val="00AD796D"/>
    <w:rsid w:val="00AE59A4"/>
    <w:rsid w:val="00AE6ED8"/>
    <w:rsid w:val="00AF4F55"/>
    <w:rsid w:val="00AF652D"/>
    <w:rsid w:val="00B0179E"/>
    <w:rsid w:val="00B051A6"/>
    <w:rsid w:val="00B14BD8"/>
    <w:rsid w:val="00B1525D"/>
    <w:rsid w:val="00B15D5C"/>
    <w:rsid w:val="00B220E7"/>
    <w:rsid w:val="00B221E1"/>
    <w:rsid w:val="00B22DC0"/>
    <w:rsid w:val="00B23A9A"/>
    <w:rsid w:val="00B25A5C"/>
    <w:rsid w:val="00B26C0C"/>
    <w:rsid w:val="00B31262"/>
    <w:rsid w:val="00B313D5"/>
    <w:rsid w:val="00B400E4"/>
    <w:rsid w:val="00B527A1"/>
    <w:rsid w:val="00B61E50"/>
    <w:rsid w:val="00B62ED2"/>
    <w:rsid w:val="00B7060E"/>
    <w:rsid w:val="00B70EF9"/>
    <w:rsid w:val="00B741C9"/>
    <w:rsid w:val="00B742E3"/>
    <w:rsid w:val="00B75873"/>
    <w:rsid w:val="00B80E99"/>
    <w:rsid w:val="00B82EE3"/>
    <w:rsid w:val="00B84B7A"/>
    <w:rsid w:val="00B86C0A"/>
    <w:rsid w:val="00B90D39"/>
    <w:rsid w:val="00B91AED"/>
    <w:rsid w:val="00B95954"/>
    <w:rsid w:val="00B95C7E"/>
    <w:rsid w:val="00B96A23"/>
    <w:rsid w:val="00B97C07"/>
    <w:rsid w:val="00BA09D1"/>
    <w:rsid w:val="00BA34D4"/>
    <w:rsid w:val="00BA7246"/>
    <w:rsid w:val="00BA786E"/>
    <w:rsid w:val="00BB207D"/>
    <w:rsid w:val="00BB24F1"/>
    <w:rsid w:val="00BB30A6"/>
    <w:rsid w:val="00BB52EC"/>
    <w:rsid w:val="00BC340B"/>
    <w:rsid w:val="00BC4E72"/>
    <w:rsid w:val="00BC5D9D"/>
    <w:rsid w:val="00BE2420"/>
    <w:rsid w:val="00BE4AAE"/>
    <w:rsid w:val="00BE712B"/>
    <w:rsid w:val="00BF3FB4"/>
    <w:rsid w:val="00BF4760"/>
    <w:rsid w:val="00BF511C"/>
    <w:rsid w:val="00BF5E88"/>
    <w:rsid w:val="00C0177F"/>
    <w:rsid w:val="00C042B5"/>
    <w:rsid w:val="00C060D7"/>
    <w:rsid w:val="00C110EB"/>
    <w:rsid w:val="00C1547F"/>
    <w:rsid w:val="00C21110"/>
    <w:rsid w:val="00C26CEA"/>
    <w:rsid w:val="00C33129"/>
    <w:rsid w:val="00C34517"/>
    <w:rsid w:val="00C4293F"/>
    <w:rsid w:val="00C44195"/>
    <w:rsid w:val="00C461BE"/>
    <w:rsid w:val="00C601D0"/>
    <w:rsid w:val="00C60D83"/>
    <w:rsid w:val="00C64CC1"/>
    <w:rsid w:val="00C664EF"/>
    <w:rsid w:val="00C67C56"/>
    <w:rsid w:val="00C719E6"/>
    <w:rsid w:val="00C72597"/>
    <w:rsid w:val="00C75ABC"/>
    <w:rsid w:val="00C826EC"/>
    <w:rsid w:val="00C93398"/>
    <w:rsid w:val="00C9389A"/>
    <w:rsid w:val="00C94AB7"/>
    <w:rsid w:val="00CB084B"/>
    <w:rsid w:val="00CB756D"/>
    <w:rsid w:val="00CC6004"/>
    <w:rsid w:val="00CD323D"/>
    <w:rsid w:val="00CE6FA8"/>
    <w:rsid w:val="00CE7072"/>
    <w:rsid w:val="00D00D1E"/>
    <w:rsid w:val="00D05063"/>
    <w:rsid w:val="00D13BF9"/>
    <w:rsid w:val="00D1656D"/>
    <w:rsid w:val="00D1685E"/>
    <w:rsid w:val="00D16A11"/>
    <w:rsid w:val="00D27078"/>
    <w:rsid w:val="00D270F4"/>
    <w:rsid w:val="00D41801"/>
    <w:rsid w:val="00D436A0"/>
    <w:rsid w:val="00D47C6E"/>
    <w:rsid w:val="00D55065"/>
    <w:rsid w:val="00D5569F"/>
    <w:rsid w:val="00D61072"/>
    <w:rsid w:val="00D6207E"/>
    <w:rsid w:val="00D63ECD"/>
    <w:rsid w:val="00D66772"/>
    <w:rsid w:val="00D81A31"/>
    <w:rsid w:val="00D82B0F"/>
    <w:rsid w:val="00D854CD"/>
    <w:rsid w:val="00D855F8"/>
    <w:rsid w:val="00D87560"/>
    <w:rsid w:val="00D92C95"/>
    <w:rsid w:val="00D93796"/>
    <w:rsid w:val="00D93AA5"/>
    <w:rsid w:val="00D946E3"/>
    <w:rsid w:val="00DA1DFB"/>
    <w:rsid w:val="00DA42A3"/>
    <w:rsid w:val="00DA58C6"/>
    <w:rsid w:val="00DA5EFB"/>
    <w:rsid w:val="00DB01B1"/>
    <w:rsid w:val="00DB3311"/>
    <w:rsid w:val="00DB513A"/>
    <w:rsid w:val="00DC485F"/>
    <w:rsid w:val="00DC4E37"/>
    <w:rsid w:val="00DC58A5"/>
    <w:rsid w:val="00DD5C40"/>
    <w:rsid w:val="00DD7A0D"/>
    <w:rsid w:val="00DE504B"/>
    <w:rsid w:val="00DE71D2"/>
    <w:rsid w:val="00DF3A6F"/>
    <w:rsid w:val="00DF531A"/>
    <w:rsid w:val="00DF5A91"/>
    <w:rsid w:val="00E11FAE"/>
    <w:rsid w:val="00E15B76"/>
    <w:rsid w:val="00E40261"/>
    <w:rsid w:val="00E404C5"/>
    <w:rsid w:val="00E43FCC"/>
    <w:rsid w:val="00E4685E"/>
    <w:rsid w:val="00E471E7"/>
    <w:rsid w:val="00E47746"/>
    <w:rsid w:val="00E50C51"/>
    <w:rsid w:val="00E56E96"/>
    <w:rsid w:val="00E62EF1"/>
    <w:rsid w:val="00E66821"/>
    <w:rsid w:val="00E6789E"/>
    <w:rsid w:val="00E70282"/>
    <w:rsid w:val="00E71045"/>
    <w:rsid w:val="00E76700"/>
    <w:rsid w:val="00E7715E"/>
    <w:rsid w:val="00E80210"/>
    <w:rsid w:val="00E85029"/>
    <w:rsid w:val="00EA1049"/>
    <w:rsid w:val="00EA3EFD"/>
    <w:rsid w:val="00EA52E4"/>
    <w:rsid w:val="00EB069A"/>
    <w:rsid w:val="00EB515A"/>
    <w:rsid w:val="00EB6597"/>
    <w:rsid w:val="00EB71C0"/>
    <w:rsid w:val="00ED23F7"/>
    <w:rsid w:val="00ED3DFA"/>
    <w:rsid w:val="00ED67D9"/>
    <w:rsid w:val="00EE4527"/>
    <w:rsid w:val="00EF1B7E"/>
    <w:rsid w:val="00EF2A71"/>
    <w:rsid w:val="00EF338C"/>
    <w:rsid w:val="00EF4C8A"/>
    <w:rsid w:val="00F027E2"/>
    <w:rsid w:val="00F04F34"/>
    <w:rsid w:val="00F10D2E"/>
    <w:rsid w:val="00F11365"/>
    <w:rsid w:val="00F141DA"/>
    <w:rsid w:val="00F2074F"/>
    <w:rsid w:val="00F22129"/>
    <w:rsid w:val="00F33D9F"/>
    <w:rsid w:val="00F34B3F"/>
    <w:rsid w:val="00F362DE"/>
    <w:rsid w:val="00F51DA2"/>
    <w:rsid w:val="00F57706"/>
    <w:rsid w:val="00F60EA1"/>
    <w:rsid w:val="00F632A0"/>
    <w:rsid w:val="00F641FC"/>
    <w:rsid w:val="00F64AA8"/>
    <w:rsid w:val="00F656FF"/>
    <w:rsid w:val="00F65D6B"/>
    <w:rsid w:val="00F77ABC"/>
    <w:rsid w:val="00F8048F"/>
    <w:rsid w:val="00F812A8"/>
    <w:rsid w:val="00F82A5C"/>
    <w:rsid w:val="00F836FC"/>
    <w:rsid w:val="00F84F40"/>
    <w:rsid w:val="00F912AB"/>
    <w:rsid w:val="00F97E8A"/>
    <w:rsid w:val="00FA2CCA"/>
    <w:rsid w:val="00FA7D31"/>
    <w:rsid w:val="00FB5DDD"/>
    <w:rsid w:val="00FB7748"/>
    <w:rsid w:val="00FB7DD8"/>
    <w:rsid w:val="00FC40E0"/>
    <w:rsid w:val="00FC7371"/>
    <w:rsid w:val="00FE290D"/>
    <w:rsid w:val="00FE48A3"/>
    <w:rsid w:val="00FE5D62"/>
    <w:rsid w:val="00FE5F1B"/>
    <w:rsid w:val="00FE673C"/>
    <w:rsid w:val="00FF12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FB37B"/>
  <w15:chartTrackingRefBased/>
  <w15:docId w15:val="{873A51C0-8FE3-4B99-A251-EA05333E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89E"/>
    <w:pPr>
      <w:spacing w:before="240" w:after="240" w:line="240" w:lineRule="exact"/>
    </w:pPr>
    <w:rPr>
      <w:rFonts w:eastAsia="Times New Roman"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rFonts w:ascii="Book Antiqua" w:hAnsi="Book Antiqua"/>
      <w:i/>
    </w:rPr>
  </w:style>
  <w:style w:type="paragraph" w:customStyle="1" w:styleId="AlphaParagraph">
    <w:name w:val="Alpha Paragraph"/>
    <w:basedOn w:val="Normal"/>
    <w:rsid w:val="00BB207D"/>
    <w:pPr>
      <w:numPr>
        <w:numId w:val="1"/>
      </w:numPr>
      <w:tabs>
        <w:tab w:val="clear" w:pos="567"/>
        <w:tab w:val="num" w:pos="360"/>
      </w:tabs>
      <w:ind w:left="0" w:firstLine="0"/>
    </w:pPr>
    <w:rPr>
      <w:rFonts w:ascii="Book Antiqua" w:hAnsi="Book Antiqua"/>
    </w:r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rPr>
      <w:rFonts w:ascii="Book Antiqua" w:hAnsi="Book Antiqua"/>
    </w:r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aliases w:val="b,b1,b + line,level 1,Body"/>
    <w:basedOn w:val="Normal"/>
    <w:link w:val="BulletChar"/>
    <w:qFormat/>
    <w:rsid w:val="00160928"/>
    <w:pPr>
      <w:numPr>
        <w:numId w:val="7"/>
      </w:numPr>
      <w:spacing w:after="160"/>
      <w:ind w:left="284" w:hanging="284"/>
    </w:pPr>
    <w:rPr>
      <w:rFonts w:ascii="Book Antiqua" w:hAnsi="Book Antiqua"/>
    </w:rPr>
  </w:style>
  <w:style w:type="paragraph" w:styleId="Caption">
    <w:name w:val="caption"/>
    <w:basedOn w:val="Normal"/>
    <w:next w:val="Normal"/>
    <w:rsid w:val="00BB207D"/>
    <w:rPr>
      <w:rFonts w:ascii="Book Antiqua" w:hAnsi="Book Antiqua"/>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7913DD"/>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2C18F6"/>
    <w:pPr>
      <w:pBdr>
        <w:bottom w:val="single" w:sz="4" w:space="2" w:color="626A77" w:themeColor="background2" w:themeShade="E6"/>
      </w:pBdr>
      <w:spacing w:before="0" w:line="240" w:lineRule="auto"/>
    </w:pPr>
    <w:rPr>
      <w:rFonts w:ascii="Book Antiqua" w:hAnsi="Book Antiqua"/>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rPr>
      <w:rFonts w:ascii="Book Antiqua" w:hAnsi="Book Antiqua"/>
    </w:rPr>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7"/>
      </w:numPr>
      <w:tabs>
        <w:tab w:val="left" w:pos="567"/>
      </w:tabs>
    </w:pPr>
    <w:rPr>
      <w:rFonts w:ascii="Book Antiqua" w:hAnsi="Book Antiqua"/>
    </w:r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rPr>
      <w:rFonts w:ascii="Book Antiqua" w:hAnsi="Book Antiqua"/>
    </w:r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rFonts w:ascii="Book Antiqua" w:hAnsi="Book Antiqua"/>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rPr>
      <w:rFonts w:ascii="Book Antiqua" w:hAnsi="Book Antiqua"/>
    </w:rPr>
  </w:style>
  <w:style w:type="paragraph" w:styleId="Index5">
    <w:name w:val="index 5"/>
    <w:basedOn w:val="Normal"/>
    <w:next w:val="Normal"/>
    <w:autoRedefine/>
    <w:semiHidden/>
    <w:rsid w:val="00BB207D"/>
    <w:pPr>
      <w:ind w:left="1000" w:hanging="200"/>
    </w:pPr>
    <w:rPr>
      <w:rFonts w:ascii="Book Antiqua" w:hAnsi="Book Antiqua"/>
    </w:rPr>
  </w:style>
  <w:style w:type="paragraph" w:styleId="Index6">
    <w:name w:val="index 6"/>
    <w:basedOn w:val="Normal"/>
    <w:next w:val="Normal"/>
    <w:autoRedefine/>
    <w:semiHidden/>
    <w:rsid w:val="00BB207D"/>
    <w:pPr>
      <w:ind w:left="1200" w:hanging="200"/>
    </w:pPr>
    <w:rPr>
      <w:rFonts w:ascii="Book Antiqua" w:hAnsi="Book Antiqua"/>
    </w:rPr>
  </w:style>
  <w:style w:type="paragraph" w:styleId="Index7">
    <w:name w:val="index 7"/>
    <w:basedOn w:val="Normal"/>
    <w:next w:val="Normal"/>
    <w:autoRedefine/>
    <w:semiHidden/>
    <w:rsid w:val="00BB207D"/>
    <w:pPr>
      <w:ind w:left="1400" w:hanging="200"/>
    </w:pPr>
    <w:rPr>
      <w:rFonts w:ascii="Book Antiqua" w:hAnsi="Book Antiqua"/>
    </w:rPr>
  </w:style>
  <w:style w:type="paragraph" w:styleId="Index8">
    <w:name w:val="index 8"/>
    <w:basedOn w:val="Normal"/>
    <w:next w:val="Normal"/>
    <w:autoRedefine/>
    <w:semiHidden/>
    <w:rsid w:val="00BB207D"/>
    <w:pPr>
      <w:ind w:left="1600" w:hanging="200"/>
    </w:pPr>
    <w:rPr>
      <w:rFonts w:ascii="Book Antiqua" w:hAnsi="Book Antiqua"/>
    </w:rPr>
  </w:style>
  <w:style w:type="paragraph" w:styleId="Index9">
    <w:name w:val="index 9"/>
    <w:basedOn w:val="Normal"/>
    <w:next w:val="Normal"/>
    <w:autoRedefine/>
    <w:semiHidden/>
    <w:rsid w:val="00BB207D"/>
    <w:pPr>
      <w:ind w:left="1800" w:hanging="200"/>
    </w:pPr>
    <w:rPr>
      <w:rFonts w:ascii="Book Antiqua" w:hAnsi="Book Antiqua"/>
    </w:r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rPr>
      <w:rFonts w:ascii="Book Antiqua" w:hAnsi="Book Antiqua"/>
    </w:r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rPr>
      <w:rFonts w:ascii="Book Antiqua" w:hAnsi="Book Antiqua"/>
    </w:r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rPr>
      <w:rFonts w:ascii="Book Antiqua" w:hAnsi="Book Antiqua"/>
    </w:r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rPr>
      <w:rFonts w:ascii="Book Antiqua" w:hAnsi="Book Antiqua"/>
    </w:r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rPr>
      <w:rFonts w:ascii="Book Antiqua" w:hAnsi="Book Antiqua"/>
    </w:rPr>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rPr>
      <w:rFonts w:ascii="Book Antiqua" w:hAnsi="Book Antiqua"/>
    </w:rPr>
  </w:style>
  <w:style w:type="paragraph" w:styleId="TOC8">
    <w:name w:val="toc 8"/>
    <w:basedOn w:val="Normal"/>
    <w:next w:val="Normal"/>
    <w:autoRedefine/>
    <w:uiPriority w:val="2"/>
    <w:semiHidden/>
    <w:rsid w:val="00BB207D"/>
    <w:pPr>
      <w:ind w:left="1400"/>
    </w:pPr>
    <w:rPr>
      <w:rFonts w:ascii="Book Antiqua" w:hAnsi="Book Antiqua"/>
    </w:rPr>
  </w:style>
  <w:style w:type="paragraph" w:styleId="TOC9">
    <w:name w:val="toc 9"/>
    <w:basedOn w:val="Normal"/>
    <w:next w:val="Normal"/>
    <w:autoRedefine/>
    <w:uiPriority w:val="2"/>
    <w:semiHidden/>
    <w:rsid w:val="00BB207D"/>
    <w:pPr>
      <w:ind w:left="1600"/>
    </w:pPr>
    <w:rPr>
      <w:rFonts w:ascii="Book Antiqua" w:hAnsi="Book Antiqua"/>
    </w:r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86468C"/>
    <w:pPr>
      <w:pBdr>
        <w:bottom w:val="single" w:sz="4" w:space="2" w:color="626A77" w:themeColor="background2" w:themeShade="E6"/>
      </w:pBdr>
      <w:spacing w:before="0" w:line="240" w:lineRule="auto"/>
    </w:pPr>
    <w:rPr>
      <w:rFonts w:ascii="Book Antiqua" w:hAnsi="Book Antiqua"/>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character" w:customStyle="1" w:styleId="BulletChar">
    <w:name w:val="Bullet Char"/>
    <w:aliases w:val="b Char,b + line Char Char,b Char Char"/>
    <w:link w:val="Bullet"/>
    <w:locked/>
    <w:rsid w:val="00E6789E"/>
    <w:rPr>
      <w:rFonts w:ascii="Book Antiqua" w:eastAsia="Times New Roman" w:hAnsi="Book Antiqua" w:cs="Times New Roman"/>
      <w:sz w:val="19"/>
      <w:szCs w:val="20"/>
      <w:lang w:eastAsia="en-AU"/>
    </w:rPr>
  </w:style>
  <w:style w:type="paragraph" w:styleId="Revision">
    <w:name w:val="Revision"/>
    <w:hidden/>
    <w:uiPriority w:val="99"/>
    <w:semiHidden/>
    <w:rsid w:val="00B23A9A"/>
    <w:pPr>
      <w:spacing w:after="0" w:line="240" w:lineRule="auto"/>
    </w:pPr>
    <w:rPr>
      <w:rFonts w:eastAsia="Times New Roman" w:cs="Times New Roman"/>
      <w:sz w:val="19"/>
      <w:szCs w:val="20"/>
      <w:lang w:eastAsia="en-AU"/>
    </w:rPr>
  </w:style>
  <w:style w:type="character" w:styleId="UnresolvedMention">
    <w:name w:val="Unresolved Mention"/>
    <w:basedOn w:val="DefaultParagraphFont"/>
    <w:uiPriority w:val="99"/>
    <w:semiHidden/>
    <w:unhideWhenUsed/>
    <w:rsid w:val="0040494A"/>
    <w:rPr>
      <w:color w:val="605E5C"/>
      <w:shd w:val="clear" w:color="auto" w:fill="E1DFDD"/>
    </w:rPr>
  </w:style>
  <w:style w:type="paragraph" w:styleId="NormalWeb">
    <w:name w:val="Normal (Web)"/>
    <w:basedOn w:val="Normal"/>
    <w:uiPriority w:val="99"/>
    <w:semiHidden/>
    <w:unhideWhenUsed/>
    <w:rsid w:val="0040494A"/>
    <w:rPr>
      <w:rFonts w:ascii="Times New Roman" w:hAnsi="Times New Roman"/>
      <w:sz w:val="24"/>
      <w:szCs w:val="24"/>
    </w:rPr>
  </w:style>
  <w:style w:type="character" w:styleId="Emphasis">
    <w:name w:val="Emphasis"/>
    <w:basedOn w:val="DefaultParagraphFont"/>
    <w:uiPriority w:val="20"/>
    <w:rsid w:val="007505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761">
      <w:bodyDiv w:val="1"/>
      <w:marLeft w:val="0"/>
      <w:marRight w:val="0"/>
      <w:marTop w:val="0"/>
      <w:marBottom w:val="0"/>
      <w:divBdr>
        <w:top w:val="none" w:sz="0" w:space="0" w:color="auto"/>
        <w:left w:val="none" w:sz="0" w:space="0" w:color="auto"/>
        <w:bottom w:val="none" w:sz="0" w:space="0" w:color="auto"/>
        <w:right w:val="none" w:sz="0" w:space="0" w:color="auto"/>
      </w:divBdr>
    </w:div>
    <w:div w:id="438184784">
      <w:bodyDiv w:val="1"/>
      <w:marLeft w:val="0"/>
      <w:marRight w:val="0"/>
      <w:marTop w:val="0"/>
      <w:marBottom w:val="0"/>
      <w:divBdr>
        <w:top w:val="none" w:sz="0" w:space="0" w:color="auto"/>
        <w:left w:val="none" w:sz="0" w:space="0" w:color="auto"/>
        <w:bottom w:val="none" w:sz="0" w:space="0" w:color="auto"/>
        <w:right w:val="none" w:sz="0" w:space="0" w:color="auto"/>
      </w:divBdr>
    </w:div>
    <w:div w:id="501512717">
      <w:bodyDiv w:val="1"/>
      <w:marLeft w:val="0"/>
      <w:marRight w:val="0"/>
      <w:marTop w:val="0"/>
      <w:marBottom w:val="0"/>
      <w:divBdr>
        <w:top w:val="none" w:sz="0" w:space="0" w:color="auto"/>
        <w:left w:val="none" w:sz="0" w:space="0" w:color="auto"/>
        <w:bottom w:val="none" w:sz="0" w:space="0" w:color="auto"/>
        <w:right w:val="none" w:sz="0" w:space="0" w:color="auto"/>
      </w:divBdr>
    </w:div>
    <w:div w:id="663362079">
      <w:bodyDiv w:val="1"/>
      <w:marLeft w:val="0"/>
      <w:marRight w:val="0"/>
      <w:marTop w:val="0"/>
      <w:marBottom w:val="0"/>
      <w:divBdr>
        <w:top w:val="none" w:sz="0" w:space="0" w:color="auto"/>
        <w:left w:val="none" w:sz="0" w:space="0" w:color="auto"/>
        <w:bottom w:val="none" w:sz="0" w:space="0" w:color="auto"/>
        <w:right w:val="none" w:sz="0" w:space="0" w:color="auto"/>
      </w:divBdr>
    </w:div>
    <w:div w:id="685442281">
      <w:bodyDiv w:val="1"/>
      <w:marLeft w:val="0"/>
      <w:marRight w:val="0"/>
      <w:marTop w:val="0"/>
      <w:marBottom w:val="0"/>
      <w:divBdr>
        <w:top w:val="none" w:sz="0" w:space="0" w:color="auto"/>
        <w:left w:val="none" w:sz="0" w:space="0" w:color="auto"/>
        <w:bottom w:val="none" w:sz="0" w:space="0" w:color="auto"/>
        <w:right w:val="none" w:sz="0" w:space="0" w:color="auto"/>
      </w:divBdr>
    </w:div>
    <w:div w:id="688412991">
      <w:bodyDiv w:val="1"/>
      <w:marLeft w:val="0"/>
      <w:marRight w:val="0"/>
      <w:marTop w:val="0"/>
      <w:marBottom w:val="0"/>
      <w:divBdr>
        <w:top w:val="none" w:sz="0" w:space="0" w:color="auto"/>
        <w:left w:val="none" w:sz="0" w:space="0" w:color="auto"/>
        <w:bottom w:val="none" w:sz="0" w:space="0" w:color="auto"/>
        <w:right w:val="none" w:sz="0" w:space="0" w:color="auto"/>
      </w:divBdr>
    </w:div>
    <w:div w:id="906450798">
      <w:bodyDiv w:val="1"/>
      <w:marLeft w:val="0"/>
      <w:marRight w:val="0"/>
      <w:marTop w:val="0"/>
      <w:marBottom w:val="0"/>
      <w:divBdr>
        <w:top w:val="none" w:sz="0" w:space="0" w:color="auto"/>
        <w:left w:val="none" w:sz="0" w:space="0" w:color="auto"/>
        <w:bottom w:val="none" w:sz="0" w:space="0" w:color="auto"/>
        <w:right w:val="none" w:sz="0" w:space="0" w:color="auto"/>
      </w:divBdr>
    </w:div>
    <w:div w:id="951277567">
      <w:bodyDiv w:val="1"/>
      <w:marLeft w:val="0"/>
      <w:marRight w:val="0"/>
      <w:marTop w:val="0"/>
      <w:marBottom w:val="0"/>
      <w:divBdr>
        <w:top w:val="none" w:sz="0" w:space="0" w:color="auto"/>
        <w:left w:val="none" w:sz="0" w:space="0" w:color="auto"/>
        <w:bottom w:val="none" w:sz="0" w:space="0" w:color="auto"/>
        <w:right w:val="none" w:sz="0" w:space="0" w:color="auto"/>
      </w:divBdr>
    </w:div>
    <w:div w:id="1009408186">
      <w:bodyDiv w:val="1"/>
      <w:marLeft w:val="0"/>
      <w:marRight w:val="0"/>
      <w:marTop w:val="0"/>
      <w:marBottom w:val="0"/>
      <w:divBdr>
        <w:top w:val="none" w:sz="0" w:space="0" w:color="auto"/>
        <w:left w:val="none" w:sz="0" w:space="0" w:color="auto"/>
        <w:bottom w:val="none" w:sz="0" w:space="0" w:color="auto"/>
        <w:right w:val="none" w:sz="0" w:space="0" w:color="auto"/>
      </w:divBdr>
    </w:div>
    <w:div w:id="1049572822">
      <w:bodyDiv w:val="1"/>
      <w:marLeft w:val="0"/>
      <w:marRight w:val="0"/>
      <w:marTop w:val="0"/>
      <w:marBottom w:val="0"/>
      <w:divBdr>
        <w:top w:val="none" w:sz="0" w:space="0" w:color="auto"/>
        <w:left w:val="none" w:sz="0" w:space="0" w:color="auto"/>
        <w:bottom w:val="none" w:sz="0" w:space="0" w:color="auto"/>
        <w:right w:val="none" w:sz="0" w:space="0" w:color="auto"/>
      </w:divBdr>
    </w:div>
    <w:div w:id="1093893259">
      <w:bodyDiv w:val="1"/>
      <w:marLeft w:val="0"/>
      <w:marRight w:val="0"/>
      <w:marTop w:val="0"/>
      <w:marBottom w:val="0"/>
      <w:divBdr>
        <w:top w:val="none" w:sz="0" w:space="0" w:color="auto"/>
        <w:left w:val="none" w:sz="0" w:space="0" w:color="auto"/>
        <w:bottom w:val="none" w:sz="0" w:space="0" w:color="auto"/>
        <w:right w:val="none" w:sz="0" w:space="0" w:color="auto"/>
      </w:divBdr>
    </w:div>
    <w:div w:id="1161389629">
      <w:bodyDiv w:val="1"/>
      <w:marLeft w:val="0"/>
      <w:marRight w:val="0"/>
      <w:marTop w:val="0"/>
      <w:marBottom w:val="0"/>
      <w:divBdr>
        <w:top w:val="none" w:sz="0" w:space="0" w:color="auto"/>
        <w:left w:val="none" w:sz="0" w:space="0" w:color="auto"/>
        <w:bottom w:val="none" w:sz="0" w:space="0" w:color="auto"/>
        <w:right w:val="none" w:sz="0" w:space="0" w:color="auto"/>
      </w:divBdr>
    </w:div>
    <w:div w:id="1356954451">
      <w:bodyDiv w:val="1"/>
      <w:marLeft w:val="0"/>
      <w:marRight w:val="0"/>
      <w:marTop w:val="0"/>
      <w:marBottom w:val="0"/>
      <w:divBdr>
        <w:top w:val="none" w:sz="0" w:space="0" w:color="auto"/>
        <w:left w:val="none" w:sz="0" w:space="0" w:color="auto"/>
        <w:bottom w:val="none" w:sz="0" w:space="0" w:color="auto"/>
        <w:right w:val="none" w:sz="0" w:space="0" w:color="auto"/>
      </w:divBdr>
    </w:div>
    <w:div w:id="1367872436">
      <w:bodyDiv w:val="1"/>
      <w:marLeft w:val="0"/>
      <w:marRight w:val="0"/>
      <w:marTop w:val="0"/>
      <w:marBottom w:val="0"/>
      <w:divBdr>
        <w:top w:val="none" w:sz="0" w:space="0" w:color="auto"/>
        <w:left w:val="none" w:sz="0" w:space="0" w:color="auto"/>
        <w:bottom w:val="none" w:sz="0" w:space="0" w:color="auto"/>
        <w:right w:val="none" w:sz="0" w:space="0" w:color="auto"/>
      </w:divBdr>
    </w:div>
    <w:div w:id="1409766651">
      <w:bodyDiv w:val="1"/>
      <w:marLeft w:val="0"/>
      <w:marRight w:val="0"/>
      <w:marTop w:val="0"/>
      <w:marBottom w:val="0"/>
      <w:divBdr>
        <w:top w:val="none" w:sz="0" w:space="0" w:color="auto"/>
        <w:left w:val="none" w:sz="0" w:space="0" w:color="auto"/>
        <w:bottom w:val="none" w:sz="0" w:space="0" w:color="auto"/>
        <w:right w:val="none" w:sz="0" w:space="0" w:color="auto"/>
      </w:divBdr>
    </w:div>
    <w:div w:id="1420522578">
      <w:bodyDiv w:val="1"/>
      <w:marLeft w:val="0"/>
      <w:marRight w:val="0"/>
      <w:marTop w:val="0"/>
      <w:marBottom w:val="0"/>
      <w:divBdr>
        <w:top w:val="none" w:sz="0" w:space="0" w:color="auto"/>
        <w:left w:val="none" w:sz="0" w:space="0" w:color="auto"/>
        <w:bottom w:val="none" w:sz="0" w:space="0" w:color="auto"/>
        <w:right w:val="none" w:sz="0" w:space="0" w:color="auto"/>
      </w:divBdr>
    </w:div>
    <w:div w:id="1464618730">
      <w:bodyDiv w:val="1"/>
      <w:marLeft w:val="0"/>
      <w:marRight w:val="0"/>
      <w:marTop w:val="0"/>
      <w:marBottom w:val="0"/>
      <w:divBdr>
        <w:top w:val="none" w:sz="0" w:space="0" w:color="auto"/>
        <w:left w:val="none" w:sz="0" w:space="0" w:color="auto"/>
        <w:bottom w:val="none" w:sz="0" w:space="0" w:color="auto"/>
        <w:right w:val="none" w:sz="0" w:space="0" w:color="auto"/>
      </w:divBdr>
    </w:div>
    <w:div w:id="1565792755">
      <w:bodyDiv w:val="1"/>
      <w:marLeft w:val="0"/>
      <w:marRight w:val="0"/>
      <w:marTop w:val="0"/>
      <w:marBottom w:val="0"/>
      <w:divBdr>
        <w:top w:val="none" w:sz="0" w:space="0" w:color="auto"/>
        <w:left w:val="none" w:sz="0" w:space="0" w:color="auto"/>
        <w:bottom w:val="none" w:sz="0" w:space="0" w:color="auto"/>
        <w:right w:val="none" w:sz="0" w:space="0" w:color="auto"/>
      </w:divBdr>
    </w:div>
    <w:div w:id="1644118597">
      <w:bodyDiv w:val="1"/>
      <w:marLeft w:val="0"/>
      <w:marRight w:val="0"/>
      <w:marTop w:val="0"/>
      <w:marBottom w:val="0"/>
      <w:divBdr>
        <w:top w:val="none" w:sz="0" w:space="0" w:color="auto"/>
        <w:left w:val="none" w:sz="0" w:space="0" w:color="auto"/>
        <w:bottom w:val="none" w:sz="0" w:space="0" w:color="auto"/>
        <w:right w:val="none" w:sz="0" w:space="0" w:color="auto"/>
      </w:divBdr>
    </w:div>
    <w:div w:id="1733574491">
      <w:bodyDiv w:val="1"/>
      <w:marLeft w:val="0"/>
      <w:marRight w:val="0"/>
      <w:marTop w:val="0"/>
      <w:marBottom w:val="0"/>
      <w:divBdr>
        <w:top w:val="none" w:sz="0" w:space="0" w:color="auto"/>
        <w:left w:val="none" w:sz="0" w:space="0" w:color="auto"/>
        <w:bottom w:val="none" w:sz="0" w:space="0" w:color="auto"/>
        <w:right w:val="none" w:sz="0" w:space="0" w:color="auto"/>
      </w:divBdr>
    </w:div>
    <w:div w:id="1779787112">
      <w:bodyDiv w:val="1"/>
      <w:marLeft w:val="0"/>
      <w:marRight w:val="0"/>
      <w:marTop w:val="0"/>
      <w:marBottom w:val="0"/>
      <w:divBdr>
        <w:top w:val="none" w:sz="0" w:space="0" w:color="auto"/>
        <w:left w:val="none" w:sz="0" w:space="0" w:color="auto"/>
        <w:bottom w:val="none" w:sz="0" w:space="0" w:color="auto"/>
        <w:right w:val="none" w:sz="0" w:space="0" w:color="auto"/>
      </w:divBdr>
    </w:div>
    <w:div w:id="1831212351">
      <w:bodyDiv w:val="1"/>
      <w:marLeft w:val="0"/>
      <w:marRight w:val="0"/>
      <w:marTop w:val="0"/>
      <w:marBottom w:val="0"/>
      <w:divBdr>
        <w:top w:val="none" w:sz="0" w:space="0" w:color="auto"/>
        <w:left w:val="none" w:sz="0" w:space="0" w:color="auto"/>
        <w:bottom w:val="none" w:sz="0" w:space="0" w:color="auto"/>
        <w:right w:val="none" w:sz="0" w:space="0" w:color="auto"/>
      </w:divBdr>
    </w:div>
    <w:div w:id="1898857668">
      <w:bodyDiv w:val="1"/>
      <w:marLeft w:val="0"/>
      <w:marRight w:val="0"/>
      <w:marTop w:val="0"/>
      <w:marBottom w:val="0"/>
      <w:divBdr>
        <w:top w:val="none" w:sz="0" w:space="0" w:color="auto"/>
        <w:left w:val="none" w:sz="0" w:space="0" w:color="auto"/>
        <w:bottom w:val="none" w:sz="0" w:space="0" w:color="auto"/>
        <w:right w:val="none" w:sz="0" w:space="0" w:color="auto"/>
      </w:divBdr>
    </w:div>
    <w:div w:id="1913078138">
      <w:bodyDiv w:val="1"/>
      <w:marLeft w:val="0"/>
      <w:marRight w:val="0"/>
      <w:marTop w:val="0"/>
      <w:marBottom w:val="0"/>
      <w:divBdr>
        <w:top w:val="none" w:sz="0" w:space="0" w:color="auto"/>
        <w:left w:val="none" w:sz="0" w:space="0" w:color="auto"/>
        <w:bottom w:val="none" w:sz="0" w:space="0" w:color="auto"/>
        <w:right w:val="none" w:sz="0" w:space="0" w:color="auto"/>
      </w:divBdr>
    </w:div>
    <w:div w:id="2037190714">
      <w:bodyDiv w:val="1"/>
      <w:marLeft w:val="0"/>
      <w:marRight w:val="0"/>
      <w:marTop w:val="0"/>
      <w:marBottom w:val="0"/>
      <w:divBdr>
        <w:top w:val="none" w:sz="0" w:space="0" w:color="auto"/>
        <w:left w:val="none" w:sz="0" w:space="0" w:color="auto"/>
        <w:bottom w:val="none" w:sz="0" w:space="0" w:color="auto"/>
        <w:right w:val="none" w:sz="0" w:space="0" w:color="auto"/>
      </w:divBdr>
    </w:div>
    <w:div w:id="2097089569">
      <w:bodyDiv w:val="1"/>
      <w:marLeft w:val="0"/>
      <w:marRight w:val="0"/>
      <w:marTop w:val="0"/>
      <w:marBottom w:val="0"/>
      <w:divBdr>
        <w:top w:val="none" w:sz="0" w:space="0" w:color="auto"/>
        <w:left w:val="none" w:sz="0" w:space="0" w:color="auto"/>
        <w:bottom w:val="none" w:sz="0" w:space="0" w:color="auto"/>
        <w:right w:val="none" w:sz="0" w:space="0" w:color="auto"/>
      </w:divBdr>
    </w:div>
    <w:div w:id="21278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7695-B54D-480A-B0A6-DB99F7E3427F}">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sharepoint/v3"/>
    <ds:schemaRef ds:uri="http://schemas.microsoft.com/office/infopath/2007/PartnerControls"/>
    <ds:schemaRef ds:uri="http://purl.org/dc/elements/1.1/"/>
    <ds:schemaRef ds:uri="244fe85f-b655-4145-9b20-543b75dc1c24"/>
    <ds:schemaRef ds:uri="9115ddca-c623-419f-a3c0-6a1c58c4dac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18638D1E-FA8C-449B-90C4-CDFCDEC543B1}">
  <ds:schemaRefs>
    <ds:schemaRef ds:uri="http://schemas.microsoft.com/sharepoint/v3/contenttype/forms"/>
  </ds:schemaRefs>
</ds:datastoreItem>
</file>

<file path=customXml/itemProps4.xml><?xml version="1.0" encoding="utf-8"?>
<ds:datastoreItem xmlns:ds="http://schemas.openxmlformats.org/officeDocument/2006/customXml" ds:itemID="{DDAFCEA2-B46C-4773-96C1-D76CD7C2B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1211</TotalTime>
  <Pages>4</Pages>
  <Words>1091</Words>
  <Characters>6112</Characters>
  <Application>Microsoft Office Word</Application>
  <DocSecurity>0</DocSecurity>
  <Lines>370</Lines>
  <Paragraphs>324</Paragraphs>
  <ScaleCrop>false</ScaleCrop>
  <HeadingPairs>
    <vt:vector size="2" baseType="variant">
      <vt:variant>
        <vt:lpstr>Title</vt:lpstr>
      </vt:variant>
      <vt:variant>
        <vt:i4>1</vt:i4>
      </vt:variant>
    </vt:vector>
  </HeadingPairs>
  <TitlesOfParts>
    <vt:vector size="1" baseType="lpstr">
      <vt:lpstr>Budget Paper No. 3</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Appendix A: Parameters and further information</dc:subject>
  <dc:creator>Australian Government</dc:creator>
  <cp:keywords/>
  <dc:description/>
  <cp:lastModifiedBy>Hill, Christine</cp:lastModifiedBy>
  <cp:revision>133</cp:revision>
  <cp:lastPrinted>2024-05-11T13:47:00Z</cp:lastPrinted>
  <dcterms:created xsi:type="dcterms:W3CDTF">2024-03-02T08:38:00Z</dcterms:created>
  <dcterms:modified xsi:type="dcterms:W3CDTF">2024-05-13T02:01:00Z</dcterms:modified>
</cp:coreProperties>
</file>