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700"/>
      </w:tblGrid>
      <w:tr w:rsidR="00A725AD" w14:paraId="16775DE0" w14:textId="77777777" w:rsidTr="00763F12">
        <w:tc>
          <w:tcPr>
            <w:tcW w:w="7700" w:type="dxa"/>
          </w:tcPr>
          <w:p w14:paraId="2ACA0CD5" w14:textId="6B2E6447" w:rsidR="00A725AD" w:rsidRDefault="00A725AD" w:rsidP="00AF7746">
            <w:pPr>
              <w:pStyle w:val="BoxHeading"/>
            </w:pPr>
            <w:r>
              <w:t xml:space="preserve">Purpose of </w:t>
            </w:r>
            <w:r w:rsidRPr="00AF7746">
              <w:t>Budget</w:t>
            </w:r>
            <w:r>
              <w:t xml:space="preserve"> Paper No. 4 </w:t>
            </w:r>
          </w:p>
          <w:p w14:paraId="245B0A5E" w14:textId="015C83C7" w:rsidR="00A725AD" w:rsidRDefault="00A725AD" w:rsidP="00AF7746">
            <w:pPr>
              <w:pStyle w:val="BoxText"/>
            </w:pPr>
            <w:r>
              <w:t>Budget Paper No. 4 presents information on the full allocation of resources across the General Government Sector</w:t>
            </w:r>
            <w:r w:rsidRPr="0067048D">
              <w:t>.</w:t>
            </w:r>
            <w:r w:rsidR="00145BA1" w:rsidRPr="0067048D">
              <w:rPr>
                <w:rStyle w:val="FootnoteReference"/>
              </w:rPr>
              <w:t xml:space="preserve"> </w:t>
            </w:r>
            <w:r w:rsidR="00145BA1" w:rsidRPr="0067048D">
              <w:rPr>
                <w:rStyle w:val="FootnoteReference"/>
              </w:rPr>
              <w:footnoteReference w:id="2"/>
            </w:r>
            <w:r w:rsidRPr="0067048D">
              <w:t xml:space="preserve"> In 2024–25, agencies will be responsible for administering </w:t>
            </w:r>
            <w:r w:rsidRPr="00577F92">
              <w:t>approximately $</w:t>
            </w:r>
            <w:r w:rsidR="00577F92" w:rsidRPr="00577F92">
              <w:t>734.5</w:t>
            </w:r>
            <w:r w:rsidR="00145BA1">
              <w:t> billion</w:t>
            </w:r>
            <w:r w:rsidRPr="0067048D">
              <w:t xml:space="preserve"> to deliver services for individuals, families and businesses.</w:t>
            </w:r>
            <w:r>
              <w:t xml:space="preserve"> </w:t>
            </w:r>
          </w:p>
          <w:p w14:paraId="53A97A76" w14:textId="77777777" w:rsidR="00A725AD" w:rsidRDefault="00A725AD" w:rsidP="00AF7746">
            <w:pPr>
              <w:pStyle w:val="BoxText"/>
            </w:pPr>
            <w:r w:rsidRPr="00AF7746">
              <w:t>Budget</w:t>
            </w:r>
            <w:r>
              <w:t xml:space="preserve"> Paper No. 4 sets out the departmental funding for agencies, administered funding managed by agencies, the nature of funding sources and the purposes of funding as defined by Outcome Statements for each agency. </w:t>
            </w:r>
          </w:p>
          <w:p w14:paraId="512513D9" w14:textId="48D1A774" w:rsidR="00A725AD" w:rsidRDefault="00A725AD" w:rsidP="00763F12">
            <w:pPr>
              <w:pStyle w:val="BoxText"/>
            </w:pPr>
            <w:r w:rsidRPr="00AF7746">
              <w:t>Additionally</w:t>
            </w:r>
            <w:r>
              <w:t>, information is provided on the staffing resources allocated to agencies delivering services to the Australian community.</w:t>
            </w:r>
          </w:p>
        </w:tc>
      </w:tr>
    </w:tbl>
    <w:p w14:paraId="243F41A3" w14:textId="77777777" w:rsidR="0074026A" w:rsidRDefault="0074026A" w:rsidP="003622B2">
      <w:pPr>
        <w:sectPr w:rsidR="0074026A" w:rsidSect="00C3781B">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cols w:space="708"/>
          <w:titlePg/>
          <w:docGrid w:linePitch="360"/>
        </w:sectPr>
      </w:pPr>
    </w:p>
    <w:p w14:paraId="3C64B37A" w14:textId="0FA8AEE6" w:rsidR="00A72586" w:rsidRDefault="00A72586" w:rsidP="00A10D8E">
      <w:pPr>
        <w:pStyle w:val="Heading1"/>
      </w:pPr>
      <w:r w:rsidRPr="00A10D8E">
        <w:lastRenderedPageBreak/>
        <w:t>Preface</w:t>
      </w:r>
    </w:p>
    <w:p w14:paraId="30FDFC36" w14:textId="3349F213" w:rsidR="00E03874" w:rsidRDefault="00E03874" w:rsidP="00E03874">
      <w:r w:rsidRPr="00904121">
        <w:t>The Government has a strong record of delivering outcomes for all Australians</w:t>
      </w:r>
      <w:r>
        <w:t>. The public service is essential to delivering these outcomes, doing everything from processing Centrelink payments and Medicare rebates, to protecting Australia</w:t>
      </w:r>
      <w:r w:rsidR="008702B3">
        <w:t>’</w:t>
      </w:r>
      <w:r>
        <w:t xml:space="preserve">s borders and economic interests, supporting job creation, responding to natural disasters, and helping to deliver the clean energy transition. </w:t>
      </w:r>
      <w:r w:rsidRPr="00492ECF">
        <w:t xml:space="preserve">The actions the Government is </w:t>
      </w:r>
      <w:r>
        <w:t>t</w:t>
      </w:r>
      <w:r w:rsidRPr="00492ECF">
        <w:t xml:space="preserve">aking to rebuild the </w:t>
      </w:r>
      <w:r>
        <w:t>Australian Public Service (APS)</w:t>
      </w:r>
      <w:r w:rsidRPr="00492ECF">
        <w:t xml:space="preserve"> and reduce </w:t>
      </w:r>
      <w:r>
        <w:t>its</w:t>
      </w:r>
      <w:r w:rsidRPr="00492ECF">
        <w:t xml:space="preserve"> reliance on consultants and contractors recognises that </w:t>
      </w:r>
      <w:r>
        <w:t>d</w:t>
      </w:r>
      <w:r w:rsidRPr="00492ECF">
        <w:t>elivering outcomes for Australians must be built on the foundations of a strong public service.</w:t>
      </w:r>
      <w:r>
        <w:t xml:space="preserve"> </w:t>
      </w:r>
    </w:p>
    <w:p w14:paraId="1AC16ED9" w14:textId="2B05849C" w:rsidR="00E03874" w:rsidRDefault="00E03874" w:rsidP="00E03874">
      <w:r w:rsidRPr="00C75D92">
        <w:t>After a</w:t>
      </w:r>
      <w:r>
        <w:t>lmost a</w:t>
      </w:r>
      <w:r w:rsidRPr="00C75D92">
        <w:t xml:space="preserve"> decade of outsourcing</w:t>
      </w:r>
      <w:r>
        <w:t>, reduced service outcomes</w:t>
      </w:r>
      <w:r w:rsidRPr="00C75D92">
        <w:t xml:space="preserve"> and underinvestment by the </w:t>
      </w:r>
      <w:r w:rsidR="00464D19">
        <w:t>previous</w:t>
      </w:r>
      <w:r w:rsidRPr="00C75D92">
        <w:t xml:space="preserve"> Government, o</w:t>
      </w:r>
      <w:r w:rsidRPr="00C75D92" w:rsidDel="00230C6D">
        <w:t xml:space="preserve">ver the past two years </w:t>
      </w:r>
      <w:r w:rsidRPr="00C75D92">
        <w:t xml:space="preserve">the Government </w:t>
      </w:r>
      <w:r w:rsidRPr="00C75D92" w:rsidDel="00230C6D">
        <w:t>has</w:t>
      </w:r>
      <w:r w:rsidRPr="00C75D92">
        <w:t xml:space="preserve"> invested in the public service to </w:t>
      </w:r>
      <w:r>
        <w:t>ensure it is best placed to do the job the Australian people expect. The public service needs</w:t>
      </w:r>
      <w:r w:rsidRPr="00C75D92">
        <w:t xml:space="preserve"> people to deliver services across the country, support Australia</w:t>
      </w:r>
      <w:r w:rsidR="008702B3">
        <w:t>’</w:t>
      </w:r>
      <w:r w:rsidRPr="00C75D92">
        <w:t>s economic growth and</w:t>
      </w:r>
      <w:r w:rsidRPr="00C75D92" w:rsidDel="00230C6D">
        <w:t xml:space="preserve"> </w:t>
      </w:r>
      <w:r w:rsidRPr="00C75D92">
        <w:t xml:space="preserve">keep Australians safe. </w:t>
      </w:r>
    </w:p>
    <w:p w14:paraId="09C63C66" w14:textId="1040671A" w:rsidR="00E03874" w:rsidRDefault="00E03874" w:rsidP="00E03874">
      <w:r>
        <w:t>The 2024</w:t>
      </w:r>
      <w:r w:rsidR="00E5276D">
        <w:t>–</w:t>
      </w:r>
      <w:r>
        <w:t>25 Budget builds on this investment, responding to the challenges of today and investing in a better future. The Budget helps ease cost</w:t>
      </w:r>
      <w:r w:rsidR="008702B3">
        <w:noBreakHyphen/>
      </w:r>
      <w:r>
        <w:t>of</w:t>
      </w:r>
      <w:r w:rsidR="008702B3">
        <w:noBreakHyphen/>
      </w:r>
      <w:r>
        <w:t xml:space="preserve">living pressures and supports building more homes </w:t>
      </w:r>
      <w:r w:rsidRPr="00215362">
        <w:t xml:space="preserve">for Australians. </w:t>
      </w:r>
      <w:r>
        <w:t>It</w:t>
      </w:r>
      <w:r w:rsidRPr="00215362">
        <w:t xml:space="preserve"> </w:t>
      </w:r>
      <w:r w:rsidRPr="007249A9">
        <w:t>lays the foundations of an ambitious strategy to build a future made in Australia</w:t>
      </w:r>
      <w:r>
        <w:t>,</w:t>
      </w:r>
      <w:r w:rsidRPr="00215362">
        <w:t xml:space="preserve"> </w:t>
      </w:r>
      <w:r>
        <w:t xml:space="preserve">while </w:t>
      </w:r>
      <w:r w:rsidRPr="00215362">
        <w:t>invest</w:t>
      </w:r>
      <w:r>
        <w:t>ing</w:t>
      </w:r>
      <w:r w:rsidRPr="00215362">
        <w:t xml:space="preserve"> in strengthening Medicare and building a strong</w:t>
      </w:r>
      <w:r w:rsidR="67794108">
        <w:t>,</w:t>
      </w:r>
      <w:r w:rsidRPr="00215362">
        <w:t xml:space="preserve"> sustainable care economy. </w:t>
      </w:r>
      <w:r>
        <w:t>At the same time, the Budget</w:t>
      </w:r>
      <w:r w:rsidRPr="00215362">
        <w:t xml:space="preserve"> delivers</w:t>
      </w:r>
      <w:r>
        <w:t xml:space="preserve"> on the Government</w:t>
      </w:r>
      <w:r w:rsidR="008702B3">
        <w:t>’</w:t>
      </w:r>
      <w:r>
        <w:t>s commitment to</w:t>
      </w:r>
      <w:r w:rsidRPr="008425B0">
        <w:t xml:space="preserve"> </w:t>
      </w:r>
      <w:r>
        <w:t xml:space="preserve">responsible economic management, broadening opportunity and improving equality. </w:t>
      </w:r>
    </w:p>
    <w:p w14:paraId="1507C610" w14:textId="5B2D3457" w:rsidR="00E03874" w:rsidRDefault="00E03874" w:rsidP="00E03874">
      <w:pPr>
        <w:spacing w:before="0"/>
      </w:pPr>
      <w:r>
        <w:t>The Government is delivering on its election commitment to reduce the public service</w:t>
      </w:r>
      <w:r w:rsidR="008702B3">
        <w:t>’</w:t>
      </w:r>
      <w:r>
        <w:t>s reliance on consultants, contractors, and labour hire, which delivered a $3 billion saving in the 2022</w:t>
      </w:r>
      <w:r w:rsidR="00E5276D">
        <w:t>–</w:t>
      </w:r>
      <w:r>
        <w:t>23 October Budget. Demonstrating the Government</w:t>
      </w:r>
      <w:r w:rsidR="008702B3">
        <w:t>’</w:t>
      </w:r>
      <w:r>
        <w:t>s commitment to responsible economic management, the</w:t>
      </w:r>
      <w:r w:rsidRPr="009F66C9">
        <w:t xml:space="preserve"> 2024</w:t>
      </w:r>
      <w:r w:rsidR="00E5276D">
        <w:t>–</w:t>
      </w:r>
      <w:r w:rsidRPr="009F66C9">
        <w:t>25 Budget</w:t>
      </w:r>
      <w:r>
        <w:t xml:space="preserve"> delivers an additional saving of</w:t>
      </w:r>
      <w:r w:rsidRPr="009F66C9">
        <w:t xml:space="preserve"> </w:t>
      </w:r>
      <w:r w:rsidRPr="00B77D79">
        <w:t>$1 billion</w:t>
      </w:r>
      <w:r w:rsidRPr="009F66C9">
        <w:t xml:space="preserve"> </w:t>
      </w:r>
      <w:r>
        <w:t>over four years</w:t>
      </w:r>
      <w:r w:rsidR="000C5444">
        <w:t xml:space="preserve"> from 2024-25</w:t>
      </w:r>
      <w:r>
        <w:t xml:space="preserve"> by reducing spending on external labour, bringing the total savings to $4 billion</w:t>
      </w:r>
      <w:r w:rsidR="008702B3">
        <w:t xml:space="preserve">. </w:t>
      </w:r>
    </w:p>
    <w:p w14:paraId="6645FF58" w14:textId="71D120AD" w:rsidR="00E03874" w:rsidRDefault="00E03874" w:rsidP="00E03874">
      <w:r>
        <w:t xml:space="preserve">The </w:t>
      </w:r>
      <w:r w:rsidRPr="005759C8">
        <w:t>Government will conduct a new Audit of Employment</w:t>
      </w:r>
      <w:r>
        <w:t xml:space="preserve"> to measure and track how the public service is continuing to deliver on the Government</w:t>
      </w:r>
      <w:r w:rsidR="008702B3">
        <w:t>’</w:t>
      </w:r>
      <w:r>
        <w:t xml:space="preserve">s commitment to reduce its reliance on external labour, coupled with targets established under the </w:t>
      </w:r>
      <w:r w:rsidRPr="00777A01">
        <w:rPr>
          <w:i/>
          <w:iCs/>
        </w:rPr>
        <w:t xml:space="preserve">APS </w:t>
      </w:r>
      <w:r w:rsidRPr="00777A01">
        <w:rPr>
          <w:i/>
        </w:rPr>
        <w:t>Strategic Commissioning Framework</w:t>
      </w:r>
      <w:r>
        <w:t>, to bring core public service work back into the public service</w:t>
      </w:r>
      <w:r w:rsidRPr="005759C8">
        <w:t xml:space="preserve">. </w:t>
      </w:r>
    </w:p>
    <w:p w14:paraId="2661C144" w14:textId="5F7B3154" w:rsidR="00E03874" w:rsidRDefault="00E03874" w:rsidP="00E03874">
      <w:r>
        <w:t>The Government has an ambitious agenda for Australia and the effectiveness of the public service is central to successfully implementing the Government</w:t>
      </w:r>
      <w:r w:rsidR="008702B3">
        <w:t>’</w:t>
      </w:r>
      <w:r>
        <w:t>s commitments</w:t>
      </w:r>
      <w:r w:rsidRPr="00FD17B9">
        <w:t xml:space="preserve"> to the Australian people.</w:t>
      </w:r>
      <w:r>
        <w:t xml:space="preserve"> </w:t>
      </w:r>
    </w:p>
    <w:p w14:paraId="750CFB2C" w14:textId="6BC4E2AC" w:rsidR="00967B76" w:rsidRDefault="00967B76">
      <w:pPr>
        <w:spacing w:before="0" w:after="160" w:line="259" w:lineRule="auto"/>
        <w:rPr>
          <w:rFonts w:ascii="Arial Bold" w:hAnsi="Arial Bold"/>
          <w:b/>
          <w:sz w:val="26"/>
        </w:rPr>
      </w:pPr>
      <w:r>
        <w:br w:type="page"/>
      </w:r>
    </w:p>
    <w:p w14:paraId="57FA9C61" w14:textId="3867E97C" w:rsidR="00FF1E2A" w:rsidRPr="00904121" w:rsidRDefault="00FF1E2A" w:rsidP="00D222B5">
      <w:pPr>
        <w:pStyle w:val="Heading2"/>
        <w:rPr>
          <w:b w:val="0"/>
        </w:rPr>
      </w:pPr>
      <w:r w:rsidRPr="00904121">
        <w:lastRenderedPageBreak/>
        <w:t xml:space="preserve">The </w:t>
      </w:r>
      <w:r>
        <w:t>impact</w:t>
      </w:r>
      <w:r w:rsidRPr="00904121">
        <w:t xml:space="preserve"> of </w:t>
      </w:r>
      <w:r w:rsidRPr="00D222B5">
        <w:t>the</w:t>
      </w:r>
      <w:r>
        <w:t xml:space="preserve"> </w:t>
      </w:r>
      <w:r w:rsidR="00846005">
        <w:t>previous</w:t>
      </w:r>
      <w:r>
        <w:t xml:space="preserve"> Government</w:t>
      </w:r>
      <w:r w:rsidR="008702B3">
        <w:t>’</w:t>
      </w:r>
      <w:r>
        <w:t>s</w:t>
      </w:r>
      <w:r w:rsidRPr="00904121">
        <w:t xml:space="preserve"> A</w:t>
      </w:r>
      <w:r>
        <w:t xml:space="preserve">verage </w:t>
      </w:r>
      <w:r w:rsidRPr="00904121">
        <w:t>S</w:t>
      </w:r>
      <w:r>
        <w:t xml:space="preserve">taffing </w:t>
      </w:r>
      <w:r w:rsidRPr="00904121">
        <w:t>L</w:t>
      </w:r>
      <w:r>
        <w:t>evel</w:t>
      </w:r>
      <w:r w:rsidRPr="00904121">
        <w:t xml:space="preserve"> cap</w:t>
      </w:r>
    </w:p>
    <w:p w14:paraId="05FBC487" w14:textId="615F496A" w:rsidR="00A80571" w:rsidRDefault="00A80571" w:rsidP="00763F12">
      <w:r>
        <w:t xml:space="preserve">The 2023 Audit of Employment identified that the </w:t>
      </w:r>
      <w:r w:rsidR="00464D19">
        <w:t>previous</w:t>
      </w:r>
      <w:r>
        <w:t xml:space="preserve"> Government suppressed the </w:t>
      </w:r>
      <w:r w:rsidRPr="00DB7CF0">
        <w:t>true</w:t>
      </w:r>
      <w:r>
        <w:t xml:space="preserve"> size of the public service, with an artificially low and misleading public service headcount augmented by a shadow workforce of tens of thousands of consultants and contractors. Abolishing the arbitrary Average Staffing Level (ASL) cap in 2022 was an important first step </w:t>
      </w:r>
      <w:r w:rsidR="00F87151">
        <w:t>towards</w:t>
      </w:r>
      <w:r>
        <w:t xml:space="preserve"> rebuilding the public service and ensuring that the jobs that need to be done are delivered more effectively and more cost</w:t>
      </w:r>
      <w:r w:rsidR="008702B3">
        <w:noBreakHyphen/>
      </w:r>
      <w:r>
        <w:t xml:space="preserve">efficiently by public servants. </w:t>
      </w:r>
    </w:p>
    <w:p w14:paraId="26AF236B" w14:textId="37077DDC" w:rsidR="00A80571" w:rsidRDefault="00A80571" w:rsidP="00A80571">
      <w:r>
        <w:t xml:space="preserve">The arbitrary restrictions on the size of the public service under the ASL cap had nothing to do with achieving efficiencies. The shadow workforce came at a costly premium for taxpayers without offering the value for money the Australian people expect. Under the </w:t>
      </w:r>
      <w:r w:rsidR="00846005">
        <w:t>previous</w:t>
      </w:r>
      <w:r>
        <w:t xml:space="preserve"> Government, departmental spending in nominal terms rose 35 per cent between 2012</w:t>
      </w:r>
      <w:r w:rsidR="00E5276D">
        <w:t>–</w:t>
      </w:r>
      <w:r>
        <w:t>13 and 2021</w:t>
      </w:r>
      <w:r w:rsidR="00E5276D">
        <w:t>–</w:t>
      </w:r>
      <w:r>
        <w:t xml:space="preserve">22, whereas ASL numbers </w:t>
      </w:r>
      <w:r w:rsidRPr="00DB7CF0">
        <w:t>fell by four per</w:t>
      </w:r>
      <w:r>
        <w:t> cent over the same period.</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EE1DD8" w14:paraId="742C9088" w14:textId="77777777" w:rsidTr="007913DD">
        <w:trPr>
          <w:cantSplit/>
        </w:trPr>
        <w:tc>
          <w:tcPr>
            <w:tcW w:w="5000" w:type="pct"/>
            <w:shd w:val="clear" w:color="auto" w:fill="E6F2FF"/>
          </w:tcPr>
          <w:p w14:paraId="15235023" w14:textId="44ECD961" w:rsidR="00EE1DD8" w:rsidRDefault="00EF039F" w:rsidP="00363C3E">
            <w:pPr>
              <w:pStyle w:val="BoxHeading"/>
            </w:pPr>
            <w:r w:rsidRPr="00970967">
              <w:rPr>
                <w:noProof/>
              </w:rPr>
              <w:drawing>
                <wp:anchor distT="0" distB="0" distL="114300" distR="114300" simplePos="0" relativeHeight="251658245" behindDoc="0" locked="0" layoutInCell="1" allowOverlap="1" wp14:anchorId="4D5C35D4" wp14:editId="5A8DD5FC">
                  <wp:simplePos x="0" y="0"/>
                  <wp:positionH relativeFrom="column">
                    <wp:posOffset>30480</wp:posOffset>
                  </wp:positionH>
                  <wp:positionV relativeFrom="paragraph">
                    <wp:posOffset>68580</wp:posOffset>
                  </wp:positionV>
                  <wp:extent cx="759460" cy="759460"/>
                  <wp:effectExtent l="0" t="0" r="2540" b="2540"/>
                  <wp:wrapSquare wrapText="bothSides"/>
                  <wp:docPr id="429224041" name="Picture 429224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24041"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14:sizeRelH relativeFrom="margin">
                    <wp14:pctWidth>0</wp14:pctWidth>
                  </wp14:sizeRelH>
                  <wp14:sizeRelV relativeFrom="margin">
                    <wp14:pctHeight>0</wp14:pctHeight>
                  </wp14:sizeRelV>
                </wp:anchor>
              </w:drawing>
            </w:r>
            <w:r w:rsidR="002F3706">
              <w:t xml:space="preserve">Audit of </w:t>
            </w:r>
            <w:r w:rsidR="002F3706" w:rsidRPr="00363C3E">
              <w:t>Employment</w:t>
            </w:r>
          </w:p>
          <w:p w14:paraId="7AD03BD6" w14:textId="43B20289" w:rsidR="00A1658C" w:rsidRPr="00A1658C" w:rsidRDefault="00A1658C" w:rsidP="00A1658C">
            <w:pPr>
              <w:pStyle w:val="BoxText"/>
            </w:pPr>
            <w:r w:rsidRPr="00A1658C">
              <w:t xml:space="preserve">The 2023 Audit of Employment provided an estimate of the use of external labour (contractors, consultants, outsourced service providers and labour hire) across the public service under the </w:t>
            </w:r>
            <w:r w:rsidR="001A7B14">
              <w:t>previous</w:t>
            </w:r>
            <w:r w:rsidRPr="00A1658C">
              <w:t xml:space="preserve"> Government. The Audit brought together information on the use of external labour by 112 agencies across the public service that employ staff under the </w:t>
            </w:r>
            <w:r w:rsidRPr="00A1658C">
              <w:rPr>
                <w:i/>
                <w:iCs/>
              </w:rPr>
              <w:t>Public Service Act 1999</w:t>
            </w:r>
            <w:r w:rsidRPr="00A1658C">
              <w:t xml:space="preserve"> and found that in 2021</w:t>
            </w:r>
            <w:r w:rsidR="00E5276D">
              <w:t>–</w:t>
            </w:r>
            <w:r w:rsidRPr="00A1658C">
              <w:t>22 these agencies employed an external labour workforce of 53,900 staff on a full</w:t>
            </w:r>
            <w:r w:rsidR="008702B3">
              <w:noBreakHyphen/>
            </w:r>
            <w:r w:rsidRPr="00A1658C">
              <w:t xml:space="preserve">time equivalent basis at a cost of $20.8 billion. </w:t>
            </w:r>
          </w:p>
          <w:p w14:paraId="06C5FAA0" w14:textId="07CAF688" w:rsidR="00EE1DD8" w:rsidRDefault="00A1658C" w:rsidP="00A1658C">
            <w:pPr>
              <w:pStyle w:val="BoxText"/>
            </w:pPr>
            <w:r w:rsidRPr="00A1658C">
              <w:t>The Audit also found that</w:t>
            </w:r>
            <w:r w:rsidR="00F040DB">
              <w:t xml:space="preserve"> </w:t>
            </w:r>
            <w:r w:rsidRPr="00A1658C">
              <w:t xml:space="preserve">around </w:t>
            </w:r>
            <w:r w:rsidR="00C40BCC">
              <w:t>one</w:t>
            </w:r>
            <w:r w:rsidRPr="00A1658C">
              <w:t xml:space="preserve"> in every </w:t>
            </w:r>
            <w:r w:rsidR="00C40BCC">
              <w:t>four</w:t>
            </w:r>
            <w:r w:rsidRPr="00A1658C">
              <w:t xml:space="preserve"> dollars spent by agencies for departmental purposes was on external labour</w:t>
            </w:r>
            <w:r w:rsidR="008702B3">
              <w:t xml:space="preserve">. </w:t>
            </w:r>
          </w:p>
        </w:tc>
      </w:tr>
    </w:tbl>
    <w:p w14:paraId="277D92F6" w14:textId="752D184B" w:rsidR="001372C4" w:rsidRDefault="001372C4" w:rsidP="001372C4">
      <w:pPr>
        <w:pStyle w:val="BoxText"/>
        <w:spacing w:before="240" w:after="240" w:line="240" w:lineRule="exact"/>
      </w:pPr>
      <w:r>
        <w:t>The impacts of the previous Government</w:t>
      </w:r>
      <w:r w:rsidR="008702B3">
        <w:t>’</w:t>
      </w:r>
      <w:r>
        <w:t>s ASL cap policy were two</w:t>
      </w:r>
      <w:r w:rsidR="008702B3">
        <w:noBreakHyphen/>
      </w:r>
      <w:r>
        <w:t>fold. In the early years, departmental funding was reduced by around 10 per cent in real terms while the size of the public service was reduced by a similar amount. These reductions diminished the ability of the public service to provide high</w:t>
      </w:r>
      <w:r w:rsidR="008702B3">
        <w:noBreakHyphen/>
      </w:r>
      <w:r>
        <w:t>quality policy advice and deliver the services and programs that Australians expect of their government. From around 2015, funding to government agencies began to increase, but the ASL cap forced agencies to outsource core services using contracted labour or third</w:t>
      </w:r>
      <w:r w:rsidR="008702B3">
        <w:noBreakHyphen/>
      </w:r>
      <w:r>
        <w:t xml:space="preserve">party service providers rather than public service employees. By 2022, employment in the public service was around </w:t>
      </w:r>
      <w:r w:rsidRPr="009B3D7E">
        <w:t xml:space="preserve">14 per cent </w:t>
      </w:r>
      <w:r>
        <w:t xml:space="preserve">below the level it would have been </w:t>
      </w:r>
      <w:r w:rsidRPr="00DB7CF0">
        <w:t>had ASL</w:t>
      </w:r>
      <w:r w:rsidRPr="009046EF">
        <w:t xml:space="preserve"> </w:t>
      </w:r>
      <w:r>
        <w:t xml:space="preserve">growth kept up with the growth in departmental expenses in the absence of the ASL cap (Chart 1). </w:t>
      </w:r>
    </w:p>
    <w:p w14:paraId="1389E714" w14:textId="49501404" w:rsidR="00967B76" w:rsidRDefault="00967B76" w:rsidP="00967B76">
      <w:pPr>
        <w:pStyle w:val="ChartMainHeading"/>
      </w:pPr>
      <w:r>
        <w:lastRenderedPageBreak/>
        <w:t>Chart 1</w:t>
      </w:r>
      <w:r w:rsidR="0074026A">
        <w:t xml:space="preserve"> – </w:t>
      </w:r>
      <w:r w:rsidRPr="005759C8">
        <w:t xml:space="preserve">Index of ASL and departmental expenses </w:t>
      </w:r>
      <w:r>
        <w:t>(real terms)</w:t>
      </w:r>
      <w:r w:rsidRPr="005759C8">
        <w:t xml:space="preserve"> </w:t>
      </w:r>
      <w:r>
        <w:t>(2007</w:t>
      </w:r>
      <w:r w:rsidR="007C1600">
        <w:t>–</w:t>
      </w:r>
      <w:r>
        <w:t xml:space="preserve">08 to 2024–25) </w:t>
      </w:r>
    </w:p>
    <w:p w14:paraId="7A03D070" w14:textId="2F19EFFE" w:rsidR="00967B76" w:rsidRPr="00967B76" w:rsidRDefault="00967B76" w:rsidP="00967B76">
      <w:pPr>
        <w:pStyle w:val="ChartGraphic"/>
      </w:pPr>
      <w:r>
        <w:rPr>
          <w:noProof/>
        </w:rPr>
        <w:drawing>
          <wp:inline distT="0" distB="0" distL="0" distR="0" wp14:anchorId="1118C163" wp14:editId="589EF568">
            <wp:extent cx="4679950" cy="2519680"/>
            <wp:effectExtent l="0" t="0" r="6350" b="0"/>
            <wp:docPr id="1907574092" name="Chart 1" descr="This chart shows the growth in Average Staffing Level and departmental expenses (in real terms) between 2007-08 and 2024-25 (figures for 2022-23 to 2024-25 are projections).  It shows that, until 2013-14, growth in Average Staffing Level and departmental expense track closely before diverging.  By 2022, employment in the public service was around 14 per cent below the level it would have been had Average Staffing Level growth kept up with the growth in departmental expenses.">
              <a:extLst xmlns:a="http://schemas.openxmlformats.org/drawingml/2006/main">
                <a:ext uri="{FF2B5EF4-FFF2-40B4-BE49-F238E27FC236}">
                  <a16:creationId xmlns:a16="http://schemas.microsoft.com/office/drawing/2014/main" id="{F00CB597-0419-84C5-1EB5-A0A71890316E}"/>
                </a:ext>
                <a:ext uri="{147F2762-F138-4A5C-976F-8EAC2B608ADB}">
                  <a16:predDERef xmlns:a16="http://schemas.microsoft.com/office/drawing/2014/main" pred="{DED964FE-F90A-921F-584F-FCBC705C0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C279F5" w14:textId="3C7F2C87" w:rsidR="003270F7" w:rsidRPr="004A6A93" w:rsidRDefault="003270F7" w:rsidP="007A3BEB">
      <w:pPr>
        <w:pStyle w:val="ChartandTableFootnote"/>
      </w:pPr>
      <w:r w:rsidRPr="00967B76">
        <w:t xml:space="preserve">Source: </w:t>
      </w:r>
      <w:r w:rsidR="00967B76">
        <w:tab/>
      </w:r>
      <w:r w:rsidR="007A3BEB" w:rsidRPr="007A3BEB">
        <w:t>Department of Finance. Departmental expenses sourced from consolidated budget figures. Real values for Chart 1 have been calculated based on Wage Price Index as published by the Australian Bureau of Statistics. Estimated future Wage Price Index values are Department of the Treasury forecasts. ASL data sourced from historical and current Budget Paper No</w:t>
      </w:r>
      <w:r w:rsidR="007A3BEB">
        <w:t>.</w:t>
      </w:r>
      <w:r w:rsidRPr="00967B76">
        <w:t>4.</w:t>
      </w:r>
      <w:r w:rsidR="007A3BEB">
        <w:t xml:space="preserve"> E</w:t>
      </w:r>
      <w:r w:rsidR="004A6A93" w:rsidRPr="004A6A93">
        <w:t>xcludes Defence portfolio (except for the Australian War Memorial and Department of Veterans</w:t>
      </w:r>
      <w:r w:rsidR="008702B3">
        <w:t>’</w:t>
      </w:r>
      <w:r w:rsidR="004A6A93" w:rsidRPr="004A6A93">
        <w:t xml:space="preserve"> Affairs), the administered in nature National Disability Insurance Agency expenses, and Clean Energy Finance Corporation.</w:t>
      </w:r>
    </w:p>
    <w:p w14:paraId="206351BB" w14:textId="77777777" w:rsidR="003270F7" w:rsidRDefault="003270F7" w:rsidP="00967B76">
      <w:pPr>
        <w:pStyle w:val="ChartLine"/>
      </w:pPr>
    </w:p>
    <w:p w14:paraId="6D298E12" w14:textId="170799B3" w:rsidR="00390BBD" w:rsidRPr="003A7061" w:rsidRDefault="00390BBD" w:rsidP="00D160CE">
      <w:pPr>
        <w:pStyle w:val="Heading2"/>
      </w:pPr>
      <w:r w:rsidRPr="00827BEB">
        <w:t>Reducing</w:t>
      </w:r>
      <w:r>
        <w:t xml:space="preserve"> the public service</w:t>
      </w:r>
      <w:r w:rsidR="008702B3">
        <w:t>’</w:t>
      </w:r>
      <w:r>
        <w:t>s reliance on consultants and contractors</w:t>
      </w:r>
    </w:p>
    <w:p w14:paraId="3E37BC98" w14:textId="77777777" w:rsidR="00AD2D26" w:rsidRPr="002D03D8" w:rsidRDefault="00AD2D26" w:rsidP="00AD2D26">
      <w:pPr>
        <w:rPr>
          <w:iCs/>
        </w:rPr>
      </w:pPr>
      <w:r w:rsidRPr="002D03D8">
        <w:rPr>
          <w:iCs/>
        </w:rPr>
        <w:t>In October 2023</w:t>
      </w:r>
      <w:r>
        <w:rPr>
          <w:iCs/>
        </w:rPr>
        <w:t>,</w:t>
      </w:r>
      <w:r w:rsidRPr="002D03D8">
        <w:rPr>
          <w:iCs/>
        </w:rPr>
        <w:t xml:space="preserve"> the Government released new instructions for the </w:t>
      </w:r>
      <w:r>
        <w:rPr>
          <w:iCs/>
        </w:rPr>
        <w:t>public service</w:t>
      </w:r>
      <w:r w:rsidRPr="002D03D8">
        <w:rPr>
          <w:iCs/>
        </w:rPr>
        <w:t xml:space="preserve"> to limit the use of contractors and consultants. The </w:t>
      </w:r>
      <w:r w:rsidRPr="00A456B3">
        <w:rPr>
          <w:i/>
          <w:iCs/>
        </w:rPr>
        <w:t>APS Strategic Commissioning Framework</w:t>
      </w:r>
      <w:r w:rsidRPr="002D03D8">
        <w:rPr>
          <w:iCs/>
        </w:rPr>
        <w:t xml:space="preserve"> requires core government </w:t>
      </w:r>
      <w:r w:rsidRPr="00E17188">
        <w:rPr>
          <w:iCs/>
        </w:rPr>
        <w:t>work</w:t>
      </w:r>
      <w:r>
        <w:rPr>
          <w:iCs/>
        </w:rPr>
        <w:t xml:space="preserve"> to be done by public service employees, </w:t>
      </w:r>
      <w:r w:rsidRPr="00DB7CF0">
        <w:t>such as policy formulation, drafting Cabinet submissions, developing legislation and regulations</w:t>
      </w:r>
      <w:r>
        <w:t>,</w:t>
      </w:r>
      <w:r>
        <w:rPr>
          <w:iCs/>
        </w:rPr>
        <w:t xml:space="preserve"> and limits outsourcing of core work to defined circumstances</w:t>
      </w:r>
      <w:r>
        <w:t>.</w:t>
      </w:r>
    </w:p>
    <w:p w14:paraId="2C45092F" w14:textId="77777777" w:rsidR="00AD2D26" w:rsidRDefault="00AD2D26" w:rsidP="00AD2D26">
      <w:pPr>
        <w:rPr>
          <w:iCs/>
        </w:rPr>
      </w:pPr>
      <w:r>
        <w:rPr>
          <w:iCs/>
        </w:rPr>
        <w:t>All</w:t>
      </w:r>
      <w:r w:rsidRPr="00FA3840">
        <w:rPr>
          <w:iCs/>
        </w:rPr>
        <w:t xml:space="preserve"> agencies </w:t>
      </w:r>
      <w:r>
        <w:rPr>
          <w:iCs/>
        </w:rPr>
        <w:t>that</w:t>
      </w:r>
      <w:r w:rsidRPr="00FA3840">
        <w:rPr>
          <w:iCs/>
        </w:rPr>
        <w:t xml:space="preserve"> </w:t>
      </w:r>
      <w:r w:rsidRPr="002F3D44">
        <w:t xml:space="preserve">employ staff under the </w:t>
      </w:r>
      <w:r w:rsidRPr="001E7726">
        <w:rPr>
          <w:rStyle w:val="Emphasis"/>
        </w:rPr>
        <w:t>Public Service Act 1999</w:t>
      </w:r>
      <w:r w:rsidRPr="002F3D44">
        <w:t xml:space="preserve"> </w:t>
      </w:r>
      <w:r w:rsidRPr="00FA3840">
        <w:rPr>
          <w:iCs/>
        </w:rPr>
        <w:t xml:space="preserve">are now required </w:t>
      </w:r>
      <w:r>
        <w:rPr>
          <w:iCs/>
        </w:rPr>
        <w:t xml:space="preserve">to </w:t>
      </w:r>
      <w:r w:rsidRPr="00FA3840">
        <w:rPr>
          <w:iCs/>
        </w:rPr>
        <w:t>collect data on their use of the external workforce and how it is reducing over time</w:t>
      </w:r>
      <w:r>
        <w:rPr>
          <w:iCs/>
        </w:rPr>
        <w:t>. This will be re</w:t>
      </w:r>
      <w:r w:rsidRPr="00FA3840">
        <w:rPr>
          <w:iCs/>
        </w:rPr>
        <w:t>ported in Annual Reports from 2024 onwards</w:t>
      </w:r>
      <w:r>
        <w:rPr>
          <w:iCs/>
        </w:rPr>
        <w:t xml:space="preserve">, for accountability and transparency purposes. </w:t>
      </w:r>
    </w:p>
    <w:p w14:paraId="6F7E1648" w14:textId="66202260" w:rsidR="00AD2D26" w:rsidRDefault="00AD2D26" w:rsidP="00931198">
      <w:pPr>
        <w:keepNext/>
        <w:keepLines/>
        <w:spacing w:before="120" w:after="120" w:line="240" w:lineRule="auto"/>
      </w:pPr>
      <w:r>
        <w:lastRenderedPageBreak/>
        <w:t xml:space="preserve">By rebalancing and rebuilding the public service, the Government has converted contractors into public service roles and achieved savings through reduced spending on consultants, contractors, and other external labour. </w:t>
      </w:r>
      <w:r w:rsidRPr="003248ED">
        <w:t>Since the 2022</w:t>
      </w:r>
      <w:r w:rsidR="00E5276D">
        <w:t>–</w:t>
      </w:r>
      <w:r w:rsidRPr="003248ED">
        <w:t xml:space="preserve">23 October </w:t>
      </w:r>
      <w:r w:rsidR="00F800D2">
        <w:t>B</w:t>
      </w:r>
      <w:r w:rsidRPr="003248ED">
        <w:t xml:space="preserve">udget, </w:t>
      </w:r>
      <w:r w:rsidRPr="00777A01">
        <w:t>8,816</w:t>
      </w:r>
      <w:r w:rsidR="005E5ED1">
        <w:t> </w:t>
      </w:r>
      <w:r w:rsidRPr="003248ED">
        <w:t>public service roles have been created to replace work previously undertaken by consultants</w:t>
      </w:r>
      <w:r w:rsidR="00F035E3">
        <w:t xml:space="preserve"> and contractors</w:t>
      </w:r>
      <w:r w:rsidRPr="003248ED">
        <w:t xml:space="preserve">. </w:t>
      </w:r>
      <w:r>
        <w:t xml:space="preserve">This includes: </w:t>
      </w:r>
    </w:p>
    <w:p w14:paraId="4F084196" w14:textId="0336B91E" w:rsidR="00A416E4" w:rsidRDefault="00A416E4" w:rsidP="00A416E4">
      <w:pPr>
        <w:pStyle w:val="Bullet"/>
      </w:pPr>
      <w:r>
        <w:t xml:space="preserve">5,816 roles that have been explicitly converted </w:t>
      </w:r>
      <w:r w:rsidRPr="007C4D95">
        <w:t>from contracted positions to public service positions</w:t>
      </w:r>
      <w:r>
        <w:t xml:space="preserve">. </w:t>
      </w:r>
      <w:r w:rsidRPr="00D16CE9">
        <w:t>The 2024</w:t>
      </w:r>
      <w:r>
        <w:t>–</w:t>
      </w:r>
      <w:r w:rsidRPr="00D16CE9">
        <w:t xml:space="preserve">25 Budget </w:t>
      </w:r>
      <w:r w:rsidRPr="00DB7CF0">
        <w:t xml:space="preserve">includes </w:t>
      </w:r>
      <w:r w:rsidRPr="00A416E4">
        <w:t>2,</w:t>
      </w:r>
      <w:r w:rsidRPr="00777A01">
        <w:t>502</w:t>
      </w:r>
      <w:r w:rsidRPr="00DB7CF0">
        <w:t xml:space="preserve"> additional conversions</w:t>
      </w:r>
      <w:r>
        <w:t xml:space="preserve"> in addition to the</w:t>
      </w:r>
      <w:r w:rsidRPr="00D16CE9">
        <w:t xml:space="preserve"> 3,314 conversions </w:t>
      </w:r>
      <w:r>
        <w:t xml:space="preserve">reported </w:t>
      </w:r>
      <w:r w:rsidRPr="00D16CE9">
        <w:t>in the 2023</w:t>
      </w:r>
      <w:r w:rsidR="00E5276D">
        <w:t>–</w:t>
      </w:r>
      <w:r w:rsidRPr="00D16CE9">
        <w:t>24 Budget</w:t>
      </w:r>
      <w:r>
        <w:t xml:space="preserve">  </w:t>
      </w:r>
    </w:p>
    <w:p w14:paraId="005AD840" w14:textId="2DF5B96B" w:rsidR="00292F9B" w:rsidRDefault="00292F9B" w:rsidP="00292F9B">
      <w:pPr>
        <w:pStyle w:val="Bullet"/>
      </w:pPr>
      <w:r w:rsidRPr="00147A65">
        <w:t>3,000</w:t>
      </w:r>
      <w:r w:rsidRPr="003A632D">
        <w:t xml:space="preserve"> roles</w:t>
      </w:r>
      <w:r>
        <w:t xml:space="preserve"> in Services Australia that are now being performed by public servants instead of through outsourced arrangements. The Government is providing funding for public servants when extending terminating funding, instead of funding for outsourced arrangements, as was occurring because of the </w:t>
      </w:r>
      <w:r w:rsidR="00A70A41">
        <w:t>previous</w:t>
      </w:r>
      <w:r>
        <w:t xml:space="preserve"> Government</w:t>
      </w:r>
      <w:r w:rsidR="008702B3">
        <w:t>’</w:t>
      </w:r>
      <w:r>
        <w:t>s arbitrary ASL cap</w:t>
      </w:r>
      <w:r w:rsidR="004C6020">
        <w:t>.</w:t>
      </w:r>
    </w:p>
    <w:p w14:paraId="53CF384C" w14:textId="52715954" w:rsidR="00424F40" w:rsidRPr="00777A01" w:rsidRDefault="00424F40" w:rsidP="00424F40">
      <w:pPr>
        <w:rPr>
          <w:rFonts w:ascii="Calibri" w:hAnsi="Calibri"/>
          <w:sz w:val="22"/>
        </w:rPr>
      </w:pPr>
      <w:r w:rsidDel="00602217">
        <w:t>The use of the largest consulting firms has significantly reduced under the Government, dropping in value by $624 million year</w:t>
      </w:r>
      <w:r w:rsidR="008702B3">
        <w:noBreakHyphen/>
      </w:r>
      <w:r w:rsidDel="00602217">
        <w:t>to</w:t>
      </w:r>
      <w:r w:rsidR="008702B3">
        <w:noBreakHyphen/>
      </w:r>
      <w:r w:rsidDel="00602217">
        <w:t>date for 2023</w:t>
      </w:r>
      <w:r w:rsidR="002142F4">
        <w:t>–</w:t>
      </w:r>
      <w:r w:rsidDel="00602217">
        <w:t>24 compared to the same period in 2021</w:t>
      </w:r>
      <w:r w:rsidR="00625D71">
        <w:t>–</w:t>
      </w:r>
      <w:r w:rsidDel="00602217">
        <w:t xml:space="preserve">22. </w:t>
      </w:r>
      <w:r w:rsidRPr="00AA57B7" w:rsidDel="00602217">
        <w:t xml:space="preserve">On average, use of the </w:t>
      </w:r>
      <w:r w:rsidDel="00602217">
        <w:t>largest</w:t>
      </w:r>
      <w:r w:rsidRPr="00AA57B7" w:rsidDel="00602217">
        <w:t xml:space="preserve"> consulting firms was </w:t>
      </w:r>
      <w:r w:rsidRPr="00F92CD7" w:rsidDel="00602217">
        <w:t>$84</w:t>
      </w:r>
      <w:r w:rsidDel="00602217">
        <w:t xml:space="preserve"> million</w:t>
      </w:r>
      <w:r w:rsidRPr="00F92CD7" w:rsidDel="00602217">
        <w:t xml:space="preserve"> less each month for the first </w:t>
      </w:r>
      <w:r w:rsidDel="00602217">
        <w:t>half</w:t>
      </w:r>
      <w:r w:rsidRPr="00F92CD7" w:rsidDel="00602217">
        <w:t xml:space="preserve"> of 2023</w:t>
      </w:r>
      <w:r w:rsidR="00625D71">
        <w:t>–</w:t>
      </w:r>
      <w:r w:rsidRPr="00F92CD7" w:rsidDel="00602217">
        <w:t>24 than for the same period in 2021</w:t>
      </w:r>
      <w:r w:rsidR="00625D71">
        <w:t>–</w:t>
      </w:r>
      <w:r w:rsidRPr="00F92CD7" w:rsidDel="00602217">
        <w:t>22</w:t>
      </w:r>
      <w:r w:rsidR="008702B3">
        <w:t xml:space="preserve">. </w:t>
      </w:r>
    </w:p>
    <w:p w14:paraId="4FAF9945" w14:textId="7A8A05C2" w:rsidR="00424F40" w:rsidRDefault="00424F40" w:rsidP="00424F40">
      <w:r w:rsidRPr="000012B4" w:rsidDel="00C775B6">
        <w:t>To support the public service</w:t>
      </w:r>
      <w:r w:rsidRPr="000012B4">
        <w:t xml:space="preserve"> </w:t>
      </w:r>
      <w:r w:rsidRPr="00777A01">
        <w:t>to</w:t>
      </w:r>
      <w:r w:rsidRPr="00777A01" w:rsidDel="00C775B6">
        <w:t xml:space="preserve"> </w:t>
      </w:r>
      <w:r w:rsidRPr="000012B4" w:rsidDel="00C775B6">
        <w:t>do its core work in</w:t>
      </w:r>
      <w:r w:rsidR="008702B3">
        <w:noBreakHyphen/>
      </w:r>
      <w:r w:rsidRPr="000012B4" w:rsidDel="00C775B6">
        <w:t>house, instead of outsourcing to more expensive private providers, the Government has established an in</w:t>
      </w:r>
      <w:r w:rsidR="008702B3">
        <w:noBreakHyphen/>
      </w:r>
      <w:r w:rsidRPr="000012B4" w:rsidDel="00C775B6">
        <w:t xml:space="preserve">house consulting function, Australian Government Consulting. </w:t>
      </w:r>
      <w:r w:rsidRPr="00777A01">
        <w:t xml:space="preserve">While still scaling up, </w:t>
      </w:r>
      <w:r w:rsidRPr="000012B4" w:rsidDel="00C775B6">
        <w:t>Australian Government Consulting is undertaking management and strategy consulting work in partnership with public service agencies. It</w:t>
      </w:r>
      <w:r w:rsidRPr="00777A01">
        <w:t xml:space="preserve"> </w:t>
      </w:r>
      <w:r w:rsidRPr="000012B4" w:rsidDel="00C775B6">
        <w:t xml:space="preserve">is also strengthening public service capability and supporting </w:t>
      </w:r>
      <w:r w:rsidRPr="00777A01">
        <w:t>agencies</w:t>
      </w:r>
      <w:r w:rsidRPr="000012B4" w:rsidDel="00C775B6">
        <w:t xml:space="preserve"> to get better value when engaging external consultants</w:t>
      </w:r>
      <w:r w:rsidR="008702B3">
        <w:t xml:space="preserve">. </w:t>
      </w:r>
    </w:p>
    <w:p w14:paraId="1E97C7DB" w14:textId="402C2709" w:rsidR="00424F40" w:rsidRDefault="00424F40" w:rsidP="00424F40">
      <w:r>
        <w:t>Building on the work of Australian Government Consulting, the Department of Defence (Defence) will look to initiate a pilot program (Australian Defence Consulting) to provide internal consultancy support across Defence using public service and Australian Defence Force staff. This will further reduce Defence</w:t>
      </w:r>
      <w:r w:rsidR="008702B3">
        <w:t>’</w:t>
      </w:r>
      <w:r>
        <w:t>s need for high</w:t>
      </w:r>
      <w:r w:rsidR="008702B3">
        <w:noBreakHyphen/>
      </w:r>
      <w:r>
        <w:t>cost external support and build the capability of its public sector workforce.</w:t>
      </w:r>
    </w:p>
    <w:p w14:paraId="09FA69BA" w14:textId="77777777" w:rsidR="009B3369" w:rsidRPr="00967B76" w:rsidRDefault="009B3369" w:rsidP="00827BEB">
      <w:pPr>
        <w:pStyle w:val="Heading2"/>
      </w:pPr>
      <w:r w:rsidRPr="00967B76">
        <w:t>Rebuilding an efficient public service that delivers for Australians</w:t>
      </w:r>
    </w:p>
    <w:p w14:paraId="62FD047B" w14:textId="7A38FA4B" w:rsidR="00FE15B9" w:rsidRDefault="00FE15B9" w:rsidP="00FE15B9">
      <w:r w:rsidRPr="00B26338">
        <w:t>In rebuilding the</w:t>
      </w:r>
      <w:r w:rsidRPr="00B26338" w:rsidDel="00DC682C">
        <w:t xml:space="preserve"> </w:t>
      </w:r>
      <w:r>
        <w:t>public service</w:t>
      </w:r>
      <w:r w:rsidRPr="00B26338">
        <w:t xml:space="preserve"> over the </w:t>
      </w:r>
      <w:r>
        <w:t>p</w:t>
      </w:r>
      <w:r w:rsidRPr="00B26338">
        <w:t xml:space="preserve">ast two years, the Government has worked to repair the </w:t>
      </w:r>
      <w:r>
        <w:t xml:space="preserve">damaging </w:t>
      </w:r>
      <w:r w:rsidRPr="00B26338">
        <w:t xml:space="preserve">effects of the previous </w:t>
      </w:r>
      <w:r>
        <w:t>G</w:t>
      </w:r>
      <w:r w:rsidRPr="00B26338">
        <w:t>overnment</w:t>
      </w:r>
      <w:r w:rsidR="008702B3">
        <w:t>’</w:t>
      </w:r>
      <w:r w:rsidRPr="00B26338">
        <w:t xml:space="preserve">s </w:t>
      </w:r>
      <w:r>
        <w:t xml:space="preserve">arbitrary </w:t>
      </w:r>
      <w:r w:rsidRPr="00B26338">
        <w:t>ASL cap</w:t>
      </w:r>
      <w:r>
        <w:t xml:space="preserve"> by</w:t>
      </w:r>
      <w:r w:rsidRPr="00B26338">
        <w:t xml:space="preserve"> appropriately fund</w:t>
      </w:r>
      <w:r>
        <w:t>ing</w:t>
      </w:r>
      <w:r w:rsidRPr="00B26338">
        <w:t xml:space="preserve"> and resourc</w:t>
      </w:r>
      <w:r>
        <w:t>ing</w:t>
      </w:r>
      <w:r w:rsidRPr="00B26338">
        <w:t xml:space="preserve"> </w:t>
      </w:r>
      <w:r>
        <w:t>the public service to deliver on the Government</w:t>
      </w:r>
      <w:r w:rsidR="008702B3">
        <w:t>’</w:t>
      </w:r>
      <w:r>
        <w:t>s</w:t>
      </w:r>
      <w:r w:rsidRPr="00B26338">
        <w:t xml:space="preserve"> priorities. In doing so, it has kept the relative size of the public service well below historic</w:t>
      </w:r>
      <w:r>
        <w:t>al</w:t>
      </w:r>
      <w:r w:rsidRPr="00B26338">
        <w:t xml:space="preserve"> levels of public se</w:t>
      </w:r>
      <w:r>
        <w:t>rvice</w:t>
      </w:r>
      <w:r w:rsidRPr="00B26338">
        <w:t xml:space="preserve"> resourcing, when measured as a proportion of the total Australian population and the labour force</w:t>
      </w:r>
      <w:r>
        <w:t xml:space="preserve"> </w:t>
      </w:r>
      <w:r w:rsidRPr="00B26338">
        <w:t>(Chart 2).</w:t>
      </w:r>
      <w:r>
        <w:t xml:space="preserve"> At the same time, the public service is doing more as the roles and responsibilities of the Commonwealth have expanded in line with the needs and expectations of Australians.</w:t>
      </w:r>
      <w:r w:rsidRPr="00B26338">
        <w:t xml:space="preserve"> </w:t>
      </w:r>
    </w:p>
    <w:p w14:paraId="5476D5C9" w14:textId="105F7A58" w:rsidR="00C20085" w:rsidRPr="00EC7D9F" w:rsidRDefault="00C20085" w:rsidP="00EC7D9F">
      <w:pPr>
        <w:pStyle w:val="ChartMainHeading"/>
      </w:pPr>
      <w:r w:rsidRPr="00EC7D9F">
        <w:lastRenderedPageBreak/>
        <w:t>Chart 2 – ASL as a percentage of population and Australian labour force since 2006</w:t>
      </w:r>
      <w:r w:rsidR="007C1600" w:rsidRPr="00EC7D9F">
        <w:t>–</w:t>
      </w:r>
      <w:r w:rsidRPr="00EC7D9F">
        <w:t>07</w:t>
      </w:r>
    </w:p>
    <w:p w14:paraId="3D3CFFA7" w14:textId="7A927874" w:rsidR="00BB54DD" w:rsidRPr="00BB54DD" w:rsidRDefault="00851921" w:rsidP="00941D05">
      <w:pPr>
        <w:pStyle w:val="ChartGraphic"/>
        <w:rPr>
          <w:rFonts w:ascii="Times New Roman" w:hAnsi="Times New Roman"/>
          <w:sz w:val="24"/>
          <w:szCs w:val="24"/>
        </w:rPr>
      </w:pPr>
      <w:r>
        <w:rPr>
          <w:noProof/>
        </w:rPr>
        <w:drawing>
          <wp:inline distT="0" distB="0" distL="0" distR="0" wp14:anchorId="6023F0C0" wp14:editId="2CB4A991">
            <wp:extent cx="4670598" cy="2480001"/>
            <wp:effectExtent l="0" t="0" r="0" b="0"/>
            <wp:docPr id="696309178" name="Chart 1" descr="This chart shows Average Staffing Level as a percentage of the Australian population and Average Staffing Level as a percentage of the Australian labour force between 2006-07 and 2024-25 (figures for 2023-24 and 2024-25 are projections).  It shows that Average Staffing Level has progressively fallen as a percentage of both population and labour force since 2006-07.  Measures in this budget begin to correct that decline.">
              <a:extLst xmlns:a="http://schemas.openxmlformats.org/drawingml/2006/main">
                <a:ext uri="{FF2B5EF4-FFF2-40B4-BE49-F238E27FC236}">
                  <a16:creationId xmlns:a16="http://schemas.microsoft.com/office/drawing/2014/main" id="{22D3D01C-B3AA-3569-292F-9ECBF60203A8}"/>
                </a:ext>
                <a:ext uri="{147F2762-F138-4A5C-976F-8EAC2B608ADB}">
                  <a16:predDERef xmlns:a16="http://schemas.microsoft.com/office/drawing/2014/main" pred="{0BC3C2CD-B85B-44BD-86EC-2E6C32BAE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AEF260" w14:textId="133D7B6C" w:rsidR="0022144A" w:rsidRDefault="0022144A" w:rsidP="00AD2B10">
      <w:pPr>
        <w:pStyle w:val="ChartandTableFootnote"/>
      </w:pPr>
      <w:r w:rsidRPr="00257D89">
        <w:t xml:space="preserve">Source: </w:t>
      </w:r>
      <w:r w:rsidR="00AD2B10">
        <w:tab/>
      </w:r>
      <w:r w:rsidRPr="00257D89">
        <w:t>Department of Finance, based on data from the Australian Bureau of Statistics, and ASL figures sourced from historical and current Budget Paper No.4.</w:t>
      </w:r>
      <w:r w:rsidRPr="00044200">
        <w:t xml:space="preserve"> </w:t>
      </w:r>
    </w:p>
    <w:p w14:paraId="5CFD9C43" w14:textId="77777777" w:rsidR="00AD2B10" w:rsidRPr="00AD2B10" w:rsidRDefault="00AD2B10" w:rsidP="00AD2B10">
      <w:pPr>
        <w:pStyle w:val="ChartLine"/>
      </w:pPr>
    </w:p>
    <w:p w14:paraId="7C2EB74A" w14:textId="7846F4A7" w:rsidR="00393294" w:rsidRDefault="00393294" w:rsidP="00393294">
      <w:r>
        <w:t>In 2024</w:t>
      </w:r>
      <w:r w:rsidR="00625D71">
        <w:t>–</w:t>
      </w:r>
      <w:r>
        <w:t xml:space="preserve">25, total ASL in the public service is expected to be around </w:t>
      </w:r>
      <w:r w:rsidRPr="00777A01">
        <w:t>209,000</w:t>
      </w:r>
      <w:r w:rsidRPr="00DB7CF0">
        <w:t xml:space="preserve">. This is </w:t>
      </w:r>
      <w:r>
        <w:t xml:space="preserve">about </w:t>
      </w:r>
      <w:r w:rsidRPr="00777A01">
        <w:t>17,000</w:t>
      </w:r>
      <w:r>
        <w:t xml:space="preserve"> below the level that would be consistent with the relative size of the public service in 2006</w:t>
      </w:r>
      <w:r w:rsidR="00625D71">
        <w:t>–</w:t>
      </w:r>
      <w:r>
        <w:t xml:space="preserve">07 </w:t>
      </w:r>
      <w:r w:rsidRPr="00DB7CF0">
        <w:t>as a percentage of the labour force (</w:t>
      </w:r>
      <w:r>
        <w:t xml:space="preserve">which would be around </w:t>
      </w:r>
      <w:r w:rsidRPr="00777A01">
        <w:t>226,000</w:t>
      </w:r>
      <w:r>
        <w:t xml:space="preserve"> </w:t>
      </w:r>
      <w:r w:rsidRPr="00DB7CF0">
        <w:t>in 2024</w:t>
      </w:r>
      <w:r w:rsidR="00625D71">
        <w:t>–</w:t>
      </w:r>
      <w:r w:rsidRPr="00DB7CF0">
        <w:t>25).</w:t>
      </w:r>
      <w:r>
        <w:t xml:space="preserve"> </w:t>
      </w:r>
    </w:p>
    <w:p w14:paraId="273A8400" w14:textId="10A46305" w:rsidR="00393294" w:rsidRDefault="00393294" w:rsidP="00393294">
      <w:r>
        <w:t>Over the past two decades, population growth, increasing economic complexity, engagement with new and emerging technologies and an increasingly challenging geo</w:t>
      </w:r>
      <w:r w:rsidR="008702B3">
        <w:noBreakHyphen/>
      </w:r>
      <w:r>
        <w:t xml:space="preserve">strategic environment have led to increased expectations on the Australian Government to expand services and enter new fields of responsibility. These include taking on new or expanded roles in: </w:t>
      </w:r>
    </w:p>
    <w:p w14:paraId="0AE6C00E" w14:textId="6189FB60" w:rsidR="00985B5B" w:rsidRPr="00967B76" w:rsidRDefault="00985B5B" w:rsidP="00967B76">
      <w:pPr>
        <w:pStyle w:val="Bullet"/>
      </w:pPr>
      <w:r w:rsidRPr="00967B76">
        <w:t xml:space="preserve">supporting </w:t>
      </w:r>
      <w:r w:rsidR="00F27350" w:rsidRPr="00967B76">
        <w:t>aged care</w:t>
      </w:r>
      <w:r w:rsidR="00F27350">
        <w:t>,</w:t>
      </w:r>
      <w:r w:rsidR="00F27350" w:rsidRPr="00967B76">
        <w:t xml:space="preserve"> health care</w:t>
      </w:r>
      <w:r w:rsidR="00F27350">
        <w:t xml:space="preserve"> and</w:t>
      </w:r>
      <w:r w:rsidR="00F27350" w:rsidRPr="00967B76">
        <w:t xml:space="preserve"> </w:t>
      </w:r>
      <w:r w:rsidRPr="00967B76">
        <w:t>Australians with disabilities through significant reforms such as the National Disability Insurance Scheme (NDIS), robust aged care provision and regulation, and ongoing enhancements to our national health care system</w:t>
      </w:r>
    </w:p>
    <w:p w14:paraId="51629A93" w14:textId="1A85D28B" w:rsidR="00AE5094" w:rsidRPr="00610F77" w:rsidRDefault="00AE5094" w:rsidP="00AE5094">
      <w:pPr>
        <w:pStyle w:val="Bullet"/>
      </w:pPr>
      <w:r w:rsidRPr="00610F77">
        <w:t>addressing security concerns and threats through transformational investments in our national capabilities in cyber</w:t>
      </w:r>
      <w:r w:rsidR="00A95066">
        <w:t xml:space="preserve"> </w:t>
      </w:r>
      <w:r w:rsidRPr="00610F77">
        <w:t>security, law enforcement, intelligence and defence (including AUKUS)</w:t>
      </w:r>
    </w:p>
    <w:p w14:paraId="003B0F6A" w14:textId="77777777" w:rsidR="00CA3B9E" w:rsidRPr="00610F77" w:rsidRDefault="00CA3B9E" w:rsidP="00CA3B9E">
      <w:pPr>
        <w:pStyle w:val="Bullet"/>
      </w:pPr>
      <w:r w:rsidRPr="00610F77">
        <w:t xml:space="preserve">managing the economic transformation required to address climate change and deliver an effective energy transition, and deal with increasing digitisation. </w:t>
      </w:r>
    </w:p>
    <w:p w14:paraId="3ADA937E" w14:textId="118F27E1" w:rsidR="00663F20" w:rsidRDefault="00663F20" w:rsidP="00931198">
      <w:pPr>
        <w:keepLines/>
      </w:pPr>
      <w:r w:rsidRPr="006616D0">
        <w:lastRenderedPageBreak/>
        <w:t>Instead of paying a premium for outsourced capability, in many cases for work public servants are capable of doing, the Government is ensuring that the public service is equipped to deliver essential frontline services, protect Australians and secure our region.</w:t>
      </w:r>
      <w:r>
        <w:t xml:space="preserve"> </w:t>
      </w:r>
      <w:r w:rsidRPr="006616D0">
        <w:t>Additionally, the Government is tackling critical policy issues</w:t>
      </w:r>
      <w:r>
        <w:t>,</w:t>
      </w:r>
      <w:r w:rsidRPr="006616D0">
        <w:t xml:space="preserve"> including easing cost</w:t>
      </w:r>
      <w:r w:rsidR="008702B3">
        <w:noBreakHyphen/>
      </w:r>
      <w:r w:rsidRPr="006616D0">
        <w:t>of</w:t>
      </w:r>
      <w:r w:rsidR="008702B3">
        <w:noBreakHyphen/>
      </w:r>
      <w:r w:rsidRPr="006616D0">
        <w:t xml:space="preserve">living pressures, building a </w:t>
      </w:r>
      <w:r>
        <w:t>f</w:t>
      </w:r>
      <w:r w:rsidRPr="006616D0">
        <w:t xml:space="preserve">uture </w:t>
      </w:r>
      <w:r>
        <w:t>m</w:t>
      </w:r>
      <w:r w:rsidRPr="006616D0">
        <w:t>ade in Australia,</w:t>
      </w:r>
      <w:r>
        <w:t xml:space="preserve"> promoting a strong care economy,</w:t>
      </w:r>
      <w:r w:rsidRPr="006616D0">
        <w:t xml:space="preserve"> driving the energy transition, and </w:t>
      </w:r>
      <w:r w:rsidRPr="00DB7CF0">
        <w:t>providing</w:t>
      </w:r>
      <w:r>
        <w:t xml:space="preserve"> </w:t>
      </w:r>
      <w:r w:rsidRPr="006616D0">
        <w:t>solutions that support people to meet their housing needs</w:t>
      </w:r>
      <w:r>
        <w:t xml:space="preserve">. </w:t>
      </w:r>
    </w:p>
    <w:p w14:paraId="6E591054" w14:textId="2347BE54" w:rsidR="00663F20" w:rsidRDefault="00663F20" w:rsidP="00663F20">
      <w:r>
        <w:t>To respond to these pressing issues, the Government has invested in new agencies to ensure the public service is best placed to meet the needs of Australians. These include establishing the Domestic, Family and Sexual Violence Commission, the National Anti</w:t>
      </w:r>
      <w:r w:rsidR="008702B3">
        <w:noBreakHyphen/>
      </w:r>
      <w:r>
        <w:t>Corruption Commission, the Australian Submarine Agency, the Office of the Inspector</w:t>
      </w:r>
      <w:r w:rsidR="008702B3">
        <w:noBreakHyphen/>
      </w:r>
      <w:r>
        <w:t xml:space="preserve">General of Aged Care, and the Department of Climate Change, Energy, the Environment and Water. Legislation is also before Parliament to establish the Net Zero Economy Authority. </w:t>
      </w:r>
    </w:p>
    <w:p w14:paraId="024C04B3" w14:textId="77777777" w:rsidR="00F26CC1" w:rsidRDefault="00F26CC1" w:rsidP="00F26CC1">
      <w:pPr>
        <w:pStyle w:val="Heading3"/>
      </w:pPr>
      <w:r>
        <w:t xml:space="preserve">Investing in the public service to improve services and support Australians </w:t>
      </w:r>
    </w:p>
    <w:p w14:paraId="02D3E128" w14:textId="298468D1" w:rsidR="00FD27D5" w:rsidRDefault="00FD27D5" w:rsidP="00941D05">
      <w:r>
        <w:t>The Government has made significant investments in frontline service delivery agencies, such as Services Australia, the Department of Veterans</w:t>
      </w:r>
      <w:r w:rsidR="008702B3">
        <w:t>’</w:t>
      </w:r>
      <w:r>
        <w:t xml:space="preserve"> Affairs, the National Disability Insurance Agency and the Australian Tax</w:t>
      </w:r>
      <w:r w:rsidR="00843665">
        <w:t>ation</w:t>
      </w:r>
      <w:r>
        <w:t xml:space="preserve"> </w:t>
      </w:r>
      <w:r w:rsidRPr="00DB7CF0">
        <w:t>Office. This makes sure there</w:t>
      </w:r>
      <w:r>
        <w:t xml:space="preserve"> are more essential frontline staff to deliver improved services and support for Australians across the country. </w:t>
      </w:r>
      <w:r w:rsidRPr="00A51A8A">
        <w:t xml:space="preserve">Further, </w:t>
      </w:r>
      <w:r w:rsidRPr="00283C68">
        <w:t xml:space="preserve">investments in the Department of Health and Aged Care </w:t>
      </w:r>
      <w:r w:rsidRPr="00DB7CF0">
        <w:t>support</w:t>
      </w:r>
      <w:r w:rsidRPr="00283C68">
        <w:t xml:space="preserve"> the Government</w:t>
      </w:r>
      <w:r w:rsidR="008702B3">
        <w:t>’</w:t>
      </w:r>
      <w:r w:rsidRPr="00283C68">
        <w:t xml:space="preserve">s efforts to </w:t>
      </w:r>
      <w:r w:rsidR="00843665">
        <w:t>s</w:t>
      </w:r>
      <w:r w:rsidRPr="00B227B1">
        <w:t>trengthen</w:t>
      </w:r>
      <w:r w:rsidRPr="00283C68">
        <w:t xml:space="preserve"> Medicare</w:t>
      </w:r>
      <w:r>
        <w:t xml:space="preserve"> and </w:t>
      </w:r>
      <w:r w:rsidRPr="00624EA7">
        <w:t>increase bulk billing rates,</w:t>
      </w:r>
      <w:r>
        <w:t xml:space="preserve"> </w:t>
      </w:r>
      <w:r w:rsidRPr="00283C68">
        <w:t xml:space="preserve">and progress critical reforms in </w:t>
      </w:r>
      <w:r w:rsidR="00843665">
        <w:t>a</w:t>
      </w:r>
      <w:r w:rsidRPr="00B227B1">
        <w:t>ged</w:t>
      </w:r>
      <w:r w:rsidRPr="00283C68">
        <w:t xml:space="preserve"> </w:t>
      </w:r>
      <w:r w:rsidR="00843665">
        <w:t>c</w:t>
      </w:r>
      <w:r w:rsidRPr="00B227B1">
        <w:t>are</w:t>
      </w:r>
      <w:r w:rsidRPr="00283C68">
        <w:t xml:space="preserve"> </w:t>
      </w:r>
      <w:r w:rsidRPr="00A51A8A">
        <w:t>to provide</w:t>
      </w:r>
      <w:r>
        <w:t xml:space="preserve"> quality, safer and more accessible aged care for all Australians who need it. </w:t>
      </w:r>
    </w:p>
    <w:p w14:paraId="7FB9CEB3" w14:textId="03C24757" w:rsidR="00FD27D5" w:rsidRPr="00945DD6" w:rsidRDefault="00FD27D5" w:rsidP="00FD27D5">
      <w:r>
        <w:t>Sixty</w:t>
      </w:r>
      <w:r w:rsidR="008702B3">
        <w:noBreakHyphen/>
      </w:r>
      <w:r>
        <w:t>two per cent of public servants are located outside of Canberra, across all states and territories, Australia</w:t>
      </w:r>
      <w:r w:rsidR="008702B3">
        <w:t>’</w:t>
      </w:r>
      <w:r>
        <w:t>s external territories and overseas (Graph 1).</w:t>
      </w:r>
      <w:r w:rsidDel="00E370B0">
        <w:t xml:space="preserve"> </w:t>
      </w:r>
      <w:r>
        <w:t>The Government</w:t>
      </w:r>
      <w:r w:rsidR="008702B3">
        <w:t>’</w:t>
      </w:r>
      <w:r>
        <w:t>s approach to rebuilding the public service to meet Australia</w:t>
      </w:r>
      <w:r w:rsidR="008702B3">
        <w:t>’</w:t>
      </w:r>
      <w:r>
        <w:t xml:space="preserve">s diverse community needs is supporting employment opportunities and improving service delivery right around the country. </w:t>
      </w:r>
    </w:p>
    <w:p w14:paraId="7A2917BA" w14:textId="14655BF5" w:rsidR="00060245" w:rsidRDefault="004D5C7F" w:rsidP="0005249C">
      <w:pPr>
        <w:pStyle w:val="ChartMainHeading"/>
      </w:pPr>
      <w:r>
        <w:lastRenderedPageBreak/>
        <w:t>Graph 1</w:t>
      </w:r>
      <w:r w:rsidR="008702B3">
        <w:t xml:space="preserve"> – </w:t>
      </w:r>
      <w:r w:rsidR="00060245">
        <w:t xml:space="preserve">Geographical </w:t>
      </w:r>
      <w:r w:rsidR="00060245" w:rsidRPr="0005249C">
        <w:t>spread</w:t>
      </w:r>
      <w:r w:rsidR="00060245">
        <w:t xml:space="preserve"> of the APS</w:t>
      </w:r>
      <w:r>
        <w:t xml:space="preserve"> </w:t>
      </w:r>
      <w:r w:rsidR="00367C33">
        <w:t>w</w:t>
      </w:r>
      <w:r>
        <w:t>orkforce</w:t>
      </w:r>
      <w:r w:rsidR="00060245">
        <w:t xml:space="preserve"> </w:t>
      </w:r>
    </w:p>
    <w:p w14:paraId="15802891" w14:textId="77777777" w:rsidR="00060245" w:rsidRDefault="00060245" w:rsidP="00060245">
      <w:pPr>
        <w:pStyle w:val="ChartGraphic"/>
        <w:rPr>
          <w:noProof/>
        </w:rPr>
      </w:pPr>
      <w:r>
        <w:rPr>
          <w:noProof/>
        </w:rPr>
        <w:drawing>
          <wp:inline distT="0" distB="0" distL="0" distR="0" wp14:anchorId="075AF059" wp14:editId="43BA7857">
            <wp:extent cx="4253502" cy="3778836"/>
            <wp:effectExtent l="0" t="0" r="0" b="0"/>
            <wp:docPr id="1434111354" name="Picture 1434111354" descr="This graph depicts the distribution of the Australian Public service workforce across the Australian states and territories.  Sixty-two per cent of public servants are located outside of Canberra, across all states, territories, Australia’s external territories and overs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11354" name="Picture 1434111354" descr="This graph depicts the distribution of the Australian Public service workforce across the Australian states and territories.  Sixty-two per cent of public servants are located outside of Canberra, across all states, territories, Australia’s external territories and overseas."/>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260553" cy="3785100"/>
                    </a:xfrm>
                    <a:prstGeom prst="rect">
                      <a:avLst/>
                    </a:prstGeom>
                    <a:noFill/>
                  </pic:spPr>
                </pic:pic>
              </a:graphicData>
            </a:graphic>
          </wp:inline>
        </w:drawing>
      </w:r>
    </w:p>
    <w:p w14:paraId="70A10F06" w14:textId="51F83096" w:rsidR="00060245" w:rsidRDefault="00060245" w:rsidP="00E63152">
      <w:pPr>
        <w:pStyle w:val="ChartandTableFootnote"/>
      </w:pPr>
      <w:r w:rsidRPr="00283C68">
        <w:t>Source:</w:t>
      </w:r>
      <w:r w:rsidR="003C0777">
        <w:tab/>
      </w:r>
      <w:r w:rsidRPr="00283C68">
        <w:t>Australian Public Service Commission, as at 3</w:t>
      </w:r>
      <w:r>
        <w:t>1</w:t>
      </w:r>
      <w:r w:rsidRPr="00283C68">
        <w:t xml:space="preserve"> December 2023</w:t>
      </w:r>
      <w:r>
        <w:t xml:space="preserve"> (headcount)</w:t>
      </w:r>
    </w:p>
    <w:p w14:paraId="0BA0B79B" w14:textId="77777777" w:rsidR="0005249C" w:rsidRPr="0005249C" w:rsidRDefault="0005249C" w:rsidP="0005249C">
      <w:pPr>
        <w:pStyle w:val="ChartLine"/>
      </w:pPr>
    </w:p>
    <w:p w14:paraId="5C57542B" w14:textId="2032E1E4" w:rsidR="00293751" w:rsidRPr="00610F77" w:rsidRDefault="00293751" w:rsidP="00293751">
      <w:r>
        <w:t>The Government</w:t>
      </w:r>
      <w:r w:rsidR="008702B3">
        <w:t>’</w:t>
      </w:r>
      <w:r>
        <w:t>s investments in service delivery</w:t>
      </w:r>
      <w:r w:rsidRPr="00C90279">
        <w:t xml:space="preserve"> </w:t>
      </w:r>
      <w:r w:rsidRPr="005A1DD9">
        <w:t>are</w:t>
      </w:r>
      <w:r w:rsidRPr="00FA0A84">
        <w:t xml:space="preserve"> essential</w:t>
      </w:r>
      <w:r w:rsidRPr="00C90279">
        <w:t xml:space="preserve"> to rebuild a fit</w:t>
      </w:r>
      <w:r w:rsidR="008702B3">
        <w:noBreakHyphen/>
      </w:r>
      <w:r w:rsidRPr="00C90279">
        <w:t>for</w:t>
      </w:r>
      <w:r w:rsidR="008702B3">
        <w:noBreakHyphen/>
      </w:r>
      <w:r w:rsidRPr="00C90279">
        <w:t>purpose public service that is resourced to deliver the services Australians expect</w:t>
      </w:r>
      <w:r>
        <w:t xml:space="preserve">. This has </w:t>
      </w:r>
      <w:r w:rsidRPr="00610F77">
        <w:t xml:space="preserve">demonstrated clear benefits, including: </w:t>
      </w:r>
    </w:p>
    <w:p w14:paraId="1D44DB14" w14:textId="26FD2252" w:rsidR="00E33952" w:rsidRPr="00452C2D" w:rsidRDefault="00E33952" w:rsidP="0076712C">
      <w:pPr>
        <w:pStyle w:val="Bullet"/>
      </w:pPr>
      <w:r w:rsidRPr="00452C2D">
        <w:t>clearing the 41,</w:t>
      </w:r>
      <w:r w:rsidR="00293751">
        <w:t>799</w:t>
      </w:r>
      <w:r w:rsidRPr="00452C2D">
        <w:t xml:space="preserve"> backlog of veteran</w:t>
      </w:r>
      <w:r w:rsidR="008702B3">
        <w:t>’</w:t>
      </w:r>
      <w:r w:rsidRPr="00452C2D">
        <w:t>s compensation claims in the Department of Veterans</w:t>
      </w:r>
      <w:r w:rsidR="008702B3">
        <w:t>’</w:t>
      </w:r>
      <w:r w:rsidRPr="00452C2D">
        <w:t xml:space="preserve"> Affairs, which are now all allocated for </w:t>
      </w:r>
      <w:r w:rsidRPr="0076712C">
        <w:t>processing</w:t>
      </w:r>
    </w:p>
    <w:p w14:paraId="75953F7E" w14:textId="19C0BEB2" w:rsidR="00E33952" w:rsidRPr="00452C2D" w:rsidRDefault="00E33952" w:rsidP="00452C2D">
      <w:pPr>
        <w:pStyle w:val="Bullet"/>
      </w:pPr>
      <w:r w:rsidRPr="00452C2D">
        <w:t>resolving 500,000 claims from Service</w:t>
      </w:r>
      <w:r w:rsidR="00EC7781">
        <w:t>s</w:t>
      </w:r>
      <w:r w:rsidRPr="00452C2D">
        <w:t xml:space="preserve"> Australia</w:t>
      </w:r>
      <w:r w:rsidR="008702B3">
        <w:t>’</w:t>
      </w:r>
      <w:r w:rsidRPr="00452C2D">
        <w:t xml:space="preserve">s claims backlog in just </w:t>
      </w:r>
      <w:r w:rsidR="00561748">
        <w:t>ten</w:t>
      </w:r>
      <w:r w:rsidRPr="00452C2D">
        <w:t xml:space="preserve"> weeks due to 3,000 additional staff funded in the 2023</w:t>
      </w:r>
      <w:r w:rsidR="00625D71">
        <w:t>–</w:t>
      </w:r>
      <w:r w:rsidRPr="00452C2D">
        <w:t>24 Mid</w:t>
      </w:r>
      <w:r w:rsidR="008702B3">
        <w:noBreakHyphen/>
      </w:r>
      <w:r w:rsidRPr="00452C2D">
        <w:t xml:space="preserve">Year Economic and Fiscal Outlook (MYEFO) </w:t>
      </w:r>
    </w:p>
    <w:p w14:paraId="79B1AB92" w14:textId="06B7EB3A" w:rsidR="00505F56" w:rsidRPr="00505F56" w:rsidRDefault="00505F56" w:rsidP="00452C2D">
      <w:pPr>
        <w:pStyle w:val="Bullet"/>
      </w:pPr>
      <w:r w:rsidRPr="00505F56">
        <w:t>increasing compliance activity through more NDIS Quality and Safeguards Commission staff, resulting in additional banning orders being applied to disability support providers doing the wrong thing</w:t>
      </w:r>
      <w:r w:rsidRPr="00505F56">
        <w:rPr>
          <w:i/>
          <w:iCs/>
        </w:rPr>
        <w:t xml:space="preserve"> </w:t>
      </w:r>
    </w:p>
    <w:p w14:paraId="30100856" w14:textId="1D83456D" w:rsidR="00E33952" w:rsidRPr="00452C2D" w:rsidRDefault="007D2A39" w:rsidP="00452C2D">
      <w:pPr>
        <w:pStyle w:val="Bullet"/>
      </w:pPr>
      <w:r w:rsidRPr="00610F77">
        <w:t>blocking more than 300,000 attempts by cyber criminals to use Australians</w:t>
      </w:r>
      <w:r w:rsidR="008702B3">
        <w:t>’</w:t>
      </w:r>
      <w:r w:rsidRPr="00610F77">
        <w:t xml:space="preserve"> stolen identity documents through investment</w:t>
      </w:r>
      <w:r>
        <w:t>s</w:t>
      </w:r>
      <w:r w:rsidRPr="00610F77">
        <w:t xml:space="preserve"> in the Credential Protection Register</w:t>
      </w:r>
      <w:r w:rsidR="00034A4B">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4D1D47" w14:paraId="13150E5F" w14:textId="77777777" w:rsidTr="007913DD">
        <w:trPr>
          <w:cantSplit/>
        </w:trPr>
        <w:tc>
          <w:tcPr>
            <w:tcW w:w="5000" w:type="pct"/>
            <w:shd w:val="clear" w:color="auto" w:fill="E6F2FF"/>
          </w:tcPr>
          <w:p w14:paraId="53B74720" w14:textId="5464630A" w:rsidR="004D1D47" w:rsidRDefault="00F13568">
            <w:pPr>
              <w:pStyle w:val="BoxHeading"/>
            </w:pPr>
            <w:r w:rsidRPr="00833942">
              <w:rPr>
                <w:rFonts w:ascii="Calibri" w:eastAsia="Calibri" w:hAnsi="Calibri"/>
                <w:b w:val="0"/>
                <w:noProof/>
                <w:sz w:val="22"/>
                <w:szCs w:val="22"/>
                <w:lang w:eastAsia="en-US"/>
              </w:rPr>
              <w:lastRenderedPageBreak/>
              <w:drawing>
                <wp:anchor distT="0" distB="0" distL="114300" distR="114300" simplePos="0" relativeHeight="251658240" behindDoc="0" locked="0" layoutInCell="1" allowOverlap="1" wp14:anchorId="7A7A0337" wp14:editId="2F5E5F76">
                  <wp:simplePos x="0" y="0"/>
                  <wp:positionH relativeFrom="column">
                    <wp:posOffset>20955</wp:posOffset>
                  </wp:positionH>
                  <wp:positionV relativeFrom="paragraph">
                    <wp:posOffset>89535</wp:posOffset>
                  </wp:positionV>
                  <wp:extent cx="759460" cy="759460"/>
                  <wp:effectExtent l="0" t="0" r="2540" b="2540"/>
                  <wp:wrapSquare wrapText="bothSides"/>
                  <wp:docPr id="193484184" name="Picture 193484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4184"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14:sizeRelH relativeFrom="margin">
                    <wp14:pctWidth>0</wp14:pctWidth>
                  </wp14:sizeRelH>
                  <wp14:sizeRelV relativeFrom="margin">
                    <wp14:pctHeight>0</wp14:pctHeight>
                  </wp14:sizeRelV>
                </wp:anchor>
              </w:drawing>
            </w:r>
            <w:r w:rsidR="004D1D47">
              <w:t>Investing in the Department of Veterans</w:t>
            </w:r>
            <w:r w:rsidR="008702B3">
              <w:t>’</w:t>
            </w:r>
            <w:r w:rsidR="004D1D47">
              <w:t xml:space="preserve"> Affairs</w:t>
            </w:r>
          </w:p>
          <w:p w14:paraId="1CC5D88F" w14:textId="057D8B0A" w:rsidR="00DB3D31" w:rsidRPr="00DB3D31" w:rsidRDefault="00DB3D31" w:rsidP="00DB3D31">
            <w:pPr>
              <w:pStyle w:val="BoxText"/>
            </w:pPr>
            <w:r w:rsidRPr="00DB3D31">
              <w:t>The Government</w:t>
            </w:r>
            <w:r w:rsidR="008702B3">
              <w:t>’</w:t>
            </w:r>
            <w:r w:rsidRPr="00DB3D31">
              <w:t xml:space="preserve">s investment in the public service is supporting veterans and their families. The </w:t>
            </w:r>
            <w:r w:rsidRPr="00DB3D31">
              <w:rPr>
                <w:i/>
              </w:rPr>
              <w:t>Royal Commission into</w:t>
            </w:r>
            <w:r w:rsidRPr="00DB3D31">
              <w:t xml:space="preserve"> </w:t>
            </w:r>
            <w:r w:rsidRPr="00DB3D31">
              <w:rPr>
                <w:i/>
              </w:rPr>
              <w:t>Defence and Veteran Suicide</w:t>
            </w:r>
            <w:r w:rsidRPr="00DB3D31">
              <w:t xml:space="preserve"> interim report found that the previous Government</w:t>
            </w:r>
            <w:r w:rsidR="008702B3">
              <w:t>’</w:t>
            </w:r>
            <w:r w:rsidRPr="00DB3D31">
              <w:t>s ASL cap led to more labour hire staff, higher staff turnover rates and, consequently lower proficiency among claims processing staff. Veterans were negatively affected by lower overall levels of staff proficiency through reduced corporate knowledge, greater chance of mistakes, and reduced efficiency</w:t>
            </w:r>
            <w:r w:rsidR="00697FCA">
              <w:t>;</w:t>
            </w:r>
            <w:r w:rsidR="00697FCA" w:rsidRPr="00DB3D31">
              <w:t xml:space="preserve"> </w:t>
            </w:r>
            <w:r w:rsidRPr="00DB3D31">
              <w:t>resulting in claims processing delays. Poor experiences of the claims processing systems were found to have</w:t>
            </w:r>
            <w:r w:rsidR="002263CD">
              <w:t xml:space="preserve"> had</w:t>
            </w:r>
            <w:r w:rsidRPr="00DB3D31">
              <w:t xml:space="preserve"> serious impacts on the mental health outcomes of veterans. </w:t>
            </w:r>
          </w:p>
          <w:p w14:paraId="6D11B153" w14:textId="78D6DB37" w:rsidR="00DB3D31" w:rsidRPr="00DB3D31" w:rsidRDefault="00DB3D31" w:rsidP="00DB3D31">
            <w:pPr>
              <w:pStyle w:val="BoxText"/>
            </w:pPr>
            <w:r w:rsidRPr="00DB3D31">
              <w:t>In responding to the interim report, the Government injected significant resourcing into the Department of Veterans</w:t>
            </w:r>
            <w:r w:rsidR="008702B3">
              <w:t>’</w:t>
            </w:r>
            <w:r w:rsidRPr="00DB3D31">
              <w:t xml:space="preserve"> Affairs—including 500 ongoing ASL in the 2022</w:t>
            </w:r>
            <w:r w:rsidR="00625D71">
              <w:t>–</w:t>
            </w:r>
            <w:r w:rsidRPr="00DB3D31">
              <w:t>23 October Budget and a further $82.7 million in the 2023</w:t>
            </w:r>
            <w:r w:rsidR="00625D71">
              <w:t>–</w:t>
            </w:r>
            <w:r w:rsidRPr="00DB3D31">
              <w:t xml:space="preserve">24 Budget to help clear the claims backlog and provide increased support to veterans during the claims process. </w:t>
            </w:r>
          </w:p>
          <w:p w14:paraId="694B9516" w14:textId="55C1A26F" w:rsidR="00377616" w:rsidRDefault="00DB3D31" w:rsidP="00DB3D31">
            <w:pPr>
              <w:pStyle w:val="BoxText"/>
            </w:pPr>
            <w:r w:rsidRPr="00DB3D31">
              <w:t>The support to veterans and their families continues in the 2024</w:t>
            </w:r>
            <w:r w:rsidR="00625D71">
              <w:t>–</w:t>
            </w:r>
            <w:r w:rsidRPr="00DB3D31">
              <w:t>25 Budget with a further investment of $186 million over four years from 2024</w:t>
            </w:r>
            <w:r w:rsidR="00625D71">
              <w:t>–</w:t>
            </w:r>
            <w:r w:rsidRPr="00DB3D31">
              <w:t>25, and $20.6 million ongoing from 2028</w:t>
            </w:r>
            <w:r w:rsidR="00625D71">
              <w:t>–</w:t>
            </w:r>
            <w:r w:rsidRPr="00DB3D31">
              <w:t>29 to reduce the time taken to process claims and to meet service delivery pressures now that the Department of Veterans</w:t>
            </w:r>
            <w:r w:rsidR="008702B3">
              <w:t>’</w:t>
            </w:r>
            <w:r w:rsidRPr="00DB3D31">
              <w:t xml:space="preserve"> Affairs has cleared the claims backlog.</w:t>
            </w:r>
            <w:r w:rsidR="00754FEA">
              <w:t xml:space="preserve"> </w:t>
            </w:r>
          </w:p>
          <w:p w14:paraId="39307569" w14:textId="3CC773AC" w:rsidR="004D1D47" w:rsidRDefault="00754FEA" w:rsidP="00DB3D31">
            <w:pPr>
              <w:pStyle w:val="BoxText"/>
            </w:pPr>
            <w:r w:rsidRPr="00754FEA">
              <w:t xml:space="preserve">Payments to veterans are expected to increase by $6.5 billion over </w:t>
            </w:r>
            <w:r w:rsidR="00144D86">
              <w:t>five</w:t>
            </w:r>
            <w:r w:rsidRPr="00754FEA">
              <w:t xml:space="preserve"> years from 2023</w:t>
            </w:r>
            <w:r w:rsidR="00625D71">
              <w:t>–</w:t>
            </w:r>
            <w:r w:rsidRPr="00754FEA">
              <w:t>24 due to more claims being processed because of increased staffing levels</w:t>
            </w:r>
            <w:r w:rsidR="00E97E0B">
              <w:t xml:space="preserve"> that the Government has agreed in order to deliver on its commitment to clear the backlog</w:t>
            </w:r>
            <w:r w:rsidR="008702B3">
              <w:t>.</w:t>
            </w:r>
          </w:p>
        </w:tc>
      </w:tr>
    </w:tbl>
    <w:p w14:paraId="7962403E" w14:textId="77777777" w:rsidR="009040E5" w:rsidRPr="009040E5" w:rsidRDefault="009040E5" w:rsidP="009040E5">
      <w:r w:rsidRPr="009040E5">
        <w:t xml:space="preserve">Alongside boosting frontline service delivery, the Government is also investing in the public service to enable delivery of new and improved digital solutions to improve essential services for Australians, aligned with the vision of simple, secure and connected public services set out in the </w:t>
      </w:r>
      <w:r w:rsidRPr="00D451E0">
        <w:rPr>
          <w:rStyle w:val="Emphasis"/>
        </w:rPr>
        <w:t>Data and Digital Government Strategy</w:t>
      </w:r>
      <w:r w:rsidRPr="009040E5">
        <w:t xml:space="preserve">. </w:t>
      </w:r>
    </w:p>
    <w:p w14:paraId="72DB42BF" w14:textId="591AB755" w:rsidR="00B03035" w:rsidRPr="00B03035" w:rsidRDefault="00B03035" w:rsidP="00B03035">
      <w:pPr>
        <w:spacing w:before="0" w:after="160" w:line="259" w:lineRule="auto"/>
      </w:pPr>
      <w:r w:rsidRPr="00B03035">
        <w:t xml:space="preserve">These platforms, such as </w:t>
      </w:r>
      <w:proofErr w:type="spellStart"/>
      <w:r w:rsidRPr="00B03035">
        <w:t>myGov</w:t>
      </w:r>
      <w:proofErr w:type="spellEnd"/>
      <w:r w:rsidRPr="00B03035">
        <w:t xml:space="preserve"> with over 26 million active accounts and an average of 840,000 sign</w:t>
      </w:r>
      <w:r w:rsidR="008702B3">
        <w:noBreakHyphen/>
      </w:r>
      <w:r w:rsidRPr="00B03035">
        <w:t xml:space="preserve">ins every day, provide Australians with a central place, and easy access to the government services they need with the confidence that their data is safe. </w:t>
      </w:r>
    </w:p>
    <w:p w14:paraId="4AF60CD6" w14:textId="77777777" w:rsidR="00E33952" w:rsidRDefault="00E33952" w:rsidP="00A72586">
      <w:pPr>
        <w:spacing w:before="0" w:after="160" w:line="259" w:lineRule="auto"/>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9C537E" w14:paraId="23177CA6" w14:textId="77777777" w:rsidTr="003509C9">
        <w:trPr>
          <w:cantSplit/>
          <w:trHeight w:val="4394"/>
        </w:trPr>
        <w:tc>
          <w:tcPr>
            <w:tcW w:w="5000" w:type="pct"/>
            <w:shd w:val="clear" w:color="auto" w:fill="E6F2FF"/>
          </w:tcPr>
          <w:p w14:paraId="3E120265" w14:textId="71D6D7F3" w:rsidR="009C537E" w:rsidRDefault="002D1584">
            <w:pPr>
              <w:pStyle w:val="BoxHeading"/>
            </w:pPr>
            <w:r w:rsidRPr="000760FC">
              <w:rPr>
                <w:noProof/>
                <w:szCs w:val="19"/>
              </w:rPr>
              <w:lastRenderedPageBreak/>
              <w:drawing>
                <wp:anchor distT="0" distB="0" distL="114300" distR="114300" simplePos="0" relativeHeight="251658241" behindDoc="1" locked="0" layoutInCell="1" allowOverlap="1" wp14:anchorId="458D05E4" wp14:editId="4E03D5A5">
                  <wp:simplePos x="0" y="0"/>
                  <wp:positionH relativeFrom="column">
                    <wp:posOffset>20955</wp:posOffset>
                  </wp:positionH>
                  <wp:positionV relativeFrom="paragraph">
                    <wp:posOffset>67310</wp:posOffset>
                  </wp:positionV>
                  <wp:extent cx="759460" cy="759460"/>
                  <wp:effectExtent l="0" t="0" r="2540" b="2540"/>
                  <wp:wrapSquare wrapText="bothSides"/>
                  <wp:docPr id="1146206379" name="Picture 1146206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06379"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888">
              <w:t xml:space="preserve">Investing in digital health solutions </w:t>
            </w:r>
          </w:p>
          <w:p w14:paraId="50AA1245" w14:textId="42536F3C" w:rsidR="00E6213A" w:rsidRDefault="00E6213A" w:rsidP="004C4E9F">
            <w:pPr>
              <w:pStyle w:val="BoxText"/>
            </w:pPr>
            <w:r>
              <w:t>The Government</w:t>
            </w:r>
            <w:r w:rsidR="008702B3">
              <w:t>’</w:t>
            </w:r>
            <w:r>
              <w:t>s investments in the Australian Digital Health Agency are providing support to patients and health care providers, improving</w:t>
            </w:r>
            <w:r w:rsidRPr="000760FC">
              <w:t xml:space="preserve"> secure access to the clinical information they need in a broader range of settings and through new innovative products such as the My Health App and Provider Connect Australia, improving health outcomes for Australians. </w:t>
            </w:r>
          </w:p>
          <w:p w14:paraId="7A8D795F" w14:textId="226041FF" w:rsidR="000E5E7B" w:rsidRPr="000E5E7B" w:rsidRDefault="000E5E7B" w:rsidP="000E5E7B">
            <w:pPr>
              <w:pStyle w:val="BoxText"/>
            </w:pPr>
            <w:r w:rsidRPr="000E5E7B">
              <w:t>The use of digital health infrastructure has seen the proportion of specialists registered to use the My Health Record more than double, increasing from 18</w:t>
            </w:r>
            <w:r w:rsidR="003C077E">
              <w:t> </w:t>
            </w:r>
            <w:r w:rsidRPr="000E5E7B">
              <w:t>per</w:t>
            </w:r>
            <w:r w:rsidR="003C077E">
              <w:t> </w:t>
            </w:r>
            <w:r w:rsidRPr="000E5E7B">
              <w:t xml:space="preserve">cent to 48 per cent, between December 2021 and December 2023. Registrations for </w:t>
            </w:r>
            <w:r w:rsidR="00DE2BA6">
              <w:t>r</w:t>
            </w:r>
            <w:r w:rsidRPr="000E5E7B">
              <w:t xml:space="preserve">esidential </w:t>
            </w:r>
            <w:r w:rsidR="00DE2BA6">
              <w:t>a</w:t>
            </w:r>
            <w:r w:rsidRPr="000E5E7B">
              <w:t xml:space="preserve">ged </w:t>
            </w:r>
            <w:r w:rsidR="00DE2BA6">
              <w:t>c</w:t>
            </w:r>
            <w:r w:rsidRPr="000E5E7B">
              <w:t>are providers has also grown significantly, from 13 per cent to</w:t>
            </w:r>
            <w:r w:rsidR="003C077E">
              <w:t> </w:t>
            </w:r>
            <w:r w:rsidRPr="000E5E7B">
              <w:t>33 per cent for the same period.</w:t>
            </w:r>
          </w:p>
          <w:p w14:paraId="53F2C25E" w14:textId="23A35F38" w:rsidR="009C537E" w:rsidRDefault="000E5E7B" w:rsidP="000E5E7B">
            <w:pPr>
              <w:pStyle w:val="BoxText"/>
            </w:pPr>
            <w:r w:rsidRPr="000E5E7B">
              <w:t>Driven by the share</w:t>
            </w:r>
            <w:r w:rsidR="008702B3">
              <w:noBreakHyphen/>
            </w:r>
            <w:r w:rsidRPr="000E5E7B">
              <w:t>by</w:t>
            </w:r>
            <w:r w:rsidR="008702B3">
              <w:noBreakHyphen/>
            </w:r>
            <w:r w:rsidRPr="000E5E7B">
              <w:t>default agenda, announced as a part of the Strengthening Medicare Taskforce, significant growth in usage is also seen in pathology and diagnostic imaging. There was a 173 per cent growth in reports uploaded between December 2021 and December 2023, with a peak of over 3 million combined pathology and diagnostic imaging reports uploaded in a single week in March 2024.</w:t>
            </w:r>
            <w:r w:rsidRPr="000E5E7B">
              <w:rPr>
                <w:rFonts w:hint="eastAsia"/>
              </w:rPr>
              <w:t> </w:t>
            </w:r>
          </w:p>
        </w:tc>
      </w:tr>
    </w:tbl>
    <w:p w14:paraId="5ACD5912" w14:textId="115CA5C7" w:rsidR="00430D5C" w:rsidRPr="00E14DE1" w:rsidRDefault="001062B6" w:rsidP="00D160CE">
      <w:r w:rsidRPr="001062B6">
        <w:t>The Government is expanding the Digital ID System to provide a secure, convenient, voluntary and inclusive way for people to verify their identity online. Once a person has a Digital ID, they will no longer have to provide copies of their ID documents to businesses or government to verify who they are, and businesses will no longer have to store this information reducing the risks and impacts of data breaches and cyber</w:t>
      </w:r>
      <w:r w:rsidR="008702B3">
        <w:noBreakHyphen/>
      </w:r>
      <w:r w:rsidRPr="001062B6">
        <w:t xml:space="preserve">attacks. More than 12 million Australians already have a </w:t>
      </w:r>
      <w:proofErr w:type="spellStart"/>
      <w:r w:rsidRPr="001062B6">
        <w:t>myGovID</w:t>
      </w:r>
      <w:proofErr w:type="spellEnd"/>
      <w:r w:rsidR="0074026A">
        <w:t xml:space="preserve">. </w:t>
      </w:r>
    </w:p>
    <w:p w14:paraId="0C2E2FC4" w14:textId="38FBB077" w:rsidR="00430D5C" w:rsidRPr="00E14DE1" w:rsidRDefault="00192976" w:rsidP="00D160CE">
      <w:r w:rsidRPr="00192976">
        <w:t>The Government</w:t>
      </w:r>
      <w:r w:rsidR="008702B3">
        <w:t>’</w:t>
      </w:r>
      <w:r w:rsidRPr="00192976">
        <w:t>s investment in the National Anti</w:t>
      </w:r>
      <w:r w:rsidR="008702B3">
        <w:noBreakHyphen/>
      </w:r>
      <w:r w:rsidRPr="00192976">
        <w:t>Scam Centre has helped reverse the long</w:t>
      </w:r>
      <w:r w:rsidR="008702B3">
        <w:noBreakHyphen/>
      </w:r>
      <w:r w:rsidRPr="00192976">
        <w:t>term trend of rising losses to scams, with Australians reporting 13.1 per cent, or $400</w:t>
      </w:r>
      <w:r w:rsidR="003C077E">
        <w:t> </w:t>
      </w:r>
      <w:r w:rsidRPr="00192976">
        <w:t>million, fewer losses in 2023 compared to 2022</w:t>
      </w:r>
      <w:r w:rsidR="00430D5C" w:rsidRPr="00E14DE1">
        <w:t xml:space="preserve">. </w:t>
      </w:r>
    </w:p>
    <w:p w14:paraId="62EB2E25" w14:textId="0948226B" w:rsidR="00430D5C" w:rsidRDefault="00492270" w:rsidP="00D160CE">
      <w:r w:rsidRPr="00492270">
        <w:t xml:space="preserve">The Government has also invested in integrity measures across the public service to ensure a harmful failure like the </w:t>
      </w:r>
      <w:proofErr w:type="spellStart"/>
      <w:r w:rsidRPr="00492270">
        <w:t>Robodebt</w:t>
      </w:r>
      <w:proofErr w:type="spellEnd"/>
      <w:r w:rsidRPr="00492270">
        <w:t xml:space="preserve"> Scheme can never happen again. This includes establishing the National Anti</w:t>
      </w:r>
      <w:r w:rsidR="008702B3">
        <w:noBreakHyphen/>
      </w:r>
      <w:r w:rsidRPr="00492270">
        <w:t xml:space="preserve">Corruption Commission and investing in the new Administrative Review Tribunal (to replace the Administrative Appeals Tribunal). It also involves addressing the issues raised by the Royal Commission into the </w:t>
      </w:r>
      <w:proofErr w:type="spellStart"/>
      <w:r w:rsidRPr="00492270">
        <w:t>Robodebt</w:t>
      </w:r>
      <w:proofErr w:type="spellEnd"/>
      <w:r w:rsidRPr="00492270">
        <w:t xml:space="preserve"> Scheme, including enhancing the quality of legal advice to the Cabinet, re</w:t>
      </w:r>
      <w:r w:rsidR="00E246FD">
        <w:t>-</w:t>
      </w:r>
      <w:r w:rsidRPr="00492270">
        <w:t>establishing the Administrative Review Council and providing additional capacity for the Office of the Commonwealth Ombudsman to handle complaints and undertake investigations of systemic issues</w:t>
      </w:r>
      <w:r w:rsidR="00430D5C">
        <w:t xml:space="preserve">. </w:t>
      </w:r>
    </w:p>
    <w:p w14:paraId="7C934677" w14:textId="77777777" w:rsidR="004444C9" w:rsidRDefault="004444C9">
      <w:pPr>
        <w:spacing w:before="0" w:after="160" w:line="259" w:lineRule="auto"/>
      </w:pPr>
      <w:r>
        <w:br w:type="page"/>
      </w:r>
    </w:p>
    <w:p w14:paraId="35FDC57C" w14:textId="7A0E9E4E" w:rsidR="00E15D98" w:rsidRPr="00904121" w:rsidRDefault="00E15D98" w:rsidP="00941D05">
      <w:r w:rsidRPr="00451C01">
        <w:lastRenderedPageBreak/>
        <w:t>The 2024</w:t>
      </w:r>
      <w:r w:rsidR="00625D71">
        <w:t>–</w:t>
      </w:r>
      <w:r w:rsidRPr="00451C01">
        <w:t xml:space="preserve">25 Budget includes further </w:t>
      </w:r>
      <w:r w:rsidRPr="00904121">
        <w:t xml:space="preserve">investments </w:t>
      </w:r>
      <w:r>
        <w:t>in the public service to improve service delivery and support Australians</w:t>
      </w:r>
      <w:r w:rsidRPr="00904121">
        <w:t>, including</w:t>
      </w:r>
      <w:r>
        <w:t xml:space="preserve"> investment in essential public service staff in</w:t>
      </w:r>
      <w:r w:rsidRPr="00904121">
        <w:t>:</w:t>
      </w:r>
      <w:r>
        <w:t xml:space="preserve"> </w:t>
      </w:r>
    </w:p>
    <w:p w14:paraId="4B2D5623" w14:textId="36C293DA" w:rsidR="00430D5C" w:rsidRPr="00DA6BFF" w:rsidRDefault="00430D5C" w:rsidP="00CE3FF0">
      <w:pPr>
        <w:pStyle w:val="Bullet"/>
      </w:pPr>
      <w:r w:rsidRPr="00DA6BFF">
        <w:t>Service</w:t>
      </w:r>
      <w:r w:rsidRPr="00040FDA">
        <w:t>s Australia to ensure Australians can access critical payments;</w:t>
      </w:r>
      <w:r w:rsidRPr="00DA6BFF">
        <w:t xml:space="preserve"> en</w:t>
      </w:r>
      <w:r w:rsidR="00C513B1">
        <w:t>hance</w:t>
      </w:r>
      <w:r w:rsidRPr="00DA6BFF">
        <w:t xml:space="preserve"> the ongoing safety </w:t>
      </w:r>
      <w:r w:rsidR="00C513B1">
        <w:t xml:space="preserve">and security arrangements </w:t>
      </w:r>
      <w:r w:rsidR="00024A02">
        <w:t xml:space="preserve">for </w:t>
      </w:r>
      <w:r w:rsidRPr="00DA6BFF">
        <w:t>customers</w:t>
      </w:r>
      <w:r>
        <w:t xml:space="preserve"> and</w:t>
      </w:r>
      <w:r w:rsidR="00C513B1">
        <w:t xml:space="preserve"> staff; and</w:t>
      </w:r>
      <w:r w:rsidRPr="00DA6BFF">
        <w:t xml:space="preserve"> </w:t>
      </w:r>
      <w:r>
        <w:t>put</w:t>
      </w:r>
      <w:r w:rsidRPr="00DA6BFF">
        <w:t xml:space="preserve"> </w:t>
      </w:r>
      <w:proofErr w:type="spellStart"/>
      <w:r>
        <w:t>m</w:t>
      </w:r>
      <w:r w:rsidRPr="00DA6BFF">
        <w:t>yGov</w:t>
      </w:r>
      <w:proofErr w:type="spellEnd"/>
      <w:r>
        <w:t xml:space="preserve"> on a more sustainable footing</w:t>
      </w:r>
      <w:r w:rsidRPr="00DA6BFF">
        <w:t xml:space="preserve"> </w:t>
      </w:r>
    </w:p>
    <w:p w14:paraId="254E4F10" w14:textId="2B3F6D9D" w:rsidR="00430D5C" w:rsidRPr="00257D89" w:rsidRDefault="00430D5C" w:rsidP="00CE3FF0">
      <w:pPr>
        <w:pStyle w:val="Bullet"/>
      </w:pPr>
      <w:r w:rsidRPr="00C251CB">
        <w:t>the Department of Veterans</w:t>
      </w:r>
      <w:r w:rsidR="008702B3">
        <w:t>’</w:t>
      </w:r>
      <w:r w:rsidRPr="00C251CB">
        <w:t xml:space="preserve"> Affairs </w:t>
      </w:r>
      <w:r>
        <w:t>to increase claims processing capabilities to meet increased demand so veterans receive services faster and when they need it</w:t>
      </w:r>
    </w:p>
    <w:p w14:paraId="483BE431" w14:textId="44AD6ECE" w:rsidR="00430D5C" w:rsidRPr="00257D89" w:rsidRDefault="00430D5C" w:rsidP="00CE3FF0">
      <w:pPr>
        <w:pStyle w:val="Bullet"/>
      </w:pPr>
      <w:r w:rsidRPr="00257D89">
        <w:t>the Department of Health and Aged Care and the Aged Care Quality and Safety Commission to support implement</w:t>
      </w:r>
      <w:r>
        <w:t>ing</w:t>
      </w:r>
      <w:r w:rsidRPr="00257D89">
        <w:t xml:space="preserve"> the New Aged Care Regulatory Framework and finalise the Commonwealth response to the Final Report of the </w:t>
      </w:r>
      <w:r w:rsidRPr="00CE3FF0">
        <w:rPr>
          <w:i/>
          <w:iCs/>
        </w:rPr>
        <w:t>Capability Review of the Aged Care Quality and Safety Commission</w:t>
      </w:r>
    </w:p>
    <w:p w14:paraId="3CADFB4D" w14:textId="09603046" w:rsidR="00430D5C" w:rsidRPr="00257D89" w:rsidRDefault="00430D5C" w:rsidP="00CE3FF0">
      <w:pPr>
        <w:pStyle w:val="Bullet"/>
      </w:pPr>
      <w:r w:rsidRPr="00257D89">
        <w:t>the Department of Health and Aged Care to strengthen Medicare,</w:t>
      </w:r>
      <w:r w:rsidRPr="00F02656">
        <w:t xml:space="preserve"> </w:t>
      </w:r>
      <w:r w:rsidRPr="00257D89">
        <w:t>facilitate a sustainable ongoing national response to COVID</w:t>
      </w:r>
      <w:r w:rsidR="008702B3">
        <w:noBreakHyphen/>
      </w:r>
      <w:r w:rsidRPr="00257D89">
        <w:t>19, and secure primary health care services in rural and remote Australia</w:t>
      </w:r>
      <w:r>
        <w:t xml:space="preserve"> </w:t>
      </w:r>
    </w:p>
    <w:p w14:paraId="798E8818" w14:textId="7E780300" w:rsidR="00430D5C" w:rsidRPr="00257D89" w:rsidRDefault="00430D5C" w:rsidP="00CE3FF0">
      <w:pPr>
        <w:pStyle w:val="Bullet"/>
      </w:pPr>
      <w:r w:rsidRPr="00257D89">
        <w:t>the Department of Social Services to support the operation of the National Redress Scheme for survivors of institutional child sexual abuse</w:t>
      </w:r>
      <w:r>
        <w:t xml:space="preserve"> </w:t>
      </w:r>
    </w:p>
    <w:p w14:paraId="086A1BA2" w14:textId="670B8542" w:rsidR="004759DF" w:rsidRDefault="004759DF" w:rsidP="004759DF">
      <w:pPr>
        <w:pStyle w:val="Bullet"/>
      </w:pPr>
      <w:r w:rsidRPr="00257D89">
        <w:t>the Department of Employment and Workplace Relations to</w:t>
      </w:r>
      <w:r>
        <w:t xml:space="preserve"> </w:t>
      </w:r>
      <w:r w:rsidRPr="00257D89">
        <w:t>progress critical employment services reform through strengthen</w:t>
      </w:r>
      <w:r>
        <w:t>ing</w:t>
      </w:r>
      <w:r w:rsidRPr="00257D89">
        <w:t xml:space="preserve"> integrity, establish</w:t>
      </w:r>
      <w:r>
        <w:t>ing</w:t>
      </w:r>
      <w:r w:rsidRPr="00257D89">
        <w:t xml:space="preserve"> independent compliance mechanisms</w:t>
      </w:r>
      <w:r>
        <w:t>;</w:t>
      </w:r>
      <w:r w:rsidRPr="00257D89">
        <w:t xml:space="preserve"> and uplift</w:t>
      </w:r>
      <w:r>
        <w:t>ing</w:t>
      </w:r>
      <w:r w:rsidRPr="00257D89">
        <w:t xml:space="preserve"> online capability to meet increased demand for Workforce Australia </w:t>
      </w:r>
      <w:r w:rsidR="00567F9E">
        <w:t>o</w:t>
      </w:r>
      <w:r w:rsidRPr="00257D89">
        <w:t>nline services</w:t>
      </w:r>
      <w:r>
        <w:t xml:space="preserve"> and telephone enquiries</w:t>
      </w:r>
    </w:p>
    <w:p w14:paraId="09043BE6" w14:textId="596F2B7A" w:rsidR="00430D5C" w:rsidRPr="00257D89" w:rsidRDefault="00430D5C" w:rsidP="00CE3FF0">
      <w:pPr>
        <w:pStyle w:val="Bullet"/>
      </w:pPr>
      <w:r w:rsidRPr="00953E6A">
        <w:t>the National Indigenous Australians Agency to establish the Remote Jobs and Economic Development Program, which will create 3,000 jobs in remote Australia and assist income support recipients move into paid employment over five years</w:t>
      </w:r>
      <w:r>
        <w:t xml:space="preserve"> </w:t>
      </w:r>
    </w:p>
    <w:p w14:paraId="027AAC9E" w14:textId="18E3DB8A" w:rsidR="00430D5C" w:rsidRDefault="00430D5C" w:rsidP="00CE3FF0">
      <w:pPr>
        <w:pStyle w:val="Bullet"/>
      </w:pPr>
      <w:r w:rsidRPr="00257D89">
        <w:t xml:space="preserve">the Australian Taxation Office </w:t>
      </w:r>
      <w:r>
        <w:t>to increase</w:t>
      </w:r>
      <w:r w:rsidRPr="00257D89">
        <w:t xml:space="preserve"> capability to bolster tax compliance and </w:t>
      </w:r>
      <w:r>
        <w:t>protect our taxation and superannuation systems against fraud</w:t>
      </w:r>
    </w:p>
    <w:p w14:paraId="373CD682" w14:textId="78891C71" w:rsidR="00430D5C" w:rsidRPr="00904121" w:rsidRDefault="00430D5C" w:rsidP="00CE3FF0">
      <w:pPr>
        <w:pStyle w:val="Bullet"/>
      </w:pPr>
      <w:r w:rsidDel="00AC229C">
        <w:t>the Department of Finance, Services Australi</w:t>
      </w:r>
      <w:r>
        <w:t>a</w:t>
      </w:r>
      <w:r w:rsidR="000636B0">
        <w:t>,</w:t>
      </w:r>
      <w:r>
        <w:t xml:space="preserve"> the Australian Taxation Office, and supporting agencies including regulators</w:t>
      </w:r>
      <w:r w:rsidRPr="00257D89" w:rsidDel="00AC229C">
        <w:t xml:space="preserve"> </w:t>
      </w:r>
      <w:r w:rsidDel="00AC229C">
        <w:t xml:space="preserve">to expand </w:t>
      </w:r>
      <w:r w:rsidRPr="00257D89" w:rsidDel="00AC229C">
        <w:t>the Digital ID system to advance Australia</w:t>
      </w:r>
      <w:r w:rsidR="008702B3">
        <w:t>’</w:t>
      </w:r>
      <w:r w:rsidRPr="00257D89" w:rsidDel="00AC229C">
        <w:t>s digital economy </w:t>
      </w:r>
    </w:p>
    <w:p w14:paraId="33FDFA0B" w14:textId="77777777" w:rsidR="00430D5C" w:rsidRPr="00275165" w:rsidRDefault="00430D5C" w:rsidP="00CE3FF0">
      <w:pPr>
        <w:pStyle w:val="Bullet"/>
      </w:pPr>
      <w:r w:rsidRPr="002B5B8E">
        <w:t xml:space="preserve">the Australian Digital Health Agency to deliver new digital solutions to improve service delivery and </w:t>
      </w:r>
      <w:r>
        <w:t xml:space="preserve">increase </w:t>
      </w:r>
      <w:r w:rsidRPr="002B5B8E">
        <w:t xml:space="preserve">growth </w:t>
      </w:r>
      <w:r>
        <w:t>of</w:t>
      </w:r>
      <w:r w:rsidRPr="002B5B8E">
        <w:t xml:space="preserve"> My Health Record.</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EB6E01" w14:paraId="562DA5E7" w14:textId="77777777" w:rsidTr="007913DD">
        <w:trPr>
          <w:cantSplit/>
        </w:trPr>
        <w:tc>
          <w:tcPr>
            <w:tcW w:w="5000" w:type="pct"/>
            <w:shd w:val="clear" w:color="auto" w:fill="E6F2FF"/>
          </w:tcPr>
          <w:p w14:paraId="7065700D" w14:textId="2FEB9F46" w:rsidR="00EB6E01" w:rsidRDefault="00EF039F" w:rsidP="005F2679">
            <w:pPr>
              <w:pStyle w:val="BoxHeading"/>
            </w:pPr>
            <w:r>
              <w:rPr>
                <w:noProof/>
              </w:rPr>
              <w:lastRenderedPageBreak/>
              <w:drawing>
                <wp:anchor distT="0" distB="0" distL="114300" distR="114300" simplePos="0" relativeHeight="251658244" behindDoc="0" locked="0" layoutInCell="1" allowOverlap="1" wp14:anchorId="7D4A195E" wp14:editId="278259D8">
                  <wp:simplePos x="0" y="0"/>
                  <wp:positionH relativeFrom="column">
                    <wp:posOffset>11430</wp:posOffset>
                  </wp:positionH>
                  <wp:positionV relativeFrom="paragraph">
                    <wp:posOffset>76835</wp:posOffset>
                  </wp:positionV>
                  <wp:extent cx="766445" cy="766445"/>
                  <wp:effectExtent l="0" t="0" r="0" b="0"/>
                  <wp:wrapSquare wrapText="bothSides"/>
                  <wp:docPr id="1276178692" name="Picture 1276178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78692" name="Picture 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66445" cy="766445"/>
                          </a:xfrm>
                          <a:prstGeom prst="rect">
                            <a:avLst/>
                          </a:prstGeom>
                        </pic:spPr>
                      </pic:pic>
                    </a:graphicData>
                  </a:graphic>
                  <wp14:sizeRelH relativeFrom="margin">
                    <wp14:pctWidth>0</wp14:pctWidth>
                  </wp14:sizeRelH>
                  <wp14:sizeRelV relativeFrom="margin">
                    <wp14:pctHeight>0</wp14:pctHeight>
                  </wp14:sizeRelV>
                </wp:anchor>
              </w:drawing>
            </w:r>
            <w:r w:rsidR="00EB6E01">
              <w:t>Investing in Services Australia</w:t>
            </w:r>
          </w:p>
          <w:p w14:paraId="7D517A91" w14:textId="77777777" w:rsidR="00A21BBD" w:rsidRDefault="003C69E9" w:rsidP="00ED2686">
            <w:pPr>
              <w:pStyle w:val="BoxText"/>
            </w:pPr>
            <w:r>
              <w:t xml:space="preserve">An injection of </w:t>
            </w:r>
            <w:r w:rsidRPr="004759DF">
              <w:t>over 4,000</w:t>
            </w:r>
            <w:r w:rsidRPr="00705D33">
              <w:t xml:space="preserve"> permanent frontline staff</w:t>
            </w:r>
            <w:r>
              <w:t xml:space="preserve"> into Services Australia is ensuring Australians </w:t>
            </w:r>
            <w:r w:rsidRPr="00DB7CF0">
              <w:t>can get the help they need, when and where they need it. Investment in these services has reduced wait times for Australians accessing important services and payments, including</w:t>
            </w:r>
            <w:r>
              <w:t xml:space="preserve"> </w:t>
            </w:r>
            <w:proofErr w:type="spellStart"/>
            <w:r>
              <w:t>JobSeeker</w:t>
            </w:r>
            <w:proofErr w:type="spellEnd"/>
            <w:r>
              <w:t xml:space="preserve">, Paid Parental Leave, and PBS Safety Net claims. </w:t>
            </w:r>
          </w:p>
          <w:p w14:paraId="0D84183D" w14:textId="423E6BFA" w:rsidR="003C69E9" w:rsidRDefault="003C69E9" w:rsidP="005F2679">
            <w:pPr>
              <w:pStyle w:val="BoxText"/>
            </w:pPr>
            <w:r w:rsidRPr="002F3D44">
              <w:t xml:space="preserve">This has seen a backlog of 500,000 Centrelink and Medicare claims </w:t>
            </w:r>
            <w:r>
              <w:t xml:space="preserve">significantly reduced in just </w:t>
            </w:r>
            <w:r w:rsidR="00561748">
              <w:t>ten</w:t>
            </w:r>
            <w:r>
              <w:t xml:space="preserve"> weeks</w:t>
            </w:r>
            <w:r w:rsidRPr="002F3D44">
              <w:t xml:space="preserve">, meaning more financial supports are getting to Australians </w:t>
            </w:r>
            <w:r w:rsidRPr="00DB7CF0">
              <w:t>dealing with cost</w:t>
            </w:r>
            <w:r w:rsidR="008702B3">
              <w:noBreakHyphen/>
            </w:r>
            <w:r w:rsidRPr="00DB7CF0">
              <w:t>of</w:t>
            </w:r>
            <w:r w:rsidR="008702B3">
              <w:noBreakHyphen/>
            </w:r>
            <w:r w:rsidRPr="00DB7CF0">
              <w:t>living pressures. These new recruits work in smart centres in capital cities and regional centres, including Port Macquarie and Coffs</w:t>
            </w:r>
            <w:r w:rsidR="00561748">
              <w:t> </w:t>
            </w:r>
            <w:r w:rsidRPr="00DB7CF0">
              <w:t xml:space="preserve">Harbour in New South Wales, Toowoomba and Maryborough in Queensland, and Ballarat and the </w:t>
            </w:r>
            <w:proofErr w:type="spellStart"/>
            <w:r w:rsidRPr="00DB7CF0">
              <w:t>LaTrobe</w:t>
            </w:r>
            <w:proofErr w:type="spellEnd"/>
            <w:r>
              <w:t xml:space="preserve"> Valley in Victoria.</w:t>
            </w:r>
          </w:p>
          <w:p w14:paraId="7E88839A" w14:textId="1D4CE585" w:rsidR="00EB6E01" w:rsidRDefault="003C69E9" w:rsidP="005F2679">
            <w:pPr>
              <w:pStyle w:val="BoxText"/>
            </w:pPr>
            <w:r w:rsidRPr="00971E8D">
              <w:t>With the support of additional funding, including $2.8</w:t>
            </w:r>
            <w:r w:rsidR="00145BA1">
              <w:t> billion</w:t>
            </w:r>
            <w:r w:rsidRPr="00971E8D">
              <w:t xml:space="preserve"> in </w:t>
            </w:r>
            <w:r>
              <w:t>the 2024</w:t>
            </w:r>
            <w:r w:rsidR="00625D71">
              <w:t>–</w:t>
            </w:r>
            <w:r>
              <w:t>25 Budget</w:t>
            </w:r>
            <w:r w:rsidRPr="00971E8D">
              <w:t>, Services Australia is modernising its face</w:t>
            </w:r>
            <w:r w:rsidR="008702B3">
              <w:noBreakHyphen/>
            </w:r>
            <w:r w:rsidRPr="00971E8D">
              <w:t>to</w:t>
            </w:r>
            <w:r w:rsidR="008702B3">
              <w:noBreakHyphen/>
            </w:r>
            <w:r w:rsidRPr="00971E8D">
              <w:t>face services, improving service standards, extending its emergency response capability, enhancing safety and security for</w:t>
            </w:r>
            <w:r w:rsidR="004759DF">
              <w:t xml:space="preserve"> customers and</w:t>
            </w:r>
            <w:r w:rsidRPr="00971E8D">
              <w:t xml:space="preserve"> staff and sustaining the </w:t>
            </w:r>
            <w:proofErr w:type="spellStart"/>
            <w:r w:rsidRPr="00971E8D">
              <w:t>myGov</w:t>
            </w:r>
            <w:proofErr w:type="spellEnd"/>
            <w:r w:rsidRPr="00971E8D">
              <w:t xml:space="preserve"> platform.</w:t>
            </w:r>
          </w:p>
        </w:tc>
      </w:tr>
    </w:tbl>
    <w:p w14:paraId="40C17B6F" w14:textId="77777777" w:rsidR="00792549" w:rsidRPr="00A10D8E" w:rsidRDefault="00792549" w:rsidP="00A10D8E">
      <w:pPr>
        <w:pStyle w:val="SingleParagraph"/>
      </w:pPr>
    </w:p>
    <w:p w14:paraId="4D70A773" w14:textId="5F2C478B" w:rsidR="00CC4182" w:rsidRPr="00904121" w:rsidRDefault="00CC4182" w:rsidP="00792549">
      <w:pPr>
        <w:pStyle w:val="Heading3"/>
      </w:pPr>
      <w:r w:rsidRPr="00904121">
        <w:t xml:space="preserve">Investing in the </w:t>
      </w:r>
      <w:r>
        <w:t>public service</w:t>
      </w:r>
      <w:r w:rsidRPr="00904121">
        <w:t xml:space="preserve"> to secure our region</w:t>
      </w:r>
      <w:r>
        <w:t>, build resilience</w:t>
      </w:r>
      <w:r w:rsidRPr="00904121">
        <w:t xml:space="preserve"> and protect Australians</w:t>
      </w:r>
    </w:p>
    <w:p w14:paraId="39D68532" w14:textId="25B27628" w:rsidR="00EC5174" w:rsidRPr="00EC5174" w:rsidRDefault="00EC5174" w:rsidP="00EC5174">
      <w:r w:rsidRPr="00EC5174">
        <w:t>The public service provides essential support to Australians, both at home and internationally, in times of need and crisis. The Government remains committed to defence and national security and is responding to the most challenging strategic circumstances Australia has faced since the Second World War. Investments across the Defence, Home Affairs, Attorney</w:t>
      </w:r>
      <w:r w:rsidR="008702B3">
        <w:noBreakHyphen/>
      </w:r>
      <w:r w:rsidRPr="00EC5174">
        <w:t>General</w:t>
      </w:r>
      <w:r w:rsidR="008702B3">
        <w:t>’</w:t>
      </w:r>
      <w:r w:rsidRPr="00EC5174">
        <w:t xml:space="preserve">s and Foreign Affairs portfolios have an important role to play in securing our region and protecting Australians.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5F6599" w14:paraId="11CE40D4" w14:textId="77777777" w:rsidTr="00763F12">
        <w:trPr>
          <w:cantSplit/>
        </w:trPr>
        <w:tc>
          <w:tcPr>
            <w:tcW w:w="5000" w:type="pct"/>
            <w:shd w:val="clear" w:color="auto" w:fill="E6F2FF"/>
          </w:tcPr>
          <w:p w14:paraId="5313EE62" w14:textId="3E8EFFA4" w:rsidR="005F6599" w:rsidRDefault="005F6599" w:rsidP="00763F12">
            <w:pPr>
              <w:pStyle w:val="BoxHeading"/>
            </w:pPr>
            <w:r w:rsidRPr="005F2679">
              <w:rPr>
                <w:rFonts w:eastAsia="Calibri"/>
                <w:noProof/>
              </w:rPr>
              <w:lastRenderedPageBreak/>
              <w:drawing>
                <wp:anchor distT="0" distB="0" distL="114300" distR="114300" simplePos="0" relativeHeight="251658246" behindDoc="0" locked="0" layoutInCell="1" allowOverlap="1" wp14:anchorId="3099C71B" wp14:editId="1678123B">
                  <wp:simplePos x="0" y="0"/>
                  <wp:positionH relativeFrom="column">
                    <wp:posOffset>20955</wp:posOffset>
                  </wp:positionH>
                  <wp:positionV relativeFrom="paragraph">
                    <wp:posOffset>143510</wp:posOffset>
                  </wp:positionV>
                  <wp:extent cx="759460" cy="759460"/>
                  <wp:effectExtent l="0" t="0" r="2540" b="2540"/>
                  <wp:wrapSquare wrapText="bothSides"/>
                  <wp:docPr id="1253991750" name="Picture 12539917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91750"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14:sizeRelH relativeFrom="margin">
                    <wp14:pctWidth>0</wp14:pctWidth>
                  </wp14:sizeRelH>
                  <wp14:sizeRelV relativeFrom="margin">
                    <wp14:pctHeight>0</wp14:pctHeight>
                  </wp14:sizeRelV>
                </wp:anchor>
              </w:drawing>
            </w:r>
            <w:r w:rsidRPr="005F2679">
              <w:t>Investing</w:t>
            </w:r>
            <w:r>
              <w:t xml:space="preserve"> in the </w:t>
            </w:r>
            <w:r w:rsidR="008C5BDD">
              <w:t>p</w:t>
            </w:r>
            <w:r>
              <w:t xml:space="preserve">ublic </w:t>
            </w:r>
            <w:r w:rsidR="008C5BDD">
              <w:t>s</w:t>
            </w:r>
            <w:r>
              <w:t>ervice to deliver AUKUS</w:t>
            </w:r>
          </w:p>
          <w:p w14:paraId="3EAD055C" w14:textId="77777777" w:rsidR="005F6599" w:rsidRDefault="005F6599" w:rsidP="00763F12">
            <w:pPr>
              <w:pStyle w:val="BoxText"/>
            </w:pPr>
            <w:r w:rsidRPr="005F2679">
              <w:t>The</w:t>
            </w:r>
            <w:r w:rsidRPr="00177CBF">
              <w:t xml:space="preserve"> public service has a vital role in delivering the </w:t>
            </w:r>
            <w:r w:rsidRPr="00310B0D">
              <w:rPr>
                <w:rStyle w:val="Emphasis"/>
              </w:rPr>
              <w:t>2024 National Defence Strategy and the Integrated Investment Plan</w:t>
            </w:r>
            <w:r w:rsidRPr="00177CBF">
              <w:rPr>
                <w:i/>
                <w:iCs/>
              </w:rPr>
              <w:t xml:space="preserve">. </w:t>
            </w:r>
            <w:r w:rsidRPr="00177CBF">
              <w:t>AUKUS Pillar</w:t>
            </w:r>
            <w:r>
              <w:t>s </w:t>
            </w:r>
            <w:r w:rsidRPr="00177CBF">
              <w:t>I</w:t>
            </w:r>
            <w:r>
              <w:t> </w:t>
            </w:r>
            <w:r w:rsidRPr="00177CBF">
              <w:t>and II will require a highly skilled and specialised APS and</w:t>
            </w:r>
            <w:r>
              <w:t> </w:t>
            </w:r>
            <w:r w:rsidRPr="00177CBF">
              <w:t xml:space="preserve">industry workforce to </w:t>
            </w:r>
            <w:r w:rsidRPr="005F2679">
              <w:t>deliver new and accelerated defence</w:t>
            </w:r>
            <w:r>
              <w:t> </w:t>
            </w:r>
            <w:r w:rsidRPr="005F2679">
              <w:t xml:space="preserve">capability. </w:t>
            </w:r>
          </w:p>
          <w:p w14:paraId="0EB37982" w14:textId="7455EE20" w:rsidR="005F6599" w:rsidRDefault="005F6599" w:rsidP="00763F12">
            <w:pPr>
              <w:pStyle w:val="BoxText"/>
            </w:pPr>
            <w:r w:rsidRPr="005F2679">
              <w:t>The recently established Australian Submarine Agency will create 900 new public service jobs by 2026</w:t>
            </w:r>
            <w:r w:rsidR="00625D71">
              <w:t>–</w:t>
            </w:r>
            <w:r w:rsidRPr="005F2679">
              <w:t>27 to support the delivery of a conventionally</w:t>
            </w:r>
            <w:r w:rsidR="008702B3">
              <w:noBreakHyphen/>
            </w:r>
            <w:r w:rsidRPr="005F2679">
              <w:t>armed nuclear</w:t>
            </w:r>
            <w:r w:rsidR="008702B3">
              <w:noBreakHyphen/>
            </w:r>
            <w:r w:rsidRPr="005F2679">
              <w:t xml:space="preserve">powered submarine capability for Australia, with significant flow on benefits for Australian jobs within defence industry. </w:t>
            </w:r>
          </w:p>
          <w:p w14:paraId="164936F6" w14:textId="77777777" w:rsidR="005F6599" w:rsidRDefault="005F6599" w:rsidP="00763F12">
            <w:pPr>
              <w:pStyle w:val="BoxText"/>
            </w:pPr>
            <w:r w:rsidRPr="005F2679">
              <w:t>As part of the investment in AUKUS Pillar II, Defence will establish the Advanced Strategic Capabilities Accelerator to rapidly translate innovative and advanced technologies into defence capabilities. Complementing this, public service staff are working with international counterparts and industry on delivering AUKUS Pillar II</w:t>
            </w:r>
            <w:r w:rsidRPr="00177CBF">
              <w:t>, accelerating the development and delivery of advanced military capabilities.</w:t>
            </w:r>
          </w:p>
        </w:tc>
      </w:tr>
    </w:tbl>
    <w:p w14:paraId="1D44ECB4" w14:textId="77777777" w:rsidR="00EC5174" w:rsidRDefault="00EC5174" w:rsidP="00310B0D">
      <w:pPr>
        <w:pStyle w:val="SingleParagraph"/>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EC5174" w14:paraId="23832EAA" w14:textId="77777777" w:rsidTr="007913DD">
        <w:trPr>
          <w:cantSplit/>
        </w:trPr>
        <w:tc>
          <w:tcPr>
            <w:tcW w:w="5000" w:type="pct"/>
            <w:shd w:val="clear" w:color="auto" w:fill="E6F2FF"/>
          </w:tcPr>
          <w:p w14:paraId="7BFCC1C1" w14:textId="340F3BFD" w:rsidR="00EC5174" w:rsidRDefault="00814FC8">
            <w:pPr>
              <w:pStyle w:val="BoxHeading"/>
            </w:pPr>
            <w:r>
              <w:rPr>
                <w:noProof/>
              </w:rPr>
              <w:drawing>
                <wp:anchor distT="0" distB="0" distL="114300" distR="114300" simplePos="0" relativeHeight="251658247" behindDoc="1" locked="0" layoutInCell="1" allowOverlap="1" wp14:anchorId="564E55DA" wp14:editId="10AABBCA">
                  <wp:simplePos x="0" y="0"/>
                  <wp:positionH relativeFrom="column">
                    <wp:posOffset>466</wp:posOffset>
                  </wp:positionH>
                  <wp:positionV relativeFrom="paragraph">
                    <wp:posOffset>75387</wp:posOffset>
                  </wp:positionV>
                  <wp:extent cx="759600" cy="759600"/>
                  <wp:effectExtent l="0" t="0" r="2540" b="2540"/>
                  <wp:wrapTight wrapText="bothSides">
                    <wp:wrapPolygon edited="0">
                      <wp:start x="5960" y="0"/>
                      <wp:lineTo x="0" y="3793"/>
                      <wp:lineTo x="0" y="14629"/>
                      <wp:lineTo x="542" y="17338"/>
                      <wp:lineTo x="5418" y="21130"/>
                      <wp:lineTo x="5960" y="21130"/>
                      <wp:lineTo x="15171" y="21130"/>
                      <wp:lineTo x="15712" y="21130"/>
                      <wp:lineTo x="20589" y="17338"/>
                      <wp:lineTo x="21130" y="14629"/>
                      <wp:lineTo x="21130" y="3251"/>
                      <wp:lineTo x="15171" y="0"/>
                      <wp:lineTo x="5960" y="0"/>
                    </wp:wrapPolygon>
                  </wp:wrapTight>
                  <wp:docPr id="1438180499" name="Picture 1438180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499" name="Picture 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9600" cy="75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174">
              <w:t xml:space="preserve">Investing in </w:t>
            </w:r>
            <w:r w:rsidR="00567F9E">
              <w:t>c</w:t>
            </w:r>
            <w:r w:rsidR="00EC5174">
              <w:t xml:space="preserve">yber </w:t>
            </w:r>
            <w:r w:rsidR="00567F9E">
              <w:t>s</w:t>
            </w:r>
            <w:r w:rsidR="00EC5174">
              <w:t>ecurity</w:t>
            </w:r>
          </w:p>
          <w:p w14:paraId="6F96137C" w14:textId="3A57298B" w:rsidR="00FE1D32" w:rsidRPr="00FE1D32" w:rsidRDefault="00FE1D32" w:rsidP="00FE1D32">
            <w:pPr>
              <w:pStyle w:val="BoxText"/>
            </w:pPr>
            <w:r w:rsidRPr="00FE1D32">
              <w:t>The Government has made significant investments in cyber security over the past two years, including as part of the Cyber Security Strategy in the 2023</w:t>
            </w:r>
            <w:r w:rsidR="00625D71">
              <w:t>–</w:t>
            </w:r>
            <w:r w:rsidRPr="00FE1D32">
              <w:t xml:space="preserve">24 MYEFO. Cyber security is an urgent national problem that touches the lives of every Australian, with one cybercrime reported every </w:t>
            </w:r>
            <w:r w:rsidR="00443FF8">
              <w:t>six</w:t>
            </w:r>
            <w:r w:rsidRPr="00FE1D32">
              <w:t xml:space="preserve"> minutes on average. </w:t>
            </w:r>
          </w:p>
          <w:p w14:paraId="6B7671C2" w14:textId="20E15074" w:rsidR="00FE1D32" w:rsidRPr="00FE1D32" w:rsidRDefault="00FE1D32" w:rsidP="00FE1D32">
            <w:pPr>
              <w:pStyle w:val="BoxText"/>
            </w:pPr>
            <w:r w:rsidRPr="00FE1D32">
              <w:t>Investments in the Department of Home Affairs, including the establishment of the National Cyber Security Coordinator, means the public service is able to work across the economy to manage and recover from major cyber incidents. Work is also underway to strengthen Australia</w:t>
            </w:r>
            <w:r w:rsidR="008702B3">
              <w:t>’</w:t>
            </w:r>
            <w:r w:rsidRPr="00FE1D32">
              <w:t xml:space="preserve">s critical national infrastructure by working with industry, including telecommunication providers, hospitals and banks, to better protect infrastructure from attacks and make it more resilient. </w:t>
            </w:r>
          </w:p>
          <w:p w14:paraId="2AA1FD67" w14:textId="0908E3F4" w:rsidR="00EC5174" w:rsidRDefault="00FE1D32" w:rsidP="00FE1D32">
            <w:pPr>
              <w:pStyle w:val="BoxText"/>
            </w:pPr>
            <w:r w:rsidRPr="00FE1D32">
              <w:t>Additional investments in the Counter Foreign Interference Taskforce are supporting work to counter foreign interference in Australia, helping to disrupt foreign interference and espionage threats to Australians at home</w:t>
            </w:r>
            <w:r w:rsidR="00FB3FA8">
              <w:t>.</w:t>
            </w:r>
          </w:p>
        </w:tc>
      </w:tr>
    </w:tbl>
    <w:p w14:paraId="767D202C" w14:textId="77777777" w:rsidR="00941D05" w:rsidRDefault="00941D05" w:rsidP="000872EE"/>
    <w:p w14:paraId="2304F6BC" w14:textId="77777777" w:rsidR="00941D05" w:rsidRDefault="00941D05">
      <w:pPr>
        <w:spacing w:before="0" w:after="160" w:line="259" w:lineRule="auto"/>
      </w:pPr>
      <w:r>
        <w:br w:type="page"/>
      </w:r>
    </w:p>
    <w:p w14:paraId="59CA68F2" w14:textId="39483ACF" w:rsidR="000872EE" w:rsidRDefault="000872EE" w:rsidP="000872EE">
      <w:r>
        <w:lastRenderedPageBreak/>
        <w:t>Investments in the public service have also supported the Government to better protect our environment, build disaster resilience and preparedness, and back our farmers.</w:t>
      </w:r>
    </w:p>
    <w:p w14:paraId="6876588B" w14:textId="448ED5A8" w:rsidR="000872EE" w:rsidRPr="002B5B8E" w:rsidRDefault="000872EE" w:rsidP="00941D05">
      <w:pPr>
        <w:rPr>
          <w:highlight w:val="yellow"/>
        </w:rPr>
      </w:pPr>
      <w:r w:rsidRPr="00904121">
        <w:t>The 2024</w:t>
      </w:r>
      <w:r w:rsidR="00625D71">
        <w:t>–</w:t>
      </w:r>
      <w:r w:rsidRPr="00904121">
        <w:t xml:space="preserve">25 Budget includes further investments </w:t>
      </w:r>
      <w:r>
        <w:t>in the public service to secure the region, build resilience and protect Australians</w:t>
      </w:r>
      <w:r w:rsidRPr="00904121">
        <w:t>, including</w:t>
      </w:r>
      <w:r>
        <w:t xml:space="preserve"> investment in essential public service staff in the</w:t>
      </w:r>
      <w:r w:rsidRPr="00904121">
        <w:t>:</w:t>
      </w:r>
    </w:p>
    <w:p w14:paraId="2DA62F24" w14:textId="13D2FBC0" w:rsidR="00AE7CA7" w:rsidRDefault="00AE7CA7" w:rsidP="00AE7CA7">
      <w:pPr>
        <w:pStyle w:val="Bullet"/>
      </w:pPr>
      <w:r w:rsidRPr="00777A01">
        <w:t>Australian Federal Police</w:t>
      </w:r>
      <w:r w:rsidR="00886999">
        <w:t xml:space="preserve">, </w:t>
      </w:r>
      <w:r w:rsidR="00C53BAC">
        <w:t>for</w:t>
      </w:r>
      <w:r w:rsidRPr="00777A01">
        <w:t xml:space="preserve"> capabilities such as training, cyber investigations and protective security services, including federal policing at Western Sydney International Airport</w:t>
      </w:r>
    </w:p>
    <w:p w14:paraId="5197BA05" w14:textId="4838ACC4" w:rsidR="00F07B0C" w:rsidRPr="004E11DF" w:rsidRDefault="00F07B0C" w:rsidP="00CE3FF0">
      <w:pPr>
        <w:pStyle w:val="Bullet"/>
      </w:pPr>
      <w:r w:rsidRPr="004E11DF">
        <w:t>National Emergency Management Agency to ensure the Agency can continue to deliver on the Government</w:t>
      </w:r>
      <w:r w:rsidR="008702B3">
        <w:t>’</w:t>
      </w:r>
      <w:r w:rsidRPr="004E11DF">
        <w:t>s crisis management activities, including disaster resilience, preparedness and responding to communities in need</w:t>
      </w:r>
    </w:p>
    <w:p w14:paraId="44C831CD" w14:textId="3D03A8DC" w:rsidR="00F07B0C" w:rsidRPr="004E11DF" w:rsidRDefault="00F07B0C" w:rsidP="00CE3FF0">
      <w:pPr>
        <w:pStyle w:val="Bullet"/>
      </w:pPr>
      <w:r w:rsidRPr="004E11DF">
        <w:t xml:space="preserve">Department of Agriculture, Fisheries and Forestry to support effective delivery of drought and climate resilience outcomes through the Future Drought Fund </w:t>
      </w:r>
    </w:p>
    <w:p w14:paraId="05C3B77D" w14:textId="2B8374A9" w:rsidR="00CE3FF0" w:rsidRPr="004E11DF" w:rsidRDefault="00F07B0C" w:rsidP="00CE3FF0">
      <w:pPr>
        <w:pStyle w:val="Bullet"/>
      </w:pPr>
      <w:r w:rsidRPr="004E11DF">
        <w:t>Department of Climate Change, Energy, the Environment and Water</w:t>
      </w:r>
      <w:r w:rsidRPr="004E11DF" w:rsidDel="009A48D5">
        <w:t xml:space="preserve"> to </w:t>
      </w:r>
      <w:r w:rsidRPr="004E11DF">
        <w:t>sustain water policy functions</w:t>
      </w:r>
      <w:r w:rsidRPr="004E11DF" w:rsidDel="009A48D5">
        <w:t xml:space="preserve"> </w:t>
      </w:r>
      <w:r w:rsidRPr="004E11DF">
        <w:t>and to expand the oversight and independence functions of the Inspector</w:t>
      </w:r>
      <w:r w:rsidR="008702B3">
        <w:noBreakHyphen/>
      </w:r>
      <w:r w:rsidRPr="004E11DF">
        <w:t xml:space="preserve">General of Water Compliance. </w:t>
      </w:r>
    </w:p>
    <w:p w14:paraId="2B19548C" w14:textId="77777777" w:rsidR="00350CB7" w:rsidRDefault="00350CB7">
      <w:pPr>
        <w:spacing w:before="0" w:after="160" w:line="259" w:lineRule="auto"/>
        <w:rPr>
          <w:rFonts w:ascii="Arial Bold" w:hAnsi="Arial Bold"/>
          <w:b/>
          <w:sz w:val="22"/>
        </w:rPr>
      </w:pPr>
      <w:r>
        <w:br w:type="page"/>
      </w:r>
    </w:p>
    <w:p w14:paraId="0F0277E3" w14:textId="65C36540" w:rsidR="003805A0" w:rsidRPr="00111DA6" w:rsidRDefault="003805A0" w:rsidP="003805A0">
      <w:pPr>
        <w:pStyle w:val="Heading3"/>
        <w:spacing w:before="240"/>
      </w:pPr>
      <w:r w:rsidRPr="00F15B2C">
        <w:lastRenderedPageBreak/>
        <w:t xml:space="preserve">Investing in the </w:t>
      </w:r>
      <w:r w:rsidR="00C84E2E">
        <w:t>p</w:t>
      </w:r>
      <w:r>
        <w:t xml:space="preserve">ublic </w:t>
      </w:r>
      <w:r w:rsidR="00C84E2E">
        <w:t>s</w:t>
      </w:r>
      <w:r>
        <w:t>ervice</w:t>
      </w:r>
      <w:r w:rsidRPr="00F15B2C">
        <w:t xml:space="preserve"> to </w:t>
      </w:r>
      <w:r>
        <w:t xml:space="preserve">manage the economic transformation </w:t>
      </w:r>
    </w:p>
    <w:p w14:paraId="4B90ED00" w14:textId="1B67CEEA" w:rsidR="004C0AEE" w:rsidRPr="004C0AEE" w:rsidRDefault="004C0AEE" w:rsidP="004C0AEE">
      <w:r w:rsidRPr="004C0AEE">
        <w:t>The future made in Australia agenda lays the foundations of an ambitious strategy to secure the nation</w:t>
      </w:r>
      <w:r w:rsidR="008702B3">
        <w:t>’</w:t>
      </w:r>
      <w:r w:rsidRPr="004C0AEE">
        <w:t xml:space="preserve">s future prosperity and resilience as we confront the challenges of the clean energy transition and emerging technologies. </w:t>
      </w:r>
    </w:p>
    <w:p w14:paraId="11E1043A" w14:textId="6ED479F0" w:rsidR="004C0AEE" w:rsidRPr="004C0AEE" w:rsidRDefault="004C0AEE" w:rsidP="004C0AEE">
      <w:r w:rsidRPr="004C0AEE">
        <w:t>After a decade of delay and inaction on the clean energy transition, the Government has had to rebuild the public service</w:t>
      </w:r>
      <w:r w:rsidR="008702B3">
        <w:t>’</w:t>
      </w:r>
      <w:r w:rsidRPr="004C0AEE">
        <w:t xml:space="preserve">s capability to manage the economic transformation required to effectively address climate change and deliver the required energy transition.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A16CA8" w14:paraId="1479545D" w14:textId="77777777" w:rsidTr="000A1E45">
        <w:trPr>
          <w:cantSplit/>
          <w:trHeight w:val="4394"/>
        </w:trPr>
        <w:tc>
          <w:tcPr>
            <w:tcW w:w="5000" w:type="pct"/>
            <w:shd w:val="clear" w:color="auto" w:fill="E6F2FF"/>
          </w:tcPr>
          <w:p w14:paraId="1440C678" w14:textId="372102AC" w:rsidR="000A1E45" w:rsidRPr="00257D89" w:rsidRDefault="000A1E45" w:rsidP="00241F87">
            <w:pPr>
              <w:pStyle w:val="BoxHeading"/>
            </w:pPr>
            <w:r w:rsidRPr="005F2679">
              <w:rPr>
                <w:rFonts w:eastAsia="Calibri"/>
                <w:noProof/>
              </w:rPr>
              <w:drawing>
                <wp:anchor distT="0" distB="0" distL="114300" distR="114300" simplePos="0" relativeHeight="251658242" behindDoc="0" locked="0" layoutInCell="1" allowOverlap="1" wp14:anchorId="176BC5DD" wp14:editId="1B466F28">
                  <wp:simplePos x="0" y="0"/>
                  <wp:positionH relativeFrom="column">
                    <wp:posOffset>30480</wp:posOffset>
                  </wp:positionH>
                  <wp:positionV relativeFrom="paragraph">
                    <wp:posOffset>57785</wp:posOffset>
                  </wp:positionV>
                  <wp:extent cx="759460" cy="759460"/>
                  <wp:effectExtent l="0" t="0" r="2540" b="2540"/>
                  <wp:wrapSquare wrapText="bothSides"/>
                  <wp:docPr id="732374007" name="Picture 7323740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74007" name="Picture 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14:sizeRelH relativeFrom="margin">
                    <wp14:pctWidth>0</wp14:pctWidth>
                  </wp14:sizeRelH>
                  <wp14:sizeRelV relativeFrom="margin">
                    <wp14:pctHeight>0</wp14:pctHeight>
                  </wp14:sizeRelV>
                </wp:anchor>
              </w:drawing>
            </w:r>
            <w:r w:rsidRPr="005F2679">
              <w:t>Rebuilding</w:t>
            </w:r>
            <w:r w:rsidRPr="00257D89">
              <w:t xml:space="preserve"> capability </w:t>
            </w:r>
            <w:r>
              <w:t>in the public service</w:t>
            </w:r>
            <w:r w:rsidRPr="00257D89">
              <w:t xml:space="preserve"> to effectively address climate change</w:t>
            </w:r>
            <w:r>
              <w:t xml:space="preserve"> and support the energy transition</w:t>
            </w:r>
          </w:p>
          <w:p w14:paraId="08A2C90B" w14:textId="47B57313" w:rsidR="00617B24" w:rsidRPr="00617B24" w:rsidRDefault="00617B24" w:rsidP="00617B24">
            <w:pPr>
              <w:pStyle w:val="BoxText"/>
            </w:pPr>
            <w:r w:rsidRPr="00617B24">
              <w:t xml:space="preserve">After the 2022 election, the Government established the Department of Climate Change, Energy, the Environment and Water—a department of state that was abolished by the </w:t>
            </w:r>
            <w:r w:rsidR="00BD3013">
              <w:t>previous</w:t>
            </w:r>
            <w:r w:rsidRPr="00617B24">
              <w:t xml:space="preserve"> Government. The Government has resourced the Department to play an important role in powering Australia with cheaper, cleaner and more reliable energy; with the public service playing a critical role in supporting the net zero industry and job creation. This includes introducing legislation to establish the Net Zero </w:t>
            </w:r>
            <w:r w:rsidR="00DE2BA6">
              <w:t>Economy</w:t>
            </w:r>
            <w:r w:rsidR="008479A0">
              <w:t xml:space="preserve"> </w:t>
            </w:r>
            <w:r w:rsidRPr="00617B24">
              <w:t>Authority to help guide the net zero transformation. The Department has delivered significant policies and programs to drive Australian climate action, to transform our energy system to deliver cheaper, more reliable power, and to conserve, protect and sustainably manage our environment and water resources.</w:t>
            </w:r>
          </w:p>
          <w:p w14:paraId="4F6FF0E5" w14:textId="66DB42C6" w:rsidR="00A16CA8" w:rsidRDefault="00617B24" w:rsidP="00617B24">
            <w:pPr>
              <w:pStyle w:val="BoxText"/>
            </w:pPr>
            <w:r w:rsidRPr="00617B24">
              <w:t>Over successive Budgets, investments in the Department of Climate Change, Energy, the Environment and Water has enabled the Department to reduce its reliance on contractors from 22.5 per cent of the total workforce in September 2022 to 10.6</w:t>
            </w:r>
            <w:r w:rsidR="003C077E">
              <w:t> </w:t>
            </w:r>
            <w:r w:rsidRPr="00617B24">
              <w:t>per</w:t>
            </w:r>
            <w:r w:rsidR="003C077E">
              <w:t> </w:t>
            </w:r>
            <w:r w:rsidRPr="00617B24">
              <w:t>cent currently. Reliance on external consultancies by the Department has fallen by over 40 per cent in the first half of 2023</w:t>
            </w:r>
            <w:r w:rsidR="00625D71">
              <w:t>–</w:t>
            </w:r>
            <w:r w:rsidRPr="00617B24">
              <w:t>24 compared to the same period in</w:t>
            </w:r>
            <w:r w:rsidR="003C077E">
              <w:t> </w:t>
            </w:r>
            <w:r w:rsidRPr="00617B24">
              <w:t>2022</w:t>
            </w:r>
            <w:r w:rsidR="00625D71">
              <w:t>–</w:t>
            </w:r>
            <w:r w:rsidRPr="00617B24">
              <w:t>23.</w:t>
            </w:r>
          </w:p>
        </w:tc>
      </w:tr>
    </w:tbl>
    <w:p w14:paraId="7CE2D0ED" w14:textId="77777777" w:rsidR="00A3097B" w:rsidRDefault="00A3097B" w:rsidP="00FB490C">
      <w:pPr>
        <w:pStyle w:val="SingleParagraph"/>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0A1E45" w14:paraId="74121BFD" w14:textId="77777777" w:rsidTr="007913DD">
        <w:trPr>
          <w:cantSplit/>
        </w:trPr>
        <w:tc>
          <w:tcPr>
            <w:tcW w:w="5000" w:type="pct"/>
            <w:shd w:val="clear" w:color="auto" w:fill="E6F2FF"/>
          </w:tcPr>
          <w:p w14:paraId="67E37A52" w14:textId="7D541103" w:rsidR="00076A99" w:rsidRDefault="003F304C" w:rsidP="00076A99">
            <w:pPr>
              <w:pStyle w:val="BoxHeading"/>
            </w:pPr>
            <w:r>
              <w:rPr>
                <w:noProof/>
              </w:rPr>
              <w:lastRenderedPageBreak/>
              <w:drawing>
                <wp:anchor distT="0" distB="0" distL="114300" distR="114300" simplePos="0" relativeHeight="251658243" behindDoc="0" locked="0" layoutInCell="1" allowOverlap="1" wp14:anchorId="24A73F0F" wp14:editId="67B4CC62">
                  <wp:simplePos x="0" y="0"/>
                  <wp:positionH relativeFrom="column">
                    <wp:posOffset>20955</wp:posOffset>
                  </wp:positionH>
                  <wp:positionV relativeFrom="paragraph">
                    <wp:posOffset>85090</wp:posOffset>
                  </wp:positionV>
                  <wp:extent cx="766445" cy="766445"/>
                  <wp:effectExtent l="0" t="0" r="0" b="0"/>
                  <wp:wrapSquare wrapText="bothSides"/>
                  <wp:docPr id="975437715" name="Picture 975437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37715" name="Picture 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6445" cy="766445"/>
                          </a:xfrm>
                          <a:prstGeom prst="rect">
                            <a:avLst/>
                          </a:prstGeom>
                        </pic:spPr>
                      </pic:pic>
                    </a:graphicData>
                  </a:graphic>
                  <wp14:sizeRelH relativeFrom="margin">
                    <wp14:pctWidth>0</wp14:pctWidth>
                  </wp14:sizeRelH>
                  <wp14:sizeRelV relativeFrom="margin">
                    <wp14:pctHeight>0</wp14:pctHeight>
                  </wp14:sizeRelV>
                </wp:anchor>
              </w:drawing>
            </w:r>
            <w:r w:rsidR="00157D97">
              <w:t>Delivering the Nature Positive Plan</w:t>
            </w:r>
          </w:p>
          <w:p w14:paraId="250E5E34" w14:textId="6664B05A" w:rsidR="00157D97" w:rsidRPr="00157D97" w:rsidRDefault="00157D97" w:rsidP="00157D97">
            <w:pPr>
              <w:pStyle w:val="BoxText"/>
            </w:pPr>
            <w:r w:rsidRPr="00157D97">
              <w:t>The Government</w:t>
            </w:r>
            <w:r w:rsidR="008702B3">
              <w:t>’</w:t>
            </w:r>
            <w:r w:rsidRPr="00157D97">
              <w:t xml:space="preserve">s investments in the Department of Climate Change, Energy, the Environment and Water have sped up environmental approval decisions under the </w:t>
            </w:r>
            <w:r w:rsidRPr="00157D97">
              <w:rPr>
                <w:i/>
                <w:iCs/>
              </w:rPr>
              <w:t>Environmental Protection and Biodiversity Conservation Act 199</w:t>
            </w:r>
            <w:r w:rsidRPr="004B585C">
              <w:rPr>
                <w:i/>
                <w:iCs/>
              </w:rPr>
              <w:t>9</w:t>
            </w:r>
            <w:r w:rsidRPr="00157D97">
              <w:t xml:space="preserve">, with 84 per cent of approvals considered within the statutory timeframe, up from 46 per cent on average under the </w:t>
            </w:r>
            <w:r w:rsidR="004B2963">
              <w:t>previous</w:t>
            </w:r>
            <w:r w:rsidRPr="00157D97">
              <w:t xml:space="preserve"> Government. Rebuilding the capacity of the public service will also facilitate renewable and clean energy projects.</w:t>
            </w:r>
          </w:p>
          <w:p w14:paraId="515990BA" w14:textId="6D03A76C" w:rsidR="000A1E45" w:rsidRDefault="00157D97" w:rsidP="00157D97">
            <w:pPr>
              <w:pStyle w:val="BoxText"/>
            </w:pPr>
            <w:r w:rsidRPr="00157D97">
              <w:t>These investments are part of the Government</w:t>
            </w:r>
            <w:r w:rsidR="008702B3">
              <w:t>’</w:t>
            </w:r>
            <w:r w:rsidRPr="00157D97">
              <w:t>s Nature Positive Plan, which also includes establishing an independent Environment Protection Australia to improve confidence in decision</w:t>
            </w:r>
            <w:r w:rsidR="008702B3">
              <w:noBreakHyphen/>
            </w:r>
            <w:r w:rsidRPr="00157D97">
              <w:t>making, and Environment Information Australia, to ensure high quality environmental data is available to facilitate timely and transparent decision</w:t>
            </w:r>
            <w:r w:rsidR="008702B3">
              <w:noBreakHyphen/>
            </w:r>
            <w:r w:rsidRPr="00157D97">
              <w:t>making.</w:t>
            </w:r>
          </w:p>
        </w:tc>
      </w:tr>
    </w:tbl>
    <w:p w14:paraId="1BA10FA8" w14:textId="59ACA38C" w:rsidR="00A04F4D" w:rsidRDefault="00A04F4D" w:rsidP="000F7E92">
      <w:r w:rsidRPr="00491D0A">
        <w:t>The 2024</w:t>
      </w:r>
      <w:r w:rsidR="00625D71">
        <w:t>–</w:t>
      </w:r>
      <w:r w:rsidRPr="00491D0A">
        <w:t xml:space="preserve">25 Budget </w:t>
      </w:r>
      <w:r>
        <w:t xml:space="preserve">makes further </w:t>
      </w:r>
      <w:r w:rsidRPr="00491D0A">
        <w:t>investments</w:t>
      </w:r>
      <w:r>
        <w:t xml:space="preserve"> in Australia</w:t>
      </w:r>
      <w:r w:rsidR="008702B3">
        <w:t>’</w:t>
      </w:r>
      <w:r>
        <w:t>s economic future</w:t>
      </w:r>
      <w:r w:rsidRPr="00491D0A">
        <w:t>, including</w:t>
      </w:r>
      <w:r>
        <w:t xml:space="preserve"> investment in essential public service staff in: </w:t>
      </w:r>
    </w:p>
    <w:p w14:paraId="2414DBA3" w14:textId="16727A74" w:rsidR="000A2142" w:rsidRPr="004E11DF" w:rsidRDefault="000A2142" w:rsidP="000A2142">
      <w:pPr>
        <w:pStyle w:val="Bullet"/>
      </w:pPr>
      <w:r w:rsidRPr="004E11DF">
        <w:t xml:space="preserve">the Department of Industry, Science and Resources </w:t>
      </w:r>
      <w:r>
        <w:t xml:space="preserve">and the </w:t>
      </w:r>
      <w:r w:rsidRPr="004E11DF">
        <w:t>Department of Climate Change, Energy, the Environment and Water to advance Australia</w:t>
      </w:r>
      <w:r w:rsidR="008702B3">
        <w:t>’</w:t>
      </w:r>
      <w:r w:rsidRPr="004E11DF">
        <w:t xml:space="preserve">s plans to become a renewable energy superpower, including expanding the Hydrogen </w:t>
      </w:r>
      <w:proofErr w:type="spellStart"/>
      <w:r w:rsidRPr="004E11DF">
        <w:t>Headstart</w:t>
      </w:r>
      <w:proofErr w:type="spellEnd"/>
      <w:r w:rsidRPr="004E11DF">
        <w:t xml:space="preserve"> program, delivering the 2024 National Hydrogen Strategy and foundational and policy initiatives to expedite the development of Australia</w:t>
      </w:r>
      <w:r w:rsidR="008702B3">
        <w:t>’</w:t>
      </w:r>
      <w:r w:rsidRPr="004E11DF">
        <w:t xml:space="preserve">s green metals and critical minerals industries </w:t>
      </w:r>
    </w:p>
    <w:p w14:paraId="46B4E03D" w14:textId="39D5E9DC" w:rsidR="00005496" w:rsidRPr="004E11DF" w:rsidDel="009A48D5" w:rsidRDefault="00005496" w:rsidP="00005496">
      <w:pPr>
        <w:pStyle w:val="Bullet"/>
      </w:pPr>
      <w:r w:rsidRPr="004E11DF">
        <w:t xml:space="preserve">the Department of Climate Change, Energy, the Environment and Water to implement priority reforms to </w:t>
      </w:r>
      <w:r>
        <w:t>improve social licence for the energy transition and remove regulatory impediments for renewable energy projects</w:t>
      </w:r>
      <w:r w:rsidRPr="004E11DF">
        <w:t xml:space="preserve"> </w:t>
      </w:r>
    </w:p>
    <w:p w14:paraId="3F1C1860" w14:textId="7A7B9BB9" w:rsidR="00631E39" w:rsidRPr="004E11DF" w:rsidRDefault="00631E39" w:rsidP="002455A4">
      <w:pPr>
        <w:pStyle w:val="Bullet"/>
      </w:pPr>
      <w:r w:rsidRPr="004E11DF">
        <w:t>Geoscience Australia to provide specialised capabilities in pre</w:t>
      </w:r>
      <w:r w:rsidR="00960490">
        <w:t>-</w:t>
      </w:r>
      <w:r w:rsidRPr="004E11DF">
        <w:t xml:space="preserve">competitive geoscience </w:t>
      </w:r>
      <w:r w:rsidRPr="002455A4">
        <w:t xml:space="preserve">data collection and analysis of ground water systems and resources to support increases </w:t>
      </w:r>
      <w:r w:rsidRPr="004E11DF">
        <w:t>in industry investment</w:t>
      </w:r>
    </w:p>
    <w:p w14:paraId="5FA492F8" w14:textId="7266C42F" w:rsidR="00FB2DEE" w:rsidRPr="004E11DF" w:rsidRDefault="00FB2DEE" w:rsidP="00FB2DEE">
      <w:pPr>
        <w:pStyle w:val="Bullet"/>
      </w:pPr>
      <w:r w:rsidRPr="004E11DF">
        <w:t>the Department of Foreign Affairs and Trade and</w:t>
      </w:r>
      <w:r w:rsidR="00F53802">
        <w:t xml:space="preserve"> the</w:t>
      </w:r>
      <w:r w:rsidRPr="004E11DF">
        <w:t xml:space="preserve"> Department of Finance to support the establishment of a Domestic National Interest Account, to </w:t>
      </w:r>
      <w:r>
        <w:t xml:space="preserve">support, as required, investments consistent with the </w:t>
      </w:r>
      <w:r w:rsidR="00CC0BB7">
        <w:t>f</w:t>
      </w:r>
      <w:r>
        <w:t xml:space="preserve">uture </w:t>
      </w:r>
      <w:r w:rsidR="00B519A1">
        <w:t>m</w:t>
      </w:r>
      <w:r>
        <w:t>ade in Australia agenda</w:t>
      </w:r>
    </w:p>
    <w:p w14:paraId="40291D9B" w14:textId="1D32DF1C" w:rsidR="00583DAE" w:rsidRPr="004E11DF" w:rsidRDefault="00583DAE" w:rsidP="00583DAE">
      <w:pPr>
        <w:pStyle w:val="Bullet"/>
      </w:pPr>
      <w:r w:rsidRPr="004E11DF">
        <w:t xml:space="preserve">the Department of the Treasury to coordinate the development of the </w:t>
      </w:r>
      <w:r w:rsidR="001D0686">
        <w:t>f</w:t>
      </w:r>
      <w:r w:rsidRPr="004E11DF">
        <w:t xml:space="preserve">uture </w:t>
      </w:r>
      <w:r w:rsidR="001D0686">
        <w:t>m</w:t>
      </w:r>
      <w:r w:rsidRPr="004E11DF">
        <w:t xml:space="preserve">ade in Australia legislation and associated policy frameworks, including a new National Interest Framework and Community Benefit Principles. A Treasury taskforce will also lead consultation on a new </w:t>
      </w:r>
      <w:r w:rsidR="008702B3">
        <w:t>‘</w:t>
      </w:r>
      <w:r w:rsidRPr="004E11DF">
        <w:t>front door</w:t>
      </w:r>
      <w:r w:rsidR="008702B3">
        <w:t>’</w:t>
      </w:r>
      <w:r w:rsidRPr="004E11DF">
        <w:t xml:space="preserve"> for major projects, which will streamline how investors and business interact with the Government, helping them navigate approvals processes and fast</w:t>
      </w:r>
      <w:r w:rsidR="008702B3">
        <w:noBreakHyphen/>
      </w:r>
      <w:r w:rsidRPr="004E11DF">
        <w:t>track major projects where possible</w:t>
      </w:r>
      <w:r>
        <w:t>.</w:t>
      </w:r>
    </w:p>
    <w:p w14:paraId="5A22BC83" w14:textId="77777777" w:rsidR="001574C0" w:rsidRDefault="001574C0">
      <w:pPr>
        <w:spacing w:before="0" w:after="160" w:line="259" w:lineRule="auto"/>
        <w:rPr>
          <w:rFonts w:ascii="Arial Bold" w:hAnsi="Arial Bold"/>
          <w:b/>
          <w:sz w:val="22"/>
        </w:rPr>
      </w:pPr>
      <w:r>
        <w:rPr>
          <w:rFonts w:ascii="Arial Bold" w:hAnsi="Arial Bold"/>
          <w:b/>
          <w:sz w:val="22"/>
        </w:rPr>
        <w:br w:type="page"/>
      </w:r>
    </w:p>
    <w:p w14:paraId="67F1A647" w14:textId="77777777" w:rsidR="00E255DA" w:rsidRPr="00D77666" w:rsidRDefault="00E255DA" w:rsidP="00941D05">
      <w:pPr>
        <w:pStyle w:val="Heading3"/>
      </w:pPr>
      <w:r w:rsidRPr="00D77666">
        <w:lastRenderedPageBreak/>
        <w:t>Working for Australia</w:t>
      </w:r>
    </w:p>
    <w:p w14:paraId="3C84D5D3" w14:textId="77777777" w:rsidR="00E255DA" w:rsidRDefault="00E255DA" w:rsidP="00E255DA">
      <w:r>
        <w:t xml:space="preserve">The Government recognises that you cannot deliver outcomes for Australians without the foundations of a strong public service. After almost a decade of outsourcing, reduced service outcomes and underinvestment, the Government </w:t>
      </w:r>
      <w:r w:rsidRPr="00C75D92" w:rsidDel="00230C6D">
        <w:t>has</w:t>
      </w:r>
      <w:r w:rsidRPr="00C75D92">
        <w:t xml:space="preserve"> invested in the public service to </w:t>
      </w:r>
      <w:r>
        <w:t xml:space="preserve">ensure it is best placed </w:t>
      </w:r>
      <w:bookmarkStart w:id="0" w:name="_Hlk166135004"/>
      <w:r>
        <w:t>to do the job the Australian people expect</w:t>
      </w:r>
      <w:bookmarkEnd w:id="0"/>
      <w:r>
        <w:t xml:space="preserve">. </w:t>
      </w:r>
    </w:p>
    <w:p w14:paraId="27BAE587" w14:textId="73857062" w:rsidR="00E255DA" w:rsidRDefault="00E255DA" w:rsidP="00E255DA">
      <w:r w:rsidRPr="006559A3">
        <w:t>The 2024–25 Budget delivers cost</w:t>
      </w:r>
      <w:r w:rsidR="008702B3">
        <w:noBreakHyphen/>
      </w:r>
      <w:r w:rsidRPr="006559A3">
        <w:t>of</w:t>
      </w:r>
      <w:r w:rsidR="008702B3">
        <w:noBreakHyphen/>
      </w:r>
      <w:r w:rsidRPr="006559A3">
        <w:t xml:space="preserve">living help and builds a future made in Australia. </w:t>
      </w:r>
      <w:r>
        <w:t>The Budget</w:t>
      </w:r>
      <w:r w:rsidRPr="006559A3">
        <w:t xml:space="preserve"> helps ease the pressures people are under today</w:t>
      </w:r>
      <w:r>
        <w:t xml:space="preserve"> and</w:t>
      </w:r>
      <w:r w:rsidRPr="006559A3">
        <w:t xml:space="preserve"> invests in a stronger and more resilient economy.</w:t>
      </w:r>
      <w:r>
        <w:t xml:space="preserve"> </w:t>
      </w:r>
      <w:r w:rsidR="00631E39" w:rsidRPr="008F652A">
        <w:t xml:space="preserve">The Government remains committed to delivering quality services, securing our region, and building a stronger economy for all Australians. </w:t>
      </w:r>
    </w:p>
    <w:p w14:paraId="3EFA8A60" w14:textId="79675A2F" w:rsidR="00631E39" w:rsidRDefault="00631E39" w:rsidP="00E255DA">
      <w:r w:rsidRPr="008F652A">
        <w:t>A</w:t>
      </w:r>
      <w:r w:rsidR="005A092B">
        <w:t>n</w:t>
      </w:r>
      <w:r w:rsidRPr="008F652A">
        <w:t xml:space="preserve"> </w:t>
      </w:r>
      <w:r w:rsidR="00CF7BD8">
        <w:t>appropriately</w:t>
      </w:r>
      <w:r w:rsidR="008702B3">
        <w:noBreakHyphen/>
      </w:r>
      <w:r w:rsidRPr="008F652A">
        <w:t>resourced public service is critical to delivering on the investments made in the 2024</w:t>
      </w:r>
      <w:r w:rsidR="00625D71">
        <w:t>–</w:t>
      </w:r>
      <w:r w:rsidRPr="008F652A">
        <w:t>25 Budget to grow Australia</w:t>
      </w:r>
      <w:r w:rsidR="008702B3">
        <w:t>’</w:t>
      </w:r>
      <w:r w:rsidRPr="008F652A">
        <w:t xml:space="preserve">s future prosperity. </w:t>
      </w:r>
    </w:p>
    <w:p w14:paraId="3336C9D6" w14:textId="4994DA10" w:rsidR="002455A4" w:rsidRDefault="009C513D" w:rsidP="002455A4">
      <w:r>
        <w:rPr>
          <w:noProof/>
        </w:rPr>
        <w:drawing>
          <wp:anchor distT="0" distB="0" distL="114300" distR="114300" simplePos="0" relativeHeight="251658248" behindDoc="1" locked="0" layoutInCell="1" allowOverlap="1" wp14:anchorId="43818E05" wp14:editId="664B340F">
            <wp:simplePos x="0" y="0"/>
            <wp:positionH relativeFrom="margin">
              <wp:align>left</wp:align>
            </wp:positionH>
            <wp:positionV relativeFrom="paragraph">
              <wp:posOffset>97352</wp:posOffset>
            </wp:positionV>
            <wp:extent cx="2019300" cy="572135"/>
            <wp:effectExtent l="0" t="0" r="0" b="0"/>
            <wp:wrapTight wrapText="bothSides">
              <wp:wrapPolygon edited="0">
                <wp:start x="611" y="0"/>
                <wp:lineTo x="0" y="9350"/>
                <wp:lineTo x="0" y="12946"/>
                <wp:lineTo x="14264" y="20857"/>
                <wp:lineTo x="15079" y="20857"/>
                <wp:lineTo x="17728" y="20857"/>
                <wp:lineTo x="17932" y="20857"/>
                <wp:lineTo x="17932" y="13665"/>
                <wp:lineTo x="21396" y="10069"/>
                <wp:lineTo x="21396" y="1438"/>
                <wp:lineTo x="1834" y="0"/>
                <wp:lineTo x="611" y="0"/>
              </wp:wrapPolygon>
            </wp:wrapTight>
            <wp:docPr id="1529211494" name="Picture 15292114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11494" name="Picture 1529211494">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9300" cy="572135"/>
                    </a:xfrm>
                    <a:prstGeom prst="rect">
                      <a:avLst/>
                    </a:prstGeom>
                    <a:noFill/>
                    <a:ln>
                      <a:noFill/>
                    </a:ln>
                  </pic:spPr>
                </pic:pic>
              </a:graphicData>
            </a:graphic>
          </wp:anchor>
        </w:drawing>
      </w:r>
    </w:p>
    <w:p w14:paraId="4554CF13" w14:textId="78900ECD" w:rsidR="002455A4" w:rsidRDefault="002455A4" w:rsidP="002455A4"/>
    <w:p w14:paraId="0403196F" w14:textId="2C02D35C" w:rsidR="00FB490C" w:rsidRPr="008F652A" w:rsidRDefault="00FB490C" w:rsidP="00D276DA">
      <w:pPr>
        <w:pStyle w:val="ChartGraphic"/>
      </w:pPr>
    </w:p>
    <w:p w14:paraId="6857DA90" w14:textId="77777777" w:rsidR="00631E39" w:rsidRPr="0044217E" w:rsidRDefault="00631E39" w:rsidP="00FB490C">
      <w:pPr>
        <w:rPr>
          <w:rFonts w:eastAsia="Calibri"/>
        </w:rPr>
      </w:pPr>
      <w:r w:rsidRPr="00782B12">
        <w:t xml:space="preserve">Senator the Hon Katy Gallagher </w:t>
      </w:r>
    </w:p>
    <w:p w14:paraId="0D68AB18" w14:textId="77777777" w:rsidR="00631E39" w:rsidRPr="00782B12" w:rsidRDefault="00631E39" w:rsidP="00FB490C">
      <w:r w:rsidRPr="00782B12">
        <w:t xml:space="preserve">Minister for Finance </w:t>
      </w:r>
    </w:p>
    <w:p w14:paraId="037876F6" w14:textId="77777777" w:rsidR="00631E39" w:rsidRPr="00782B12" w:rsidRDefault="00631E39" w:rsidP="00FB490C">
      <w:r w:rsidRPr="00782B12">
        <w:t xml:space="preserve">Minister for Women </w:t>
      </w:r>
    </w:p>
    <w:p w14:paraId="3F787A88" w14:textId="77777777" w:rsidR="00631E39" w:rsidRPr="00782B12" w:rsidRDefault="00631E39" w:rsidP="00FB490C">
      <w:r w:rsidRPr="00782B12">
        <w:t xml:space="preserve">Minister for the Public Service </w:t>
      </w:r>
    </w:p>
    <w:sectPr w:rsidR="00631E39" w:rsidRPr="00782B12" w:rsidSect="00C3781B">
      <w:headerReference w:type="default" r:id="rId29"/>
      <w:footerReference w:type="default" r:id="rId30"/>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C239" w14:textId="77777777" w:rsidR="00F916BF" w:rsidRDefault="00F916BF" w:rsidP="00E40261">
      <w:pPr>
        <w:spacing w:after="0" w:line="240" w:lineRule="auto"/>
      </w:pPr>
      <w:r>
        <w:separator/>
      </w:r>
    </w:p>
  </w:endnote>
  <w:endnote w:type="continuationSeparator" w:id="0">
    <w:p w14:paraId="720AA539" w14:textId="77777777" w:rsidR="00F916BF" w:rsidRDefault="00F916BF" w:rsidP="00E40261">
      <w:pPr>
        <w:spacing w:after="0" w:line="240" w:lineRule="auto"/>
      </w:pPr>
      <w:r>
        <w:continuationSeparator/>
      </w:r>
    </w:p>
  </w:endnote>
  <w:endnote w:type="continuationNotice" w:id="1">
    <w:p w14:paraId="263B24ED" w14:textId="77777777" w:rsidR="00F916BF" w:rsidRDefault="00F916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6F55" w14:textId="46F9934E"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3509C9">
      <w:t>Preface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C627" w14:textId="5C7B02FD" w:rsidR="00FB5DDD" w:rsidRDefault="00000000" w:rsidP="002A6A16">
    <w:pPr>
      <w:pStyle w:val="FooterOdd"/>
    </w:pPr>
    <w:fldSimple w:instr=" SUBJECT   \* MERGEFORMAT ">
      <w:r w:rsidR="00A005BB">
        <w:t>Preface</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4F40" w14:textId="134FA05A" w:rsidR="00FB5DDD" w:rsidRDefault="00040396" w:rsidP="00360947">
    <w:pPr>
      <w:pStyle w:val="FooterOdd"/>
    </w:pPr>
    <w:r>
      <w:t>Preface</w:t>
    </w:r>
    <w:r w:rsidR="00BE3C7D">
      <w:t xml:space="preserve"> </w:t>
    </w:r>
    <w:r w:rsidRPr="00B3705D">
      <w:t xml:space="preserve"> |</w:t>
    </w:r>
    <w:r w:rsidR="00BE3C7D">
      <w:t xml:space="preserve"> </w:t>
    </w:r>
    <w:r w:rsidRPr="00B3705D">
      <w:t xml:space="preserve"> </w:t>
    </w:r>
    <w:r w:rsidRPr="007E183A">
      <w:rPr>
        <w:b/>
        <w:bCs/>
      </w:rPr>
      <w:t>Page</w:t>
    </w:r>
    <w:r w:rsidR="00FB5DDD" w:rsidRPr="00B3705D">
      <w:rPr>
        <w:b/>
        <w:bCs/>
      </w:rPr>
      <w:t xml:space="preserv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9512" w14:textId="42E7030B" w:rsidR="0074026A" w:rsidRDefault="00000000" w:rsidP="002A6A16">
    <w:pPr>
      <w:pStyle w:val="FooterOdd"/>
    </w:pPr>
    <w:fldSimple w:instr=" SUBJECT   \* MERGEFORMAT ">
      <w:r w:rsidR="00A005BB">
        <w:t>Preface</w:t>
      </w:r>
    </w:fldSimple>
    <w:r w:rsidR="0074026A" w:rsidRPr="00B3705D">
      <w:t xml:space="preserve">  |  </w:t>
    </w:r>
    <w:r w:rsidR="0074026A" w:rsidRPr="00B3705D">
      <w:rPr>
        <w:b/>
        <w:bCs/>
      </w:rPr>
      <w:t xml:space="preserve">Page </w:t>
    </w:r>
    <w:r w:rsidR="0074026A" w:rsidRPr="00B3705D">
      <w:rPr>
        <w:b/>
        <w:bCs/>
      </w:rPr>
      <w:fldChar w:fldCharType="begin"/>
    </w:r>
    <w:r w:rsidR="0074026A" w:rsidRPr="00B3705D">
      <w:rPr>
        <w:b/>
        <w:bCs/>
      </w:rPr>
      <w:instrText xml:space="preserve"> PAGE  \* Arabic  \* MERGEFORMAT </w:instrText>
    </w:r>
    <w:r w:rsidR="0074026A" w:rsidRPr="00B3705D">
      <w:rPr>
        <w:b/>
        <w:bCs/>
      </w:rPr>
      <w:fldChar w:fldCharType="separate"/>
    </w:r>
    <w:r w:rsidR="0074026A">
      <w:rPr>
        <w:b/>
        <w:bCs/>
      </w:rPr>
      <w:t>1</w:t>
    </w:r>
    <w:r w:rsidR="0074026A"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EB4E" w14:textId="77777777" w:rsidR="00F916BF" w:rsidRPr="003C1CA4" w:rsidRDefault="00F916BF"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D06A92E" w14:textId="77777777" w:rsidR="00F916BF" w:rsidRDefault="00F916BF" w:rsidP="00E40261">
      <w:pPr>
        <w:spacing w:after="0" w:line="240" w:lineRule="auto"/>
      </w:pPr>
      <w:r>
        <w:continuationSeparator/>
      </w:r>
    </w:p>
  </w:footnote>
  <w:footnote w:type="continuationNotice" w:id="1">
    <w:p w14:paraId="490C31AE" w14:textId="77777777" w:rsidR="00F916BF" w:rsidRDefault="00F916BF">
      <w:pPr>
        <w:spacing w:before="0" w:after="0" w:line="240" w:lineRule="auto"/>
      </w:pPr>
    </w:p>
  </w:footnote>
  <w:footnote w:id="2">
    <w:p w14:paraId="181B90D8" w14:textId="442F54BC" w:rsidR="00145BA1" w:rsidRDefault="00145BA1" w:rsidP="00145BA1">
      <w:pPr>
        <w:pStyle w:val="FootnoteText"/>
      </w:pPr>
      <w:r w:rsidRPr="0030178C">
        <w:rPr>
          <w:rStyle w:val="FootnoteReference"/>
          <w:vertAlign w:val="baseline"/>
        </w:rPr>
        <w:footnoteRef/>
      </w:r>
      <w:r w:rsidRPr="51A4680D">
        <w:rPr>
          <w:rStyle w:val="FootnoteReference"/>
        </w:rPr>
        <w:t xml:space="preserve"> </w:t>
      </w:r>
      <w:r>
        <w:tab/>
        <w:t xml:space="preserve">The General </w:t>
      </w:r>
      <w:r w:rsidRPr="00827BEB">
        <w:t>Government</w:t>
      </w:r>
      <w:r>
        <w:t xml:space="preserve"> Sector provides public services that are mainly non</w:t>
      </w:r>
      <w:r w:rsidR="008702B3">
        <w:noBreakHyphen/>
      </w:r>
      <w:r>
        <w:t>market in nature and for the collective consumption of the community or involve the transfer or distribution of income. These services are largely financed through taxes and other compulsory levies, user charging and exter</w:t>
      </w:r>
      <w:r w:rsidRPr="009703E0">
        <w:t xml:space="preserve">nal funding (Budget 2024–25, Budget Paper No. 1, </w:t>
      </w:r>
      <w:r w:rsidRPr="00617588">
        <w:rPr>
          <w:i/>
          <w:iCs/>
        </w:rPr>
        <w:t>Statement 10, Appendix A</w:t>
      </w:r>
      <w:r w:rsidRPr="009703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147F" w14:textId="3AA73381"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58960551" w14:textId="77777777" w:rsidTr="00763F12">
      <w:trPr>
        <w:trHeight w:hRule="exact" w:val="340"/>
      </w:trPr>
      <w:tc>
        <w:tcPr>
          <w:tcW w:w="7797" w:type="dxa"/>
        </w:tcPr>
        <w:p w14:paraId="4D9B443F" w14:textId="30DC649B" w:rsidR="00FB5DDD" w:rsidRPr="008C56E1" w:rsidRDefault="00FB5DDD" w:rsidP="00F60EA1">
          <w:pPr>
            <w:pStyle w:val="HeaderEven"/>
          </w:pPr>
          <w:r w:rsidRPr="008C56E1">
            <w:rPr>
              <w:noProof/>
              <w:position w:val="-8"/>
            </w:rPr>
            <w:drawing>
              <wp:inline distT="0" distB="0" distL="0" distR="0" wp14:anchorId="203F2FD8" wp14:editId="01A78B6D">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w:t>
          </w:r>
          <w:r w:rsidR="00B37B96" w:rsidRPr="008C56E1">
            <w:t xml:space="preserve">| </w:t>
          </w:r>
          <w:r w:rsidR="003509C9">
            <w:t>Budget Paper No.4</w:t>
          </w:r>
        </w:p>
      </w:tc>
    </w:tr>
  </w:tbl>
  <w:p w14:paraId="0E56EBDD" w14:textId="77777777" w:rsidR="00FB5DDD" w:rsidRPr="00AA5439" w:rsidRDefault="00FB5DDD" w:rsidP="00AA5439">
    <w:pPr>
      <w:pStyle w:val="HeaderEven"/>
      <w:rPr>
        <w:sz w:val="2"/>
        <w:szCs w:val="4"/>
      </w:rPr>
    </w:pPr>
  </w:p>
  <w:p w14:paraId="37A3454B"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2306" w14:textId="3B6FB182"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0F341601" w14:textId="77777777" w:rsidTr="008C56E1">
      <w:trPr>
        <w:trHeight w:hRule="exact" w:val="340"/>
      </w:trPr>
      <w:tc>
        <w:tcPr>
          <w:tcW w:w="7797" w:type="dxa"/>
        </w:tcPr>
        <w:p w14:paraId="46DC5EF7" w14:textId="05EC8630" w:rsidR="00FB5DDD" w:rsidRPr="00D13BF9" w:rsidRDefault="003509C9" w:rsidP="00D13BF9">
          <w:pPr>
            <w:pStyle w:val="HeaderOdd"/>
          </w:pPr>
          <w:r>
            <w:t>Budget Paper No.4</w:t>
          </w:r>
          <w:r w:rsidR="00B37B96" w:rsidRPr="00D13BF9">
            <w:t xml:space="preserve"> |</w:t>
          </w:r>
          <w:r w:rsidR="00FB5DDD" w:rsidRPr="00D13BF9">
            <w:t xml:space="preserve">  </w:t>
          </w:r>
          <w:r w:rsidR="00FB5DDD" w:rsidRPr="00C9389A">
            <w:rPr>
              <w:noProof/>
              <w:position w:val="-8"/>
            </w:rPr>
            <w:drawing>
              <wp:inline distT="0" distB="0" distL="0" distR="0" wp14:anchorId="25A48871" wp14:editId="139C82E8">
                <wp:extent cx="878400" cy="198000"/>
                <wp:effectExtent l="0" t="0" r="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C3CE9E5"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B177" w14:textId="3FFADCC3" w:rsidR="00FB5DDD" w:rsidRDefault="00FB5DDD">
    <w:pPr>
      <w:pStyle w:val="Header"/>
      <w:rPr>
        <w:sz w:val="2"/>
        <w:szCs w:val="2"/>
      </w:rPr>
    </w:pPr>
  </w:p>
  <w:p w14:paraId="35CB0583" w14:textId="77777777" w:rsidR="00FB5DDD" w:rsidRDefault="00FB5DDD">
    <w:pPr>
      <w:pStyle w:val="Header"/>
      <w:rPr>
        <w:sz w:val="2"/>
        <w:szCs w:val="2"/>
      </w:rPr>
    </w:pPr>
  </w:p>
  <w:p w14:paraId="20BE1B65" w14:textId="593053B2" w:rsidR="00FB5DDD" w:rsidRPr="005B2F30" w:rsidRDefault="00FB5DDD">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105486" w14:paraId="7BCF6D73" w14:textId="77777777" w:rsidTr="008C56E1">
      <w:trPr>
        <w:trHeight w:hRule="exact" w:val="340"/>
      </w:trPr>
      <w:tc>
        <w:tcPr>
          <w:tcW w:w="7797" w:type="dxa"/>
        </w:tcPr>
        <w:p w14:paraId="6A132716" w14:textId="6FDD48F4" w:rsidR="00105486" w:rsidRPr="00D13BF9" w:rsidRDefault="00000000" w:rsidP="00D13BF9">
          <w:pPr>
            <w:pStyle w:val="HeaderOdd"/>
          </w:pPr>
          <w:fldSimple w:instr=" TITLE   \* MERGEFORMAT ">
            <w:r w:rsidR="00A005BB">
              <w:t>Budget Paper No.4</w:t>
            </w:r>
          </w:fldSimple>
          <w:r w:rsidR="00105486" w:rsidRPr="00D13BF9">
            <w:t xml:space="preserve">  |  </w:t>
          </w:r>
          <w:r w:rsidR="00105486" w:rsidRPr="00C9389A">
            <w:rPr>
              <w:noProof/>
              <w:position w:val="-8"/>
            </w:rPr>
            <w:drawing>
              <wp:inline distT="0" distB="0" distL="0" distR="0" wp14:anchorId="5FA6DBA6" wp14:editId="406F80BD">
                <wp:extent cx="878400" cy="198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A7B120D" w14:textId="5A5C5358" w:rsidR="0074026A" w:rsidRPr="000635BE" w:rsidRDefault="0074026A" w:rsidP="000635BE">
    <w:pPr>
      <w:pStyle w:val="HeaderOdd"/>
      <w:rPr>
        <w:sz w:val="2"/>
        <w:szCs w:val="4"/>
      </w:rPr>
    </w:pPr>
  </w:p>
  <w:p w14:paraId="5F9E83CD" w14:textId="77777777" w:rsidR="0074026A" w:rsidRPr="00AA5439" w:rsidRDefault="0074026A" w:rsidP="00AA543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A614C"/>
    <w:multiLevelType w:val="hybridMultilevel"/>
    <w:tmpl w:val="EDBA9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4A00257A"/>
    <w:multiLevelType w:val="hybridMultilevel"/>
    <w:tmpl w:val="286898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2"/>
  </w:num>
  <w:num w:numId="3" w16cid:durableId="1903564601">
    <w:abstractNumId w:val="11"/>
  </w:num>
  <w:num w:numId="4" w16cid:durableId="778522229">
    <w:abstractNumId w:val="13"/>
  </w:num>
  <w:num w:numId="5" w16cid:durableId="308556280">
    <w:abstractNumId w:val="16"/>
  </w:num>
  <w:num w:numId="6" w16cid:durableId="772752326">
    <w:abstractNumId w:val="11"/>
  </w:num>
  <w:num w:numId="7" w16cid:durableId="541596858">
    <w:abstractNumId w:val="11"/>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3"/>
  </w:num>
  <w:num w:numId="19" w16cid:durableId="52116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1056438">
    <w:abstractNumId w:val="15"/>
  </w:num>
  <w:num w:numId="22" w16cid:durableId="1814448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40396"/>
    <w:rsid w:val="000004EA"/>
    <w:rsid w:val="00005496"/>
    <w:rsid w:val="00010733"/>
    <w:rsid w:val="00010786"/>
    <w:rsid w:val="00011DBB"/>
    <w:rsid w:val="00013D62"/>
    <w:rsid w:val="00013EA8"/>
    <w:rsid w:val="00014168"/>
    <w:rsid w:val="0001539D"/>
    <w:rsid w:val="00023560"/>
    <w:rsid w:val="00024A02"/>
    <w:rsid w:val="00024BA4"/>
    <w:rsid w:val="00026C03"/>
    <w:rsid w:val="0003273A"/>
    <w:rsid w:val="00033868"/>
    <w:rsid w:val="00034A4B"/>
    <w:rsid w:val="00035D8D"/>
    <w:rsid w:val="00037251"/>
    <w:rsid w:val="00040396"/>
    <w:rsid w:val="00040DDA"/>
    <w:rsid w:val="00041182"/>
    <w:rsid w:val="00041BF0"/>
    <w:rsid w:val="0005052B"/>
    <w:rsid w:val="0005249C"/>
    <w:rsid w:val="00053500"/>
    <w:rsid w:val="000546EB"/>
    <w:rsid w:val="00055715"/>
    <w:rsid w:val="00056787"/>
    <w:rsid w:val="00060245"/>
    <w:rsid w:val="000622DA"/>
    <w:rsid w:val="000630A7"/>
    <w:rsid w:val="000635BE"/>
    <w:rsid w:val="000636B0"/>
    <w:rsid w:val="0006409D"/>
    <w:rsid w:val="00076A99"/>
    <w:rsid w:val="000809A0"/>
    <w:rsid w:val="00082393"/>
    <w:rsid w:val="0008399A"/>
    <w:rsid w:val="00083A0F"/>
    <w:rsid w:val="000852C5"/>
    <w:rsid w:val="00085898"/>
    <w:rsid w:val="0008597F"/>
    <w:rsid w:val="00085A79"/>
    <w:rsid w:val="000872EE"/>
    <w:rsid w:val="0009444A"/>
    <w:rsid w:val="000A1E45"/>
    <w:rsid w:val="000A1FFE"/>
    <w:rsid w:val="000A2142"/>
    <w:rsid w:val="000A3FC4"/>
    <w:rsid w:val="000B38A8"/>
    <w:rsid w:val="000B5DBF"/>
    <w:rsid w:val="000B7DC9"/>
    <w:rsid w:val="000C2EF2"/>
    <w:rsid w:val="000C5444"/>
    <w:rsid w:val="000C546F"/>
    <w:rsid w:val="000C5759"/>
    <w:rsid w:val="000D78F4"/>
    <w:rsid w:val="000E0A7A"/>
    <w:rsid w:val="000E0BCD"/>
    <w:rsid w:val="000E105B"/>
    <w:rsid w:val="000E149B"/>
    <w:rsid w:val="000E5E7B"/>
    <w:rsid w:val="000E6AE2"/>
    <w:rsid w:val="000E6B98"/>
    <w:rsid w:val="000E776D"/>
    <w:rsid w:val="000F2520"/>
    <w:rsid w:val="000F2A82"/>
    <w:rsid w:val="000F72EA"/>
    <w:rsid w:val="000F7D85"/>
    <w:rsid w:val="000F7E92"/>
    <w:rsid w:val="001005B7"/>
    <w:rsid w:val="001010B0"/>
    <w:rsid w:val="00103F65"/>
    <w:rsid w:val="00105486"/>
    <w:rsid w:val="001062B6"/>
    <w:rsid w:val="001100FD"/>
    <w:rsid w:val="0011020B"/>
    <w:rsid w:val="00110791"/>
    <w:rsid w:val="00110AEB"/>
    <w:rsid w:val="0011175D"/>
    <w:rsid w:val="00111F0E"/>
    <w:rsid w:val="00117A3E"/>
    <w:rsid w:val="00122941"/>
    <w:rsid w:val="001235E1"/>
    <w:rsid w:val="00125711"/>
    <w:rsid w:val="00130539"/>
    <w:rsid w:val="00132C9F"/>
    <w:rsid w:val="00133B93"/>
    <w:rsid w:val="001372C4"/>
    <w:rsid w:val="001402EE"/>
    <w:rsid w:val="0014078C"/>
    <w:rsid w:val="00141012"/>
    <w:rsid w:val="00142043"/>
    <w:rsid w:val="001421CB"/>
    <w:rsid w:val="00144D86"/>
    <w:rsid w:val="00144DE0"/>
    <w:rsid w:val="00145BA1"/>
    <w:rsid w:val="001472CA"/>
    <w:rsid w:val="00147FF7"/>
    <w:rsid w:val="00152C6B"/>
    <w:rsid w:val="001555B1"/>
    <w:rsid w:val="001574C0"/>
    <w:rsid w:val="00157D97"/>
    <w:rsid w:val="00160928"/>
    <w:rsid w:val="0016320B"/>
    <w:rsid w:val="001726C5"/>
    <w:rsid w:val="00172CFE"/>
    <w:rsid w:val="0018713F"/>
    <w:rsid w:val="0019115B"/>
    <w:rsid w:val="00192976"/>
    <w:rsid w:val="00195688"/>
    <w:rsid w:val="001970E6"/>
    <w:rsid w:val="001A2E76"/>
    <w:rsid w:val="001A5A92"/>
    <w:rsid w:val="001A7712"/>
    <w:rsid w:val="001A7B14"/>
    <w:rsid w:val="001C0260"/>
    <w:rsid w:val="001C29BA"/>
    <w:rsid w:val="001C4FED"/>
    <w:rsid w:val="001C5E21"/>
    <w:rsid w:val="001D0686"/>
    <w:rsid w:val="001D0895"/>
    <w:rsid w:val="001D33D6"/>
    <w:rsid w:val="001E1BF2"/>
    <w:rsid w:val="001E5346"/>
    <w:rsid w:val="001E5AFE"/>
    <w:rsid w:val="001E6FD3"/>
    <w:rsid w:val="001E7726"/>
    <w:rsid w:val="001F0317"/>
    <w:rsid w:val="001F08E1"/>
    <w:rsid w:val="001F2888"/>
    <w:rsid w:val="001F4E9C"/>
    <w:rsid w:val="001F702D"/>
    <w:rsid w:val="001F753A"/>
    <w:rsid w:val="0020150C"/>
    <w:rsid w:val="00206A05"/>
    <w:rsid w:val="002072F0"/>
    <w:rsid w:val="00207F38"/>
    <w:rsid w:val="00211627"/>
    <w:rsid w:val="002142F4"/>
    <w:rsid w:val="0022144A"/>
    <w:rsid w:val="0022325A"/>
    <w:rsid w:val="002260FF"/>
    <w:rsid w:val="002263CD"/>
    <w:rsid w:val="002264B6"/>
    <w:rsid w:val="00236578"/>
    <w:rsid w:val="00237107"/>
    <w:rsid w:val="00237F04"/>
    <w:rsid w:val="00241F87"/>
    <w:rsid w:val="00242462"/>
    <w:rsid w:val="00242479"/>
    <w:rsid w:val="0024521A"/>
    <w:rsid w:val="002455A4"/>
    <w:rsid w:val="0024618C"/>
    <w:rsid w:val="00250208"/>
    <w:rsid w:val="00266B14"/>
    <w:rsid w:val="00267200"/>
    <w:rsid w:val="00270D63"/>
    <w:rsid w:val="002725D9"/>
    <w:rsid w:val="00274A49"/>
    <w:rsid w:val="00281716"/>
    <w:rsid w:val="002823C6"/>
    <w:rsid w:val="0028589B"/>
    <w:rsid w:val="002909A8"/>
    <w:rsid w:val="00292F9B"/>
    <w:rsid w:val="00293751"/>
    <w:rsid w:val="00294DFB"/>
    <w:rsid w:val="00297891"/>
    <w:rsid w:val="002A0013"/>
    <w:rsid w:val="002A2580"/>
    <w:rsid w:val="002A6A16"/>
    <w:rsid w:val="002A6AAB"/>
    <w:rsid w:val="002B0574"/>
    <w:rsid w:val="002B2500"/>
    <w:rsid w:val="002B6106"/>
    <w:rsid w:val="002C2097"/>
    <w:rsid w:val="002C3DEB"/>
    <w:rsid w:val="002C596C"/>
    <w:rsid w:val="002C7906"/>
    <w:rsid w:val="002D1584"/>
    <w:rsid w:val="002D5033"/>
    <w:rsid w:val="002D67CE"/>
    <w:rsid w:val="002D789E"/>
    <w:rsid w:val="002E405B"/>
    <w:rsid w:val="002E638A"/>
    <w:rsid w:val="002E7B71"/>
    <w:rsid w:val="002F3706"/>
    <w:rsid w:val="002F40F3"/>
    <w:rsid w:val="002F6D88"/>
    <w:rsid w:val="003005A4"/>
    <w:rsid w:val="0030178C"/>
    <w:rsid w:val="00303B49"/>
    <w:rsid w:val="00305105"/>
    <w:rsid w:val="00310B0D"/>
    <w:rsid w:val="00312174"/>
    <w:rsid w:val="00314F29"/>
    <w:rsid w:val="00316923"/>
    <w:rsid w:val="003260C2"/>
    <w:rsid w:val="003270F7"/>
    <w:rsid w:val="003303B0"/>
    <w:rsid w:val="003421CD"/>
    <w:rsid w:val="00342FE1"/>
    <w:rsid w:val="0034309C"/>
    <w:rsid w:val="003451F5"/>
    <w:rsid w:val="0034543C"/>
    <w:rsid w:val="003478ED"/>
    <w:rsid w:val="003506C0"/>
    <w:rsid w:val="003509C9"/>
    <w:rsid w:val="00350CB7"/>
    <w:rsid w:val="00354B94"/>
    <w:rsid w:val="00360947"/>
    <w:rsid w:val="003622B2"/>
    <w:rsid w:val="00363C3E"/>
    <w:rsid w:val="00364A01"/>
    <w:rsid w:val="00367C33"/>
    <w:rsid w:val="00371B6C"/>
    <w:rsid w:val="00372E21"/>
    <w:rsid w:val="003735E9"/>
    <w:rsid w:val="00375527"/>
    <w:rsid w:val="00376330"/>
    <w:rsid w:val="00377616"/>
    <w:rsid w:val="00377927"/>
    <w:rsid w:val="00377B4B"/>
    <w:rsid w:val="003805A0"/>
    <w:rsid w:val="00381D29"/>
    <w:rsid w:val="00382E3D"/>
    <w:rsid w:val="00385ABA"/>
    <w:rsid w:val="00390BBD"/>
    <w:rsid w:val="0039112F"/>
    <w:rsid w:val="00393294"/>
    <w:rsid w:val="003A0C59"/>
    <w:rsid w:val="003A3AC2"/>
    <w:rsid w:val="003A3F85"/>
    <w:rsid w:val="003A75DD"/>
    <w:rsid w:val="003B3670"/>
    <w:rsid w:val="003C0777"/>
    <w:rsid w:val="003C077E"/>
    <w:rsid w:val="003C1580"/>
    <w:rsid w:val="003C1CA4"/>
    <w:rsid w:val="003C69E9"/>
    <w:rsid w:val="003D3170"/>
    <w:rsid w:val="003E1474"/>
    <w:rsid w:val="003E208D"/>
    <w:rsid w:val="003E3D43"/>
    <w:rsid w:val="003E533E"/>
    <w:rsid w:val="003E7441"/>
    <w:rsid w:val="003F1189"/>
    <w:rsid w:val="003F304C"/>
    <w:rsid w:val="003F42F4"/>
    <w:rsid w:val="003F5916"/>
    <w:rsid w:val="00404DB7"/>
    <w:rsid w:val="00406B4B"/>
    <w:rsid w:val="00406B4D"/>
    <w:rsid w:val="00410217"/>
    <w:rsid w:val="00410AC2"/>
    <w:rsid w:val="00412EAD"/>
    <w:rsid w:val="00414D61"/>
    <w:rsid w:val="00415060"/>
    <w:rsid w:val="00415F70"/>
    <w:rsid w:val="00417363"/>
    <w:rsid w:val="004218F0"/>
    <w:rsid w:val="0042237F"/>
    <w:rsid w:val="00422489"/>
    <w:rsid w:val="004233DE"/>
    <w:rsid w:val="00424F40"/>
    <w:rsid w:val="00425FB7"/>
    <w:rsid w:val="00430D5C"/>
    <w:rsid w:val="0043240C"/>
    <w:rsid w:val="00434C84"/>
    <w:rsid w:val="00441C2C"/>
    <w:rsid w:val="00443FF8"/>
    <w:rsid w:val="004444C9"/>
    <w:rsid w:val="00447E2C"/>
    <w:rsid w:val="004501FE"/>
    <w:rsid w:val="00452C2D"/>
    <w:rsid w:val="0046391C"/>
    <w:rsid w:val="00464D19"/>
    <w:rsid w:val="00465F7C"/>
    <w:rsid w:val="0046687A"/>
    <w:rsid w:val="00473621"/>
    <w:rsid w:val="004759DF"/>
    <w:rsid w:val="0048563A"/>
    <w:rsid w:val="00492270"/>
    <w:rsid w:val="00494955"/>
    <w:rsid w:val="004A6A93"/>
    <w:rsid w:val="004A6F18"/>
    <w:rsid w:val="004B2870"/>
    <w:rsid w:val="004B2963"/>
    <w:rsid w:val="004B585C"/>
    <w:rsid w:val="004C0ACF"/>
    <w:rsid w:val="004C0AEE"/>
    <w:rsid w:val="004C3F27"/>
    <w:rsid w:val="004C4E9F"/>
    <w:rsid w:val="004C6020"/>
    <w:rsid w:val="004C69EF"/>
    <w:rsid w:val="004C76D8"/>
    <w:rsid w:val="004D1D47"/>
    <w:rsid w:val="004D332F"/>
    <w:rsid w:val="004D5C7F"/>
    <w:rsid w:val="004E0B2A"/>
    <w:rsid w:val="004E33DA"/>
    <w:rsid w:val="004E3AC4"/>
    <w:rsid w:val="004E78E6"/>
    <w:rsid w:val="004F07A9"/>
    <w:rsid w:val="004F3FD9"/>
    <w:rsid w:val="004F5AB8"/>
    <w:rsid w:val="004F60DD"/>
    <w:rsid w:val="004F668D"/>
    <w:rsid w:val="00500A60"/>
    <w:rsid w:val="0050148C"/>
    <w:rsid w:val="00502A97"/>
    <w:rsid w:val="00502C53"/>
    <w:rsid w:val="00504412"/>
    <w:rsid w:val="00505F56"/>
    <w:rsid w:val="00511FED"/>
    <w:rsid w:val="00513CF9"/>
    <w:rsid w:val="00513FCE"/>
    <w:rsid w:val="005142AA"/>
    <w:rsid w:val="005151D9"/>
    <w:rsid w:val="0051627E"/>
    <w:rsid w:val="00517E5B"/>
    <w:rsid w:val="00526246"/>
    <w:rsid w:val="00527BD5"/>
    <w:rsid w:val="00532259"/>
    <w:rsid w:val="00535507"/>
    <w:rsid w:val="00536703"/>
    <w:rsid w:val="005412B9"/>
    <w:rsid w:val="00541C51"/>
    <w:rsid w:val="005453BB"/>
    <w:rsid w:val="005476BD"/>
    <w:rsid w:val="00551E91"/>
    <w:rsid w:val="00553920"/>
    <w:rsid w:val="005570CB"/>
    <w:rsid w:val="00561748"/>
    <w:rsid w:val="00561ACC"/>
    <w:rsid w:val="005642C7"/>
    <w:rsid w:val="00567F9E"/>
    <w:rsid w:val="00572C70"/>
    <w:rsid w:val="00575B55"/>
    <w:rsid w:val="00576804"/>
    <w:rsid w:val="005771F5"/>
    <w:rsid w:val="005771F7"/>
    <w:rsid w:val="00577F92"/>
    <w:rsid w:val="00580067"/>
    <w:rsid w:val="005831C1"/>
    <w:rsid w:val="00583DAE"/>
    <w:rsid w:val="00591C56"/>
    <w:rsid w:val="005A0183"/>
    <w:rsid w:val="005A03DA"/>
    <w:rsid w:val="005A092B"/>
    <w:rsid w:val="005A1F44"/>
    <w:rsid w:val="005A43A4"/>
    <w:rsid w:val="005A6E31"/>
    <w:rsid w:val="005A6F5F"/>
    <w:rsid w:val="005B05F4"/>
    <w:rsid w:val="005B23D5"/>
    <w:rsid w:val="005B27C6"/>
    <w:rsid w:val="005B2F30"/>
    <w:rsid w:val="005B3010"/>
    <w:rsid w:val="005B4B7A"/>
    <w:rsid w:val="005B51C2"/>
    <w:rsid w:val="005C14BC"/>
    <w:rsid w:val="005C2E02"/>
    <w:rsid w:val="005C5927"/>
    <w:rsid w:val="005C632C"/>
    <w:rsid w:val="005D037E"/>
    <w:rsid w:val="005D0D2F"/>
    <w:rsid w:val="005D23CB"/>
    <w:rsid w:val="005D3787"/>
    <w:rsid w:val="005D3C45"/>
    <w:rsid w:val="005D5B34"/>
    <w:rsid w:val="005D65B8"/>
    <w:rsid w:val="005D6ADA"/>
    <w:rsid w:val="005D6CC9"/>
    <w:rsid w:val="005D7B6D"/>
    <w:rsid w:val="005E4F85"/>
    <w:rsid w:val="005E579A"/>
    <w:rsid w:val="005E5ED1"/>
    <w:rsid w:val="005E632B"/>
    <w:rsid w:val="005E6D26"/>
    <w:rsid w:val="005E792C"/>
    <w:rsid w:val="005F2679"/>
    <w:rsid w:val="005F3EC5"/>
    <w:rsid w:val="005F6599"/>
    <w:rsid w:val="0060305C"/>
    <w:rsid w:val="006075F2"/>
    <w:rsid w:val="00607FE3"/>
    <w:rsid w:val="00612170"/>
    <w:rsid w:val="0061305C"/>
    <w:rsid w:val="00614554"/>
    <w:rsid w:val="00614FC4"/>
    <w:rsid w:val="00616B40"/>
    <w:rsid w:val="00617588"/>
    <w:rsid w:val="006177B4"/>
    <w:rsid w:val="00617B24"/>
    <w:rsid w:val="00620491"/>
    <w:rsid w:val="00622CDB"/>
    <w:rsid w:val="0062346D"/>
    <w:rsid w:val="006240B5"/>
    <w:rsid w:val="00625D71"/>
    <w:rsid w:val="00631A45"/>
    <w:rsid w:val="00631E39"/>
    <w:rsid w:val="006330E3"/>
    <w:rsid w:val="006379A1"/>
    <w:rsid w:val="00637D9A"/>
    <w:rsid w:val="00641242"/>
    <w:rsid w:val="006513EC"/>
    <w:rsid w:val="00652794"/>
    <w:rsid w:val="00653D2B"/>
    <w:rsid w:val="006542FF"/>
    <w:rsid w:val="00655B6B"/>
    <w:rsid w:val="006568AA"/>
    <w:rsid w:val="00663F20"/>
    <w:rsid w:val="00664F1B"/>
    <w:rsid w:val="0067101A"/>
    <w:rsid w:val="006715B4"/>
    <w:rsid w:val="00671A34"/>
    <w:rsid w:val="0067278B"/>
    <w:rsid w:val="00672CBE"/>
    <w:rsid w:val="00675EA5"/>
    <w:rsid w:val="006778F2"/>
    <w:rsid w:val="00677EBB"/>
    <w:rsid w:val="00680768"/>
    <w:rsid w:val="00682D05"/>
    <w:rsid w:val="00683456"/>
    <w:rsid w:val="00684FE8"/>
    <w:rsid w:val="00692105"/>
    <w:rsid w:val="00692BED"/>
    <w:rsid w:val="00695522"/>
    <w:rsid w:val="00697FCA"/>
    <w:rsid w:val="006A3DEE"/>
    <w:rsid w:val="006A77AF"/>
    <w:rsid w:val="006B0642"/>
    <w:rsid w:val="006B24A6"/>
    <w:rsid w:val="006B37E3"/>
    <w:rsid w:val="006B5A79"/>
    <w:rsid w:val="006B78B2"/>
    <w:rsid w:val="006C1494"/>
    <w:rsid w:val="006C3DF6"/>
    <w:rsid w:val="006C3E1F"/>
    <w:rsid w:val="006C4809"/>
    <w:rsid w:val="006C4A90"/>
    <w:rsid w:val="006C57AE"/>
    <w:rsid w:val="006C6400"/>
    <w:rsid w:val="006D23F8"/>
    <w:rsid w:val="006D4A4D"/>
    <w:rsid w:val="006D718D"/>
    <w:rsid w:val="006E7F46"/>
    <w:rsid w:val="006F0626"/>
    <w:rsid w:val="006F0725"/>
    <w:rsid w:val="006F4359"/>
    <w:rsid w:val="006F469B"/>
    <w:rsid w:val="00702304"/>
    <w:rsid w:val="00702D3E"/>
    <w:rsid w:val="00703ECD"/>
    <w:rsid w:val="00704A48"/>
    <w:rsid w:val="007176BF"/>
    <w:rsid w:val="00720A31"/>
    <w:rsid w:val="007215F8"/>
    <w:rsid w:val="00722405"/>
    <w:rsid w:val="007229FF"/>
    <w:rsid w:val="007235FD"/>
    <w:rsid w:val="0072449F"/>
    <w:rsid w:val="007304BB"/>
    <w:rsid w:val="00733D4C"/>
    <w:rsid w:val="00737ACC"/>
    <w:rsid w:val="0074026A"/>
    <w:rsid w:val="00743108"/>
    <w:rsid w:val="00743FFF"/>
    <w:rsid w:val="0074527D"/>
    <w:rsid w:val="00754462"/>
    <w:rsid w:val="00754CF2"/>
    <w:rsid w:val="00754FEA"/>
    <w:rsid w:val="00755F34"/>
    <w:rsid w:val="00763F12"/>
    <w:rsid w:val="0076712C"/>
    <w:rsid w:val="007703C7"/>
    <w:rsid w:val="007707AE"/>
    <w:rsid w:val="00770C63"/>
    <w:rsid w:val="0077351D"/>
    <w:rsid w:val="007743D6"/>
    <w:rsid w:val="0077469E"/>
    <w:rsid w:val="007751C8"/>
    <w:rsid w:val="00777252"/>
    <w:rsid w:val="00785A2F"/>
    <w:rsid w:val="007875EF"/>
    <w:rsid w:val="00787DEE"/>
    <w:rsid w:val="00791275"/>
    <w:rsid w:val="007913DD"/>
    <w:rsid w:val="00792549"/>
    <w:rsid w:val="00792F0C"/>
    <w:rsid w:val="00794ABA"/>
    <w:rsid w:val="00795A1E"/>
    <w:rsid w:val="007A14C8"/>
    <w:rsid w:val="007A3BEB"/>
    <w:rsid w:val="007B0E3B"/>
    <w:rsid w:val="007B1B18"/>
    <w:rsid w:val="007B445A"/>
    <w:rsid w:val="007B5027"/>
    <w:rsid w:val="007B6A73"/>
    <w:rsid w:val="007C1600"/>
    <w:rsid w:val="007C32A4"/>
    <w:rsid w:val="007C43D4"/>
    <w:rsid w:val="007C6AF3"/>
    <w:rsid w:val="007D08D8"/>
    <w:rsid w:val="007D2A39"/>
    <w:rsid w:val="007D2E29"/>
    <w:rsid w:val="007D5AEF"/>
    <w:rsid w:val="007D6474"/>
    <w:rsid w:val="007D69DE"/>
    <w:rsid w:val="007E183A"/>
    <w:rsid w:val="007E298A"/>
    <w:rsid w:val="007E42BC"/>
    <w:rsid w:val="007E5BC3"/>
    <w:rsid w:val="007F16E5"/>
    <w:rsid w:val="00805FB5"/>
    <w:rsid w:val="00814EED"/>
    <w:rsid w:val="00814FC8"/>
    <w:rsid w:val="00824E07"/>
    <w:rsid w:val="008253FB"/>
    <w:rsid w:val="00826E60"/>
    <w:rsid w:val="008270C9"/>
    <w:rsid w:val="00827156"/>
    <w:rsid w:val="00827874"/>
    <w:rsid w:val="00827BEB"/>
    <w:rsid w:val="00830D06"/>
    <w:rsid w:val="00833A38"/>
    <w:rsid w:val="00837172"/>
    <w:rsid w:val="00837C02"/>
    <w:rsid w:val="008408C4"/>
    <w:rsid w:val="00843665"/>
    <w:rsid w:val="00846005"/>
    <w:rsid w:val="0084750F"/>
    <w:rsid w:val="008479A0"/>
    <w:rsid w:val="00850254"/>
    <w:rsid w:val="00851921"/>
    <w:rsid w:val="00852384"/>
    <w:rsid w:val="0085439C"/>
    <w:rsid w:val="0086060C"/>
    <w:rsid w:val="00862384"/>
    <w:rsid w:val="008671DD"/>
    <w:rsid w:val="008702B3"/>
    <w:rsid w:val="00870AF0"/>
    <w:rsid w:val="00872A52"/>
    <w:rsid w:val="00873A9D"/>
    <w:rsid w:val="00881D59"/>
    <w:rsid w:val="00885620"/>
    <w:rsid w:val="00885C5F"/>
    <w:rsid w:val="00886999"/>
    <w:rsid w:val="00890DC5"/>
    <w:rsid w:val="00891AB8"/>
    <w:rsid w:val="0089347D"/>
    <w:rsid w:val="008A0557"/>
    <w:rsid w:val="008A2E39"/>
    <w:rsid w:val="008B18A6"/>
    <w:rsid w:val="008C05F5"/>
    <w:rsid w:val="008C0FDD"/>
    <w:rsid w:val="008C2AAD"/>
    <w:rsid w:val="008C56E1"/>
    <w:rsid w:val="008C5BDD"/>
    <w:rsid w:val="008C5D4C"/>
    <w:rsid w:val="008C7729"/>
    <w:rsid w:val="008C7F41"/>
    <w:rsid w:val="008D344A"/>
    <w:rsid w:val="008D3BEF"/>
    <w:rsid w:val="008D3CA1"/>
    <w:rsid w:val="008D3EF8"/>
    <w:rsid w:val="008D45DE"/>
    <w:rsid w:val="008D71E5"/>
    <w:rsid w:val="008E02B1"/>
    <w:rsid w:val="008E3072"/>
    <w:rsid w:val="008E7225"/>
    <w:rsid w:val="008E736A"/>
    <w:rsid w:val="008F0F17"/>
    <w:rsid w:val="008F13F7"/>
    <w:rsid w:val="008F334D"/>
    <w:rsid w:val="008F55F8"/>
    <w:rsid w:val="008F6997"/>
    <w:rsid w:val="008F78DE"/>
    <w:rsid w:val="009040E5"/>
    <w:rsid w:val="00905D23"/>
    <w:rsid w:val="00906752"/>
    <w:rsid w:val="009123A9"/>
    <w:rsid w:val="009214F6"/>
    <w:rsid w:val="0092546C"/>
    <w:rsid w:val="00931198"/>
    <w:rsid w:val="0093363A"/>
    <w:rsid w:val="009345C5"/>
    <w:rsid w:val="009367E9"/>
    <w:rsid w:val="009418C2"/>
    <w:rsid w:val="00941D05"/>
    <w:rsid w:val="00942A94"/>
    <w:rsid w:val="0094345F"/>
    <w:rsid w:val="00943C8B"/>
    <w:rsid w:val="00943EB8"/>
    <w:rsid w:val="00945C29"/>
    <w:rsid w:val="00946437"/>
    <w:rsid w:val="00946922"/>
    <w:rsid w:val="00950184"/>
    <w:rsid w:val="0095269D"/>
    <w:rsid w:val="009526DA"/>
    <w:rsid w:val="00952C12"/>
    <w:rsid w:val="00953243"/>
    <w:rsid w:val="00953ECD"/>
    <w:rsid w:val="00960490"/>
    <w:rsid w:val="00961905"/>
    <w:rsid w:val="00965EB4"/>
    <w:rsid w:val="0096628A"/>
    <w:rsid w:val="00967B76"/>
    <w:rsid w:val="00970967"/>
    <w:rsid w:val="00970BA2"/>
    <w:rsid w:val="00974DAC"/>
    <w:rsid w:val="00975753"/>
    <w:rsid w:val="009804F5"/>
    <w:rsid w:val="00980A90"/>
    <w:rsid w:val="00985B5B"/>
    <w:rsid w:val="0098629D"/>
    <w:rsid w:val="00987E04"/>
    <w:rsid w:val="00990A4A"/>
    <w:rsid w:val="00993339"/>
    <w:rsid w:val="00995382"/>
    <w:rsid w:val="00997029"/>
    <w:rsid w:val="009A46EB"/>
    <w:rsid w:val="009A553C"/>
    <w:rsid w:val="009A76F7"/>
    <w:rsid w:val="009A7ADF"/>
    <w:rsid w:val="009A7DCC"/>
    <w:rsid w:val="009B2CFA"/>
    <w:rsid w:val="009B3369"/>
    <w:rsid w:val="009B3C8A"/>
    <w:rsid w:val="009B7DDD"/>
    <w:rsid w:val="009C15CA"/>
    <w:rsid w:val="009C37E9"/>
    <w:rsid w:val="009C3A40"/>
    <w:rsid w:val="009C4905"/>
    <w:rsid w:val="009C4BCC"/>
    <w:rsid w:val="009C513D"/>
    <w:rsid w:val="009C537E"/>
    <w:rsid w:val="009D41D0"/>
    <w:rsid w:val="009D44CF"/>
    <w:rsid w:val="009D7662"/>
    <w:rsid w:val="009D7ECE"/>
    <w:rsid w:val="009E0458"/>
    <w:rsid w:val="009E2556"/>
    <w:rsid w:val="009E42CC"/>
    <w:rsid w:val="009E66FD"/>
    <w:rsid w:val="009E7596"/>
    <w:rsid w:val="009E766A"/>
    <w:rsid w:val="009F4A60"/>
    <w:rsid w:val="009F4D67"/>
    <w:rsid w:val="009F52C6"/>
    <w:rsid w:val="00A005BB"/>
    <w:rsid w:val="00A04475"/>
    <w:rsid w:val="00A04F4D"/>
    <w:rsid w:val="00A076DF"/>
    <w:rsid w:val="00A10D8E"/>
    <w:rsid w:val="00A11F5D"/>
    <w:rsid w:val="00A12F6E"/>
    <w:rsid w:val="00A1658C"/>
    <w:rsid w:val="00A16CA8"/>
    <w:rsid w:val="00A17972"/>
    <w:rsid w:val="00A21BBD"/>
    <w:rsid w:val="00A238E4"/>
    <w:rsid w:val="00A26245"/>
    <w:rsid w:val="00A267BA"/>
    <w:rsid w:val="00A268AC"/>
    <w:rsid w:val="00A27919"/>
    <w:rsid w:val="00A3097B"/>
    <w:rsid w:val="00A32A3C"/>
    <w:rsid w:val="00A33C9D"/>
    <w:rsid w:val="00A36880"/>
    <w:rsid w:val="00A416E4"/>
    <w:rsid w:val="00A41A5B"/>
    <w:rsid w:val="00A52AFA"/>
    <w:rsid w:val="00A55D8C"/>
    <w:rsid w:val="00A63B65"/>
    <w:rsid w:val="00A650A7"/>
    <w:rsid w:val="00A6634E"/>
    <w:rsid w:val="00A70A41"/>
    <w:rsid w:val="00A72586"/>
    <w:rsid w:val="00A725AD"/>
    <w:rsid w:val="00A76ABF"/>
    <w:rsid w:val="00A8042F"/>
    <w:rsid w:val="00A80571"/>
    <w:rsid w:val="00A80E12"/>
    <w:rsid w:val="00A819BF"/>
    <w:rsid w:val="00A841E3"/>
    <w:rsid w:val="00A85845"/>
    <w:rsid w:val="00A8642E"/>
    <w:rsid w:val="00A86A7E"/>
    <w:rsid w:val="00A87063"/>
    <w:rsid w:val="00A909A5"/>
    <w:rsid w:val="00A95066"/>
    <w:rsid w:val="00A9512B"/>
    <w:rsid w:val="00A96C54"/>
    <w:rsid w:val="00AA4250"/>
    <w:rsid w:val="00AA5439"/>
    <w:rsid w:val="00AA71F1"/>
    <w:rsid w:val="00AB2360"/>
    <w:rsid w:val="00AB4B94"/>
    <w:rsid w:val="00AB5E51"/>
    <w:rsid w:val="00AB63E5"/>
    <w:rsid w:val="00AC0785"/>
    <w:rsid w:val="00AC1170"/>
    <w:rsid w:val="00AC2FED"/>
    <w:rsid w:val="00AC52A2"/>
    <w:rsid w:val="00AC61EA"/>
    <w:rsid w:val="00AC638A"/>
    <w:rsid w:val="00AC7D3C"/>
    <w:rsid w:val="00AD2B10"/>
    <w:rsid w:val="00AD2D26"/>
    <w:rsid w:val="00AD68DA"/>
    <w:rsid w:val="00AD7131"/>
    <w:rsid w:val="00AE0337"/>
    <w:rsid w:val="00AE3DF7"/>
    <w:rsid w:val="00AE5094"/>
    <w:rsid w:val="00AE7CA7"/>
    <w:rsid w:val="00AF2D67"/>
    <w:rsid w:val="00AF7746"/>
    <w:rsid w:val="00B03035"/>
    <w:rsid w:val="00B051A6"/>
    <w:rsid w:val="00B05F55"/>
    <w:rsid w:val="00B10544"/>
    <w:rsid w:val="00B142BD"/>
    <w:rsid w:val="00B1577C"/>
    <w:rsid w:val="00B227B1"/>
    <w:rsid w:val="00B26C0C"/>
    <w:rsid w:val="00B32153"/>
    <w:rsid w:val="00B34C15"/>
    <w:rsid w:val="00B3753D"/>
    <w:rsid w:val="00B37B96"/>
    <w:rsid w:val="00B439DF"/>
    <w:rsid w:val="00B45468"/>
    <w:rsid w:val="00B519A1"/>
    <w:rsid w:val="00B5257D"/>
    <w:rsid w:val="00B570C7"/>
    <w:rsid w:val="00B62ED2"/>
    <w:rsid w:val="00B6366C"/>
    <w:rsid w:val="00B63F85"/>
    <w:rsid w:val="00B71C01"/>
    <w:rsid w:val="00B73E1C"/>
    <w:rsid w:val="00B742E3"/>
    <w:rsid w:val="00B75873"/>
    <w:rsid w:val="00B76A09"/>
    <w:rsid w:val="00B83DEC"/>
    <w:rsid w:val="00B91AED"/>
    <w:rsid w:val="00B93C1C"/>
    <w:rsid w:val="00B952CD"/>
    <w:rsid w:val="00B96A23"/>
    <w:rsid w:val="00BA2506"/>
    <w:rsid w:val="00BA3361"/>
    <w:rsid w:val="00BA6634"/>
    <w:rsid w:val="00BA7246"/>
    <w:rsid w:val="00BA77A4"/>
    <w:rsid w:val="00BB059D"/>
    <w:rsid w:val="00BB207D"/>
    <w:rsid w:val="00BB3854"/>
    <w:rsid w:val="00BB4DBE"/>
    <w:rsid w:val="00BB52EC"/>
    <w:rsid w:val="00BB54DD"/>
    <w:rsid w:val="00BB7A54"/>
    <w:rsid w:val="00BC11BE"/>
    <w:rsid w:val="00BC4E72"/>
    <w:rsid w:val="00BC761D"/>
    <w:rsid w:val="00BD3013"/>
    <w:rsid w:val="00BE2420"/>
    <w:rsid w:val="00BE2D4A"/>
    <w:rsid w:val="00BE3C7D"/>
    <w:rsid w:val="00BE49F8"/>
    <w:rsid w:val="00BE712B"/>
    <w:rsid w:val="00BE79D8"/>
    <w:rsid w:val="00BF36B1"/>
    <w:rsid w:val="00BF5E88"/>
    <w:rsid w:val="00BF6B77"/>
    <w:rsid w:val="00BF79CA"/>
    <w:rsid w:val="00C00BB5"/>
    <w:rsid w:val="00C01171"/>
    <w:rsid w:val="00C051A8"/>
    <w:rsid w:val="00C060D7"/>
    <w:rsid w:val="00C073A3"/>
    <w:rsid w:val="00C10774"/>
    <w:rsid w:val="00C10822"/>
    <w:rsid w:val="00C1509E"/>
    <w:rsid w:val="00C15944"/>
    <w:rsid w:val="00C173B5"/>
    <w:rsid w:val="00C20085"/>
    <w:rsid w:val="00C21110"/>
    <w:rsid w:val="00C217CE"/>
    <w:rsid w:val="00C25130"/>
    <w:rsid w:val="00C32879"/>
    <w:rsid w:val="00C33129"/>
    <w:rsid w:val="00C3781B"/>
    <w:rsid w:val="00C40BCC"/>
    <w:rsid w:val="00C4293F"/>
    <w:rsid w:val="00C44195"/>
    <w:rsid w:val="00C461BE"/>
    <w:rsid w:val="00C4765C"/>
    <w:rsid w:val="00C513B1"/>
    <w:rsid w:val="00C53BAC"/>
    <w:rsid w:val="00C54D0E"/>
    <w:rsid w:val="00C569E4"/>
    <w:rsid w:val="00C56D23"/>
    <w:rsid w:val="00C601D0"/>
    <w:rsid w:val="00C61CDC"/>
    <w:rsid w:val="00C64CC1"/>
    <w:rsid w:val="00C7379B"/>
    <w:rsid w:val="00C75A25"/>
    <w:rsid w:val="00C75ABC"/>
    <w:rsid w:val="00C809BA"/>
    <w:rsid w:val="00C84E2E"/>
    <w:rsid w:val="00C86DA2"/>
    <w:rsid w:val="00C91468"/>
    <w:rsid w:val="00C9332F"/>
    <w:rsid w:val="00C93398"/>
    <w:rsid w:val="00C9389A"/>
    <w:rsid w:val="00C94598"/>
    <w:rsid w:val="00C94AB7"/>
    <w:rsid w:val="00C95A13"/>
    <w:rsid w:val="00C96C12"/>
    <w:rsid w:val="00CA3A3C"/>
    <w:rsid w:val="00CA3B9E"/>
    <w:rsid w:val="00CB125C"/>
    <w:rsid w:val="00CB772A"/>
    <w:rsid w:val="00CC0BB7"/>
    <w:rsid w:val="00CC4182"/>
    <w:rsid w:val="00CC6004"/>
    <w:rsid w:val="00CC7C8F"/>
    <w:rsid w:val="00CE3FF0"/>
    <w:rsid w:val="00CE65C6"/>
    <w:rsid w:val="00CF0734"/>
    <w:rsid w:val="00CF240D"/>
    <w:rsid w:val="00CF3EA1"/>
    <w:rsid w:val="00CF3EE4"/>
    <w:rsid w:val="00CF4877"/>
    <w:rsid w:val="00CF5F1F"/>
    <w:rsid w:val="00CF7BA0"/>
    <w:rsid w:val="00CF7BD8"/>
    <w:rsid w:val="00D04CD6"/>
    <w:rsid w:val="00D116F8"/>
    <w:rsid w:val="00D13BF9"/>
    <w:rsid w:val="00D160CE"/>
    <w:rsid w:val="00D163F0"/>
    <w:rsid w:val="00D1656D"/>
    <w:rsid w:val="00D1685E"/>
    <w:rsid w:val="00D2166A"/>
    <w:rsid w:val="00D222B5"/>
    <w:rsid w:val="00D22712"/>
    <w:rsid w:val="00D2280D"/>
    <w:rsid w:val="00D230A9"/>
    <w:rsid w:val="00D247F0"/>
    <w:rsid w:val="00D25EF2"/>
    <w:rsid w:val="00D27078"/>
    <w:rsid w:val="00D270F4"/>
    <w:rsid w:val="00D276DA"/>
    <w:rsid w:val="00D30712"/>
    <w:rsid w:val="00D31058"/>
    <w:rsid w:val="00D3147A"/>
    <w:rsid w:val="00D32BE9"/>
    <w:rsid w:val="00D35D33"/>
    <w:rsid w:val="00D36B9B"/>
    <w:rsid w:val="00D4079B"/>
    <w:rsid w:val="00D40C95"/>
    <w:rsid w:val="00D40F36"/>
    <w:rsid w:val="00D42D88"/>
    <w:rsid w:val="00D451E0"/>
    <w:rsid w:val="00D46941"/>
    <w:rsid w:val="00D47C6E"/>
    <w:rsid w:val="00D5569F"/>
    <w:rsid w:val="00D56B2D"/>
    <w:rsid w:val="00D56D66"/>
    <w:rsid w:val="00D63A87"/>
    <w:rsid w:val="00D654A6"/>
    <w:rsid w:val="00D74672"/>
    <w:rsid w:val="00D80288"/>
    <w:rsid w:val="00D81A31"/>
    <w:rsid w:val="00D82B0F"/>
    <w:rsid w:val="00D83F25"/>
    <w:rsid w:val="00D909A2"/>
    <w:rsid w:val="00D92774"/>
    <w:rsid w:val="00D930B6"/>
    <w:rsid w:val="00D9377E"/>
    <w:rsid w:val="00D93796"/>
    <w:rsid w:val="00DA00A8"/>
    <w:rsid w:val="00DA1044"/>
    <w:rsid w:val="00DA1DFB"/>
    <w:rsid w:val="00DA26FF"/>
    <w:rsid w:val="00DA278C"/>
    <w:rsid w:val="00DA42A3"/>
    <w:rsid w:val="00DA58C6"/>
    <w:rsid w:val="00DA711C"/>
    <w:rsid w:val="00DB3D31"/>
    <w:rsid w:val="00DB423A"/>
    <w:rsid w:val="00DB45B9"/>
    <w:rsid w:val="00DB4AF1"/>
    <w:rsid w:val="00DB513A"/>
    <w:rsid w:val="00DC35E3"/>
    <w:rsid w:val="00DD1A5E"/>
    <w:rsid w:val="00DD5424"/>
    <w:rsid w:val="00DE031C"/>
    <w:rsid w:val="00DE040F"/>
    <w:rsid w:val="00DE0DA5"/>
    <w:rsid w:val="00DE17B8"/>
    <w:rsid w:val="00DE2BA6"/>
    <w:rsid w:val="00DE3C16"/>
    <w:rsid w:val="00DE504B"/>
    <w:rsid w:val="00DE57CE"/>
    <w:rsid w:val="00DE59C6"/>
    <w:rsid w:val="00DE5B96"/>
    <w:rsid w:val="00DE6EC2"/>
    <w:rsid w:val="00DE71D2"/>
    <w:rsid w:val="00DF0BF0"/>
    <w:rsid w:val="00DF2A52"/>
    <w:rsid w:val="00DF2C01"/>
    <w:rsid w:val="00DF5A91"/>
    <w:rsid w:val="00DF6B44"/>
    <w:rsid w:val="00E0167A"/>
    <w:rsid w:val="00E03874"/>
    <w:rsid w:val="00E109BD"/>
    <w:rsid w:val="00E11FAE"/>
    <w:rsid w:val="00E13FBC"/>
    <w:rsid w:val="00E14319"/>
    <w:rsid w:val="00E15D98"/>
    <w:rsid w:val="00E246FD"/>
    <w:rsid w:val="00E255DA"/>
    <w:rsid w:val="00E3008F"/>
    <w:rsid w:val="00E33952"/>
    <w:rsid w:val="00E33D0A"/>
    <w:rsid w:val="00E40261"/>
    <w:rsid w:val="00E404C5"/>
    <w:rsid w:val="00E42601"/>
    <w:rsid w:val="00E43D83"/>
    <w:rsid w:val="00E4685E"/>
    <w:rsid w:val="00E46FE5"/>
    <w:rsid w:val="00E47746"/>
    <w:rsid w:val="00E5276D"/>
    <w:rsid w:val="00E5398B"/>
    <w:rsid w:val="00E61128"/>
    <w:rsid w:val="00E6213A"/>
    <w:rsid w:val="00E63152"/>
    <w:rsid w:val="00E6475D"/>
    <w:rsid w:val="00E6489A"/>
    <w:rsid w:val="00E667B5"/>
    <w:rsid w:val="00E66821"/>
    <w:rsid w:val="00E6758B"/>
    <w:rsid w:val="00E70282"/>
    <w:rsid w:val="00E70B4C"/>
    <w:rsid w:val="00E71045"/>
    <w:rsid w:val="00E71170"/>
    <w:rsid w:val="00E7256E"/>
    <w:rsid w:val="00E7765A"/>
    <w:rsid w:val="00E80210"/>
    <w:rsid w:val="00E85029"/>
    <w:rsid w:val="00E8629E"/>
    <w:rsid w:val="00E8687C"/>
    <w:rsid w:val="00E8794F"/>
    <w:rsid w:val="00E91645"/>
    <w:rsid w:val="00E92AD1"/>
    <w:rsid w:val="00E93CD8"/>
    <w:rsid w:val="00E97E0B"/>
    <w:rsid w:val="00EA0E0B"/>
    <w:rsid w:val="00EA52E4"/>
    <w:rsid w:val="00EA5A3C"/>
    <w:rsid w:val="00EA7987"/>
    <w:rsid w:val="00EB0ECD"/>
    <w:rsid w:val="00EB6597"/>
    <w:rsid w:val="00EB6E01"/>
    <w:rsid w:val="00EC0901"/>
    <w:rsid w:val="00EC0CE5"/>
    <w:rsid w:val="00EC3C46"/>
    <w:rsid w:val="00EC5174"/>
    <w:rsid w:val="00EC76AC"/>
    <w:rsid w:val="00EC7781"/>
    <w:rsid w:val="00EC7D9F"/>
    <w:rsid w:val="00ED093B"/>
    <w:rsid w:val="00ED2686"/>
    <w:rsid w:val="00EE13D0"/>
    <w:rsid w:val="00EE1DD8"/>
    <w:rsid w:val="00EE4527"/>
    <w:rsid w:val="00EE480E"/>
    <w:rsid w:val="00EE7C41"/>
    <w:rsid w:val="00EF039F"/>
    <w:rsid w:val="00EF1B7E"/>
    <w:rsid w:val="00EF292E"/>
    <w:rsid w:val="00EF338C"/>
    <w:rsid w:val="00EF37DC"/>
    <w:rsid w:val="00EF4C8A"/>
    <w:rsid w:val="00EF5A50"/>
    <w:rsid w:val="00F018CD"/>
    <w:rsid w:val="00F035E3"/>
    <w:rsid w:val="00F040DB"/>
    <w:rsid w:val="00F050BE"/>
    <w:rsid w:val="00F07B0C"/>
    <w:rsid w:val="00F11365"/>
    <w:rsid w:val="00F13568"/>
    <w:rsid w:val="00F1415A"/>
    <w:rsid w:val="00F14664"/>
    <w:rsid w:val="00F14C74"/>
    <w:rsid w:val="00F22761"/>
    <w:rsid w:val="00F235E7"/>
    <w:rsid w:val="00F2549C"/>
    <w:rsid w:val="00F26CC1"/>
    <w:rsid w:val="00F27350"/>
    <w:rsid w:val="00F304E7"/>
    <w:rsid w:val="00F30DC3"/>
    <w:rsid w:val="00F362DE"/>
    <w:rsid w:val="00F36BB6"/>
    <w:rsid w:val="00F37777"/>
    <w:rsid w:val="00F43ECD"/>
    <w:rsid w:val="00F47772"/>
    <w:rsid w:val="00F51DA2"/>
    <w:rsid w:val="00F53802"/>
    <w:rsid w:val="00F60EA1"/>
    <w:rsid w:val="00F70956"/>
    <w:rsid w:val="00F800D2"/>
    <w:rsid w:val="00F80F89"/>
    <w:rsid w:val="00F813EB"/>
    <w:rsid w:val="00F8219D"/>
    <w:rsid w:val="00F82FF7"/>
    <w:rsid w:val="00F84F40"/>
    <w:rsid w:val="00F87151"/>
    <w:rsid w:val="00F90B19"/>
    <w:rsid w:val="00F916BF"/>
    <w:rsid w:val="00F9748F"/>
    <w:rsid w:val="00FA106D"/>
    <w:rsid w:val="00FA511C"/>
    <w:rsid w:val="00FA7D31"/>
    <w:rsid w:val="00FB25D4"/>
    <w:rsid w:val="00FB2DEE"/>
    <w:rsid w:val="00FB3FA8"/>
    <w:rsid w:val="00FB490C"/>
    <w:rsid w:val="00FB5DDD"/>
    <w:rsid w:val="00FC0E1A"/>
    <w:rsid w:val="00FC3846"/>
    <w:rsid w:val="00FC7371"/>
    <w:rsid w:val="00FD27D5"/>
    <w:rsid w:val="00FD5A90"/>
    <w:rsid w:val="00FD5C08"/>
    <w:rsid w:val="00FD5DFD"/>
    <w:rsid w:val="00FD5E9C"/>
    <w:rsid w:val="00FE15B9"/>
    <w:rsid w:val="00FE1D32"/>
    <w:rsid w:val="00FE2EC2"/>
    <w:rsid w:val="00FE48A3"/>
    <w:rsid w:val="00FF1E2A"/>
    <w:rsid w:val="00FF2574"/>
    <w:rsid w:val="00FF2A27"/>
    <w:rsid w:val="00FF3D20"/>
    <w:rsid w:val="04A16496"/>
    <w:rsid w:val="0621BF73"/>
    <w:rsid w:val="0D74C5E7"/>
    <w:rsid w:val="180D6D7E"/>
    <w:rsid w:val="1AC26B74"/>
    <w:rsid w:val="288F7AAD"/>
    <w:rsid w:val="36FD4F21"/>
    <w:rsid w:val="3A308682"/>
    <w:rsid w:val="464DF329"/>
    <w:rsid w:val="502BAA61"/>
    <w:rsid w:val="5240A0C4"/>
    <w:rsid w:val="56989C59"/>
    <w:rsid w:val="5A4BB2A9"/>
    <w:rsid w:val="5A611225"/>
    <w:rsid w:val="5A9BBD3E"/>
    <w:rsid w:val="5BC4DF05"/>
    <w:rsid w:val="5F608E38"/>
    <w:rsid w:val="635F58B9"/>
    <w:rsid w:val="67794108"/>
    <w:rsid w:val="68522278"/>
    <w:rsid w:val="68C6824A"/>
    <w:rsid w:val="700FE22C"/>
    <w:rsid w:val="7A4CEA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B2279"/>
  <w15:chartTrackingRefBased/>
  <w15:docId w15:val="{A3F63BC8-AE2F-4AA7-9CDD-62FB4134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E0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EA0E0B"/>
    <w:pPr>
      <w:spacing w:after="240"/>
      <w:outlineLvl w:val="0"/>
    </w:pPr>
    <w:rPr>
      <w:rFonts w:ascii="Arial Bold" w:hAnsi="Arial Bold"/>
      <w:b/>
      <w:kern w:val="34"/>
      <w:sz w:val="36"/>
    </w:rPr>
  </w:style>
  <w:style w:type="paragraph" w:styleId="Heading2">
    <w:name w:val="heading 2"/>
    <w:basedOn w:val="HeadingBase"/>
    <w:next w:val="Normal"/>
    <w:link w:val="Heading2Char"/>
    <w:qFormat/>
    <w:rsid w:val="00EA0E0B"/>
    <w:pPr>
      <w:spacing w:before="240" w:after="240"/>
      <w:outlineLvl w:val="1"/>
    </w:pPr>
    <w:rPr>
      <w:rFonts w:ascii="Arial Bold" w:hAnsi="Arial Bold"/>
      <w:b/>
      <w:sz w:val="26"/>
    </w:rPr>
  </w:style>
  <w:style w:type="paragraph" w:styleId="Heading3">
    <w:name w:val="heading 3"/>
    <w:basedOn w:val="HeadingBase"/>
    <w:next w:val="Normal"/>
    <w:link w:val="Heading3Char"/>
    <w:qFormat/>
    <w:rsid w:val="00EA0E0B"/>
    <w:pPr>
      <w:spacing w:before="120" w:after="120"/>
      <w:outlineLvl w:val="2"/>
    </w:pPr>
    <w:rPr>
      <w:rFonts w:ascii="Arial Bold" w:hAnsi="Arial Bold"/>
      <w:b/>
      <w:sz w:val="22"/>
    </w:rPr>
  </w:style>
  <w:style w:type="paragraph" w:styleId="Heading4">
    <w:name w:val="heading 4"/>
    <w:basedOn w:val="HeadingBase"/>
    <w:next w:val="Normal"/>
    <w:link w:val="Heading4Char"/>
    <w:qFormat/>
    <w:rsid w:val="00EA0E0B"/>
    <w:pPr>
      <w:spacing w:after="120"/>
      <w:outlineLvl w:val="3"/>
    </w:pPr>
    <w:rPr>
      <w:rFonts w:ascii="Arial Bold" w:hAnsi="Arial Bold"/>
      <w:b/>
      <w:sz w:val="20"/>
    </w:rPr>
  </w:style>
  <w:style w:type="paragraph" w:styleId="Heading5">
    <w:name w:val="heading 5"/>
    <w:basedOn w:val="HeadingBase"/>
    <w:next w:val="Normal"/>
    <w:link w:val="Heading5Char"/>
    <w:qFormat/>
    <w:rsid w:val="00EA0E0B"/>
    <w:pPr>
      <w:spacing w:after="120"/>
      <w:outlineLvl w:val="4"/>
    </w:pPr>
    <w:rPr>
      <w:bCs/>
      <w:i/>
      <w:iCs/>
      <w:sz w:val="20"/>
      <w:szCs w:val="26"/>
    </w:rPr>
  </w:style>
  <w:style w:type="paragraph" w:styleId="Heading6">
    <w:name w:val="heading 6"/>
    <w:basedOn w:val="HeadingBase"/>
    <w:next w:val="Normal"/>
    <w:link w:val="Heading6Char"/>
    <w:rsid w:val="00EA0E0B"/>
    <w:pPr>
      <w:spacing w:after="120"/>
      <w:outlineLvl w:val="5"/>
    </w:pPr>
    <w:rPr>
      <w:bCs/>
      <w:sz w:val="20"/>
      <w:szCs w:val="22"/>
    </w:rPr>
  </w:style>
  <w:style w:type="paragraph" w:styleId="Heading7">
    <w:name w:val="heading 7"/>
    <w:basedOn w:val="HeadingBase"/>
    <w:next w:val="Normal"/>
    <w:link w:val="Heading7Char"/>
    <w:rsid w:val="00EA0E0B"/>
    <w:pPr>
      <w:spacing w:before="120"/>
      <w:outlineLvl w:val="6"/>
    </w:pPr>
    <w:rPr>
      <w:sz w:val="20"/>
      <w:szCs w:val="24"/>
    </w:rPr>
  </w:style>
  <w:style w:type="paragraph" w:styleId="Heading8">
    <w:name w:val="heading 8"/>
    <w:basedOn w:val="HeadingBase"/>
    <w:next w:val="Normal"/>
    <w:link w:val="Heading8Char"/>
    <w:rsid w:val="00EA0E0B"/>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EA0E0B"/>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EA0E0B"/>
    <w:pPr>
      <w:tabs>
        <w:tab w:val="center" w:pos="4153"/>
        <w:tab w:val="right" w:pos="8306"/>
      </w:tabs>
    </w:pPr>
  </w:style>
  <w:style w:type="character" w:customStyle="1" w:styleId="HeaderChar">
    <w:name w:val="Header Char"/>
    <w:basedOn w:val="DefaultParagraphFont"/>
    <w:link w:val="Header"/>
    <w:rsid w:val="00EA0E0B"/>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EA0E0B"/>
    <w:pPr>
      <w:tabs>
        <w:tab w:val="center" w:pos="4153"/>
        <w:tab w:val="right" w:pos="8306"/>
      </w:tabs>
    </w:pPr>
  </w:style>
  <w:style w:type="character" w:customStyle="1" w:styleId="FooterChar">
    <w:name w:val="Footer Char"/>
    <w:basedOn w:val="DefaultParagraphFont"/>
    <w:link w:val="Footer"/>
    <w:rsid w:val="00EA0E0B"/>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EA0E0B"/>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EA0E0B"/>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EA0E0B"/>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EA0E0B"/>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EA0E0B"/>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EA0E0B"/>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EA0E0B"/>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EA0E0B"/>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EA0E0B"/>
    <w:pPr>
      <w:jc w:val="center"/>
    </w:pPr>
    <w:rPr>
      <w:rFonts w:ascii="Arial Bold" w:hAnsi="Arial Bold"/>
      <w:b/>
      <w:caps/>
      <w:sz w:val="22"/>
    </w:rPr>
  </w:style>
  <w:style w:type="paragraph" w:customStyle="1" w:styleId="FileProperties">
    <w:name w:val="File Properties"/>
    <w:basedOn w:val="Normal"/>
    <w:rsid w:val="00EA0E0B"/>
    <w:pPr>
      <w:spacing w:before="0"/>
    </w:pPr>
    <w:rPr>
      <w:i/>
    </w:rPr>
  </w:style>
  <w:style w:type="paragraph" w:customStyle="1" w:styleId="AlphaParagraph">
    <w:name w:val="Alpha Paragraph"/>
    <w:basedOn w:val="Normal"/>
    <w:rsid w:val="00EA0E0B"/>
    <w:pPr>
      <w:numPr>
        <w:numId w:val="1"/>
      </w:numPr>
      <w:tabs>
        <w:tab w:val="clear" w:pos="567"/>
        <w:tab w:val="num" w:pos="360"/>
      </w:tabs>
      <w:ind w:left="0" w:firstLine="0"/>
    </w:pPr>
  </w:style>
  <w:style w:type="paragraph" w:customStyle="1" w:styleId="HeadingBase">
    <w:name w:val="Heading Base"/>
    <w:rsid w:val="00EA0E0B"/>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EA0E0B"/>
    <w:rPr>
      <w:bCs/>
      <w:color w:val="002A54" w:themeColor="text2"/>
      <w:szCs w:val="52"/>
    </w:rPr>
  </w:style>
  <w:style w:type="paragraph" w:customStyle="1" w:styleId="BoxText">
    <w:name w:val="Box Text"/>
    <w:basedOn w:val="Normal"/>
    <w:link w:val="BoxTextChar"/>
    <w:qFormat/>
    <w:rsid w:val="00EA0E0B"/>
    <w:pPr>
      <w:spacing w:before="120" w:after="120" w:line="240" w:lineRule="auto"/>
    </w:pPr>
  </w:style>
  <w:style w:type="paragraph" w:customStyle="1" w:styleId="BoxBullet">
    <w:name w:val="Box Bullet"/>
    <w:basedOn w:val="BoxText"/>
    <w:rsid w:val="00EA0E0B"/>
    <w:pPr>
      <w:numPr>
        <w:numId w:val="2"/>
      </w:numPr>
    </w:pPr>
  </w:style>
  <w:style w:type="paragraph" w:customStyle="1" w:styleId="BoxHeading">
    <w:name w:val="Box Heading"/>
    <w:basedOn w:val="HeadingBase"/>
    <w:next w:val="BoxText"/>
    <w:rsid w:val="00EA0E0B"/>
    <w:pPr>
      <w:spacing w:before="120" w:after="120"/>
    </w:pPr>
    <w:rPr>
      <w:b/>
      <w:sz w:val="20"/>
    </w:rPr>
  </w:style>
  <w:style w:type="character" w:customStyle="1" w:styleId="Heading6Char">
    <w:name w:val="Heading 6 Char"/>
    <w:basedOn w:val="DefaultParagraphFont"/>
    <w:link w:val="Heading6"/>
    <w:rsid w:val="00EA0E0B"/>
    <w:rPr>
      <w:rFonts w:ascii="Arial" w:eastAsia="Times New Roman" w:hAnsi="Arial" w:cs="Times New Roman"/>
      <w:bCs/>
      <w:sz w:val="20"/>
      <w:lang w:eastAsia="en-AU"/>
    </w:rPr>
  </w:style>
  <w:style w:type="paragraph" w:customStyle="1" w:styleId="Bullet">
    <w:name w:val="Bullet"/>
    <w:basedOn w:val="Normal"/>
    <w:qFormat/>
    <w:rsid w:val="00EA0E0B"/>
    <w:pPr>
      <w:numPr>
        <w:numId w:val="3"/>
      </w:numPr>
      <w:spacing w:after="160"/>
      <w:ind w:left="284" w:hanging="284"/>
    </w:pPr>
  </w:style>
  <w:style w:type="paragraph" w:styleId="Caption">
    <w:name w:val="caption"/>
    <w:basedOn w:val="Normal"/>
    <w:next w:val="Normal"/>
    <w:rsid w:val="00EA0E0B"/>
    <w:rPr>
      <w:b/>
      <w:bCs/>
    </w:rPr>
  </w:style>
  <w:style w:type="paragraph" w:customStyle="1" w:styleId="ChartandTableFootnote">
    <w:name w:val="Chart and Table Footnote"/>
    <w:basedOn w:val="HeadingBase"/>
    <w:next w:val="Normal"/>
    <w:rsid w:val="00EA0E0B"/>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EA0E0B"/>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EA0E0B"/>
    <w:pPr>
      <w:keepNext w:val="0"/>
      <w:tabs>
        <w:tab w:val="left" w:pos="284"/>
      </w:tabs>
      <w:jc w:val="both"/>
    </w:pPr>
    <w:rPr>
      <w:color w:val="000000"/>
      <w:sz w:val="15"/>
    </w:rPr>
  </w:style>
  <w:style w:type="paragraph" w:customStyle="1" w:styleId="ChartGraphic">
    <w:name w:val="Chart Graphic"/>
    <w:basedOn w:val="HeadingBase"/>
    <w:rsid w:val="00EA0E0B"/>
    <w:rPr>
      <w:sz w:val="20"/>
    </w:rPr>
  </w:style>
  <w:style w:type="paragraph" w:customStyle="1" w:styleId="TableLine">
    <w:name w:val="Table Line"/>
    <w:basedOn w:val="Normal"/>
    <w:next w:val="Normal"/>
    <w:autoRedefine/>
    <w:rsid w:val="00EA0E0B"/>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A0E0B"/>
    <w:pPr>
      <w:spacing w:after="60"/>
    </w:pPr>
    <w:rPr>
      <w:sz w:val="19"/>
    </w:rPr>
  </w:style>
  <w:style w:type="character" w:styleId="CommentReference">
    <w:name w:val="annotation reference"/>
    <w:basedOn w:val="DefaultParagraphFont"/>
    <w:uiPriority w:val="99"/>
    <w:semiHidden/>
    <w:rsid w:val="00EA0E0B"/>
    <w:rPr>
      <w:sz w:val="16"/>
      <w:szCs w:val="16"/>
    </w:rPr>
  </w:style>
  <w:style w:type="paragraph" w:styleId="CommentText">
    <w:name w:val="annotation text"/>
    <w:basedOn w:val="Normal"/>
    <w:link w:val="CommentTextChar"/>
    <w:uiPriority w:val="99"/>
    <w:rsid w:val="00EA0E0B"/>
  </w:style>
  <w:style w:type="character" w:customStyle="1" w:styleId="CommentTextChar">
    <w:name w:val="Comment Text Char"/>
    <w:basedOn w:val="DefaultParagraphFont"/>
    <w:link w:val="CommentText"/>
    <w:uiPriority w:val="99"/>
    <w:rsid w:val="00EA0E0B"/>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EA0E0B"/>
    <w:rPr>
      <w:b/>
      <w:bCs/>
    </w:rPr>
  </w:style>
  <w:style w:type="character" w:customStyle="1" w:styleId="CommentSubjectChar">
    <w:name w:val="Comment Subject Char"/>
    <w:basedOn w:val="CommentTextChar"/>
    <w:link w:val="CommentSubject"/>
    <w:semiHidden/>
    <w:rsid w:val="00EA0E0B"/>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EA0E0B"/>
    <w:pPr>
      <w:spacing w:after="720"/>
      <w:outlineLvl w:val="9"/>
    </w:pPr>
  </w:style>
  <w:style w:type="character" w:styleId="Strong">
    <w:name w:val="Strong"/>
    <w:basedOn w:val="DefaultParagraphFont"/>
    <w:uiPriority w:val="22"/>
    <w:qFormat/>
    <w:rsid w:val="00EA0E0B"/>
    <w:rPr>
      <w:b/>
      <w:bCs/>
      <w:color w:val="002A54" w:themeColor="text2"/>
    </w:rPr>
  </w:style>
  <w:style w:type="paragraph" w:customStyle="1" w:styleId="Dash">
    <w:name w:val="Dash"/>
    <w:basedOn w:val="Normal"/>
    <w:qFormat/>
    <w:rsid w:val="00EA0E0B"/>
    <w:pPr>
      <w:numPr>
        <w:ilvl w:val="1"/>
        <w:numId w:val="3"/>
      </w:numPr>
      <w:tabs>
        <w:tab w:val="left" w:pos="567"/>
      </w:tabs>
    </w:pPr>
  </w:style>
  <w:style w:type="paragraph" w:styleId="DocumentMap">
    <w:name w:val="Document Map"/>
    <w:basedOn w:val="Normal"/>
    <w:link w:val="DocumentMapChar"/>
    <w:semiHidden/>
    <w:rsid w:val="00EA0E0B"/>
    <w:pPr>
      <w:shd w:val="clear" w:color="auto" w:fill="000080"/>
    </w:pPr>
    <w:rPr>
      <w:rFonts w:ascii="Tahoma" w:hAnsi="Tahoma" w:cs="Tahoma"/>
    </w:rPr>
  </w:style>
  <w:style w:type="character" w:customStyle="1" w:styleId="DocumentMapChar">
    <w:name w:val="Document Map Char"/>
    <w:basedOn w:val="DefaultParagraphFont"/>
    <w:link w:val="DocumentMap"/>
    <w:semiHidden/>
    <w:rsid w:val="00EA0E0B"/>
    <w:rPr>
      <w:rFonts w:ascii="Tahoma" w:eastAsia="Times New Roman" w:hAnsi="Tahoma" w:cs="Tahoma"/>
      <w:sz w:val="19"/>
      <w:szCs w:val="20"/>
      <w:shd w:val="clear" w:color="auto" w:fill="000080"/>
      <w:lang w:eastAsia="en-AU"/>
    </w:rPr>
  </w:style>
  <w:style w:type="paragraph" w:customStyle="1" w:styleId="DoubleDot">
    <w:name w:val="Double Dot"/>
    <w:basedOn w:val="Normal"/>
    <w:rsid w:val="00EA0E0B"/>
    <w:pPr>
      <w:numPr>
        <w:ilvl w:val="2"/>
        <w:numId w:val="3"/>
      </w:numPr>
      <w:tabs>
        <w:tab w:val="clear" w:pos="850"/>
        <w:tab w:val="num" w:pos="360"/>
        <w:tab w:val="left" w:pos="851"/>
      </w:tabs>
    </w:pPr>
  </w:style>
  <w:style w:type="paragraph" w:customStyle="1" w:styleId="FigureHeading">
    <w:name w:val="Figure Heading"/>
    <w:basedOn w:val="HeadingBase"/>
    <w:next w:val="ChartGraphic"/>
    <w:rsid w:val="00EA0E0B"/>
    <w:pPr>
      <w:spacing w:before="120" w:after="20"/>
    </w:pPr>
    <w:rPr>
      <w:b/>
      <w:sz w:val="20"/>
    </w:rPr>
  </w:style>
  <w:style w:type="paragraph" w:customStyle="1" w:styleId="FooterBase">
    <w:name w:val="Footer Base"/>
    <w:rsid w:val="00EA0E0B"/>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EA0E0B"/>
    <w:pPr>
      <w:pBdr>
        <w:top w:val="single" w:sz="4" w:space="10" w:color="002A54" w:themeColor="text2"/>
      </w:pBdr>
      <w:jc w:val="left"/>
    </w:pPr>
    <w:rPr>
      <w:sz w:val="18"/>
    </w:rPr>
  </w:style>
  <w:style w:type="paragraph" w:customStyle="1" w:styleId="FooterOdd">
    <w:name w:val="Footer Odd"/>
    <w:basedOn w:val="Footer"/>
    <w:qFormat/>
    <w:rsid w:val="00EA0E0B"/>
    <w:pPr>
      <w:pBdr>
        <w:top w:val="single" w:sz="4" w:space="10" w:color="002A54" w:themeColor="text2"/>
      </w:pBdr>
      <w:jc w:val="right"/>
    </w:pPr>
    <w:rPr>
      <w:sz w:val="18"/>
    </w:rPr>
  </w:style>
  <w:style w:type="character" w:styleId="FootnoteReference">
    <w:name w:val="footnote reference"/>
    <w:basedOn w:val="DefaultParagraphFont"/>
    <w:rsid w:val="00EA0E0B"/>
    <w:rPr>
      <w:vertAlign w:val="superscript"/>
    </w:rPr>
  </w:style>
  <w:style w:type="paragraph" w:styleId="FootnoteText">
    <w:name w:val="footnote text"/>
    <w:basedOn w:val="Normal"/>
    <w:link w:val="FootnoteTextChar"/>
    <w:rsid w:val="00EA0E0B"/>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EA0E0B"/>
    <w:rPr>
      <w:rFonts w:ascii="Book Antiqua" w:eastAsia="Times New Roman" w:hAnsi="Book Antiqua" w:cs="Times New Roman"/>
      <w:sz w:val="18"/>
      <w:szCs w:val="20"/>
      <w:lang w:eastAsia="en-AU"/>
    </w:rPr>
  </w:style>
  <w:style w:type="character" w:customStyle="1" w:styleId="FramedHeader">
    <w:name w:val="Framed Header"/>
    <w:basedOn w:val="DefaultParagraphFont"/>
    <w:rsid w:val="00EA0E0B"/>
    <w:rPr>
      <w:rFonts w:ascii="Book Antiqua" w:hAnsi="Book Antiqua"/>
      <w:i/>
      <w:dstrike w:val="0"/>
      <w:color w:val="auto"/>
      <w:sz w:val="20"/>
      <w:vertAlign w:val="baseline"/>
    </w:rPr>
  </w:style>
  <w:style w:type="paragraph" w:customStyle="1" w:styleId="HeaderBase">
    <w:name w:val="Header Base"/>
    <w:rsid w:val="00EA0E0B"/>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EA0E0B"/>
  </w:style>
  <w:style w:type="paragraph" w:customStyle="1" w:styleId="HeaderOdd">
    <w:name w:val="Header Odd"/>
    <w:basedOn w:val="HeaderBase"/>
    <w:rsid w:val="00EA0E0B"/>
    <w:pPr>
      <w:jc w:val="right"/>
    </w:pPr>
  </w:style>
  <w:style w:type="character" w:customStyle="1" w:styleId="Heading1Char">
    <w:name w:val="Heading 1 Char"/>
    <w:basedOn w:val="DefaultParagraphFont"/>
    <w:link w:val="Heading1"/>
    <w:rsid w:val="00EA0E0B"/>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EA0E0B"/>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EA0E0B"/>
    <w:rPr>
      <w:rFonts w:ascii="Arial Bold" w:eastAsia="Times New Roman" w:hAnsi="Arial Bold" w:cs="Times New Roman"/>
      <w:b/>
      <w:szCs w:val="20"/>
      <w:lang w:eastAsia="en-AU"/>
    </w:rPr>
  </w:style>
  <w:style w:type="paragraph" w:customStyle="1" w:styleId="Heading3noTOC">
    <w:name w:val="Heading 3 no TOC"/>
    <w:basedOn w:val="Heading3"/>
    <w:rsid w:val="00EA0E0B"/>
    <w:pPr>
      <w:outlineLvl w:val="9"/>
    </w:pPr>
  </w:style>
  <w:style w:type="character" w:customStyle="1" w:styleId="Heading4Char">
    <w:name w:val="Heading 4 Char"/>
    <w:basedOn w:val="DefaultParagraphFont"/>
    <w:link w:val="Heading4"/>
    <w:rsid w:val="00EA0E0B"/>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EA0E0B"/>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EA0E0B"/>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EA0E0B"/>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EA0E0B"/>
    <w:rPr>
      <w:rFonts w:ascii="Times New Roman" w:hAnsi="Times New Roman"/>
      <w:vanish/>
      <w:sz w:val="16"/>
    </w:rPr>
  </w:style>
  <w:style w:type="character" w:styleId="Hyperlink">
    <w:name w:val="Hyperlink"/>
    <w:basedOn w:val="DefaultParagraphFont"/>
    <w:uiPriority w:val="99"/>
    <w:unhideWhenUsed/>
    <w:rsid w:val="00EA0E0B"/>
    <w:rPr>
      <w:color w:val="auto"/>
      <w:u w:val="single"/>
    </w:rPr>
  </w:style>
  <w:style w:type="paragraph" w:styleId="Index4">
    <w:name w:val="index 4"/>
    <w:basedOn w:val="Normal"/>
    <w:next w:val="Normal"/>
    <w:autoRedefine/>
    <w:semiHidden/>
    <w:rsid w:val="00EA0E0B"/>
    <w:pPr>
      <w:ind w:left="800" w:hanging="200"/>
    </w:pPr>
  </w:style>
  <w:style w:type="paragraph" w:styleId="Index5">
    <w:name w:val="index 5"/>
    <w:basedOn w:val="Normal"/>
    <w:next w:val="Normal"/>
    <w:autoRedefine/>
    <w:semiHidden/>
    <w:rsid w:val="00EA0E0B"/>
    <w:pPr>
      <w:ind w:left="1000" w:hanging="200"/>
    </w:pPr>
  </w:style>
  <w:style w:type="paragraph" w:styleId="Index6">
    <w:name w:val="index 6"/>
    <w:basedOn w:val="Normal"/>
    <w:next w:val="Normal"/>
    <w:autoRedefine/>
    <w:semiHidden/>
    <w:rsid w:val="00EA0E0B"/>
    <w:pPr>
      <w:ind w:left="1200" w:hanging="200"/>
    </w:pPr>
  </w:style>
  <w:style w:type="paragraph" w:styleId="Index7">
    <w:name w:val="index 7"/>
    <w:basedOn w:val="Normal"/>
    <w:next w:val="Normal"/>
    <w:autoRedefine/>
    <w:semiHidden/>
    <w:rsid w:val="00EA0E0B"/>
    <w:pPr>
      <w:ind w:left="1400" w:hanging="200"/>
    </w:pPr>
  </w:style>
  <w:style w:type="paragraph" w:styleId="Index8">
    <w:name w:val="index 8"/>
    <w:basedOn w:val="Normal"/>
    <w:next w:val="Normal"/>
    <w:autoRedefine/>
    <w:semiHidden/>
    <w:rsid w:val="00EA0E0B"/>
    <w:pPr>
      <w:ind w:left="1600" w:hanging="200"/>
    </w:pPr>
  </w:style>
  <w:style w:type="paragraph" w:styleId="Index9">
    <w:name w:val="index 9"/>
    <w:basedOn w:val="Normal"/>
    <w:next w:val="Normal"/>
    <w:autoRedefine/>
    <w:semiHidden/>
    <w:rsid w:val="00EA0E0B"/>
    <w:pPr>
      <w:ind w:left="1800" w:hanging="200"/>
    </w:pPr>
  </w:style>
  <w:style w:type="paragraph" w:styleId="MacroText">
    <w:name w:val="macro"/>
    <w:link w:val="MacroTextChar"/>
    <w:unhideWhenUsed/>
    <w:rsid w:val="00EA0E0B"/>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EA0E0B"/>
    <w:rPr>
      <w:rFonts w:ascii="Courier New" w:eastAsia="Times New Roman" w:hAnsi="Courier New" w:cs="Courier New"/>
      <w:sz w:val="20"/>
      <w:szCs w:val="20"/>
      <w:lang w:eastAsia="en-AU"/>
    </w:rPr>
  </w:style>
  <w:style w:type="paragraph" w:styleId="NormalIndent">
    <w:name w:val="Normal Indent"/>
    <w:basedOn w:val="Normal"/>
    <w:rsid w:val="00EA0E0B"/>
    <w:pPr>
      <w:ind w:left="567"/>
    </w:pPr>
  </w:style>
  <w:style w:type="paragraph" w:customStyle="1" w:styleId="NoteTableHeading">
    <w:name w:val="Note Table Heading"/>
    <w:basedOn w:val="HeadingBase"/>
    <w:next w:val="Normal"/>
    <w:rsid w:val="00EA0E0B"/>
    <w:pPr>
      <w:spacing w:before="240"/>
    </w:pPr>
    <w:rPr>
      <w:b/>
      <w:sz w:val="20"/>
    </w:rPr>
  </w:style>
  <w:style w:type="paragraph" w:customStyle="1" w:styleId="OverviewParagraph">
    <w:name w:val="Overview Paragraph"/>
    <w:basedOn w:val="Normal"/>
    <w:rsid w:val="00EA0E0B"/>
    <w:pPr>
      <w:spacing w:before="120" w:after="120" w:line="240" w:lineRule="auto"/>
    </w:pPr>
  </w:style>
  <w:style w:type="character" w:styleId="PageNumber">
    <w:name w:val="page number"/>
    <w:basedOn w:val="DefaultParagraphFont"/>
    <w:rsid w:val="00EA0E0B"/>
    <w:rPr>
      <w:rFonts w:ascii="Arial" w:hAnsi="Arial" w:cs="Arial"/>
    </w:rPr>
  </w:style>
  <w:style w:type="paragraph" w:customStyle="1" w:styleId="SingleParagraph">
    <w:name w:val="Single Paragraph"/>
    <w:basedOn w:val="Normal"/>
    <w:rsid w:val="00EA0E0B"/>
    <w:pPr>
      <w:spacing w:before="0" w:after="0"/>
    </w:pPr>
  </w:style>
  <w:style w:type="paragraph" w:customStyle="1" w:styleId="Source">
    <w:name w:val="Source"/>
    <w:basedOn w:val="Normal"/>
    <w:rsid w:val="00EA0E0B"/>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EA0E0B"/>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EA0E0B"/>
    <w:pPr>
      <w:jc w:val="center"/>
    </w:pPr>
  </w:style>
  <w:style w:type="paragraph" w:customStyle="1" w:styleId="TableColumnHeadingLeft">
    <w:name w:val="Table Column Heading Left"/>
    <w:basedOn w:val="TableColumnHeadingBase"/>
    <w:next w:val="Normal"/>
    <w:rsid w:val="00EA0E0B"/>
  </w:style>
  <w:style w:type="paragraph" w:customStyle="1" w:styleId="TableColumnHeadingRight">
    <w:name w:val="Table Column Heading Right"/>
    <w:basedOn w:val="TableColumnHeadingBase"/>
    <w:next w:val="Normal"/>
    <w:rsid w:val="00EA0E0B"/>
    <w:pPr>
      <w:jc w:val="right"/>
    </w:pPr>
  </w:style>
  <w:style w:type="paragraph" w:customStyle="1" w:styleId="TableGraphic">
    <w:name w:val="Table Graphic"/>
    <w:basedOn w:val="Normal"/>
    <w:next w:val="Normal"/>
    <w:rsid w:val="00EA0E0B"/>
    <w:pPr>
      <w:spacing w:after="0" w:line="240" w:lineRule="auto"/>
      <w:ind w:right="-113"/>
    </w:pPr>
  </w:style>
  <w:style w:type="table" w:styleId="TableGrid">
    <w:name w:val="Table Grid"/>
    <w:basedOn w:val="TableNormal"/>
    <w:rsid w:val="00EA0E0B"/>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EA0E0B"/>
    <w:pPr>
      <w:spacing w:before="120" w:after="20"/>
    </w:pPr>
    <w:rPr>
      <w:b/>
      <w:sz w:val="20"/>
    </w:rPr>
  </w:style>
  <w:style w:type="paragraph" w:customStyle="1" w:styleId="TableHeadingcontinued">
    <w:name w:val="Table Heading continued"/>
    <w:basedOn w:val="HeadingBase"/>
    <w:next w:val="TableGraphic"/>
    <w:rsid w:val="00EA0E0B"/>
    <w:pPr>
      <w:spacing w:before="120" w:after="20"/>
    </w:pPr>
    <w:rPr>
      <w:rFonts w:ascii="Arial Bold" w:hAnsi="Arial Bold"/>
      <w:b/>
      <w:sz w:val="20"/>
    </w:rPr>
  </w:style>
  <w:style w:type="paragraph" w:styleId="TableofFigures">
    <w:name w:val="table of figures"/>
    <w:basedOn w:val="Normal"/>
    <w:next w:val="Normal"/>
    <w:rsid w:val="00EA0E0B"/>
  </w:style>
  <w:style w:type="paragraph" w:customStyle="1" w:styleId="TableTextBase">
    <w:name w:val="Table Text Base"/>
    <w:basedOn w:val="Normal"/>
    <w:rsid w:val="00EA0E0B"/>
    <w:pPr>
      <w:spacing w:before="20" w:after="20" w:line="240" w:lineRule="auto"/>
    </w:pPr>
    <w:rPr>
      <w:rFonts w:ascii="Arial" w:hAnsi="Arial"/>
      <w:sz w:val="16"/>
    </w:rPr>
  </w:style>
  <w:style w:type="paragraph" w:customStyle="1" w:styleId="TableTextCentred">
    <w:name w:val="Table Text Centred"/>
    <w:basedOn w:val="TableTextBase"/>
    <w:rsid w:val="00EA0E0B"/>
    <w:pPr>
      <w:jc w:val="center"/>
    </w:pPr>
  </w:style>
  <w:style w:type="paragraph" w:customStyle="1" w:styleId="TableTextIndented">
    <w:name w:val="Table Text Indented"/>
    <w:basedOn w:val="TableTextBase"/>
    <w:rsid w:val="00EA0E0B"/>
    <w:pPr>
      <w:ind w:left="284"/>
    </w:pPr>
  </w:style>
  <w:style w:type="paragraph" w:customStyle="1" w:styleId="TableTextLeft">
    <w:name w:val="Table Text Left"/>
    <w:basedOn w:val="TableTextBase"/>
    <w:rsid w:val="00EA0E0B"/>
  </w:style>
  <w:style w:type="paragraph" w:customStyle="1" w:styleId="TableTextRight">
    <w:name w:val="Table Text Right"/>
    <w:basedOn w:val="TableTextBase"/>
    <w:rsid w:val="00EA0E0B"/>
    <w:pPr>
      <w:jc w:val="right"/>
    </w:pPr>
  </w:style>
  <w:style w:type="paragraph" w:styleId="TOAHeading">
    <w:name w:val="toa heading"/>
    <w:basedOn w:val="Normal"/>
    <w:next w:val="Normal"/>
    <w:rsid w:val="00EA0E0B"/>
    <w:pPr>
      <w:spacing w:before="120"/>
    </w:pPr>
    <w:rPr>
      <w:rFonts w:ascii="Arial" w:hAnsi="Arial" w:cs="Arial"/>
      <w:b/>
      <w:bCs/>
      <w:sz w:val="24"/>
      <w:szCs w:val="24"/>
    </w:rPr>
  </w:style>
  <w:style w:type="paragraph" w:styleId="TOC1">
    <w:name w:val="toc 1"/>
    <w:basedOn w:val="HeaderBase"/>
    <w:next w:val="Normal"/>
    <w:uiPriority w:val="2"/>
    <w:rsid w:val="00EA0E0B"/>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EA0E0B"/>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EA0E0B"/>
    <w:pPr>
      <w:tabs>
        <w:tab w:val="right" w:leader="dot" w:pos="7700"/>
      </w:tabs>
      <w:spacing w:before="40"/>
      <w:ind w:right="851"/>
    </w:pPr>
    <w:rPr>
      <w:sz w:val="20"/>
    </w:rPr>
  </w:style>
  <w:style w:type="paragraph" w:styleId="TOC4">
    <w:name w:val="toc 4"/>
    <w:basedOn w:val="HeadingBase"/>
    <w:next w:val="Normal"/>
    <w:uiPriority w:val="2"/>
    <w:unhideWhenUsed/>
    <w:rsid w:val="00EA0E0B"/>
    <w:pPr>
      <w:tabs>
        <w:tab w:val="right" w:leader="dot" w:pos="7700"/>
      </w:tabs>
      <w:spacing w:before="40"/>
      <w:ind w:right="851"/>
    </w:pPr>
    <w:rPr>
      <w:sz w:val="20"/>
    </w:rPr>
  </w:style>
  <w:style w:type="paragraph" w:styleId="TOC5">
    <w:name w:val="toc 5"/>
    <w:basedOn w:val="Normal"/>
    <w:next w:val="Normal"/>
    <w:autoRedefine/>
    <w:uiPriority w:val="2"/>
    <w:semiHidden/>
    <w:rsid w:val="00EA0E0B"/>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EA0E0B"/>
    <w:pPr>
      <w:tabs>
        <w:tab w:val="left" w:pos="851"/>
      </w:tabs>
      <w:ind w:left="851" w:hanging="851"/>
    </w:pPr>
    <w:rPr>
      <w:color w:val="000000"/>
    </w:rPr>
  </w:style>
  <w:style w:type="paragraph" w:styleId="TOC7">
    <w:name w:val="toc 7"/>
    <w:basedOn w:val="Normal"/>
    <w:next w:val="Normal"/>
    <w:autoRedefine/>
    <w:uiPriority w:val="2"/>
    <w:semiHidden/>
    <w:rsid w:val="00EA0E0B"/>
    <w:pPr>
      <w:ind w:left="1200"/>
    </w:pPr>
  </w:style>
  <w:style w:type="paragraph" w:styleId="TOC8">
    <w:name w:val="toc 8"/>
    <w:basedOn w:val="Normal"/>
    <w:next w:val="Normal"/>
    <w:autoRedefine/>
    <w:uiPriority w:val="2"/>
    <w:semiHidden/>
    <w:rsid w:val="00EA0E0B"/>
    <w:pPr>
      <w:ind w:left="1400"/>
    </w:pPr>
  </w:style>
  <w:style w:type="paragraph" w:styleId="TOC9">
    <w:name w:val="toc 9"/>
    <w:basedOn w:val="Normal"/>
    <w:next w:val="Normal"/>
    <w:autoRedefine/>
    <w:uiPriority w:val="2"/>
    <w:semiHidden/>
    <w:rsid w:val="00EA0E0B"/>
    <w:pPr>
      <w:ind w:left="1600"/>
    </w:pPr>
  </w:style>
  <w:style w:type="paragraph" w:customStyle="1" w:styleId="TPHeading1">
    <w:name w:val="TP Heading 1"/>
    <w:basedOn w:val="HeadingBase"/>
    <w:semiHidden/>
    <w:rsid w:val="00EA0E0B"/>
    <w:pPr>
      <w:spacing w:before="60" w:after="60"/>
      <w:ind w:left="1134"/>
    </w:pPr>
    <w:rPr>
      <w:rFonts w:ascii="Arial Bold" w:hAnsi="Arial Bold"/>
      <w:b/>
      <w:caps/>
      <w:spacing w:val="-10"/>
      <w:sz w:val="28"/>
    </w:rPr>
  </w:style>
  <w:style w:type="paragraph" w:customStyle="1" w:styleId="TPHeading2">
    <w:name w:val="TP Heading 2"/>
    <w:basedOn w:val="HeadingBase"/>
    <w:semiHidden/>
    <w:rsid w:val="00EA0E0B"/>
    <w:pPr>
      <w:ind w:left="1134"/>
    </w:pPr>
    <w:rPr>
      <w:caps/>
      <w:spacing w:val="-10"/>
      <w:sz w:val="28"/>
    </w:rPr>
  </w:style>
  <w:style w:type="paragraph" w:customStyle="1" w:styleId="TPHeading3">
    <w:name w:val="TP Heading 3"/>
    <w:basedOn w:val="HeadingBase"/>
    <w:semiHidden/>
    <w:rsid w:val="00EA0E0B"/>
    <w:pPr>
      <w:ind w:left="1134"/>
    </w:pPr>
    <w:rPr>
      <w:caps/>
      <w:spacing w:val="-10"/>
    </w:rPr>
  </w:style>
  <w:style w:type="paragraph" w:customStyle="1" w:styleId="TPHeading3bold">
    <w:name w:val="TP Heading 3 bold"/>
    <w:basedOn w:val="TPHeading3"/>
    <w:semiHidden/>
    <w:rsid w:val="00EA0E0B"/>
    <w:rPr>
      <w:rFonts w:cs="Arial"/>
      <w:b/>
      <w:sz w:val="22"/>
      <w:szCs w:val="22"/>
    </w:rPr>
  </w:style>
  <w:style w:type="paragraph" w:customStyle="1" w:styleId="TPHEADING3boldspace">
    <w:name w:val="TP HEADING 3 bold space"/>
    <w:basedOn w:val="TPHeading3bold"/>
    <w:semiHidden/>
    <w:rsid w:val="00EA0E0B"/>
    <w:pPr>
      <w:spacing w:after="120"/>
    </w:pPr>
  </w:style>
  <w:style w:type="paragraph" w:customStyle="1" w:styleId="TPHEADING3space">
    <w:name w:val="TP HEADING 3 space"/>
    <w:basedOn w:val="TPHeading3"/>
    <w:semiHidden/>
    <w:rsid w:val="00EA0E0B"/>
    <w:pPr>
      <w:spacing w:before="120" w:after="120"/>
    </w:pPr>
    <w:rPr>
      <w:rFonts w:cs="Arial"/>
      <w:sz w:val="22"/>
      <w:szCs w:val="22"/>
    </w:rPr>
  </w:style>
  <w:style w:type="paragraph" w:customStyle="1" w:styleId="TPHeading4">
    <w:name w:val="TP Heading 4"/>
    <w:basedOn w:val="TPHeading3"/>
    <w:semiHidden/>
    <w:rsid w:val="00EA0E0B"/>
    <w:rPr>
      <w:sz w:val="20"/>
    </w:rPr>
  </w:style>
  <w:style w:type="paragraph" w:customStyle="1" w:styleId="TPHEADING4space">
    <w:name w:val="TP HEADING 4 space"/>
    <w:basedOn w:val="TPHEADING3space"/>
    <w:semiHidden/>
    <w:rsid w:val="00EA0E0B"/>
  </w:style>
  <w:style w:type="paragraph" w:customStyle="1" w:styleId="ChartLine">
    <w:name w:val="Chart Line"/>
    <w:basedOn w:val="Normal"/>
    <w:autoRedefine/>
    <w:qFormat/>
    <w:rsid w:val="00EA0E0B"/>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A0E0B"/>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A0E0B"/>
    <w:rPr>
      <w:sz w:val="16"/>
    </w:rPr>
  </w:style>
  <w:style w:type="paragraph" w:customStyle="1" w:styleId="Box-continuedon">
    <w:name w:val="Box - continued on"/>
    <w:basedOn w:val="Normal"/>
    <w:qFormat/>
    <w:rsid w:val="00EA0E0B"/>
    <w:pPr>
      <w:jc w:val="right"/>
    </w:pPr>
    <w:rPr>
      <w:rFonts w:asciiTheme="majorHAnsi" w:hAnsiTheme="majorHAnsi" w:cstheme="majorHAnsi"/>
      <w:i/>
      <w:iCs/>
      <w:sz w:val="18"/>
      <w:szCs w:val="24"/>
    </w:rPr>
  </w:style>
  <w:style w:type="paragraph" w:customStyle="1" w:styleId="BoxHeading2">
    <w:name w:val="Box Heading 2"/>
    <w:basedOn w:val="BoxHeading"/>
    <w:autoRedefine/>
    <w:rsid w:val="00EA0E0B"/>
    <w:pPr>
      <w:spacing w:after="0"/>
    </w:pPr>
    <w:rPr>
      <w:b w:val="0"/>
      <w:bCs/>
      <w:szCs w:val="14"/>
    </w:rPr>
  </w:style>
  <w:style w:type="character" w:customStyle="1" w:styleId="Heading9Char">
    <w:name w:val="Heading 9 Char"/>
    <w:basedOn w:val="DefaultParagraphFont"/>
    <w:link w:val="Heading9"/>
    <w:uiPriority w:val="9"/>
    <w:rsid w:val="00EA0E0B"/>
    <w:rPr>
      <w:rFonts w:ascii="Cambria" w:eastAsia="Times New Roman" w:hAnsi="Cambria" w:cs="Times New Roman"/>
      <w:lang w:eastAsia="en-AU"/>
    </w:rPr>
  </w:style>
  <w:style w:type="paragraph" w:customStyle="1" w:styleId="GhostLine">
    <w:name w:val="Ghost Line"/>
    <w:basedOn w:val="NoSpacing"/>
    <w:qFormat/>
    <w:rsid w:val="00EA0E0B"/>
    <w:pPr>
      <w:jc w:val="both"/>
    </w:pPr>
    <w:rPr>
      <w:rFonts w:ascii="Book Antiqua" w:hAnsi="Book Antiqua"/>
      <w:sz w:val="2"/>
    </w:rPr>
  </w:style>
  <w:style w:type="paragraph" w:styleId="NoSpacing">
    <w:name w:val="No Spacing"/>
    <w:uiPriority w:val="1"/>
    <w:qFormat/>
    <w:rsid w:val="00EA0E0B"/>
    <w:pPr>
      <w:spacing w:after="0" w:line="240" w:lineRule="auto"/>
    </w:pPr>
    <w:rPr>
      <w:rFonts w:eastAsia="Times New Roman" w:cs="Times New Roman"/>
      <w:sz w:val="19"/>
      <w:szCs w:val="20"/>
      <w:lang w:eastAsia="en-AU"/>
    </w:rPr>
  </w:style>
  <w:style w:type="paragraph" w:customStyle="1" w:styleId="Default">
    <w:name w:val="Default"/>
    <w:rsid w:val="003270F7"/>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C20085"/>
  </w:style>
  <w:style w:type="paragraph" w:styleId="ListParagraph">
    <w:name w:val="List Paragraph"/>
    <w:basedOn w:val="Normal"/>
    <w:uiPriority w:val="34"/>
    <w:qFormat/>
    <w:rsid w:val="00985B5B"/>
    <w:pPr>
      <w:ind w:left="720"/>
      <w:contextualSpacing/>
    </w:pPr>
  </w:style>
  <w:style w:type="character" w:customStyle="1" w:styleId="BoxTextChar">
    <w:name w:val="Box Text Char"/>
    <w:basedOn w:val="DefaultParagraphFont"/>
    <w:link w:val="BoxText"/>
    <w:rsid w:val="00EA0E0B"/>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74026A"/>
    <w:rPr>
      <w:rFonts w:ascii="Times New Roman" w:hAnsi="Times New Roman"/>
      <w:sz w:val="24"/>
      <w:szCs w:val="24"/>
    </w:rPr>
  </w:style>
  <w:style w:type="character" w:styleId="Emphasis">
    <w:name w:val="Emphasis"/>
    <w:basedOn w:val="DefaultParagraphFont"/>
    <w:uiPriority w:val="20"/>
    <w:rsid w:val="00132C9F"/>
    <w:rPr>
      <w:i/>
      <w:iCs/>
    </w:rPr>
  </w:style>
  <w:style w:type="paragraph" w:styleId="Revision">
    <w:name w:val="Revision"/>
    <w:hidden/>
    <w:uiPriority w:val="99"/>
    <w:semiHidden/>
    <w:rsid w:val="002B2500"/>
    <w:pPr>
      <w:spacing w:after="0" w:line="240" w:lineRule="auto"/>
    </w:pPr>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92040">
      <w:bodyDiv w:val="1"/>
      <w:marLeft w:val="0"/>
      <w:marRight w:val="0"/>
      <w:marTop w:val="0"/>
      <w:marBottom w:val="0"/>
      <w:divBdr>
        <w:top w:val="none" w:sz="0" w:space="0" w:color="auto"/>
        <w:left w:val="none" w:sz="0" w:space="0" w:color="auto"/>
        <w:bottom w:val="none" w:sz="0" w:space="0" w:color="auto"/>
        <w:right w:val="none" w:sz="0" w:space="0" w:color="auto"/>
      </w:divBdr>
      <w:divsChild>
        <w:div w:id="94974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IK\OneDrive%20-%20Department%20of%20Finance\Documents\Custom%20Office%20Templates\Budget%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77307692307689"/>
          <c:y val="9.5753968253968258E-2"/>
          <c:w val="0.84823547008547007"/>
          <c:h val="0.62435595238095243"/>
        </c:manualLayout>
      </c:layout>
      <c:lineChart>
        <c:grouping val="standard"/>
        <c:varyColors val="0"/>
        <c:ser>
          <c:idx val="0"/>
          <c:order val="0"/>
          <c:tx>
            <c:strRef>
              <c:f>'[Departmental Expenses - GDP (002).xlsx]Summary'!$F$32</c:f>
              <c:strCache>
                <c:ptCount val="1"/>
                <c:pt idx="0">
                  <c:v>Departmental expenses (real) index</c:v>
                </c:pt>
              </c:strCache>
            </c:strRef>
          </c:tx>
          <c:spPr>
            <a:ln w="28575" cap="rnd">
              <a:solidFill>
                <a:srgbClr val="BE5154"/>
              </a:solidFill>
              <a:round/>
            </a:ln>
            <a:effectLst/>
          </c:spPr>
          <c:marker>
            <c:symbol val="none"/>
          </c:marker>
          <c:cat>
            <c:strRef>
              <c:f>'[Departmental Expenses - GDP (002).xlsx]Summary'!$A$34:$A$51</c:f>
              <c:strCache>
                <c:ptCount val="18"/>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strCache>
            </c:strRef>
          </c:cat>
          <c:val>
            <c:numRef>
              <c:f>'[Departmental Expenses - GDP (002).xlsx]Summary'!$F$34:$F$51</c:f>
              <c:numCache>
                <c:formatCode>0.0</c:formatCode>
                <c:ptCount val="18"/>
                <c:pt idx="0" formatCode="General">
                  <c:v>100</c:v>
                </c:pt>
                <c:pt idx="1">
                  <c:v>102.06439385084678</c:v>
                </c:pt>
                <c:pt idx="2">
                  <c:v>102.66033880272774</c:v>
                </c:pt>
                <c:pt idx="3">
                  <c:v>104.9068277070316</c:v>
                </c:pt>
                <c:pt idx="4">
                  <c:v>108.95076804326948</c:v>
                </c:pt>
                <c:pt idx="5">
                  <c:v>101.27107616011708</c:v>
                </c:pt>
                <c:pt idx="6">
                  <c:v>102.1420052886884</c:v>
                </c:pt>
                <c:pt idx="7">
                  <c:v>98.010609832358995</c:v>
                </c:pt>
                <c:pt idx="8">
                  <c:v>98.247208756454782</c:v>
                </c:pt>
                <c:pt idx="9">
                  <c:v>97.613222666067117</c:v>
                </c:pt>
                <c:pt idx="10">
                  <c:v>99.751580833985017</c:v>
                </c:pt>
                <c:pt idx="11">
                  <c:v>104.77786603812169</c:v>
                </c:pt>
                <c:pt idx="12">
                  <c:v>104.93364084247067</c:v>
                </c:pt>
                <c:pt idx="13">
                  <c:v>110.61066969204438</c:v>
                </c:pt>
                <c:pt idx="14">
                  <c:v>112.57417865450199</c:v>
                </c:pt>
                <c:pt idx="15">
                  <c:v>116.49394157278526</c:v>
                </c:pt>
              </c:numCache>
            </c:numRef>
          </c:val>
          <c:smooth val="0"/>
          <c:extLst>
            <c:ext xmlns:c16="http://schemas.microsoft.com/office/drawing/2014/chart" uri="{C3380CC4-5D6E-409C-BE32-E72D297353CC}">
              <c16:uniqueId val="{00000000-A2DD-47AF-9B33-252F4BA88305}"/>
            </c:ext>
          </c:extLst>
        </c:ser>
        <c:ser>
          <c:idx val="1"/>
          <c:order val="1"/>
          <c:tx>
            <c:strRef>
              <c:f>'[Departmental Expenses - GDP (002).xlsx]Summary'!$G$32</c:f>
              <c:strCache>
                <c:ptCount val="1"/>
                <c:pt idx="0">
                  <c:v>Index - Estimates</c:v>
                </c:pt>
              </c:strCache>
            </c:strRef>
          </c:tx>
          <c:spPr>
            <a:ln w="28575" cap="rnd">
              <a:solidFill>
                <a:schemeClr val="accent1"/>
              </a:solidFill>
              <a:prstDash val="dash"/>
              <a:round/>
            </a:ln>
            <a:effectLst/>
          </c:spPr>
          <c:marker>
            <c:symbol val="none"/>
          </c:marker>
          <c:dPt>
            <c:idx val="16"/>
            <c:marker>
              <c:symbol val="none"/>
            </c:marker>
            <c:bubble3D val="0"/>
            <c:spPr>
              <a:ln w="28575" cap="rnd">
                <a:solidFill>
                  <a:srgbClr val="BE5154"/>
                </a:solidFill>
                <a:prstDash val="dash"/>
                <a:round/>
              </a:ln>
              <a:effectLst/>
            </c:spPr>
            <c:extLst>
              <c:ext xmlns:c16="http://schemas.microsoft.com/office/drawing/2014/chart" uri="{C3380CC4-5D6E-409C-BE32-E72D297353CC}">
                <c16:uniqueId val="{00000002-A2DD-47AF-9B33-252F4BA88305}"/>
              </c:ext>
            </c:extLst>
          </c:dPt>
          <c:dPt>
            <c:idx val="17"/>
            <c:marker>
              <c:symbol val="none"/>
            </c:marker>
            <c:bubble3D val="0"/>
            <c:spPr>
              <a:ln w="28575" cap="rnd">
                <a:solidFill>
                  <a:srgbClr val="BE5154"/>
                </a:solidFill>
                <a:prstDash val="dash"/>
                <a:round/>
              </a:ln>
              <a:effectLst/>
            </c:spPr>
            <c:extLst>
              <c:ext xmlns:c16="http://schemas.microsoft.com/office/drawing/2014/chart" uri="{C3380CC4-5D6E-409C-BE32-E72D297353CC}">
                <c16:uniqueId val="{00000004-A2DD-47AF-9B33-252F4BA88305}"/>
              </c:ext>
            </c:extLst>
          </c:dPt>
          <c:cat>
            <c:strRef>
              <c:f>'[Departmental Expenses - GDP (002).xlsx]Summary'!$A$34:$A$51</c:f>
              <c:strCache>
                <c:ptCount val="18"/>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strCache>
            </c:strRef>
          </c:cat>
          <c:val>
            <c:numRef>
              <c:f>'[Departmental Expenses - GDP (002).xlsx]Summary'!$G$34:$G$51</c:f>
              <c:numCache>
                <c:formatCode>General</c:formatCode>
                <c:ptCount val="18"/>
                <c:pt idx="15" formatCode="0.0">
                  <c:v>116.49394157278526</c:v>
                </c:pt>
                <c:pt idx="16" formatCode="0.0">
                  <c:v>116.9427034131764</c:v>
                </c:pt>
                <c:pt idx="17" formatCode="0.0">
                  <c:v>128.55724140815067</c:v>
                </c:pt>
              </c:numCache>
            </c:numRef>
          </c:val>
          <c:smooth val="0"/>
          <c:extLst>
            <c:ext xmlns:c16="http://schemas.microsoft.com/office/drawing/2014/chart" uri="{C3380CC4-5D6E-409C-BE32-E72D297353CC}">
              <c16:uniqueId val="{00000005-A2DD-47AF-9B33-252F4BA88305}"/>
            </c:ext>
          </c:extLst>
        </c:ser>
        <c:ser>
          <c:idx val="2"/>
          <c:order val="2"/>
          <c:tx>
            <c:strRef>
              <c:f>'[Departmental Expenses - GDP (002).xlsx]Summary'!$H$32</c:f>
              <c:strCache>
                <c:ptCount val="1"/>
                <c:pt idx="0">
                  <c:v>ASL index</c:v>
                </c:pt>
              </c:strCache>
            </c:strRef>
          </c:tx>
          <c:spPr>
            <a:ln w="28575" cap="rnd">
              <a:solidFill>
                <a:srgbClr val="0364C3"/>
              </a:solidFill>
              <a:round/>
            </a:ln>
            <a:effectLst/>
          </c:spPr>
          <c:marker>
            <c:symbol val="none"/>
          </c:marker>
          <c:cat>
            <c:strRef>
              <c:f>'[Departmental Expenses - GDP (002).xlsx]Summary'!$A$34:$A$51</c:f>
              <c:strCache>
                <c:ptCount val="18"/>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strCache>
            </c:strRef>
          </c:cat>
          <c:val>
            <c:numRef>
              <c:f>'[Departmental Expenses - GDP (002).xlsx]Summary'!$H$34:$H$51</c:f>
              <c:numCache>
                <c:formatCode>0.0</c:formatCode>
                <c:ptCount val="18"/>
                <c:pt idx="0">
                  <c:v>100</c:v>
                </c:pt>
                <c:pt idx="1">
                  <c:v>99.937902706644408</c:v>
                </c:pt>
                <c:pt idx="2">
                  <c:v>101.9591980903658</c:v>
                </c:pt>
                <c:pt idx="3">
                  <c:v>103.12594356552404</c:v>
                </c:pt>
                <c:pt idx="4">
                  <c:v>103.97308737487967</c:v>
                </c:pt>
                <c:pt idx="5">
                  <c:v>102.5192131304442</c:v>
                </c:pt>
                <c:pt idx="6">
                  <c:v>100.98387179472572</c:v>
                </c:pt>
                <c:pt idx="7">
                  <c:v>94.71888156507967</c:v>
                </c:pt>
                <c:pt idx="8">
                  <c:v>94.141775526830017</c:v>
                </c:pt>
                <c:pt idx="9">
                  <c:v>94.673305569956298</c:v>
                </c:pt>
                <c:pt idx="10">
                  <c:v>94.157727125123188</c:v>
                </c:pt>
                <c:pt idx="11">
                  <c:v>94.280212612017237</c:v>
                </c:pt>
                <c:pt idx="12">
                  <c:v>95.004301234539767</c:v>
                </c:pt>
                <c:pt idx="13">
                  <c:v>96.229156103480292</c:v>
                </c:pt>
                <c:pt idx="14">
                  <c:v>98.638986845628409</c:v>
                </c:pt>
                <c:pt idx="15">
                  <c:v>103.18519235918441</c:v>
                </c:pt>
              </c:numCache>
            </c:numRef>
          </c:val>
          <c:smooth val="0"/>
          <c:extLst>
            <c:ext xmlns:c16="http://schemas.microsoft.com/office/drawing/2014/chart" uri="{C3380CC4-5D6E-409C-BE32-E72D297353CC}">
              <c16:uniqueId val="{00000006-A2DD-47AF-9B33-252F4BA88305}"/>
            </c:ext>
          </c:extLst>
        </c:ser>
        <c:ser>
          <c:idx val="3"/>
          <c:order val="3"/>
          <c:tx>
            <c:strRef>
              <c:f>'[Departmental Expenses - GDP (002).xlsx]Summary'!$I$32</c:f>
              <c:strCache>
                <c:ptCount val="1"/>
                <c:pt idx="0">
                  <c:v>ASL Index - Estimates</c:v>
                </c:pt>
              </c:strCache>
            </c:strRef>
          </c:tx>
          <c:spPr>
            <a:ln w="28575" cap="rnd">
              <a:solidFill>
                <a:schemeClr val="accent6"/>
              </a:solidFill>
              <a:prstDash val="dash"/>
              <a:round/>
            </a:ln>
            <a:effectLst/>
          </c:spPr>
          <c:marker>
            <c:symbol val="none"/>
          </c:marker>
          <c:dPt>
            <c:idx val="15"/>
            <c:marker>
              <c:symbol val="none"/>
            </c:marker>
            <c:bubble3D val="0"/>
            <c:extLst>
              <c:ext xmlns:c16="http://schemas.microsoft.com/office/drawing/2014/chart" uri="{C3380CC4-5D6E-409C-BE32-E72D297353CC}">
                <c16:uniqueId val="{00000007-A2DD-47AF-9B33-252F4BA88305}"/>
              </c:ext>
            </c:extLst>
          </c:dPt>
          <c:dPt>
            <c:idx val="16"/>
            <c:marker>
              <c:symbol val="none"/>
            </c:marker>
            <c:bubble3D val="0"/>
            <c:spPr>
              <a:ln w="28575" cap="rnd">
                <a:solidFill>
                  <a:srgbClr val="0364C3"/>
                </a:solidFill>
                <a:prstDash val="dash"/>
                <a:round/>
              </a:ln>
              <a:effectLst/>
            </c:spPr>
            <c:extLst>
              <c:ext xmlns:c16="http://schemas.microsoft.com/office/drawing/2014/chart" uri="{C3380CC4-5D6E-409C-BE32-E72D297353CC}">
                <c16:uniqueId val="{00000009-A2DD-47AF-9B33-252F4BA88305}"/>
              </c:ext>
            </c:extLst>
          </c:dPt>
          <c:dPt>
            <c:idx val="17"/>
            <c:marker>
              <c:symbol val="none"/>
            </c:marker>
            <c:bubble3D val="0"/>
            <c:spPr>
              <a:ln w="28575" cap="rnd">
                <a:solidFill>
                  <a:srgbClr val="0364C3"/>
                </a:solidFill>
                <a:prstDash val="dash"/>
                <a:round/>
              </a:ln>
              <a:effectLst/>
            </c:spPr>
            <c:extLst>
              <c:ext xmlns:c16="http://schemas.microsoft.com/office/drawing/2014/chart" uri="{C3380CC4-5D6E-409C-BE32-E72D297353CC}">
                <c16:uniqueId val="{0000000B-A2DD-47AF-9B33-252F4BA88305}"/>
              </c:ext>
            </c:extLst>
          </c:dPt>
          <c:cat>
            <c:strRef>
              <c:f>'[Departmental Expenses - GDP (002).xlsx]Summary'!$A$34:$A$51</c:f>
              <c:strCache>
                <c:ptCount val="18"/>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strCache>
            </c:strRef>
          </c:cat>
          <c:val>
            <c:numRef>
              <c:f>'[Departmental Expenses - GDP (002).xlsx]Summary'!$I$34:$I$51</c:f>
              <c:numCache>
                <c:formatCode>General</c:formatCode>
                <c:ptCount val="18"/>
                <c:pt idx="15" formatCode="0.0">
                  <c:v>103.18519235918441</c:v>
                </c:pt>
                <c:pt idx="16" formatCode="0.0">
                  <c:v>111.56661786237188</c:v>
                </c:pt>
                <c:pt idx="17" formatCode="0.0">
                  <c:v>119.06728725980025</c:v>
                </c:pt>
              </c:numCache>
            </c:numRef>
          </c:val>
          <c:smooth val="0"/>
          <c:extLst>
            <c:ext xmlns:c16="http://schemas.microsoft.com/office/drawing/2014/chart" uri="{C3380CC4-5D6E-409C-BE32-E72D297353CC}">
              <c16:uniqueId val="{0000000C-A2DD-47AF-9B33-252F4BA88305}"/>
            </c:ext>
          </c:extLst>
        </c:ser>
        <c:dLbls>
          <c:showLegendKey val="0"/>
          <c:showVal val="0"/>
          <c:showCatName val="0"/>
          <c:showSerName val="0"/>
          <c:showPercent val="0"/>
          <c:showBubbleSize val="0"/>
        </c:dLbls>
        <c:smooth val="0"/>
        <c:axId val="961128239"/>
        <c:axId val="961124879"/>
      </c:lineChart>
      <c:catAx>
        <c:axId val="96112823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1124879"/>
        <c:crosses val="autoZero"/>
        <c:auto val="0"/>
        <c:lblAlgn val="ctr"/>
        <c:lblOffset val="100"/>
        <c:noMultiLvlLbl val="0"/>
      </c:catAx>
      <c:valAx>
        <c:axId val="961124879"/>
        <c:scaling>
          <c:orientation val="minMax"/>
          <c:min val="80"/>
        </c:scaling>
        <c:delete val="0"/>
        <c:axPos val="l"/>
        <c:majorGridlines>
          <c:spPr>
            <a:ln w="3175" cap="flat" cmpd="sng" algn="ctr">
              <a:solidFill>
                <a:schemeClr val="tx2">
                  <a:alpha val="40000"/>
                </a:schemeClr>
              </a:solidFill>
              <a:round/>
            </a:ln>
            <a:effectLst/>
          </c:spPr>
        </c:majorGridlines>
        <c:title>
          <c:tx>
            <c:rich>
              <a:bodyPr rot="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b="1">
                    <a:solidFill>
                      <a:sysClr val="windowText" lastClr="000000"/>
                    </a:solidFill>
                  </a:rPr>
                  <a:t>Index</a:t>
                </a:r>
              </a:p>
            </c:rich>
          </c:tx>
          <c:layout>
            <c:manualLayout>
              <c:xMode val="edge"/>
              <c:yMode val="edge"/>
              <c:x val="4.1802991452991455E-2"/>
              <c:y val="9.8174603174603341E-3"/>
            </c:manualLayout>
          </c:layout>
          <c:overlay val="0"/>
          <c:spPr>
            <a:noFill/>
            <a:ln>
              <a:noFill/>
            </a:ln>
            <a:effectLst/>
          </c:spPr>
          <c:txPr>
            <a:bodyPr rot="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1128239"/>
        <c:crosses val="autoZero"/>
        <c:crossBetween val="between"/>
      </c:valAx>
      <c:spPr>
        <a:noFill/>
        <a:ln>
          <a:noFill/>
        </a:ln>
        <a:effectLst/>
      </c:spPr>
    </c:plotArea>
    <c:legend>
      <c:legendPos val="b"/>
      <c:legendEntry>
        <c:idx val="1"/>
        <c:delete val="1"/>
      </c:legendEntry>
      <c:legendEntry>
        <c:idx val="3"/>
        <c:delete val="1"/>
      </c:legendEntry>
      <c:layout>
        <c:manualLayout>
          <c:xMode val="edge"/>
          <c:yMode val="edge"/>
          <c:x val="0.13877286324786325"/>
          <c:y val="0.90502420634920633"/>
          <c:w val="0.72245427350427349"/>
          <c:h val="7.481706349206349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876598939000106E-2"/>
          <c:y val="0.10400139120881173"/>
          <c:w val="0.86225277138017864"/>
          <c:h val="0.63200129694466334"/>
        </c:manualLayout>
      </c:layout>
      <c:lineChart>
        <c:grouping val="standard"/>
        <c:varyColors val="0"/>
        <c:ser>
          <c:idx val="0"/>
          <c:order val="1"/>
          <c:tx>
            <c:strRef>
              <c:f>'[ASL since 200607 chart.xlsx]Chart (2)'!$F$20</c:f>
              <c:strCache>
                <c:ptCount val="1"/>
                <c:pt idx="0">
                  <c:v>ASL as a percentage of labour force (LHS)</c:v>
                </c:pt>
              </c:strCache>
            </c:strRef>
          </c:tx>
          <c:spPr>
            <a:ln w="28575" cap="rnd">
              <a:solidFill>
                <a:srgbClr val="BE5154"/>
              </a:solidFill>
              <a:round/>
            </a:ln>
            <a:effectLst/>
          </c:spPr>
          <c:marker>
            <c:symbol val="none"/>
          </c:marker>
          <c:dPt>
            <c:idx val="17"/>
            <c:marker>
              <c:symbol val="none"/>
            </c:marker>
            <c:bubble3D val="0"/>
            <c:spPr>
              <a:ln w="28575" cap="rnd">
                <a:solidFill>
                  <a:srgbClr val="BE5154"/>
                </a:solidFill>
                <a:prstDash val="dash"/>
                <a:round/>
              </a:ln>
              <a:effectLst/>
            </c:spPr>
            <c:extLst>
              <c:ext xmlns:c16="http://schemas.microsoft.com/office/drawing/2014/chart" uri="{C3380CC4-5D6E-409C-BE32-E72D297353CC}">
                <c16:uniqueId val="{00000001-802C-4C64-83A3-CA3BBBD3589E}"/>
              </c:ext>
            </c:extLst>
          </c:dPt>
          <c:dPt>
            <c:idx val="18"/>
            <c:marker>
              <c:symbol val="none"/>
            </c:marker>
            <c:bubble3D val="0"/>
            <c:spPr>
              <a:ln w="28575" cap="rnd">
                <a:solidFill>
                  <a:srgbClr val="BE5154"/>
                </a:solidFill>
                <a:prstDash val="dash"/>
                <a:round/>
              </a:ln>
              <a:effectLst/>
            </c:spPr>
            <c:extLst>
              <c:ext xmlns:c16="http://schemas.microsoft.com/office/drawing/2014/chart" uri="{C3380CC4-5D6E-409C-BE32-E72D297353CC}">
                <c16:uniqueId val="{00000003-802C-4C64-83A3-CA3BBBD3589E}"/>
              </c:ext>
            </c:extLst>
          </c:dPt>
          <c:cat>
            <c:strRef>
              <c:f>'[ASL since 200607 chart.xlsx]Chart (2)'!$G$8:$Y$8</c:f>
              <c:strCache>
                <c:ptCount val="19"/>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pt idx="18">
                  <c:v>2024-25</c:v>
                </c:pt>
              </c:strCache>
            </c:strRef>
          </c:cat>
          <c:val>
            <c:numRef>
              <c:f>'[ASL since 200607 chart.xlsx]Chart (2)'!$G$20:$Y$20</c:f>
              <c:numCache>
                <c:formatCode>0.0</c:formatCode>
                <c:ptCount val="19"/>
                <c:pt idx="0">
                  <c:v>1.6077434456030621</c:v>
                </c:pt>
                <c:pt idx="1">
                  <c:v>1.6353718299886337</c:v>
                </c:pt>
                <c:pt idx="2">
                  <c:v>1.6280161853144257</c:v>
                </c:pt>
                <c:pt idx="3">
                  <c:v>1.6280656429663052</c:v>
                </c:pt>
                <c:pt idx="4">
                  <c:v>1.615424430641822</c:v>
                </c:pt>
                <c:pt idx="5">
                  <c:v>1.6096044450324118</c:v>
                </c:pt>
                <c:pt idx="6">
                  <c:v>1.5688878039424241</c:v>
                </c:pt>
                <c:pt idx="7">
                  <c:v>1.5375500928126573</c:v>
                </c:pt>
                <c:pt idx="8">
                  <c:v>1.4177140713201561</c:v>
                </c:pt>
                <c:pt idx="9">
                  <c:v>1.3813373011560741</c:v>
                </c:pt>
                <c:pt idx="10">
                  <c:v>1.3269745194956601</c:v>
                </c:pt>
                <c:pt idx="11">
                  <c:v>1.3197479897471114</c:v>
                </c:pt>
                <c:pt idx="12">
                  <c:v>1.2924137823316255</c:v>
                </c:pt>
                <c:pt idx="13">
                  <c:v>1.357941451895281</c:v>
                </c:pt>
                <c:pt idx="14">
                  <c:v>1.293353751914242</c:v>
                </c:pt>
                <c:pt idx="15">
                  <c:v>1.274977908689249</c:v>
                </c:pt>
                <c:pt idx="16">
                  <c:v>1.2922517123287671</c:v>
                </c:pt>
                <c:pt idx="17">
                  <c:v>1.3801491303068105</c:v>
                </c:pt>
                <c:pt idx="18">
                  <c:v>1.4825323176226834</c:v>
                </c:pt>
              </c:numCache>
            </c:numRef>
          </c:val>
          <c:smooth val="0"/>
          <c:extLst>
            <c:ext xmlns:c16="http://schemas.microsoft.com/office/drawing/2014/chart" uri="{C3380CC4-5D6E-409C-BE32-E72D297353CC}">
              <c16:uniqueId val="{00000004-802C-4C64-83A3-CA3BBBD3589E}"/>
            </c:ext>
          </c:extLst>
        </c:ser>
        <c:dLbls>
          <c:showLegendKey val="0"/>
          <c:showVal val="0"/>
          <c:showCatName val="0"/>
          <c:showSerName val="0"/>
          <c:showPercent val="0"/>
          <c:showBubbleSize val="0"/>
        </c:dLbls>
        <c:marker val="1"/>
        <c:smooth val="0"/>
        <c:axId val="2004079231"/>
        <c:axId val="2004081151"/>
        <c:extLst/>
      </c:lineChart>
      <c:lineChart>
        <c:grouping val="standard"/>
        <c:varyColors val="0"/>
        <c:ser>
          <c:idx val="5"/>
          <c:order val="0"/>
          <c:tx>
            <c:strRef>
              <c:f>'[ASL since 200607 chart.xlsx]Chart (2)'!$F$14</c:f>
              <c:strCache>
                <c:ptCount val="1"/>
                <c:pt idx="0">
                  <c:v>ASL as a percentage of population (RHS)</c:v>
                </c:pt>
              </c:strCache>
            </c:strRef>
          </c:tx>
          <c:spPr>
            <a:ln w="28575" cap="rnd">
              <a:solidFill>
                <a:schemeClr val="accent1"/>
              </a:solidFill>
              <a:round/>
            </a:ln>
            <a:effectLst/>
          </c:spPr>
          <c:marker>
            <c:symbol val="none"/>
          </c:marker>
          <c:dPt>
            <c:idx val="17"/>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6-802C-4C64-83A3-CA3BBBD3589E}"/>
              </c:ext>
            </c:extLst>
          </c:dPt>
          <c:dPt>
            <c:idx val="18"/>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8-802C-4C64-83A3-CA3BBBD3589E}"/>
              </c:ext>
            </c:extLst>
          </c:dPt>
          <c:cat>
            <c:strRef>
              <c:f>'[ASL since 200607 chart.xlsx]Chart (2)'!$G$8:$Y$8</c:f>
              <c:strCache>
                <c:ptCount val="19"/>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pt idx="18">
                  <c:v>2024-25</c:v>
                </c:pt>
              </c:strCache>
            </c:strRef>
          </c:cat>
          <c:val>
            <c:numRef>
              <c:f>'[ASL since 200607 chart.xlsx]Chart (2)'!$G$14:$Y$14</c:f>
              <c:numCache>
                <c:formatCode>0.0</c:formatCode>
                <c:ptCount val="19"/>
                <c:pt idx="0">
                  <c:v>0.80468139857733156</c:v>
                </c:pt>
                <c:pt idx="1">
                  <c:v>0.82605937287330222</c:v>
                </c:pt>
                <c:pt idx="2">
                  <c:v>0.80870738620058136</c:v>
                </c:pt>
                <c:pt idx="3">
                  <c:v>0.81232766348565133</c:v>
                </c:pt>
                <c:pt idx="4">
                  <c:v>0.81028561115243214</c:v>
                </c:pt>
                <c:pt idx="5">
                  <c:v>0.80280326822154036</c:v>
                </c:pt>
                <c:pt idx="6">
                  <c:v>0.77806985597494727</c:v>
                </c:pt>
                <c:pt idx="7">
                  <c:v>0.75507058664867122</c:v>
                </c:pt>
                <c:pt idx="8">
                  <c:v>0.69810646164478962</c:v>
                </c:pt>
                <c:pt idx="9">
                  <c:v>0.68309964566438131</c:v>
                </c:pt>
                <c:pt idx="10">
                  <c:v>0.67573612016758866</c:v>
                </c:pt>
                <c:pt idx="11">
                  <c:v>0.66207704138618451</c:v>
                </c:pt>
                <c:pt idx="12">
                  <c:v>0.65321545922596824</c:v>
                </c:pt>
                <c:pt idx="13">
                  <c:v>0.65016331083078927</c:v>
                </c:pt>
                <c:pt idx="14">
                  <c:v>0.6576184178007346</c:v>
                </c:pt>
                <c:pt idx="15">
                  <c:v>0.66556217577811427</c:v>
                </c:pt>
                <c:pt idx="16">
                  <c:v>0.67966088478471776</c:v>
                </c:pt>
                <c:pt idx="17">
                  <c:v>0.73425640427958749</c:v>
                </c:pt>
                <c:pt idx="18">
                  <c:v>0.76749893908878708</c:v>
                </c:pt>
              </c:numCache>
            </c:numRef>
          </c:val>
          <c:smooth val="0"/>
          <c:extLst>
            <c:ext xmlns:c16="http://schemas.microsoft.com/office/drawing/2014/chart" uri="{C3380CC4-5D6E-409C-BE32-E72D297353CC}">
              <c16:uniqueId val="{00000009-802C-4C64-83A3-CA3BBBD3589E}"/>
            </c:ext>
          </c:extLst>
        </c:ser>
        <c:dLbls>
          <c:showLegendKey val="0"/>
          <c:showVal val="0"/>
          <c:showCatName val="0"/>
          <c:showSerName val="0"/>
          <c:showPercent val="0"/>
          <c:showBubbleSize val="0"/>
        </c:dLbls>
        <c:marker val="1"/>
        <c:smooth val="0"/>
        <c:axId val="1066435328"/>
        <c:axId val="1066425248"/>
      </c:lineChart>
      <c:catAx>
        <c:axId val="200407923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04081151"/>
        <c:crosses val="autoZero"/>
        <c:auto val="1"/>
        <c:lblAlgn val="ctr"/>
        <c:lblOffset val="100"/>
        <c:noMultiLvlLbl val="0"/>
      </c:catAx>
      <c:valAx>
        <c:axId val="2004081151"/>
        <c:scaling>
          <c:orientation val="minMax"/>
          <c:max val="1.9"/>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rPr>
                  <a:t>% of</a:t>
                </a:r>
                <a:r>
                  <a:rPr lang="en-US" b="1" baseline="0">
                    <a:solidFill>
                      <a:sysClr val="windowText" lastClr="000000"/>
                    </a:solidFill>
                  </a:rPr>
                  <a:t> labour force</a:t>
                </a:r>
                <a:endParaRPr lang="en-US" b="1">
                  <a:solidFill>
                    <a:sysClr val="windowText" lastClr="000000"/>
                  </a:solidFill>
                </a:endParaRPr>
              </a:p>
            </c:rich>
          </c:tx>
          <c:layout>
            <c:manualLayout>
              <c:xMode val="edge"/>
              <c:yMode val="edge"/>
              <c:x val="1.7941109247840904E-2"/>
              <c:y val="5.5656589918676872E-3"/>
            </c:manualLayout>
          </c:layout>
          <c:overlay val="0"/>
          <c:spPr>
            <a:noFill/>
            <a:ln>
              <a:noFill/>
            </a:ln>
            <a:effectLst/>
          </c:spPr>
          <c:txPr>
            <a:bodyPr rot="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04079231"/>
        <c:crosses val="autoZero"/>
        <c:crossBetween val="between"/>
        <c:majorUnit val="0.2"/>
      </c:valAx>
      <c:valAx>
        <c:axId val="1066425248"/>
        <c:scaling>
          <c:orientation val="minMax"/>
          <c:max val="1"/>
          <c:min val="0.5"/>
        </c:scaling>
        <c:delete val="0"/>
        <c:axPos val="r"/>
        <c:title>
          <c:tx>
            <c:rich>
              <a:bodyPr rot="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b="1">
                    <a:solidFill>
                      <a:sysClr val="windowText" lastClr="000000"/>
                    </a:solidFill>
                  </a:rPr>
                  <a:t>% of population</a:t>
                </a:r>
              </a:p>
            </c:rich>
          </c:tx>
          <c:layout>
            <c:manualLayout>
              <c:xMode val="edge"/>
              <c:yMode val="edge"/>
              <c:x val="0.88741456394618856"/>
              <c:y val="1.3689558221863291E-2"/>
            </c:manualLayout>
          </c:layout>
          <c:overlay val="0"/>
          <c:spPr>
            <a:noFill/>
            <a:ln>
              <a:noFill/>
            </a:ln>
            <a:effectLst/>
          </c:spPr>
          <c:txPr>
            <a:bodyPr rot="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6435328"/>
        <c:crosses val="max"/>
        <c:crossBetween val="between"/>
        <c:majorUnit val="0.11000000000000001"/>
      </c:valAx>
      <c:catAx>
        <c:axId val="1066435328"/>
        <c:scaling>
          <c:orientation val="minMax"/>
        </c:scaling>
        <c:delete val="1"/>
        <c:axPos val="b"/>
        <c:numFmt formatCode="General" sourceLinked="1"/>
        <c:majorTickMark val="out"/>
        <c:minorTickMark val="none"/>
        <c:tickLblPos val="nextTo"/>
        <c:crossAx val="1066425248"/>
        <c:crosses val="autoZero"/>
        <c:auto val="1"/>
        <c:lblAlgn val="ctr"/>
        <c:lblOffset val="100"/>
        <c:noMultiLvlLbl val="0"/>
      </c:catAx>
      <c:spPr>
        <a:noFill/>
        <a:ln>
          <a:noFill/>
        </a:ln>
        <a:effectLst/>
      </c:spPr>
    </c:plotArea>
    <c:legend>
      <c:legendPos val="b"/>
      <c:layout>
        <c:manualLayout>
          <c:xMode val="edge"/>
          <c:yMode val="edge"/>
          <c:x val="0"/>
          <c:y val="0.95090295116777113"/>
          <c:w val="1"/>
          <c:h val="3.39327731651256E-2"/>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4fe85f-b655-4145-9b20-543b75dc1c24" xsi:nil="true"/>
    <lcf76f155ced4ddcb4097134ff3c332f xmlns="9115ddca-c623-419f-a3c0-6a1c58c4dac8">
      <Terms xmlns="http://schemas.microsoft.com/office/infopath/2007/PartnerControls"/>
    </lcf76f155ced4ddcb4097134ff3c332f>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Status xmlns="9115ddca-c623-419f-a3c0-6a1c58c4dac8" xsi:nil="true"/>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4335A8C6-42A8-4762-B1A1-AF775C3F4FD5}">
  <ds:schemaRefs>
    <ds:schemaRef ds:uri="http://schemas.microsoft.com/sharepoint/v3/contenttype/forms"/>
  </ds:schemaRefs>
</ds:datastoreItem>
</file>

<file path=customXml/itemProps3.xml><?xml version="1.0" encoding="utf-8"?>
<ds:datastoreItem xmlns:ds="http://schemas.openxmlformats.org/officeDocument/2006/customXml" ds:itemID="{F1027669-A57D-424C-A84B-84BE54307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D887E-30AB-4E2E-8E2E-CAD81D8F0728}">
  <ds:schemaRefs>
    <ds:schemaRef ds:uri="http://schemas.microsoft.com/office/2006/metadata/properties"/>
    <ds:schemaRef ds:uri="http://schemas.microsoft.com/office/infopath/2007/PartnerControls"/>
    <ds:schemaRef ds:uri="244fe85f-b655-4145-9b20-543b75dc1c24"/>
    <ds:schemaRef ds:uri="9115ddca-c623-419f-a3c0-6a1c58c4da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156</TotalTime>
  <Pages>1</Pages>
  <Words>4720</Words>
  <Characters>27333</Characters>
  <Application>Microsoft Office Word</Application>
  <DocSecurity>0</DocSecurity>
  <Lines>463</Lines>
  <Paragraphs>138</Paragraphs>
  <ScaleCrop>false</ScaleCrop>
  <HeadingPairs>
    <vt:vector size="2" baseType="variant">
      <vt:variant>
        <vt:lpstr>Title</vt:lpstr>
      </vt:variant>
      <vt:variant>
        <vt:i4>1</vt:i4>
      </vt:variant>
    </vt:vector>
  </HeadingPairs>
  <TitlesOfParts>
    <vt:vector size="1" baseType="lpstr">
      <vt:lpstr>Budget Paper No.4</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No.4</dc:title>
  <dc:subject>Preface</dc:subject>
  <dc:creator>Australian Government</dc:creator>
  <cp:keywords/>
  <dc:description/>
  <cp:lastModifiedBy>Kuek, Amanda</cp:lastModifiedBy>
  <cp:revision>98</cp:revision>
  <cp:lastPrinted>2024-05-12T04:43:00Z</cp:lastPrinted>
  <dcterms:created xsi:type="dcterms:W3CDTF">2024-05-11T22:04:00Z</dcterms:created>
  <dcterms:modified xsi:type="dcterms:W3CDTF">2024-05-13T04:29:00Z</dcterms:modified>
  <cp:category/>
</cp:coreProperties>
</file>